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7AD32"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b/>
          <w:sz w:val="24"/>
          <w:szCs w:val="24"/>
          <w:shd w:val="clear" w:color="auto" w:fill="FFFFFF"/>
        </w:rPr>
      </w:pPr>
      <w:r w:rsidRPr="0019154B">
        <w:rPr>
          <w:rFonts w:ascii="Times New Roman" w:hAnsi="Times New Roman" w:cs="Times New Roman"/>
          <w:b/>
          <w:sz w:val="24"/>
          <w:szCs w:val="24"/>
          <w:shd w:val="clear" w:color="auto" w:fill="FFFFFF"/>
        </w:rPr>
        <w:t xml:space="preserve">Title </w:t>
      </w:r>
    </w:p>
    <w:p w14:paraId="163C5AF7"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rPr>
      </w:pPr>
      <w:r w:rsidRPr="0019154B">
        <w:rPr>
          <w:rFonts w:ascii="Times New Roman" w:hAnsi="Times New Roman" w:cs="Times New Roman"/>
          <w:sz w:val="24"/>
          <w:szCs w:val="24"/>
          <w:shd w:val="clear" w:color="auto" w:fill="FFFFFF"/>
        </w:rPr>
        <w:t>Inequality, material well-being, and subjective well-being: Exploring associations for children across 15 diverse countries</w:t>
      </w:r>
    </w:p>
    <w:p w14:paraId="247A7CB1"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b/>
          <w:sz w:val="24"/>
          <w:szCs w:val="24"/>
          <w:shd w:val="clear" w:color="auto" w:fill="FFFFFF"/>
        </w:rPr>
      </w:pPr>
    </w:p>
    <w:p w14:paraId="0A0E464E"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b/>
          <w:sz w:val="24"/>
          <w:szCs w:val="24"/>
          <w:shd w:val="clear" w:color="auto" w:fill="FFFFFF"/>
        </w:rPr>
      </w:pPr>
      <w:r w:rsidRPr="0019154B">
        <w:rPr>
          <w:rFonts w:ascii="Times New Roman" w:hAnsi="Times New Roman" w:cs="Times New Roman"/>
          <w:b/>
          <w:sz w:val="24"/>
          <w:szCs w:val="24"/>
          <w:shd w:val="clear" w:color="auto" w:fill="FFFFFF"/>
        </w:rPr>
        <w:t>Authors</w:t>
      </w:r>
    </w:p>
    <w:p w14:paraId="60ABD40F"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Gill Main (corresponding author)</w:t>
      </w:r>
    </w:p>
    <w:p w14:paraId="3AF3265B"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School of Education, University of Leeds, Leeds, LS2 9JT, United Kingdom</w:t>
      </w:r>
    </w:p>
    <w:p w14:paraId="1D1341E9"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g.main@leeds.ac.uk</w:t>
      </w:r>
    </w:p>
    <w:p w14:paraId="06D43AC0"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p>
    <w:p w14:paraId="16DE8695"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Carme Montserrat</w:t>
      </w:r>
    </w:p>
    <w:p w14:paraId="71DDC9C2"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color w:val="222222"/>
          <w:sz w:val="24"/>
          <w:szCs w:val="24"/>
          <w:shd w:val="clear" w:color="auto" w:fill="FFFFFF"/>
        </w:rPr>
      </w:pPr>
      <w:r w:rsidRPr="0019154B">
        <w:rPr>
          <w:rFonts w:ascii="Times New Roman" w:hAnsi="Times New Roman" w:cs="Times New Roman"/>
          <w:sz w:val="24"/>
          <w:szCs w:val="24"/>
        </w:rPr>
        <w:t xml:space="preserve">Research Institute on Quality of Life, University of Girona, </w:t>
      </w:r>
      <w:proofErr w:type="spellStart"/>
      <w:r w:rsidRPr="0019154B">
        <w:rPr>
          <w:rFonts w:ascii="Times New Roman" w:hAnsi="Times New Roman" w:cs="Times New Roman"/>
          <w:color w:val="222222"/>
          <w:sz w:val="24"/>
          <w:szCs w:val="24"/>
          <w:shd w:val="clear" w:color="auto" w:fill="FFFFFF"/>
        </w:rPr>
        <w:t>Plaça</w:t>
      </w:r>
      <w:proofErr w:type="spellEnd"/>
      <w:r w:rsidRPr="0019154B">
        <w:rPr>
          <w:rFonts w:ascii="Times New Roman" w:hAnsi="Times New Roman" w:cs="Times New Roman"/>
          <w:color w:val="222222"/>
          <w:sz w:val="24"/>
          <w:szCs w:val="24"/>
          <w:shd w:val="clear" w:color="auto" w:fill="FFFFFF"/>
        </w:rPr>
        <w:t xml:space="preserve"> de </w:t>
      </w:r>
      <w:proofErr w:type="spellStart"/>
      <w:r w:rsidRPr="0019154B">
        <w:rPr>
          <w:rFonts w:ascii="Times New Roman" w:hAnsi="Times New Roman" w:cs="Times New Roman"/>
          <w:color w:val="222222"/>
          <w:sz w:val="24"/>
          <w:szCs w:val="24"/>
          <w:shd w:val="clear" w:color="auto" w:fill="FFFFFF"/>
        </w:rPr>
        <w:t>Sant</w:t>
      </w:r>
      <w:proofErr w:type="spellEnd"/>
      <w:r w:rsidRPr="0019154B">
        <w:rPr>
          <w:rFonts w:ascii="Times New Roman" w:hAnsi="Times New Roman" w:cs="Times New Roman"/>
          <w:color w:val="222222"/>
          <w:sz w:val="24"/>
          <w:szCs w:val="24"/>
          <w:shd w:val="clear" w:color="auto" w:fill="FFFFFF"/>
        </w:rPr>
        <w:t xml:space="preserve"> </w:t>
      </w:r>
      <w:proofErr w:type="spellStart"/>
      <w:r w:rsidRPr="0019154B">
        <w:rPr>
          <w:rFonts w:ascii="Times New Roman" w:hAnsi="Times New Roman" w:cs="Times New Roman"/>
          <w:color w:val="222222"/>
          <w:sz w:val="24"/>
          <w:szCs w:val="24"/>
          <w:shd w:val="clear" w:color="auto" w:fill="FFFFFF"/>
        </w:rPr>
        <w:t>Domènec</w:t>
      </w:r>
      <w:proofErr w:type="spellEnd"/>
      <w:r w:rsidRPr="0019154B">
        <w:rPr>
          <w:rFonts w:ascii="Times New Roman" w:hAnsi="Times New Roman" w:cs="Times New Roman"/>
          <w:color w:val="222222"/>
          <w:sz w:val="24"/>
          <w:szCs w:val="24"/>
          <w:shd w:val="clear" w:color="auto" w:fill="FFFFFF"/>
        </w:rPr>
        <w:t>, 3, 17004 Girona, Spain</w:t>
      </w:r>
    </w:p>
    <w:p w14:paraId="64920A31"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rPr>
      </w:pPr>
      <w:r w:rsidRPr="0019154B">
        <w:rPr>
          <w:rFonts w:ascii="Times New Roman" w:hAnsi="Times New Roman" w:cs="Times New Roman"/>
          <w:color w:val="222222"/>
          <w:sz w:val="24"/>
          <w:szCs w:val="24"/>
          <w:shd w:val="clear" w:color="auto" w:fill="FFFFFF"/>
        </w:rPr>
        <w:t>carme.montserrat@udg.edu</w:t>
      </w:r>
    </w:p>
    <w:p w14:paraId="519DD73C"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p>
    <w:p w14:paraId="2F57060B"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Sabine Andresen</w:t>
      </w:r>
    </w:p>
    <w:p w14:paraId="388FA764"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Goethe-</w:t>
      </w:r>
      <w:proofErr w:type="spellStart"/>
      <w:r w:rsidRPr="0019154B">
        <w:rPr>
          <w:rFonts w:ascii="Times New Roman" w:hAnsi="Times New Roman" w:cs="Times New Roman"/>
          <w:sz w:val="24"/>
          <w:szCs w:val="24"/>
          <w:shd w:val="clear" w:color="auto" w:fill="FFFFFF"/>
        </w:rPr>
        <w:t>Universitat</w:t>
      </w:r>
      <w:proofErr w:type="spellEnd"/>
      <w:r w:rsidRPr="0019154B">
        <w:rPr>
          <w:rFonts w:ascii="Times New Roman" w:hAnsi="Times New Roman" w:cs="Times New Roman"/>
          <w:sz w:val="24"/>
          <w:szCs w:val="24"/>
          <w:shd w:val="clear" w:color="auto" w:fill="FFFFFF"/>
        </w:rPr>
        <w:t xml:space="preserve">, Frankfurt am Main, </w:t>
      </w:r>
      <w:proofErr w:type="spellStart"/>
      <w:r w:rsidRPr="0019154B">
        <w:rPr>
          <w:rFonts w:ascii="Times New Roman" w:hAnsi="Times New Roman" w:cs="Times New Roman"/>
          <w:sz w:val="24"/>
          <w:szCs w:val="24"/>
          <w:shd w:val="clear" w:color="auto" w:fill="FFFFFF"/>
        </w:rPr>
        <w:t>Fachbereich</w:t>
      </w:r>
      <w:proofErr w:type="spellEnd"/>
      <w:r w:rsidRPr="0019154B">
        <w:rPr>
          <w:rFonts w:ascii="Times New Roman" w:hAnsi="Times New Roman" w:cs="Times New Roman"/>
          <w:sz w:val="24"/>
          <w:szCs w:val="24"/>
          <w:shd w:val="clear" w:color="auto" w:fill="FFFFFF"/>
        </w:rPr>
        <w:t xml:space="preserve"> </w:t>
      </w:r>
      <w:proofErr w:type="spellStart"/>
      <w:r w:rsidRPr="0019154B">
        <w:rPr>
          <w:rFonts w:ascii="Times New Roman" w:hAnsi="Times New Roman" w:cs="Times New Roman"/>
          <w:sz w:val="24"/>
          <w:szCs w:val="24"/>
          <w:shd w:val="clear" w:color="auto" w:fill="FFFFFF"/>
        </w:rPr>
        <w:t>Erziehungswissenscaften</w:t>
      </w:r>
      <w:proofErr w:type="spellEnd"/>
      <w:r w:rsidRPr="0019154B">
        <w:rPr>
          <w:rFonts w:ascii="Times New Roman" w:hAnsi="Times New Roman" w:cs="Times New Roman"/>
          <w:sz w:val="24"/>
          <w:szCs w:val="24"/>
          <w:shd w:val="clear" w:color="auto" w:fill="FFFFFF"/>
        </w:rPr>
        <w:t xml:space="preserve">, </w:t>
      </w:r>
      <w:proofErr w:type="spellStart"/>
      <w:r w:rsidRPr="0019154B">
        <w:rPr>
          <w:rFonts w:ascii="Times New Roman" w:hAnsi="Times New Roman" w:cs="Times New Roman"/>
          <w:sz w:val="24"/>
          <w:szCs w:val="24"/>
          <w:shd w:val="clear" w:color="auto" w:fill="FFFFFF"/>
        </w:rPr>
        <w:t>Institut</w:t>
      </w:r>
      <w:proofErr w:type="spellEnd"/>
      <w:r w:rsidRPr="0019154B">
        <w:rPr>
          <w:rFonts w:ascii="Times New Roman" w:hAnsi="Times New Roman" w:cs="Times New Roman"/>
          <w:sz w:val="24"/>
          <w:szCs w:val="24"/>
          <w:shd w:val="clear" w:color="auto" w:fill="FFFFFF"/>
        </w:rPr>
        <w:t xml:space="preserve"> for </w:t>
      </w:r>
      <w:proofErr w:type="spellStart"/>
      <w:r w:rsidRPr="0019154B">
        <w:rPr>
          <w:rFonts w:ascii="Times New Roman" w:hAnsi="Times New Roman" w:cs="Times New Roman"/>
          <w:sz w:val="24"/>
          <w:szCs w:val="24"/>
          <w:shd w:val="clear" w:color="auto" w:fill="FFFFFF"/>
        </w:rPr>
        <w:t>Sozialpadagogik</w:t>
      </w:r>
      <w:proofErr w:type="spellEnd"/>
      <w:r w:rsidRPr="0019154B">
        <w:rPr>
          <w:rFonts w:ascii="Times New Roman" w:hAnsi="Times New Roman" w:cs="Times New Roman"/>
          <w:sz w:val="24"/>
          <w:szCs w:val="24"/>
          <w:shd w:val="clear" w:color="auto" w:fill="FFFFFF"/>
        </w:rPr>
        <w:t xml:space="preserve"> und </w:t>
      </w:r>
      <w:proofErr w:type="spellStart"/>
      <w:r w:rsidRPr="0019154B">
        <w:rPr>
          <w:rFonts w:ascii="Times New Roman" w:hAnsi="Times New Roman" w:cs="Times New Roman"/>
          <w:sz w:val="24"/>
          <w:szCs w:val="24"/>
          <w:shd w:val="clear" w:color="auto" w:fill="FFFFFF"/>
        </w:rPr>
        <w:t>Erwachsenenbildung</w:t>
      </w:r>
      <w:proofErr w:type="spellEnd"/>
      <w:r w:rsidRPr="0019154B">
        <w:rPr>
          <w:rFonts w:ascii="Times New Roman" w:hAnsi="Times New Roman" w:cs="Times New Roman"/>
          <w:sz w:val="24"/>
          <w:szCs w:val="24"/>
          <w:shd w:val="clear" w:color="auto" w:fill="FFFFFF"/>
        </w:rPr>
        <w:t>, Theodor-W.-Adorno-</w:t>
      </w:r>
      <w:proofErr w:type="spellStart"/>
      <w:r w:rsidRPr="0019154B">
        <w:rPr>
          <w:rFonts w:ascii="Times New Roman" w:hAnsi="Times New Roman" w:cs="Times New Roman"/>
          <w:sz w:val="24"/>
          <w:szCs w:val="24"/>
          <w:shd w:val="clear" w:color="auto" w:fill="FFFFFF"/>
        </w:rPr>
        <w:t>Platz</w:t>
      </w:r>
      <w:proofErr w:type="spellEnd"/>
      <w:r w:rsidRPr="0019154B">
        <w:rPr>
          <w:rFonts w:ascii="Times New Roman" w:hAnsi="Times New Roman" w:cs="Times New Roman"/>
          <w:sz w:val="24"/>
          <w:szCs w:val="24"/>
          <w:shd w:val="clear" w:color="auto" w:fill="FFFFFF"/>
        </w:rPr>
        <w:t xml:space="preserve"> 6, D-60323 Frankfurt am Main, Germany</w:t>
      </w:r>
    </w:p>
    <w:p w14:paraId="7A158788"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S.Andresen@em.uni-frankfurt.de</w:t>
      </w:r>
    </w:p>
    <w:p w14:paraId="26FD754D"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ECEDED"/>
        </w:rPr>
      </w:pPr>
      <w:r w:rsidRPr="0019154B">
        <w:rPr>
          <w:rFonts w:ascii="Times New Roman" w:hAnsi="Times New Roman" w:cs="Times New Roman"/>
          <w:sz w:val="24"/>
          <w:szCs w:val="24"/>
          <w:shd w:val="clear" w:color="auto" w:fill="FFFFFF"/>
        </w:rPr>
        <w:t xml:space="preserve"> </w:t>
      </w:r>
    </w:p>
    <w:p w14:paraId="6489DF6A"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Jonathan Bradshaw</w:t>
      </w:r>
    </w:p>
    <w:p w14:paraId="184CDA8C"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Social Policy Research Centre, University of York, York, YO10 5DD, United Kingdom</w:t>
      </w:r>
    </w:p>
    <w:p w14:paraId="5768FC0F"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jonathan.bradshaw@york.ac.uk</w:t>
      </w:r>
    </w:p>
    <w:p w14:paraId="719AA510"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p>
    <w:p w14:paraId="54BB39F1"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color w:val="222222"/>
          <w:sz w:val="24"/>
          <w:szCs w:val="24"/>
          <w:shd w:val="clear" w:color="auto" w:fill="FFFFFF"/>
        </w:rPr>
      </w:pPr>
      <w:r w:rsidRPr="0019154B">
        <w:rPr>
          <w:rFonts w:ascii="Times New Roman" w:hAnsi="Times New Roman" w:cs="Times New Roman"/>
          <w:sz w:val="24"/>
          <w:szCs w:val="24"/>
          <w:shd w:val="clear" w:color="auto" w:fill="FFFFFF"/>
        </w:rPr>
        <w:t xml:space="preserve">Bong </w:t>
      </w:r>
      <w:proofErr w:type="spellStart"/>
      <w:r w:rsidRPr="0019154B">
        <w:rPr>
          <w:rFonts w:ascii="Times New Roman" w:hAnsi="Times New Roman" w:cs="Times New Roman"/>
          <w:sz w:val="24"/>
          <w:szCs w:val="24"/>
          <w:shd w:val="clear" w:color="auto" w:fill="FFFFFF"/>
        </w:rPr>
        <w:t>Joo</w:t>
      </w:r>
      <w:proofErr w:type="spellEnd"/>
      <w:r w:rsidRPr="0019154B">
        <w:rPr>
          <w:rFonts w:ascii="Times New Roman" w:hAnsi="Times New Roman" w:cs="Times New Roman"/>
          <w:sz w:val="24"/>
          <w:szCs w:val="24"/>
          <w:shd w:val="clear" w:color="auto" w:fill="FFFFFF"/>
        </w:rPr>
        <w:t xml:space="preserve"> Lee; address: Seoul National University, </w:t>
      </w:r>
      <w:r w:rsidRPr="0019154B">
        <w:rPr>
          <w:rFonts w:ascii="Times New Roman" w:hAnsi="Times New Roman" w:cs="Times New Roman"/>
          <w:color w:val="222222"/>
          <w:sz w:val="24"/>
          <w:szCs w:val="24"/>
          <w:shd w:val="clear" w:color="auto" w:fill="FFFFFF"/>
        </w:rPr>
        <w:t xml:space="preserve">1 </w:t>
      </w:r>
      <w:proofErr w:type="spellStart"/>
      <w:r w:rsidRPr="0019154B">
        <w:rPr>
          <w:rFonts w:ascii="Times New Roman" w:hAnsi="Times New Roman" w:cs="Times New Roman"/>
          <w:color w:val="222222"/>
          <w:sz w:val="24"/>
          <w:szCs w:val="24"/>
          <w:shd w:val="clear" w:color="auto" w:fill="FFFFFF"/>
        </w:rPr>
        <w:t>Gwanak-ro</w:t>
      </w:r>
      <w:proofErr w:type="spellEnd"/>
      <w:r w:rsidRPr="0019154B">
        <w:rPr>
          <w:rFonts w:ascii="Times New Roman" w:hAnsi="Times New Roman" w:cs="Times New Roman"/>
          <w:color w:val="222222"/>
          <w:sz w:val="24"/>
          <w:szCs w:val="24"/>
          <w:shd w:val="clear" w:color="auto" w:fill="FFFFFF"/>
        </w:rPr>
        <w:t xml:space="preserve">, </w:t>
      </w:r>
      <w:proofErr w:type="spellStart"/>
      <w:r w:rsidRPr="0019154B">
        <w:rPr>
          <w:rFonts w:ascii="Times New Roman" w:hAnsi="Times New Roman" w:cs="Times New Roman"/>
          <w:color w:val="222222"/>
          <w:sz w:val="24"/>
          <w:szCs w:val="24"/>
          <w:shd w:val="clear" w:color="auto" w:fill="FFFFFF"/>
        </w:rPr>
        <w:t>Gwanak-gu</w:t>
      </w:r>
      <w:proofErr w:type="spellEnd"/>
      <w:r w:rsidRPr="0019154B">
        <w:rPr>
          <w:rFonts w:ascii="Times New Roman" w:hAnsi="Times New Roman" w:cs="Times New Roman"/>
          <w:color w:val="222222"/>
          <w:sz w:val="24"/>
          <w:szCs w:val="24"/>
          <w:shd w:val="clear" w:color="auto" w:fill="FFFFFF"/>
        </w:rPr>
        <w:t>, Seoul, South Korea</w:t>
      </w:r>
    </w:p>
    <w:p w14:paraId="2DAAB861"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bongjlee@snu.ac.kr</w:t>
      </w:r>
    </w:p>
    <w:p w14:paraId="09703550" w14:textId="77777777" w:rsidR="000D15BA" w:rsidRPr="0019154B"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p>
    <w:p w14:paraId="30B9E9E6" w14:textId="77777777" w:rsidR="000D15BA" w:rsidRPr="0019154B" w:rsidRDefault="000D15BA" w:rsidP="000D15BA">
      <w:pPr>
        <w:spacing w:before="100" w:beforeAutospacing="1" w:after="100" w:afterAutospacing="1" w:line="240" w:lineRule="auto"/>
        <w:contextualSpacing/>
        <w:jc w:val="both"/>
        <w:rPr>
          <w:rFonts w:ascii="Times New Roman" w:hAnsi="Times New Roman" w:cs="Times New Roman"/>
          <w:b/>
          <w:sz w:val="24"/>
          <w:szCs w:val="24"/>
          <w:shd w:val="clear" w:color="auto" w:fill="FFFFFF"/>
        </w:rPr>
      </w:pPr>
      <w:r w:rsidRPr="0019154B">
        <w:rPr>
          <w:rFonts w:ascii="Times New Roman" w:hAnsi="Times New Roman" w:cs="Times New Roman"/>
          <w:b/>
          <w:sz w:val="24"/>
          <w:szCs w:val="24"/>
          <w:shd w:val="clear" w:color="auto" w:fill="FFFFFF"/>
        </w:rPr>
        <w:t>Abstract</w:t>
      </w:r>
    </w:p>
    <w:p w14:paraId="674ED9FE" w14:textId="77777777" w:rsidR="000D15BA"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sidRPr="0019154B">
        <w:rPr>
          <w:rFonts w:ascii="Times New Roman" w:hAnsi="Times New Roman" w:cs="Times New Roman"/>
          <w:sz w:val="24"/>
          <w:szCs w:val="24"/>
          <w:shd w:val="clear" w:color="auto" w:fill="FFFFFF"/>
        </w:rPr>
        <w:t>Children’s material well-being, and the levels of wealth and inequality in societies within which children live, are important factors in determining outcomes.  However, less is known about the extent to which these factors have an impact children’s subjective well-being, especially in an internationally comparative context. This study draws on data from the Children’s Worlds survey, an international study of child subjective well-being, to explore links between national level indicators of wealth and inequality (GDP and Gini coefficients), individual indicators of material well-being (the material resources children report having access to), and subjective well-being.  The survey covers 15 diverse countries covering the continents of Europe, Asia, Africa and South America, with samples of at least 3,000 per country, ages 8, 10 and 12.  Analysis takes the form of a multilevel, varying intercepts and slopes model, examining the association between financial and material resources and inequality and subjective well-being across and between countries.  Findings suggest that material resources that children report are significantly associated with subjective well-being, while indicators of financial resources and inequality at the national level are not.  While a significant association between material resources and subjective well-being is found across the whole sample, the magnitude of this association, and the association between school- and country-level material resources, varies markedly.  Within different countries, the strongest material resources-related predictor of overall subjective well-being may be either at the individual, school or country level.</w:t>
      </w:r>
    </w:p>
    <w:p w14:paraId="570DE360" w14:textId="77777777" w:rsidR="000D15BA"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p>
    <w:p w14:paraId="4AD8CE9D" w14:textId="77777777" w:rsidR="000D15BA" w:rsidRDefault="000D15BA" w:rsidP="000D15BA">
      <w:pPr>
        <w:spacing w:before="100" w:beforeAutospacing="1" w:after="100" w:afterAutospacing="1" w:line="240" w:lineRule="auto"/>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Key words</w:t>
      </w:r>
    </w:p>
    <w:p w14:paraId="7A7B36B9" w14:textId="77777777" w:rsidR="000D15BA"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Material well-being; subjective well-being; children; inequality; multilevel modelling</w:t>
      </w:r>
    </w:p>
    <w:p w14:paraId="63EF414E" w14:textId="77777777" w:rsidR="000D15BA" w:rsidRDefault="000D15BA" w:rsidP="000D15BA">
      <w:pPr>
        <w:spacing w:before="100" w:beforeAutospacing="1" w:after="100" w:afterAutospacing="1" w:line="240" w:lineRule="auto"/>
        <w:contextualSpacing/>
        <w:rPr>
          <w:rFonts w:ascii="Times New Roman" w:hAnsi="Times New Roman" w:cs="Times New Roman"/>
          <w:sz w:val="24"/>
          <w:szCs w:val="24"/>
          <w:shd w:val="clear" w:color="auto" w:fill="FFFFFF"/>
        </w:rPr>
      </w:pPr>
    </w:p>
    <w:p w14:paraId="6CA92EF7" w14:textId="77777777" w:rsidR="000D15BA" w:rsidRDefault="000D15BA" w:rsidP="000D15BA">
      <w:pPr>
        <w:spacing w:before="100" w:beforeAutospacing="1" w:after="100" w:afterAutospacing="1" w:line="240" w:lineRule="auto"/>
        <w:contextualSpacing/>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Highlights</w:t>
      </w:r>
    </w:p>
    <w:p w14:paraId="317BAD92" w14:textId="77777777" w:rsidR="000D15BA" w:rsidRDefault="000D15BA" w:rsidP="000D15BA">
      <w:pPr>
        <w:pStyle w:val="ListParagraph"/>
        <w:numPr>
          <w:ilvl w:val="0"/>
          <w:numId w:val="22"/>
        </w:num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Children’s Worlds survey provides valuable self-reported data on children’s lives which can be used to understand links between children’s material living standards and their subjective well-being.</w:t>
      </w:r>
    </w:p>
    <w:p w14:paraId="70BE8CD5" w14:textId="77777777" w:rsidR="000D15BA" w:rsidRDefault="000D15BA" w:rsidP="000D15BA">
      <w:pPr>
        <w:pStyle w:val="ListParagraph"/>
        <w:numPr>
          <w:ilvl w:val="0"/>
          <w:numId w:val="22"/>
        </w:num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Across all of the 15 diverse countries included in this analysis, significant associations were found between children’s access to child-specific material resources and their subjective well-being.</w:t>
      </w:r>
    </w:p>
    <w:p w14:paraId="592DBC91" w14:textId="77777777" w:rsidR="000D15BA" w:rsidRDefault="000D15BA" w:rsidP="000D15BA">
      <w:pPr>
        <w:pStyle w:val="ListParagraph"/>
        <w:numPr>
          <w:ilvl w:val="0"/>
          <w:numId w:val="22"/>
        </w:num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Country-level measures of resources (e.g. GDP per capita and the national average of access to material resources) were not significantly associated with children’s subjective well-being.</w:t>
      </w:r>
    </w:p>
    <w:p w14:paraId="4AA7E3D0" w14:textId="77777777" w:rsidR="000D15BA" w:rsidRDefault="000D15BA" w:rsidP="000D15BA">
      <w:pPr>
        <w:pStyle w:val="ListParagraph"/>
        <w:numPr>
          <w:ilvl w:val="0"/>
          <w:numId w:val="22"/>
        </w:num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Inequalities in access to resources (e.g. Gini coefficients and inequalities in access to material resources), measured at the school and country level, were not significantly associated with children’s subjective well-being.</w:t>
      </w:r>
    </w:p>
    <w:p w14:paraId="25DB73F0" w14:textId="77777777" w:rsidR="000D15BA" w:rsidRDefault="000D15BA" w:rsidP="000D15BA">
      <w:pPr>
        <w:pStyle w:val="ListParagraph"/>
        <w:numPr>
          <w:ilvl w:val="0"/>
          <w:numId w:val="22"/>
        </w:num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Within participating countries, differences were found in both the scale of the association between material resources and subjective well-being, and the level (individual, school or country) at which the effect was strongest.  This suggests that while significant associations are universal, the nature and meaning of these associations varies and more research is needed to understand this topic.</w:t>
      </w:r>
    </w:p>
    <w:p w14:paraId="6EFB7BB3" w14:textId="77777777" w:rsidR="000D15BA" w:rsidRPr="00406285" w:rsidRDefault="000D15BA" w:rsidP="000D15BA">
      <w:pPr>
        <w:pStyle w:val="ListParagraph"/>
        <w:numPr>
          <w:ilvl w:val="0"/>
          <w:numId w:val="22"/>
        </w:num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Measuring children’s access to material resources in a diverse international sample of children is a complex task and much refinement is needed to develop measures and understand the meanings of associations with subjective well-being.</w:t>
      </w:r>
    </w:p>
    <w:p w14:paraId="40C5871A" w14:textId="77777777" w:rsidR="000D15BA" w:rsidRDefault="000D15BA" w:rsidP="000D15BA">
      <w:pPr>
        <w:spacing w:before="100" w:beforeAutospacing="1" w:after="100" w:afterAutospacing="1"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Funding</w:t>
      </w:r>
    </w:p>
    <w:p w14:paraId="74DCBAB2" w14:textId="77777777" w:rsidR="000D15BA" w:rsidRPr="00406285" w:rsidRDefault="000D15BA" w:rsidP="000D15BA">
      <w:pPr>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This work was supported by funding from The Jacob’s Foundation.</w:t>
      </w:r>
      <w:bookmarkStart w:id="0" w:name="39000"/>
      <w:bookmarkStart w:id="1" w:name="40010"/>
      <w:bookmarkStart w:id="2" w:name="40100"/>
      <w:bookmarkStart w:id="3" w:name="42000"/>
      <w:bookmarkEnd w:id="0"/>
      <w:bookmarkEnd w:id="1"/>
      <w:bookmarkEnd w:id="2"/>
      <w:bookmarkEnd w:id="3"/>
    </w:p>
    <w:p w14:paraId="7F955CD8" w14:textId="77777777" w:rsidR="00371071" w:rsidRPr="000F45BD" w:rsidRDefault="00371071" w:rsidP="00D4634E">
      <w:pPr>
        <w:spacing w:before="100" w:beforeAutospacing="1" w:after="100" w:afterAutospacing="1" w:line="240" w:lineRule="auto"/>
        <w:jc w:val="center"/>
        <w:rPr>
          <w:rFonts w:asciiTheme="majorHAnsi" w:hAnsiTheme="majorHAnsi"/>
          <w:b/>
        </w:rPr>
      </w:pPr>
      <w:bookmarkStart w:id="4" w:name="_GoBack"/>
      <w:bookmarkEnd w:id="4"/>
      <w:r w:rsidRPr="000F45BD">
        <w:rPr>
          <w:rFonts w:asciiTheme="majorHAnsi" w:hAnsiTheme="majorHAnsi" w:cs="Arial"/>
          <w:b/>
          <w:shd w:val="clear" w:color="auto" w:fill="FFFFFF"/>
        </w:rPr>
        <w:t xml:space="preserve">Inequality, material well-being, and subjective well-being: Exploring associations for </w:t>
      </w:r>
      <w:proofErr w:type="gramStart"/>
      <w:r w:rsidRPr="000F45BD">
        <w:rPr>
          <w:rFonts w:asciiTheme="majorHAnsi" w:hAnsiTheme="majorHAnsi" w:cs="Arial"/>
          <w:b/>
          <w:shd w:val="clear" w:color="auto" w:fill="FFFFFF"/>
        </w:rPr>
        <w:t>children</w:t>
      </w:r>
      <w:proofErr w:type="gramEnd"/>
      <w:r w:rsidRPr="000F45BD">
        <w:rPr>
          <w:rFonts w:asciiTheme="majorHAnsi" w:hAnsiTheme="majorHAnsi" w:cs="Arial"/>
          <w:b/>
          <w:shd w:val="clear" w:color="auto" w:fill="FFFFFF"/>
        </w:rPr>
        <w:t xml:space="preserve"> across 15 diverse countries</w:t>
      </w:r>
    </w:p>
    <w:p w14:paraId="2017D9CF" w14:textId="77777777" w:rsidR="00371071" w:rsidRPr="000F45BD" w:rsidRDefault="00371071" w:rsidP="00D4634E">
      <w:pPr>
        <w:spacing w:before="100" w:beforeAutospacing="1" w:after="100" w:afterAutospacing="1" w:line="240" w:lineRule="auto"/>
        <w:jc w:val="both"/>
        <w:rPr>
          <w:rFonts w:asciiTheme="majorHAnsi" w:hAnsiTheme="majorHAnsi" w:cs="Arial"/>
          <w:shd w:val="clear" w:color="auto" w:fill="FFFFFF"/>
        </w:rPr>
      </w:pPr>
      <w:r w:rsidRPr="000F45BD">
        <w:rPr>
          <w:rFonts w:asciiTheme="majorHAnsi" w:hAnsiTheme="majorHAnsi" w:cs="Arial"/>
          <w:shd w:val="clear" w:color="auto" w:fill="FFFFFF"/>
        </w:rPr>
        <w:t>Gill Main</w:t>
      </w:r>
      <w:r w:rsidRPr="000F45BD">
        <w:rPr>
          <w:rStyle w:val="FootnoteReference"/>
          <w:rFonts w:asciiTheme="majorHAnsi" w:hAnsiTheme="majorHAnsi" w:cs="Arial"/>
          <w:shd w:val="clear" w:color="auto" w:fill="FFFFFF"/>
        </w:rPr>
        <w:footnoteReference w:id="1"/>
      </w:r>
      <w:r w:rsidR="00F846E0" w:rsidRPr="000F45BD">
        <w:rPr>
          <w:rFonts w:asciiTheme="majorHAnsi" w:hAnsiTheme="majorHAnsi" w:cs="Arial"/>
          <w:shd w:val="clear" w:color="auto" w:fill="FFFFFF"/>
        </w:rPr>
        <w:t>, Carme Mont</w:t>
      </w:r>
      <w:r w:rsidRPr="000F45BD">
        <w:rPr>
          <w:rFonts w:asciiTheme="majorHAnsi" w:hAnsiTheme="majorHAnsi" w:cs="Arial"/>
          <w:shd w:val="clear" w:color="auto" w:fill="FFFFFF"/>
        </w:rPr>
        <w:t>serrat</w:t>
      </w:r>
      <w:r w:rsidRPr="000F45BD">
        <w:rPr>
          <w:rStyle w:val="FootnoteReference"/>
          <w:rFonts w:asciiTheme="majorHAnsi" w:hAnsiTheme="majorHAnsi" w:cs="Arial"/>
          <w:shd w:val="clear" w:color="auto" w:fill="FFFFFF"/>
        </w:rPr>
        <w:footnoteReference w:id="2"/>
      </w:r>
      <w:r w:rsidRPr="000F45BD">
        <w:rPr>
          <w:rFonts w:asciiTheme="majorHAnsi" w:hAnsiTheme="majorHAnsi" w:cs="Arial"/>
          <w:shd w:val="clear" w:color="auto" w:fill="FFFFFF"/>
        </w:rPr>
        <w:t>, Sabine Andresen</w:t>
      </w:r>
      <w:r w:rsidRPr="000F45BD">
        <w:rPr>
          <w:rStyle w:val="FootnoteReference"/>
          <w:rFonts w:asciiTheme="majorHAnsi" w:hAnsiTheme="majorHAnsi" w:cs="Arial"/>
          <w:shd w:val="clear" w:color="auto" w:fill="FFFFFF"/>
        </w:rPr>
        <w:footnoteReference w:id="3"/>
      </w:r>
      <w:r w:rsidRPr="000F45BD">
        <w:rPr>
          <w:rFonts w:asciiTheme="majorHAnsi" w:hAnsiTheme="majorHAnsi" w:cs="Arial"/>
          <w:shd w:val="clear" w:color="auto" w:fill="FFFFFF"/>
        </w:rPr>
        <w:t>, Jonathan Bradshaw</w:t>
      </w:r>
      <w:r w:rsidRPr="000F45BD">
        <w:rPr>
          <w:rStyle w:val="FootnoteReference"/>
          <w:rFonts w:asciiTheme="majorHAnsi" w:hAnsiTheme="majorHAnsi" w:cs="Arial"/>
          <w:shd w:val="clear" w:color="auto" w:fill="FFFFFF"/>
        </w:rPr>
        <w:footnoteReference w:id="4"/>
      </w:r>
      <w:r w:rsidRPr="000F45BD">
        <w:rPr>
          <w:rFonts w:asciiTheme="majorHAnsi" w:hAnsiTheme="majorHAnsi" w:cs="Arial"/>
          <w:shd w:val="clear" w:color="auto" w:fill="FFFFFF"/>
        </w:rPr>
        <w:t xml:space="preserve">, and Bong </w:t>
      </w:r>
      <w:proofErr w:type="spellStart"/>
      <w:r w:rsidRPr="000F45BD">
        <w:rPr>
          <w:rFonts w:asciiTheme="majorHAnsi" w:hAnsiTheme="majorHAnsi" w:cs="Arial"/>
          <w:shd w:val="clear" w:color="auto" w:fill="FFFFFF"/>
        </w:rPr>
        <w:t>Joo</w:t>
      </w:r>
      <w:proofErr w:type="spellEnd"/>
      <w:r w:rsidRPr="000F45BD">
        <w:rPr>
          <w:rFonts w:asciiTheme="majorHAnsi" w:hAnsiTheme="majorHAnsi" w:cs="Arial"/>
          <w:shd w:val="clear" w:color="auto" w:fill="FFFFFF"/>
        </w:rPr>
        <w:t xml:space="preserve"> Lee</w:t>
      </w:r>
      <w:r w:rsidRPr="000F45BD">
        <w:rPr>
          <w:rStyle w:val="FootnoteReference"/>
          <w:rFonts w:asciiTheme="majorHAnsi" w:hAnsiTheme="majorHAnsi" w:cs="Arial"/>
          <w:shd w:val="clear" w:color="auto" w:fill="FFFFFF"/>
        </w:rPr>
        <w:footnoteReference w:id="5"/>
      </w:r>
    </w:p>
    <w:p w14:paraId="2F2F4776" w14:textId="77777777" w:rsidR="00E5026E" w:rsidRPr="000F45BD" w:rsidRDefault="00E5026E" w:rsidP="00D4634E">
      <w:pPr>
        <w:spacing w:before="100" w:beforeAutospacing="1" w:after="100" w:afterAutospacing="1" w:line="240" w:lineRule="auto"/>
        <w:jc w:val="both"/>
        <w:rPr>
          <w:rFonts w:asciiTheme="majorHAnsi" w:hAnsiTheme="majorHAnsi" w:cs="Arial"/>
          <w:b/>
          <w:shd w:val="clear" w:color="auto" w:fill="FFFFFF"/>
        </w:rPr>
      </w:pPr>
      <w:r w:rsidRPr="000F45BD">
        <w:rPr>
          <w:rFonts w:asciiTheme="majorHAnsi" w:hAnsiTheme="majorHAnsi" w:cs="Arial"/>
          <w:b/>
          <w:shd w:val="clear" w:color="auto" w:fill="FFFFFF"/>
        </w:rPr>
        <w:t>Abstract</w:t>
      </w:r>
    </w:p>
    <w:p w14:paraId="43D53D74" w14:textId="77777777" w:rsidR="00E5026E" w:rsidRPr="000F45BD" w:rsidRDefault="00E5026E" w:rsidP="00D4634E">
      <w:pPr>
        <w:spacing w:before="100" w:beforeAutospacing="1" w:after="100" w:afterAutospacing="1" w:line="240" w:lineRule="auto"/>
        <w:jc w:val="both"/>
        <w:rPr>
          <w:rFonts w:asciiTheme="majorHAnsi" w:hAnsiTheme="majorHAnsi" w:cs="Arial"/>
          <w:shd w:val="clear" w:color="auto" w:fill="FFFFFF"/>
        </w:rPr>
      </w:pPr>
      <w:r w:rsidRPr="000F45BD">
        <w:rPr>
          <w:rFonts w:asciiTheme="majorHAnsi" w:hAnsiTheme="majorHAnsi" w:cs="Arial"/>
          <w:shd w:val="clear" w:color="auto" w:fill="FFFFFF"/>
        </w:rPr>
        <w:t xml:space="preserve">Children’s material well-being, and the levels of wealth and inequality in societies within which children live, are important factors in determining outcomes.  However, less is known about the extent to which these factors have an impact children’s subjective well-being, especially in an internationally comparative context. This study draws on data from the Children’s Worlds survey, an international study of child subjective well-being, to explore links between national level indicators of wealth and inequality (GDP and Gini coefficients), individual indicators of material well-being (the material resources children report having access to), and subjective well-being.  The survey covers 15 diverse countries covering the continents of Europe, Asia, Africa and South America, with samples of at least 3,000 per country, ages 8, 10 and 12.  </w:t>
      </w:r>
      <w:r w:rsidRPr="000F45BD">
        <w:rPr>
          <w:rFonts w:asciiTheme="majorHAnsi" w:hAnsiTheme="majorHAnsi" w:cs="Arial"/>
          <w:shd w:val="clear" w:color="auto" w:fill="FFFFFF"/>
        </w:rPr>
        <w:lastRenderedPageBreak/>
        <w:t>Analysis takes the form of a multilevel, varying intercepts and slopes model, examining the association between financial and material resources and inequality and subjective well-being across and between countries.  Findings suggest that material resources that children report are significantly associated with subjective well-being, while indicators of financial resources and inequality at the national level are not.  While a significant association between material resources and subjective well-being is found across the whole sample, the magnitude of this association, and the association between school- and country-level material resources, varies markedly.  Within different countries, the strongest material resources-related predictor of overall subjective well-being may be either at the individual, school or country level.</w:t>
      </w:r>
      <w:r w:rsidRPr="000F45BD">
        <w:rPr>
          <w:rFonts w:asciiTheme="majorHAnsi" w:hAnsiTheme="majorHAnsi"/>
          <w:b/>
        </w:rPr>
        <w:br w:type="page"/>
      </w:r>
    </w:p>
    <w:p w14:paraId="66A35ED5" w14:textId="2AAAA0E0" w:rsidR="00E5026E" w:rsidRPr="00903712" w:rsidRDefault="00E5026E" w:rsidP="00D4634E">
      <w:pPr>
        <w:pStyle w:val="ListParagraph"/>
        <w:numPr>
          <w:ilvl w:val="0"/>
          <w:numId w:val="21"/>
        </w:numPr>
        <w:spacing w:before="100" w:beforeAutospacing="1" w:after="100" w:afterAutospacing="1" w:line="240" w:lineRule="auto"/>
        <w:jc w:val="both"/>
        <w:rPr>
          <w:rFonts w:asciiTheme="majorHAnsi" w:hAnsiTheme="majorHAnsi"/>
          <w:b/>
        </w:rPr>
      </w:pPr>
      <w:r w:rsidRPr="00903712">
        <w:rPr>
          <w:rFonts w:asciiTheme="majorHAnsi" w:hAnsiTheme="majorHAnsi"/>
          <w:b/>
        </w:rPr>
        <w:lastRenderedPageBreak/>
        <w:t>Background</w:t>
      </w:r>
    </w:p>
    <w:p w14:paraId="796339E9" w14:textId="4F587FFF" w:rsidR="00E5026E" w:rsidRPr="000F45BD" w:rsidRDefault="00E5026E"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There is no doubt that for </w:t>
      </w:r>
      <w:proofErr w:type="gramStart"/>
      <w:r w:rsidRPr="000F45BD">
        <w:rPr>
          <w:rFonts w:asciiTheme="majorHAnsi" w:hAnsiTheme="majorHAnsi"/>
        </w:rPr>
        <w:t>adults</w:t>
      </w:r>
      <w:proofErr w:type="gramEnd"/>
      <w:r w:rsidRPr="000F45BD">
        <w:rPr>
          <w:rFonts w:asciiTheme="majorHAnsi" w:hAnsiTheme="majorHAnsi"/>
        </w:rPr>
        <w:t xml:space="preserve"> national wealth is associated with country variations in subjective well-being. The World Happiness Report 2015 (</w:t>
      </w:r>
      <w:proofErr w:type="spellStart"/>
      <w:r w:rsidRPr="000F45BD">
        <w:rPr>
          <w:rFonts w:asciiTheme="majorHAnsi" w:hAnsiTheme="majorHAnsi"/>
        </w:rPr>
        <w:t>Helliwell</w:t>
      </w:r>
      <w:proofErr w:type="spellEnd"/>
      <w:r w:rsidRPr="000F45BD">
        <w:rPr>
          <w:rFonts w:asciiTheme="majorHAnsi" w:hAnsiTheme="majorHAnsi"/>
        </w:rPr>
        <w:t>, Layard and Sachs</w:t>
      </w:r>
      <w:r w:rsidR="00D67EBA">
        <w:rPr>
          <w:rFonts w:asciiTheme="majorHAnsi" w:hAnsiTheme="majorHAnsi"/>
        </w:rPr>
        <w:t>,</w:t>
      </w:r>
      <w:r w:rsidRPr="000F45BD">
        <w:rPr>
          <w:rFonts w:asciiTheme="majorHAnsi" w:hAnsiTheme="majorHAnsi"/>
        </w:rPr>
        <w:t xml:space="preserve"> 2015) used a combination of six factors to explain 74% of the cross-national variation in life satisfaction. The six factors were: GDP per capita, social support, healthy life expectancy, freedom to make life choices, generosity of giving and perceptions of corruption. Social support and freedom to make life choices explained two-thirds of the variance in life satisfaction explained by the model. However the log of GDP per capita made a significant contribution to explaining life sati</w:t>
      </w:r>
      <w:r w:rsidR="000F45BD" w:rsidRPr="000F45BD">
        <w:rPr>
          <w:rFonts w:asciiTheme="majorHAnsi" w:hAnsiTheme="majorHAnsi"/>
        </w:rPr>
        <w:t>s</w:t>
      </w:r>
      <w:r w:rsidRPr="000F45BD">
        <w:rPr>
          <w:rFonts w:asciiTheme="majorHAnsi" w:hAnsiTheme="majorHAnsi"/>
        </w:rPr>
        <w:t xml:space="preserve">faction. </w:t>
      </w:r>
    </w:p>
    <w:p w14:paraId="6EB19BE0" w14:textId="22287A8E" w:rsidR="00E5026E" w:rsidRPr="000F45BD" w:rsidRDefault="00E5026E" w:rsidP="00D4634E">
      <w:pPr>
        <w:spacing w:before="100" w:beforeAutospacing="1" w:after="100" w:afterAutospacing="1" w:line="240" w:lineRule="auto"/>
        <w:jc w:val="both"/>
        <w:rPr>
          <w:rFonts w:asciiTheme="majorHAnsi" w:hAnsiTheme="majorHAnsi"/>
        </w:rPr>
      </w:pPr>
      <w:r w:rsidRPr="000F45BD">
        <w:rPr>
          <w:rFonts w:asciiTheme="majorHAnsi" w:hAnsiTheme="majorHAnsi"/>
        </w:rPr>
        <w:t>Previous research on child subjective well-being has found strong associations between subjective well-being at country level and objective factors including the rate income poverty and material deprivation in a country (Bradshaw</w:t>
      </w:r>
      <w:r w:rsidR="00970FE5" w:rsidRPr="000F45BD">
        <w:rPr>
          <w:rFonts w:asciiTheme="majorHAnsi" w:hAnsiTheme="majorHAnsi"/>
        </w:rPr>
        <w:t xml:space="preserve">, </w:t>
      </w:r>
      <w:proofErr w:type="spellStart"/>
      <w:r w:rsidR="00970FE5" w:rsidRPr="000F45BD">
        <w:rPr>
          <w:rFonts w:asciiTheme="majorHAnsi" w:hAnsiTheme="majorHAnsi"/>
        </w:rPr>
        <w:t>Martorano</w:t>
      </w:r>
      <w:proofErr w:type="spellEnd"/>
      <w:r w:rsidR="00970FE5" w:rsidRPr="000F45BD">
        <w:rPr>
          <w:rFonts w:asciiTheme="majorHAnsi" w:hAnsiTheme="majorHAnsi"/>
        </w:rPr>
        <w:t>, Natali</w:t>
      </w:r>
      <w:r w:rsidR="00970FE5">
        <w:rPr>
          <w:rFonts w:asciiTheme="majorHAnsi" w:hAnsiTheme="majorHAnsi"/>
        </w:rPr>
        <w:t xml:space="preserve"> </w:t>
      </w:r>
      <w:r w:rsidR="00970FE5" w:rsidRPr="000F45BD">
        <w:rPr>
          <w:rFonts w:asciiTheme="majorHAnsi" w:hAnsiTheme="majorHAnsi"/>
        </w:rPr>
        <w:t xml:space="preserve">and de </w:t>
      </w:r>
      <w:proofErr w:type="spellStart"/>
      <w:r w:rsidR="00970FE5" w:rsidRPr="000F45BD">
        <w:rPr>
          <w:rFonts w:asciiTheme="majorHAnsi" w:hAnsiTheme="majorHAnsi"/>
        </w:rPr>
        <w:t>Neubourg</w:t>
      </w:r>
      <w:proofErr w:type="spellEnd"/>
      <w:r w:rsidR="00970FE5">
        <w:rPr>
          <w:rFonts w:asciiTheme="majorHAnsi" w:hAnsiTheme="majorHAnsi"/>
        </w:rPr>
        <w:t>,</w:t>
      </w:r>
      <w:r w:rsidRPr="000F45BD">
        <w:rPr>
          <w:rFonts w:asciiTheme="majorHAnsi" w:hAnsiTheme="majorHAnsi"/>
        </w:rPr>
        <w:t xml:space="preserve"> 2013, Bradshaw</w:t>
      </w:r>
      <w:r w:rsidR="00D67EBA">
        <w:rPr>
          <w:rFonts w:asciiTheme="majorHAnsi" w:hAnsiTheme="majorHAnsi"/>
        </w:rPr>
        <w:t>,</w:t>
      </w:r>
      <w:r w:rsidRPr="000F45BD">
        <w:rPr>
          <w:rFonts w:asciiTheme="majorHAnsi" w:hAnsiTheme="majorHAnsi"/>
        </w:rPr>
        <w:t xml:space="preserve"> 2015). However a comparative micro level study based on the Health Behaviour of School Aged Children (</w:t>
      </w:r>
      <w:proofErr w:type="spellStart"/>
      <w:r w:rsidRPr="000F45BD">
        <w:rPr>
          <w:rFonts w:asciiTheme="majorHAnsi" w:hAnsiTheme="majorHAnsi"/>
        </w:rPr>
        <w:t>Klocke</w:t>
      </w:r>
      <w:proofErr w:type="spellEnd"/>
      <w:r w:rsidR="00970180">
        <w:rPr>
          <w:rFonts w:asciiTheme="majorHAnsi" w:hAnsiTheme="majorHAnsi"/>
        </w:rPr>
        <w:t xml:space="preserve">, </w:t>
      </w:r>
      <w:r w:rsidR="00970180" w:rsidRPr="00970180">
        <w:rPr>
          <w:rFonts w:asciiTheme="majorHAnsi" w:hAnsiTheme="majorHAnsi"/>
        </w:rPr>
        <w:t>Clair and Bradshaw</w:t>
      </w:r>
      <w:r w:rsidR="00970180">
        <w:rPr>
          <w:rFonts w:asciiTheme="majorHAnsi" w:hAnsiTheme="majorHAnsi"/>
        </w:rPr>
        <w:t xml:space="preserve">, </w:t>
      </w:r>
      <w:r w:rsidRPr="000F45BD">
        <w:rPr>
          <w:rFonts w:asciiTheme="majorHAnsi" w:hAnsiTheme="majorHAnsi"/>
        </w:rPr>
        <w:t>2014) found only a weak association between variations in subjective well-being and the level of family affluence of the child, and the GDP per capita of the country was not associated with variations in subjective well-being. Similarly micro studies at national level have found at best only very weak associations between child subjective well-being and family income. For example analysis of the youth panel of the UK Understanding Society Survey (The Children’s Society</w:t>
      </w:r>
      <w:r w:rsidR="00D67EBA">
        <w:rPr>
          <w:rFonts w:asciiTheme="majorHAnsi" w:hAnsiTheme="majorHAnsi"/>
        </w:rPr>
        <w:t>,</w:t>
      </w:r>
      <w:r w:rsidRPr="000F45BD">
        <w:rPr>
          <w:rFonts w:asciiTheme="majorHAnsi" w:hAnsiTheme="majorHAnsi"/>
        </w:rPr>
        <w:t xml:space="preserve"> 2014) found that family income poverty had only a very weak association with subjective well-being.</w:t>
      </w:r>
    </w:p>
    <w:p w14:paraId="2EB5C082" w14:textId="08172F77" w:rsidR="00E5026E" w:rsidRPr="000F45BD" w:rsidRDefault="00E5026E" w:rsidP="00D4634E">
      <w:pPr>
        <w:spacing w:before="100" w:beforeAutospacing="1" w:after="100" w:afterAutospacing="1" w:line="240" w:lineRule="auto"/>
        <w:jc w:val="both"/>
        <w:rPr>
          <w:rFonts w:asciiTheme="majorHAnsi" w:hAnsiTheme="majorHAnsi" w:cs="Times New Roman"/>
        </w:rPr>
      </w:pPr>
      <w:r w:rsidRPr="000F45BD">
        <w:rPr>
          <w:rFonts w:asciiTheme="majorHAnsi" w:hAnsiTheme="majorHAnsi"/>
        </w:rPr>
        <w:t xml:space="preserve">However, conceptualising poverty only in terms of income poverty provides a narrow view of the disadvantage and material deprivation faced by many children across the world. Material deprivation provides a more direct measure of poverty, allowing for analysis of experiences at the level of the individual rather than the household.  This can facilitate an understanding of what constitutes poverty which draws on the actual living standards (outputs of income and other resources), rather than on income as one potential input into living standards (Main and </w:t>
      </w:r>
      <w:proofErr w:type="spellStart"/>
      <w:r w:rsidRPr="000F45BD">
        <w:rPr>
          <w:rFonts w:asciiTheme="majorHAnsi" w:hAnsiTheme="majorHAnsi"/>
        </w:rPr>
        <w:t>Besemer</w:t>
      </w:r>
      <w:proofErr w:type="spellEnd"/>
      <w:r w:rsidRPr="000F45BD">
        <w:rPr>
          <w:rFonts w:asciiTheme="majorHAnsi" w:hAnsiTheme="majorHAnsi"/>
        </w:rPr>
        <w:t xml:space="preserve">, 2014). </w:t>
      </w:r>
      <w:r w:rsidRPr="000F45BD">
        <w:rPr>
          <w:rFonts w:asciiTheme="majorHAnsi" w:hAnsiTheme="majorHAnsi" w:cs="Times New Roman"/>
        </w:rPr>
        <w:t xml:space="preserve">Main and </w:t>
      </w:r>
      <w:proofErr w:type="spellStart"/>
      <w:r w:rsidRPr="000F45BD">
        <w:rPr>
          <w:rFonts w:asciiTheme="majorHAnsi" w:hAnsiTheme="majorHAnsi" w:cs="Times New Roman"/>
        </w:rPr>
        <w:t>Besemer</w:t>
      </w:r>
      <w:proofErr w:type="spellEnd"/>
      <w:r w:rsidRPr="000F45BD">
        <w:rPr>
          <w:rFonts w:asciiTheme="majorHAnsi" w:hAnsiTheme="majorHAnsi" w:cs="Times New Roman"/>
        </w:rPr>
        <w:t xml:space="preserve"> (2014) highlighted that specific indicators of material living conditions have usually drawn on an adult perspective, using the household as the unit of analysis. Such an approach does not provide an optimal understanding of the living conditions of children as individuals. The material living conditions of children may vary depending on how household resources are distributed between different household members, and on whether children actually have access to services that meet their needs. By studying children’s material living standards, children who are materially deprived can be identified thus providing a measure of child poverty which does not rely on household income. Main </w:t>
      </w:r>
      <w:r w:rsidR="00D67EBA">
        <w:rPr>
          <w:rFonts w:asciiTheme="majorHAnsi" w:hAnsiTheme="majorHAnsi" w:cs="Times New Roman"/>
        </w:rPr>
        <w:t>and</w:t>
      </w:r>
      <w:r w:rsidRPr="000F45BD">
        <w:rPr>
          <w:rFonts w:asciiTheme="majorHAnsi" w:hAnsiTheme="majorHAnsi" w:cs="Times New Roman"/>
        </w:rPr>
        <w:t xml:space="preserve"> Bradshaw (2012</w:t>
      </w:r>
      <w:r w:rsidR="00D67EBA">
        <w:rPr>
          <w:rFonts w:asciiTheme="majorHAnsi" w:hAnsiTheme="majorHAnsi" w:cs="Times New Roman"/>
        </w:rPr>
        <w:t>),</w:t>
      </w:r>
      <w:r w:rsidRPr="000F45BD">
        <w:rPr>
          <w:rFonts w:asciiTheme="majorHAnsi" w:hAnsiTheme="majorHAnsi" w:cs="Times New Roman"/>
        </w:rPr>
        <w:t xml:space="preserve"> Main (2013) and Gross-Manos (2015)</w:t>
      </w:r>
      <w:r w:rsidR="00D67EBA">
        <w:rPr>
          <w:rFonts w:asciiTheme="majorHAnsi" w:hAnsiTheme="majorHAnsi" w:cs="Times New Roman"/>
        </w:rPr>
        <w:t xml:space="preserve"> h</w:t>
      </w:r>
      <w:r w:rsidRPr="000F45BD">
        <w:rPr>
          <w:rFonts w:asciiTheme="majorHAnsi" w:hAnsiTheme="majorHAnsi" w:cs="Times New Roman"/>
        </w:rPr>
        <w:t>ave developed indices of material resources derived from children themselves. These developments are in line with the recommendation of Casas</w:t>
      </w:r>
      <w:r w:rsidR="00970FE5">
        <w:rPr>
          <w:rFonts w:asciiTheme="majorHAnsi" w:hAnsiTheme="majorHAnsi" w:cs="Times New Roman"/>
        </w:rPr>
        <w:t xml:space="preserve">, </w:t>
      </w:r>
      <w:r w:rsidR="00970FE5" w:rsidRPr="000F45BD">
        <w:rPr>
          <w:rFonts w:asciiTheme="majorHAnsi" w:hAnsiTheme="majorHAnsi"/>
        </w:rPr>
        <w:t>González, Navarro</w:t>
      </w:r>
      <w:r w:rsidR="00970FE5">
        <w:rPr>
          <w:rFonts w:asciiTheme="majorHAnsi" w:hAnsiTheme="majorHAnsi"/>
        </w:rPr>
        <w:t xml:space="preserve"> and</w:t>
      </w:r>
      <w:r w:rsidR="00970FE5" w:rsidRPr="000F45BD">
        <w:rPr>
          <w:rFonts w:asciiTheme="majorHAnsi" w:hAnsiTheme="majorHAnsi"/>
        </w:rPr>
        <w:t xml:space="preserve"> </w:t>
      </w:r>
      <w:proofErr w:type="spellStart"/>
      <w:r w:rsidR="00970FE5" w:rsidRPr="000F45BD">
        <w:rPr>
          <w:rFonts w:asciiTheme="majorHAnsi" w:hAnsiTheme="majorHAnsi"/>
        </w:rPr>
        <w:t>Aligué</w:t>
      </w:r>
      <w:proofErr w:type="spellEnd"/>
      <w:r w:rsidRPr="000F45BD">
        <w:rPr>
          <w:rFonts w:asciiTheme="majorHAnsi" w:hAnsiTheme="majorHAnsi" w:cs="Times New Roman"/>
        </w:rPr>
        <w:t xml:space="preserve"> (2013) </w:t>
      </w:r>
      <w:r w:rsidR="00F3567E" w:rsidRPr="000F45BD">
        <w:rPr>
          <w:rFonts w:asciiTheme="majorHAnsi" w:hAnsiTheme="majorHAnsi" w:cs="Times New Roman"/>
        </w:rPr>
        <w:t>and Andresen et al</w:t>
      </w:r>
      <w:r w:rsidR="00D67EBA">
        <w:rPr>
          <w:rFonts w:asciiTheme="majorHAnsi" w:hAnsiTheme="majorHAnsi" w:cs="Times New Roman"/>
        </w:rPr>
        <w:t>.</w:t>
      </w:r>
      <w:r w:rsidR="00F3567E" w:rsidRPr="000F45BD">
        <w:rPr>
          <w:rFonts w:asciiTheme="majorHAnsi" w:hAnsiTheme="majorHAnsi" w:cs="Times New Roman"/>
        </w:rPr>
        <w:t xml:space="preserve"> (2015) </w:t>
      </w:r>
      <w:r w:rsidRPr="000F45BD">
        <w:rPr>
          <w:rFonts w:asciiTheme="majorHAnsi" w:hAnsiTheme="majorHAnsi" w:cs="Times New Roman"/>
        </w:rPr>
        <w:t xml:space="preserve">that there is a need to start doing research where children generate knowledge with regard to child well-being. </w:t>
      </w:r>
    </w:p>
    <w:p w14:paraId="0DA716DE" w14:textId="6B9362DC" w:rsidR="00E5026E" w:rsidRPr="000F45BD" w:rsidRDefault="00E5026E" w:rsidP="00D4634E">
      <w:pPr>
        <w:autoSpaceDE w:val="0"/>
        <w:autoSpaceDN w:val="0"/>
        <w:adjustRightInd w:val="0"/>
        <w:spacing w:before="100" w:beforeAutospacing="1" w:after="100" w:afterAutospacing="1" w:line="240" w:lineRule="auto"/>
        <w:jc w:val="both"/>
        <w:rPr>
          <w:rFonts w:asciiTheme="majorHAnsi" w:hAnsiTheme="majorHAnsi"/>
        </w:rPr>
      </w:pPr>
      <w:r w:rsidRPr="000F45BD">
        <w:rPr>
          <w:rFonts w:asciiTheme="majorHAnsi" w:hAnsiTheme="majorHAnsi"/>
        </w:rPr>
        <w:t>In the present study</w:t>
      </w:r>
      <w:r w:rsidRPr="000F45BD">
        <w:rPr>
          <w:rFonts w:asciiTheme="majorHAnsi" w:hAnsiTheme="majorHAnsi" w:cs="AdvP6975"/>
          <w:color w:val="000000"/>
        </w:rPr>
        <w:t>, material well-being refers to the material resources children report having access to; subjective well-being (SWB) refers to children’s assessments of the quality of their lives, including positive and negative components (</w:t>
      </w:r>
      <w:proofErr w:type="spellStart"/>
      <w:r w:rsidRPr="000F45BD">
        <w:rPr>
          <w:rFonts w:asciiTheme="majorHAnsi" w:hAnsiTheme="majorHAnsi" w:cs="AdvP6975"/>
          <w:color w:val="000000"/>
        </w:rPr>
        <w:t>Diener</w:t>
      </w:r>
      <w:proofErr w:type="spellEnd"/>
      <w:r w:rsidRPr="000F45BD">
        <w:rPr>
          <w:rFonts w:asciiTheme="majorHAnsi" w:hAnsiTheme="majorHAnsi" w:cs="AdvP6975"/>
          <w:color w:val="000000"/>
        </w:rPr>
        <w:t xml:space="preserve">, 1984) and life satisfaction. </w:t>
      </w:r>
      <w:r w:rsidRPr="000F45BD">
        <w:rPr>
          <w:rFonts w:asciiTheme="majorHAnsi" w:hAnsiTheme="majorHAnsi"/>
        </w:rPr>
        <w:t xml:space="preserve">UNICEF's Report Card 7 (UNICEF, 2007) took an important step towards articulating objective and subjective indicators for understanding children's well-being in different countries, comprising material well-being, health and safety, educational well-being, interpersonal relationships, behaviour, risks, and subjective well-being. More recently, UNICEF </w:t>
      </w:r>
      <w:proofErr w:type="spellStart"/>
      <w:r w:rsidRPr="000F45BD">
        <w:rPr>
          <w:rFonts w:asciiTheme="majorHAnsi" w:hAnsiTheme="majorHAnsi"/>
        </w:rPr>
        <w:t>Innocenti</w:t>
      </w:r>
      <w:proofErr w:type="spellEnd"/>
      <w:r w:rsidRPr="000F45BD">
        <w:rPr>
          <w:rFonts w:asciiTheme="majorHAnsi" w:hAnsiTheme="majorHAnsi"/>
        </w:rPr>
        <w:t xml:space="preserve"> Report Card 12 (2014) on child well-being in rich countries during the recession stated that beyond income and employment levels, the recession affected a number of other dimensions of people’s lives. In 29 of the 41 countries: (</w:t>
      </w:r>
      <w:proofErr w:type="spellStart"/>
      <w:r w:rsidRPr="000F45BD">
        <w:rPr>
          <w:rFonts w:asciiTheme="majorHAnsi" w:hAnsiTheme="majorHAnsi"/>
        </w:rPr>
        <w:t>i</w:t>
      </w:r>
      <w:proofErr w:type="spellEnd"/>
      <w:r w:rsidRPr="000F45BD">
        <w:rPr>
          <w:rFonts w:asciiTheme="majorHAnsi" w:hAnsiTheme="majorHAnsi"/>
        </w:rPr>
        <w:t xml:space="preserve">) the percentage of respondents who reported not having enough money to buy food for </w:t>
      </w:r>
      <w:proofErr w:type="gramStart"/>
      <w:r w:rsidRPr="000F45BD">
        <w:rPr>
          <w:rFonts w:asciiTheme="majorHAnsi" w:hAnsiTheme="majorHAnsi"/>
        </w:rPr>
        <w:t>themselves</w:t>
      </w:r>
      <w:proofErr w:type="gramEnd"/>
      <w:r w:rsidRPr="000F45BD">
        <w:rPr>
          <w:rFonts w:asciiTheme="majorHAnsi" w:hAnsiTheme="majorHAnsi"/>
        </w:rPr>
        <w:t xml:space="preserve"> and their family had increased, and (ii) the stress indicator increased. </w:t>
      </w:r>
      <w:r w:rsidRPr="000F45BD">
        <w:rPr>
          <w:rFonts w:asciiTheme="majorHAnsi" w:hAnsiTheme="majorHAnsi"/>
        </w:rPr>
        <w:lastRenderedPageBreak/>
        <w:t>Also in almost half of the countries, overall life satisfaction decreased. And in 21 of the 41 countries, fewer respondents agreed with the statement that children have the opportunity to learn and grow. On the other hand, some relatively wealthy countries have seen only small increases in child poverty and yet rank in the bottom third of the Gallup league table (as cited in UNICEF, 2014), suggesting that monetary poverty alone is not enough to reflect the well-being of families during this period (2007-13).</w:t>
      </w:r>
    </w:p>
    <w:p w14:paraId="60EA896E" w14:textId="79047212" w:rsidR="00E5026E" w:rsidRPr="000F45BD" w:rsidRDefault="00903712" w:rsidP="00D4634E">
      <w:pPr>
        <w:spacing w:before="100" w:beforeAutospacing="1" w:after="100" w:afterAutospacing="1" w:line="240" w:lineRule="auto"/>
        <w:jc w:val="both"/>
        <w:rPr>
          <w:rFonts w:asciiTheme="majorHAnsi" w:hAnsiTheme="majorHAnsi"/>
          <w:b/>
          <w:i/>
        </w:rPr>
      </w:pPr>
      <w:r>
        <w:rPr>
          <w:rFonts w:asciiTheme="majorHAnsi" w:hAnsiTheme="majorHAnsi"/>
          <w:b/>
          <w:i/>
        </w:rPr>
        <w:t xml:space="preserve">1.1 </w:t>
      </w:r>
      <w:r w:rsidR="00E5026E" w:rsidRPr="000F45BD">
        <w:rPr>
          <w:rFonts w:asciiTheme="majorHAnsi" w:hAnsiTheme="majorHAnsi"/>
          <w:b/>
          <w:i/>
        </w:rPr>
        <w:t>Contextual factors and children’s subjective well-being</w:t>
      </w:r>
    </w:p>
    <w:p w14:paraId="20A73780" w14:textId="7D935A28" w:rsidR="00E5026E" w:rsidRPr="000F45BD" w:rsidRDefault="00E5026E" w:rsidP="00D4634E">
      <w:pPr>
        <w:spacing w:before="100" w:beforeAutospacing="1" w:after="100" w:afterAutospacing="1" w:line="240" w:lineRule="auto"/>
        <w:jc w:val="both"/>
        <w:rPr>
          <w:rFonts w:asciiTheme="majorHAnsi" w:hAnsiTheme="majorHAnsi"/>
        </w:rPr>
      </w:pPr>
      <w:r w:rsidRPr="000F45BD">
        <w:rPr>
          <w:rFonts w:asciiTheme="majorHAnsi" w:hAnsiTheme="majorHAnsi"/>
        </w:rPr>
        <w:t>The identification of which contextual factors influence subjective well-being among children has important implications for policy, research and practice. Montserrat, Casas and Moura (</w:t>
      </w:r>
      <w:r w:rsidR="00446F46" w:rsidRPr="000F45BD">
        <w:rPr>
          <w:rFonts w:asciiTheme="majorHAnsi" w:hAnsiTheme="majorHAnsi"/>
        </w:rPr>
        <w:t>2015</w:t>
      </w:r>
      <w:r w:rsidRPr="000F45BD">
        <w:rPr>
          <w:rFonts w:asciiTheme="majorHAnsi" w:hAnsiTheme="majorHAnsi"/>
        </w:rPr>
        <w:t>) explored the differences in subjective well-being (SWB) between young adolescents living in disadvantaged situations and the general population aged 12 years old in Spain. The authors calculated the dimensions of poverty (material conditions, education, satisfaction with home and subjective poverty) and the satisfaction with life domains. All of the analysed dimensions are negative predictors for the Domains Satisfaction General Index.</w:t>
      </w:r>
    </w:p>
    <w:p w14:paraId="4A08EA9D" w14:textId="7C849E40" w:rsidR="00E5026E" w:rsidRPr="000F45BD" w:rsidRDefault="00E5026E" w:rsidP="00D4634E">
      <w:pPr>
        <w:widowControl w:val="0"/>
        <w:autoSpaceDE w:val="0"/>
        <w:autoSpaceDN w:val="0"/>
        <w:adjustRightInd w:val="0"/>
        <w:spacing w:before="100" w:beforeAutospacing="1" w:after="100" w:afterAutospacing="1" w:line="240" w:lineRule="auto"/>
        <w:jc w:val="both"/>
        <w:textAlignment w:val="center"/>
        <w:rPr>
          <w:rFonts w:asciiTheme="majorHAnsi" w:hAnsiTheme="majorHAnsi" w:cs="Times New Roman"/>
          <w:color w:val="000000"/>
          <w:lang w:eastAsia="de-DE"/>
        </w:rPr>
      </w:pPr>
      <w:r w:rsidRPr="000F45BD">
        <w:rPr>
          <w:rFonts w:asciiTheme="majorHAnsi" w:hAnsiTheme="majorHAnsi" w:cs="Times New Roman"/>
        </w:rPr>
        <w:t>Rees et al. (2012) showed that some subgroups of the population such as children from ethnic minorities (also in Bradshaw</w:t>
      </w:r>
      <w:r w:rsidR="00970FE5" w:rsidRPr="000F45BD">
        <w:rPr>
          <w:rFonts w:asciiTheme="majorHAnsi" w:hAnsiTheme="majorHAnsi"/>
        </w:rPr>
        <w:t>, Keung, Rees</w:t>
      </w:r>
      <w:r w:rsidR="00970FE5">
        <w:rPr>
          <w:rFonts w:asciiTheme="majorHAnsi" w:hAnsiTheme="majorHAnsi"/>
        </w:rPr>
        <w:t xml:space="preserve"> and</w:t>
      </w:r>
      <w:r w:rsidR="00970FE5" w:rsidRPr="000F45BD">
        <w:rPr>
          <w:rFonts w:asciiTheme="majorHAnsi" w:hAnsiTheme="majorHAnsi"/>
        </w:rPr>
        <w:t xml:space="preserve"> </w:t>
      </w:r>
      <w:proofErr w:type="spellStart"/>
      <w:r w:rsidR="00970FE5" w:rsidRPr="000F45BD">
        <w:rPr>
          <w:rFonts w:asciiTheme="majorHAnsi" w:hAnsiTheme="majorHAnsi"/>
        </w:rPr>
        <w:t>Goswami</w:t>
      </w:r>
      <w:proofErr w:type="spellEnd"/>
      <w:r w:rsidRPr="000F45BD">
        <w:rPr>
          <w:rFonts w:asciiTheme="majorHAnsi" w:hAnsiTheme="majorHAnsi" w:cs="Times New Roman"/>
        </w:rPr>
        <w:t>, 2011), those in the public care, or those who live in a jobless households had lower subjective well-being than children in the general population. In some domains, girls had lower subjective well-being than boys. This is also the case in young age groups in Germany (Andresen et al.</w:t>
      </w:r>
      <w:r w:rsidR="00D67EBA">
        <w:rPr>
          <w:rFonts w:asciiTheme="majorHAnsi" w:hAnsiTheme="majorHAnsi" w:cs="Times New Roman"/>
        </w:rPr>
        <w:t>,</w:t>
      </w:r>
      <w:r w:rsidRPr="000F45BD">
        <w:rPr>
          <w:rFonts w:asciiTheme="majorHAnsi" w:hAnsiTheme="majorHAnsi" w:cs="Times New Roman"/>
        </w:rPr>
        <w:t xml:space="preserve"> 2015). The third World Vision Survey (2013) </w:t>
      </w:r>
      <w:r w:rsidRPr="000F45BD">
        <w:rPr>
          <w:rFonts w:asciiTheme="majorHAnsi" w:hAnsiTheme="majorHAnsi" w:cs="Times New Roman"/>
          <w:color w:val="000000"/>
          <w:lang w:eastAsia="de-DE"/>
        </w:rPr>
        <w:t>used the 5-point class index to analyse social origins. It assigned children to a social class of origin on two dimensions: first, the parents’ educational background (education dimension); and, second, the material state of the household (material participation dimension). This taps the children’s central home-related and material starting and framing conditions. It focuses on the family’s level of education within the context of a sufficient availability of the necessary financial resources. Children from 6 to 11 years who were from the lower classes reported lower subjective well-being.</w:t>
      </w:r>
    </w:p>
    <w:p w14:paraId="2883E744" w14:textId="4DB9DB03" w:rsidR="00E5026E" w:rsidRPr="000F45BD" w:rsidRDefault="00E5026E" w:rsidP="00D4634E">
      <w:pPr>
        <w:spacing w:before="100" w:beforeAutospacing="1" w:after="100" w:afterAutospacing="1" w:line="240" w:lineRule="auto"/>
        <w:jc w:val="both"/>
        <w:rPr>
          <w:rFonts w:asciiTheme="majorHAnsi" w:hAnsiTheme="majorHAnsi" w:cs="Times New Roman"/>
        </w:rPr>
      </w:pPr>
      <w:r w:rsidRPr="000F45BD">
        <w:rPr>
          <w:rFonts w:asciiTheme="majorHAnsi" w:hAnsiTheme="majorHAnsi" w:cs="Times New Roman"/>
        </w:rPr>
        <w:t xml:space="preserve">Along similar lines, </w:t>
      </w:r>
      <w:proofErr w:type="spellStart"/>
      <w:r w:rsidRPr="000F45BD">
        <w:rPr>
          <w:rFonts w:asciiTheme="majorHAnsi" w:hAnsiTheme="majorHAnsi" w:cs="Times New Roman"/>
        </w:rPr>
        <w:t>Llosada</w:t>
      </w:r>
      <w:proofErr w:type="spellEnd"/>
      <w:r w:rsidR="00AE733D">
        <w:rPr>
          <w:rFonts w:asciiTheme="majorHAnsi" w:hAnsiTheme="majorHAnsi" w:cs="Times New Roman"/>
        </w:rPr>
        <w:t>, Montserrat and Casas</w:t>
      </w:r>
      <w:r w:rsidRPr="000F45BD">
        <w:rPr>
          <w:rFonts w:asciiTheme="majorHAnsi" w:hAnsiTheme="majorHAnsi" w:cs="Times New Roman"/>
        </w:rPr>
        <w:t xml:space="preserve"> (201</w:t>
      </w:r>
      <w:r w:rsidR="00083216">
        <w:rPr>
          <w:rFonts w:asciiTheme="majorHAnsi" w:hAnsiTheme="majorHAnsi" w:cs="Times New Roman"/>
        </w:rPr>
        <w:t>5</w:t>
      </w:r>
      <w:r w:rsidRPr="000F45BD">
        <w:rPr>
          <w:rFonts w:asciiTheme="majorHAnsi" w:hAnsiTheme="majorHAnsi" w:cs="Times New Roman"/>
        </w:rPr>
        <w:t>) studied the subjective well-being of adolescents aged 12 in residential care, comparing them to those in the general population, and found lower subjective well-being among children in care. Another factor negatively influencing SWB is related to recent changes in children’s family and school life (</w:t>
      </w:r>
      <w:proofErr w:type="spellStart"/>
      <w:r w:rsidRPr="000F45BD">
        <w:rPr>
          <w:rFonts w:asciiTheme="majorHAnsi" w:hAnsiTheme="majorHAnsi" w:cs="Times New Roman"/>
        </w:rPr>
        <w:t>Dinisman</w:t>
      </w:r>
      <w:proofErr w:type="spellEnd"/>
      <w:r w:rsidR="00970180">
        <w:rPr>
          <w:rFonts w:asciiTheme="majorHAnsi" w:hAnsiTheme="majorHAnsi" w:cs="Times New Roman"/>
        </w:rPr>
        <w:t xml:space="preserve">, </w:t>
      </w:r>
      <w:r w:rsidR="00970180" w:rsidRPr="000F45BD">
        <w:rPr>
          <w:rFonts w:asciiTheme="majorHAnsi" w:hAnsiTheme="majorHAnsi"/>
        </w:rPr>
        <w:t>Montserrat</w:t>
      </w:r>
      <w:r w:rsidR="00970180">
        <w:rPr>
          <w:rFonts w:asciiTheme="majorHAnsi" w:hAnsiTheme="majorHAnsi"/>
        </w:rPr>
        <w:t xml:space="preserve"> and </w:t>
      </w:r>
      <w:r w:rsidR="00970180" w:rsidRPr="000F45BD">
        <w:rPr>
          <w:rFonts w:asciiTheme="majorHAnsi" w:hAnsiTheme="majorHAnsi"/>
        </w:rPr>
        <w:t>Casas</w:t>
      </w:r>
      <w:r w:rsidR="00970180">
        <w:rPr>
          <w:rFonts w:asciiTheme="majorHAnsi" w:hAnsiTheme="majorHAnsi"/>
        </w:rPr>
        <w:t>,</w:t>
      </w:r>
      <w:r w:rsidRPr="000F45BD">
        <w:rPr>
          <w:rFonts w:asciiTheme="majorHAnsi" w:hAnsiTheme="majorHAnsi" w:cs="Times New Roman"/>
        </w:rPr>
        <w:t xml:space="preserve"> 2012). In this vein a study conducted in 8 countries (Montserrat</w:t>
      </w:r>
      <w:r w:rsidR="00792D99">
        <w:rPr>
          <w:rFonts w:asciiTheme="majorHAnsi" w:hAnsiTheme="majorHAnsi" w:cs="Times New Roman"/>
        </w:rPr>
        <w:t xml:space="preserve">, </w:t>
      </w:r>
      <w:proofErr w:type="spellStart"/>
      <w:r w:rsidR="00792D99" w:rsidRPr="000F45BD">
        <w:rPr>
          <w:rFonts w:asciiTheme="majorHAnsi" w:hAnsiTheme="majorHAnsi"/>
        </w:rPr>
        <w:t>Dinisman</w:t>
      </w:r>
      <w:proofErr w:type="spellEnd"/>
      <w:r w:rsidR="00792D99" w:rsidRPr="000F45BD">
        <w:rPr>
          <w:rFonts w:asciiTheme="majorHAnsi" w:hAnsiTheme="majorHAnsi"/>
        </w:rPr>
        <w:t xml:space="preserve">, </w:t>
      </w:r>
      <w:proofErr w:type="spellStart"/>
      <w:r w:rsidR="00792D99" w:rsidRPr="000F45BD">
        <w:rPr>
          <w:rFonts w:asciiTheme="majorHAnsi" w:hAnsiTheme="majorHAnsi"/>
        </w:rPr>
        <w:t>Baltatescu</w:t>
      </w:r>
      <w:proofErr w:type="spellEnd"/>
      <w:r w:rsidR="00792D99" w:rsidRPr="000F45BD">
        <w:rPr>
          <w:rFonts w:asciiTheme="majorHAnsi" w:hAnsiTheme="majorHAnsi"/>
        </w:rPr>
        <w:t xml:space="preserve">, </w:t>
      </w:r>
      <w:proofErr w:type="spellStart"/>
      <w:r w:rsidR="00792D99" w:rsidRPr="000F45BD">
        <w:rPr>
          <w:rFonts w:asciiTheme="majorHAnsi" w:hAnsiTheme="majorHAnsi"/>
        </w:rPr>
        <w:t>Grigoras</w:t>
      </w:r>
      <w:proofErr w:type="spellEnd"/>
      <w:r w:rsidR="00792D99">
        <w:rPr>
          <w:rFonts w:asciiTheme="majorHAnsi" w:hAnsiTheme="majorHAnsi"/>
        </w:rPr>
        <w:t xml:space="preserve"> and</w:t>
      </w:r>
      <w:r w:rsidR="00792D99" w:rsidRPr="000F45BD">
        <w:rPr>
          <w:rFonts w:asciiTheme="majorHAnsi" w:hAnsiTheme="majorHAnsi"/>
        </w:rPr>
        <w:t xml:space="preserve"> Casas</w:t>
      </w:r>
      <w:r w:rsidR="00792D99">
        <w:rPr>
          <w:rFonts w:asciiTheme="majorHAnsi" w:hAnsiTheme="majorHAnsi"/>
        </w:rPr>
        <w:t>. 2015</w:t>
      </w:r>
      <w:r w:rsidRPr="000F45BD">
        <w:rPr>
          <w:rFonts w:asciiTheme="majorHAnsi" w:hAnsiTheme="majorHAnsi" w:cs="Times New Roman"/>
        </w:rPr>
        <w:t>) aimed to explore adolescents’ subjective well-being (SWB) in relation to critical changes in their lives during the last year; findings indicated a negative effect of critical changes (moved house, changed local area, changed school, living in another country for over a month and change in the parents or carers they live with) on adolescents’ SWB in 7 out of 8 countries.</w:t>
      </w:r>
    </w:p>
    <w:p w14:paraId="651269F4" w14:textId="4C72C5B7" w:rsidR="00E5026E" w:rsidRPr="000F45BD" w:rsidRDefault="00E5026E" w:rsidP="00D4634E">
      <w:pPr>
        <w:spacing w:before="100" w:beforeAutospacing="1" w:after="100" w:afterAutospacing="1" w:line="240" w:lineRule="auto"/>
        <w:jc w:val="both"/>
        <w:rPr>
          <w:rFonts w:asciiTheme="majorHAnsi" w:hAnsiTheme="majorHAnsi"/>
        </w:rPr>
      </w:pPr>
      <w:r w:rsidRPr="000F45BD">
        <w:rPr>
          <w:rFonts w:asciiTheme="majorHAnsi" w:hAnsiTheme="majorHAnsi"/>
        </w:rPr>
        <w:t>In addition, Abdallah</w:t>
      </w:r>
      <w:r w:rsidR="00EE486E">
        <w:rPr>
          <w:rFonts w:asciiTheme="majorHAnsi" w:hAnsiTheme="majorHAnsi"/>
        </w:rPr>
        <w:t xml:space="preserve">, </w:t>
      </w:r>
      <w:r w:rsidR="00EE486E" w:rsidRPr="00EE486E">
        <w:rPr>
          <w:rFonts w:asciiTheme="majorHAnsi" w:hAnsiTheme="majorHAnsi" w:hint="eastAsia"/>
        </w:rPr>
        <w:t xml:space="preserve">Main, </w:t>
      </w:r>
      <w:proofErr w:type="spellStart"/>
      <w:r w:rsidR="00EE486E">
        <w:rPr>
          <w:rFonts w:asciiTheme="majorHAnsi" w:hAnsiTheme="majorHAnsi"/>
        </w:rPr>
        <w:t>P</w:t>
      </w:r>
      <w:r w:rsidR="00EE486E" w:rsidRPr="00EE486E">
        <w:rPr>
          <w:rFonts w:asciiTheme="majorHAnsi" w:hAnsiTheme="majorHAnsi" w:hint="eastAsia"/>
        </w:rPr>
        <w:t>ople</w:t>
      </w:r>
      <w:proofErr w:type="spellEnd"/>
      <w:r w:rsidR="00EE486E" w:rsidRPr="00EE486E">
        <w:rPr>
          <w:rFonts w:asciiTheme="majorHAnsi" w:hAnsiTheme="majorHAnsi" w:hint="eastAsia"/>
        </w:rPr>
        <w:t xml:space="preserve"> and Rees</w:t>
      </w:r>
      <w:r w:rsidRPr="000F45BD">
        <w:rPr>
          <w:rFonts w:asciiTheme="majorHAnsi" w:hAnsiTheme="majorHAnsi"/>
        </w:rPr>
        <w:t xml:space="preserve"> (2014) showed that some of the activities that were most strongly associated with children’s subjective well-being were: noticing and enjoying one’s surroundings; teaching oneself new things; talking to family about important matters and reading for fun. </w:t>
      </w:r>
    </w:p>
    <w:p w14:paraId="63060CDB" w14:textId="4D68E0C1" w:rsidR="00E5026E" w:rsidRPr="000F45BD" w:rsidRDefault="00E5026E" w:rsidP="00D4634E">
      <w:pPr>
        <w:autoSpaceDE w:val="0"/>
        <w:autoSpaceDN w:val="0"/>
        <w:adjustRightInd w:val="0"/>
        <w:spacing w:before="100" w:beforeAutospacing="1" w:after="100" w:afterAutospacing="1" w:line="240" w:lineRule="auto"/>
        <w:jc w:val="both"/>
        <w:rPr>
          <w:rFonts w:asciiTheme="majorHAnsi" w:hAnsiTheme="majorHAnsi" w:cs="Times New Roman"/>
        </w:rPr>
      </w:pPr>
      <w:r w:rsidRPr="000F45BD">
        <w:rPr>
          <w:rFonts w:asciiTheme="majorHAnsi" w:hAnsiTheme="majorHAnsi" w:cs="Times New Roman"/>
        </w:rPr>
        <w:t>In the light of previous research on the association between material resources and subjective well-being drawing on data from the Children’s Worlds survey (detailed below), our research questions comprise:</w:t>
      </w:r>
    </w:p>
    <w:p w14:paraId="7A280945" w14:textId="77777777" w:rsidR="00E5026E" w:rsidRPr="000F45BD" w:rsidRDefault="00E5026E" w:rsidP="00D4634E">
      <w:pPr>
        <w:pStyle w:val="ListParagraph"/>
        <w:numPr>
          <w:ilvl w:val="0"/>
          <w:numId w:val="18"/>
        </w:numPr>
        <w:autoSpaceDE w:val="0"/>
        <w:autoSpaceDN w:val="0"/>
        <w:adjustRightInd w:val="0"/>
        <w:spacing w:before="100" w:beforeAutospacing="1" w:after="100" w:afterAutospacing="1" w:line="240" w:lineRule="auto"/>
        <w:jc w:val="both"/>
        <w:rPr>
          <w:rFonts w:asciiTheme="majorHAnsi" w:hAnsiTheme="majorHAnsi" w:cs="Times New Roman"/>
        </w:rPr>
      </w:pPr>
      <w:r w:rsidRPr="000F45BD">
        <w:rPr>
          <w:rFonts w:asciiTheme="majorHAnsi" w:hAnsiTheme="majorHAnsi" w:cs="Times New Roman"/>
        </w:rPr>
        <w:t>Which (if any) indicators of children’s financial and material living conditions are associated with their subjective well-being?</w:t>
      </w:r>
    </w:p>
    <w:p w14:paraId="6CF8827E" w14:textId="77777777" w:rsidR="00E5026E" w:rsidRPr="000F45BD" w:rsidRDefault="00E5026E" w:rsidP="00D4634E">
      <w:pPr>
        <w:pStyle w:val="ListParagraph"/>
        <w:numPr>
          <w:ilvl w:val="0"/>
          <w:numId w:val="18"/>
        </w:numPr>
        <w:autoSpaceDE w:val="0"/>
        <w:autoSpaceDN w:val="0"/>
        <w:adjustRightInd w:val="0"/>
        <w:spacing w:before="100" w:beforeAutospacing="1" w:after="100" w:afterAutospacing="1" w:line="240" w:lineRule="auto"/>
        <w:jc w:val="both"/>
        <w:rPr>
          <w:rFonts w:asciiTheme="majorHAnsi" w:hAnsiTheme="majorHAnsi" w:cs="Times New Roman"/>
        </w:rPr>
      </w:pPr>
      <w:r w:rsidRPr="000F45BD">
        <w:rPr>
          <w:rFonts w:asciiTheme="majorHAnsi" w:hAnsiTheme="majorHAnsi" w:cs="Times New Roman"/>
        </w:rPr>
        <w:t>How do such associations vary between different countries?</w:t>
      </w:r>
    </w:p>
    <w:p w14:paraId="13BC0229" w14:textId="77777777" w:rsidR="00E7359A" w:rsidRPr="000F45BD" w:rsidRDefault="00E7359A" w:rsidP="00D4634E">
      <w:pPr>
        <w:spacing w:before="100" w:beforeAutospacing="1" w:after="100" w:afterAutospacing="1" w:line="240" w:lineRule="auto"/>
        <w:jc w:val="both"/>
        <w:rPr>
          <w:rFonts w:asciiTheme="majorHAnsi" w:hAnsiTheme="majorHAnsi"/>
          <w:b/>
        </w:rPr>
      </w:pPr>
    </w:p>
    <w:p w14:paraId="2EAB881B" w14:textId="1C611442" w:rsidR="00B55B66" w:rsidRPr="00903712" w:rsidRDefault="00B55B66" w:rsidP="00D4634E">
      <w:pPr>
        <w:pStyle w:val="ListParagraph"/>
        <w:numPr>
          <w:ilvl w:val="0"/>
          <w:numId w:val="21"/>
        </w:numPr>
        <w:spacing w:before="100" w:beforeAutospacing="1" w:after="100" w:afterAutospacing="1" w:line="240" w:lineRule="auto"/>
        <w:jc w:val="both"/>
        <w:rPr>
          <w:rFonts w:asciiTheme="majorHAnsi" w:hAnsiTheme="majorHAnsi"/>
          <w:b/>
        </w:rPr>
      </w:pPr>
      <w:r w:rsidRPr="00903712">
        <w:rPr>
          <w:rFonts w:asciiTheme="majorHAnsi" w:hAnsiTheme="majorHAnsi"/>
          <w:b/>
        </w:rPr>
        <w:t>Data</w:t>
      </w:r>
    </w:p>
    <w:p w14:paraId="059149E8" w14:textId="0AF4E43E"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Data were from the Children’s Worlds study (www.isciweb.org), an international survey of children’s subjective well-being</w:t>
      </w:r>
      <w:r w:rsidR="00E5026E" w:rsidRPr="000F45BD">
        <w:rPr>
          <w:rFonts w:asciiTheme="majorHAnsi" w:hAnsiTheme="majorHAnsi"/>
        </w:rPr>
        <w:t>.</w:t>
      </w:r>
      <w:r w:rsidR="007664AF" w:rsidRPr="000F45BD">
        <w:rPr>
          <w:rFonts w:asciiTheme="majorHAnsi" w:hAnsiTheme="majorHAnsi"/>
        </w:rPr>
        <w:t xml:space="preserve"> </w:t>
      </w:r>
      <w:r w:rsidR="00E5026E" w:rsidRPr="000F45BD">
        <w:rPr>
          <w:rFonts w:asciiTheme="majorHAnsi" w:hAnsiTheme="majorHAnsi"/>
        </w:rPr>
        <w:t>The countries included in the Children’s Worlds survey are more diverse than the kind o</w:t>
      </w:r>
      <w:r w:rsidR="007664AF" w:rsidRPr="000F45BD">
        <w:rPr>
          <w:rFonts w:asciiTheme="majorHAnsi" w:hAnsiTheme="majorHAnsi"/>
        </w:rPr>
        <w:t>f</w:t>
      </w:r>
      <w:r w:rsidR="00E5026E" w:rsidRPr="000F45BD">
        <w:rPr>
          <w:rFonts w:asciiTheme="majorHAnsi" w:hAnsiTheme="majorHAnsi"/>
        </w:rPr>
        <w:t xml:space="preserve"> countries included in previous analyses reviewed above, including rich and poor countries, and from every region of the World including Europe, Africa, South America, East Asia and South America. </w:t>
      </w:r>
      <w:r w:rsidRPr="000F45BD">
        <w:rPr>
          <w:rFonts w:asciiTheme="majorHAnsi" w:hAnsiTheme="majorHAnsi"/>
        </w:rPr>
        <w:t xml:space="preserve">This study is the first of its kind in which children themselves are respondents, </w:t>
      </w:r>
      <w:r w:rsidR="000F71AF" w:rsidRPr="000F45BD">
        <w:rPr>
          <w:rFonts w:asciiTheme="majorHAnsi" w:hAnsiTheme="majorHAnsi"/>
          <w:color w:val="000000"/>
        </w:rPr>
        <w:t>making scales relevant to children</w:t>
      </w:r>
      <w:r w:rsidRPr="000F45BD">
        <w:rPr>
          <w:rFonts w:asciiTheme="majorHAnsi" w:hAnsiTheme="majorHAnsi"/>
        </w:rPr>
        <w:t xml:space="preserve"> around their perceptions of important aspects of their lives.  The analysis presented here draws on data from the second wave of the survey, undertaken in 2013-14.  Approximately 52,000 children were sampled overall (a minimum of around 1,000 from each age group in each coun</w:t>
      </w:r>
      <w:r w:rsidR="00FD5AD4" w:rsidRPr="000F45BD">
        <w:rPr>
          <w:rFonts w:asciiTheme="majorHAnsi" w:hAnsiTheme="majorHAnsi"/>
        </w:rPr>
        <w:t>try), and the survey was school</w:t>
      </w:r>
      <w:r w:rsidRPr="000F45BD">
        <w:rPr>
          <w:rFonts w:asciiTheme="majorHAnsi" w:hAnsiTheme="majorHAnsi"/>
        </w:rPr>
        <w:t>-based, covering children in the school years where the average ages were eight, ten and 12. A limitation arising from this sampling method is that results are only representative of children in schools within the participating countries. Additionally, only children in the school year in which the average ages were ten and 12 were asked questions of relevance to the topic of this paper, so children in the school year in which the average age was eight are excluded from the analysis.  The remaining sample comprised 35,417 children overall, and valid data on key variables was available for 98% (34,534) of these children. The (unweighted) number of children in each country, along with other details of the sample and relevant variables, are shown below in table 2.</w:t>
      </w:r>
    </w:p>
    <w:p w14:paraId="31CCF172" w14:textId="7F3D94D2" w:rsidR="00B55B66" w:rsidRPr="00903712" w:rsidRDefault="00B55B66" w:rsidP="00D4634E">
      <w:pPr>
        <w:pStyle w:val="ListParagraph"/>
        <w:numPr>
          <w:ilvl w:val="0"/>
          <w:numId w:val="21"/>
        </w:numPr>
        <w:spacing w:before="100" w:beforeAutospacing="1" w:after="100" w:afterAutospacing="1" w:line="240" w:lineRule="auto"/>
        <w:jc w:val="both"/>
        <w:rPr>
          <w:rFonts w:asciiTheme="majorHAnsi" w:hAnsiTheme="majorHAnsi"/>
          <w:b/>
        </w:rPr>
      </w:pPr>
      <w:r w:rsidRPr="00903712">
        <w:rPr>
          <w:rFonts w:asciiTheme="majorHAnsi" w:hAnsiTheme="majorHAnsi"/>
          <w:b/>
        </w:rPr>
        <w:t>Variables</w:t>
      </w:r>
    </w:p>
    <w:p w14:paraId="1E5763AE" w14:textId="4E8AA7AA" w:rsidR="00B55B66" w:rsidRPr="000F45BD" w:rsidRDefault="00903712" w:rsidP="00D4634E">
      <w:pPr>
        <w:spacing w:before="100" w:beforeAutospacing="1" w:after="100" w:afterAutospacing="1" w:line="240" w:lineRule="auto"/>
        <w:jc w:val="both"/>
        <w:rPr>
          <w:rFonts w:asciiTheme="majorHAnsi" w:hAnsiTheme="majorHAnsi"/>
          <w:b/>
          <w:i/>
        </w:rPr>
      </w:pPr>
      <w:r>
        <w:rPr>
          <w:rFonts w:asciiTheme="majorHAnsi" w:hAnsiTheme="majorHAnsi"/>
          <w:b/>
          <w:i/>
        </w:rPr>
        <w:t xml:space="preserve">3.1 </w:t>
      </w:r>
      <w:r w:rsidR="00B55B66" w:rsidRPr="000F45BD">
        <w:rPr>
          <w:rFonts w:asciiTheme="majorHAnsi" w:hAnsiTheme="majorHAnsi"/>
          <w:b/>
          <w:i/>
        </w:rPr>
        <w:t>Control variables</w:t>
      </w:r>
    </w:p>
    <w:p w14:paraId="1997C5B5" w14:textId="6FE4DCA3"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Previous research has established that some demographic factors – such as age, gender, and household structure – relate to child subjective well-being.  While </w:t>
      </w:r>
      <w:r w:rsidR="001473EC" w:rsidRPr="000F45BD">
        <w:rPr>
          <w:rFonts w:asciiTheme="majorHAnsi" w:hAnsiTheme="majorHAnsi"/>
        </w:rPr>
        <w:t xml:space="preserve">such </w:t>
      </w:r>
      <w:r w:rsidRPr="000F45BD">
        <w:rPr>
          <w:rFonts w:asciiTheme="majorHAnsi" w:hAnsiTheme="majorHAnsi"/>
        </w:rPr>
        <w:t xml:space="preserve">research lacks the diverse </w:t>
      </w:r>
      <w:r w:rsidR="001473EC" w:rsidRPr="000F45BD">
        <w:rPr>
          <w:rFonts w:asciiTheme="majorHAnsi" w:hAnsiTheme="majorHAnsi"/>
        </w:rPr>
        <w:t xml:space="preserve">international </w:t>
      </w:r>
      <w:r w:rsidRPr="000F45BD">
        <w:rPr>
          <w:rFonts w:asciiTheme="majorHAnsi" w:hAnsiTheme="majorHAnsi"/>
        </w:rPr>
        <w:t>coverage of children available in the Children’s Worlds study, these variables were believed to provide important controls and were therefore included in analysis.  Specifically, age, gender, number of parents in the child’s household, and whether the child lived with any siblings and/or any grandparents were controlled for.  However, it must be borne in mind that across such a diverse group of countries, western norms around household structure cannot be assumed to apply.  As a result, care was taken to avoid assumptions about the cultural meanings of having no, one or two parents in a child’s household, and of having grandparents living in the child’s home. These factors were included in models, but were not assumed, for example, to indicate ‘nuclear’, ‘lone parent’, and ‘extended’ family types – rather, the meanings of different family structures will be culturally specific and, in themselves and in their association with children’s subjective well-being, would form the basis of valuable future analysis.</w:t>
      </w:r>
    </w:p>
    <w:p w14:paraId="6E886CC5" w14:textId="384EFDB3" w:rsidR="00B55B66" w:rsidRPr="000F45BD" w:rsidRDefault="00903712" w:rsidP="00D4634E">
      <w:pPr>
        <w:spacing w:before="100" w:beforeAutospacing="1" w:after="100" w:afterAutospacing="1" w:line="240" w:lineRule="auto"/>
        <w:jc w:val="both"/>
        <w:rPr>
          <w:rFonts w:asciiTheme="majorHAnsi" w:hAnsiTheme="majorHAnsi"/>
          <w:b/>
          <w:i/>
        </w:rPr>
      </w:pPr>
      <w:r>
        <w:rPr>
          <w:rFonts w:asciiTheme="majorHAnsi" w:hAnsiTheme="majorHAnsi"/>
          <w:b/>
          <w:i/>
        </w:rPr>
        <w:t xml:space="preserve">3.2 </w:t>
      </w:r>
      <w:r w:rsidR="00B55B66" w:rsidRPr="000F45BD">
        <w:rPr>
          <w:rFonts w:asciiTheme="majorHAnsi" w:hAnsiTheme="majorHAnsi"/>
          <w:b/>
          <w:i/>
        </w:rPr>
        <w:t>Economic and material living conditions</w:t>
      </w:r>
    </w:p>
    <w:p w14:paraId="02C1AE5E" w14:textId="77777777"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Three kinds of measure of material resources were used in the analysis: a measure of individual material resources, indicators of inequality in school and country groups in terms of access to these material resources, and indicators of national-level wealth and inequality.  These are now detailed in turn.</w:t>
      </w:r>
    </w:p>
    <w:p w14:paraId="5B4AF5BB" w14:textId="25324832" w:rsidR="00B55B66" w:rsidRPr="00903712" w:rsidRDefault="00B55B66" w:rsidP="00D4634E">
      <w:pPr>
        <w:pStyle w:val="ListParagraph"/>
        <w:numPr>
          <w:ilvl w:val="2"/>
          <w:numId w:val="21"/>
        </w:numPr>
        <w:spacing w:before="100" w:beforeAutospacing="1" w:after="100" w:afterAutospacing="1" w:line="240" w:lineRule="auto"/>
        <w:jc w:val="both"/>
        <w:rPr>
          <w:rFonts w:asciiTheme="majorHAnsi" w:hAnsiTheme="majorHAnsi"/>
          <w:i/>
        </w:rPr>
      </w:pPr>
      <w:r w:rsidRPr="00903712">
        <w:rPr>
          <w:rFonts w:asciiTheme="majorHAnsi" w:hAnsiTheme="majorHAnsi"/>
          <w:i/>
        </w:rPr>
        <w:t>Individual material resources</w:t>
      </w:r>
    </w:p>
    <w:p w14:paraId="65C1FFDE" w14:textId="39F1494F"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Gathering data on individual children’s material living conditions is complex at both the practical level (children may struggle to provide accurate data on subjects normally used to </w:t>
      </w:r>
      <w:r w:rsidRPr="000F45BD">
        <w:rPr>
          <w:rFonts w:asciiTheme="majorHAnsi" w:hAnsiTheme="majorHAnsi"/>
        </w:rPr>
        <w:lastRenderedPageBreak/>
        <w:t xml:space="preserve">assess material living conditions, such as household income and household resources), and the theoretical level (even if children could supply such data, there is a question </w:t>
      </w:r>
      <w:r w:rsidR="001473EC" w:rsidRPr="000F45BD">
        <w:rPr>
          <w:rFonts w:asciiTheme="majorHAnsi" w:hAnsiTheme="majorHAnsi"/>
        </w:rPr>
        <w:t xml:space="preserve">as to </w:t>
      </w:r>
      <w:r w:rsidRPr="000F45BD">
        <w:rPr>
          <w:rFonts w:asciiTheme="majorHAnsi" w:hAnsiTheme="majorHAnsi"/>
        </w:rPr>
        <w:t>how far it can be assumed that household resources and income represent children’s individual living standards).  The Family Affluence Scale (</w:t>
      </w:r>
      <w:r w:rsidR="001473EC" w:rsidRPr="000F45BD">
        <w:rPr>
          <w:rFonts w:asciiTheme="majorHAnsi" w:hAnsiTheme="majorHAnsi"/>
        </w:rPr>
        <w:t>Currie</w:t>
      </w:r>
      <w:r w:rsidR="00970D5A">
        <w:rPr>
          <w:rFonts w:asciiTheme="majorHAnsi" w:hAnsiTheme="majorHAnsi"/>
        </w:rPr>
        <w:t>,</w:t>
      </w:r>
      <w:r w:rsidR="00970D5A" w:rsidRPr="00970D5A">
        <w:rPr>
          <w:rFonts w:asciiTheme="majorHAnsi" w:hAnsiTheme="majorHAnsi"/>
        </w:rPr>
        <w:t xml:space="preserve"> </w:t>
      </w:r>
      <w:r w:rsidR="00970D5A" w:rsidRPr="000F45BD">
        <w:rPr>
          <w:rFonts w:asciiTheme="majorHAnsi" w:hAnsiTheme="majorHAnsi"/>
        </w:rPr>
        <w:t>Elton, Todd</w:t>
      </w:r>
      <w:r w:rsidR="00970D5A">
        <w:rPr>
          <w:rFonts w:asciiTheme="majorHAnsi" w:hAnsiTheme="majorHAnsi"/>
        </w:rPr>
        <w:t xml:space="preserve"> and </w:t>
      </w:r>
      <w:r w:rsidR="00970D5A" w:rsidRPr="000F45BD">
        <w:rPr>
          <w:rFonts w:asciiTheme="majorHAnsi" w:hAnsiTheme="majorHAnsi"/>
        </w:rPr>
        <w:t>Platt</w:t>
      </w:r>
      <w:r w:rsidR="00970D5A">
        <w:rPr>
          <w:rFonts w:asciiTheme="majorHAnsi" w:hAnsiTheme="majorHAnsi"/>
        </w:rPr>
        <w:t>,</w:t>
      </w:r>
      <w:r w:rsidR="001473EC" w:rsidRPr="000F45BD">
        <w:rPr>
          <w:rFonts w:asciiTheme="majorHAnsi" w:hAnsiTheme="majorHAnsi"/>
        </w:rPr>
        <w:t xml:space="preserve"> 1997</w:t>
      </w:r>
      <w:r w:rsidRPr="000F45BD">
        <w:rPr>
          <w:rFonts w:asciiTheme="majorHAnsi" w:hAnsiTheme="majorHAnsi"/>
        </w:rPr>
        <w:t xml:space="preserve">) was developed to address the practical issue of how to gain data on children’s household resources, but does not address the question of whether </w:t>
      </w:r>
      <w:r w:rsidRPr="000F45BD">
        <w:rPr>
          <w:rFonts w:asciiTheme="majorHAnsi" w:hAnsiTheme="majorHAnsi"/>
          <w:i/>
        </w:rPr>
        <w:t>household</w:t>
      </w:r>
      <w:r w:rsidRPr="000F45BD">
        <w:rPr>
          <w:rFonts w:asciiTheme="majorHAnsi" w:hAnsiTheme="majorHAnsi"/>
        </w:rPr>
        <w:t xml:space="preserve"> resources are a good indicator of </w:t>
      </w:r>
      <w:r w:rsidRPr="000F45BD">
        <w:rPr>
          <w:rFonts w:asciiTheme="majorHAnsi" w:hAnsiTheme="majorHAnsi"/>
          <w:i/>
        </w:rPr>
        <w:t>individual</w:t>
      </w:r>
      <w:r w:rsidRPr="000F45BD">
        <w:rPr>
          <w:rFonts w:asciiTheme="majorHAnsi" w:hAnsiTheme="majorHAnsi"/>
        </w:rPr>
        <w:t xml:space="preserve"> material living conditions.  In the context of the Children’s Worlds study, this is further complicated by the economically and culturally diverse range of countries – for example, while Main (201</w:t>
      </w:r>
      <w:r w:rsidR="00E7359A" w:rsidRPr="000F45BD">
        <w:rPr>
          <w:rFonts w:asciiTheme="majorHAnsi" w:hAnsiTheme="majorHAnsi"/>
        </w:rPr>
        <w:t>3</w:t>
      </w:r>
      <w:r w:rsidRPr="000F45BD">
        <w:rPr>
          <w:rFonts w:asciiTheme="majorHAnsi" w:hAnsiTheme="majorHAnsi"/>
        </w:rPr>
        <w:t xml:space="preserve">) developed an index of material deprivation designed based on children’s perceptions of their needs and intended to be used with child respondents, this is specific to the economic and cultural situation of the UK and cannot be assumed to be more widely applicable, especially to much poorer countries and countries with very different cultural heritages.  The material resources scale used in the Children’s Worlds survey </w:t>
      </w:r>
      <w:r w:rsidR="002046F6" w:rsidRPr="000F45BD">
        <w:rPr>
          <w:rFonts w:asciiTheme="majorHAnsi" w:hAnsiTheme="majorHAnsi"/>
        </w:rPr>
        <w:t xml:space="preserve">(Rees and Main, 2015) </w:t>
      </w:r>
      <w:r w:rsidRPr="000F45BD">
        <w:rPr>
          <w:rFonts w:asciiTheme="majorHAnsi" w:hAnsiTheme="majorHAnsi"/>
        </w:rPr>
        <w:t>was developed based on a range of sources, including items intended to be broadly applicable to children across the range of countries, while avoiding homogeneity in countries at different extremes of the wealth spectrum (</w:t>
      </w:r>
      <w:proofErr w:type="spellStart"/>
      <w:r w:rsidRPr="000F45BD">
        <w:rPr>
          <w:rFonts w:asciiTheme="majorHAnsi" w:hAnsiTheme="majorHAnsi"/>
        </w:rPr>
        <w:t>ie</w:t>
      </w:r>
      <w:proofErr w:type="spellEnd"/>
      <w:r w:rsidRPr="000F45BD">
        <w:rPr>
          <w:rFonts w:asciiTheme="majorHAnsi" w:hAnsiTheme="majorHAnsi"/>
        </w:rPr>
        <w:t>. avoiding all children in poorer countries lacking all items, and avoiding all children in richer countries having access to all items).  Specific items included:</w:t>
      </w:r>
    </w:p>
    <w:p w14:paraId="5E81DEEF"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Clothes in a good condition to go to school (clothes)</w:t>
      </w:r>
    </w:p>
    <w:p w14:paraId="37525742"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Access to a computer at home (PC)</w:t>
      </w:r>
    </w:p>
    <w:p w14:paraId="6CEA500C"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Access to the internet (internet)</w:t>
      </w:r>
    </w:p>
    <w:p w14:paraId="740DCABA"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Mobile phone (mobile)</w:t>
      </w:r>
    </w:p>
    <w:p w14:paraId="502730D7"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Own room (room)</w:t>
      </w:r>
    </w:p>
    <w:p w14:paraId="0A8977E8"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Books to read for fun (books)</w:t>
      </w:r>
    </w:p>
    <w:p w14:paraId="56C9C3EA"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Family car for transportation (car)</w:t>
      </w:r>
    </w:p>
    <w:p w14:paraId="156DD089" w14:textId="77777777" w:rsidR="00B55B66" w:rsidRPr="000F45BD" w:rsidRDefault="00B55B66" w:rsidP="00D4634E">
      <w:pPr>
        <w:pStyle w:val="ListParagraph"/>
        <w:numPr>
          <w:ilvl w:val="0"/>
          <w:numId w:val="15"/>
        </w:numPr>
        <w:spacing w:before="100" w:beforeAutospacing="1" w:after="100" w:afterAutospacing="1" w:line="240" w:lineRule="auto"/>
        <w:jc w:val="both"/>
        <w:rPr>
          <w:rFonts w:asciiTheme="majorHAnsi" w:hAnsiTheme="majorHAnsi"/>
        </w:rPr>
      </w:pPr>
      <w:r w:rsidRPr="000F45BD">
        <w:rPr>
          <w:rFonts w:asciiTheme="majorHAnsi" w:hAnsiTheme="majorHAnsi"/>
        </w:rPr>
        <w:t>Own stuff to listen to music on (music)</w:t>
      </w:r>
    </w:p>
    <w:p w14:paraId="30E5DA28" w14:textId="77777777"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The proportion of children lacking each item within and</w:t>
      </w:r>
      <w:r w:rsidR="001473EC" w:rsidRPr="000F45BD">
        <w:rPr>
          <w:rFonts w:asciiTheme="majorHAnsi" w:hAnsiTheme="majorHAnsi"/>
        </w:rPr>
        <w:t xml:space="preserve"> across participating countries</w:t>
      </w:r>
      <w:r w:rsidRPr="000F45BD">
        <w:rPr>
          <w:rFonts w:asciiTheme="majorHAnsi" w:hAnsiTheme="majorHAnsi"/>
        </w:rPr>
        <w:t xml:space="preserve"> is shown in table 1.</w:t>
      </w:r>
    </w:p>
    <w:p w14:paraId="1D28B7FB" w14:textId="77777777" w:rsidR="00FD5AD4" w:rsidRPr="000F45BD" w:rsidRDefault="00FD5AD4" w:rsidP="00D4634E">
      <w:pPr>
        <w:spacing w:before="100" w:beforeAutospacing="1" w:after="100" w:afterAutospacing="1" w:line="240" w:lineRule="auto"/>
        <w:rPr>
          <w:rFonts w:asciiTheme="majorHAnsi" w:hAnsiTheme="majorHAnsi"/>
          <w:b/>
        </w:rPr>
      </w:pPr>
      <w:r w:rsidRPr="000F45BD">
        <w:rPr>
          <w:rFonts w:asciiTheme="majorHAnsi" w:hAnsiTheme="majorHAnsi"/>
          <w:b/>
        </w:rPr>
        <w:br w:type="page"/>
      </w:r>
    </w:p>
    <w:p w14:paraId="7CEF07D2" w14:textId="6C448ED7" w:rsidR="00B55B66" w:rsidRPr="000F45BD" w:rsidRDefault="00B55B66"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lastRenderedPageBreak/>
        <w:t>Table 1: Proportions lacking each item by country and overall</w:t>
      </w:r>
    </w:p>
    <w:tbl>
      <w:tblPr>
        <w:tblStyle w:val="TableGrid"/>
        <w:tblW w:w="8667" w:type="dxa"/>
        <w:tblLook w:val="04A0" w:firstRow="1" w:lastRow="0" w:firstColumn="1" w:lastColumn="0" w:noHBand="0" w:noVBand="1"/>
      </w:tblPr>
      <w:tblGrid>
        <w:gridCol w:w="1087"/>
        <w:gridCol w:w="960"/>
        <w:gridCol w:w="960"/>
        <w:gridCol w:w="979"/>
        <w:gridCol w:w="960"/>
        <w:gridCol w:w="960"/>
        <w:gridCol w:w="960"/>
        <w:gridCol w:w="960"/>
        <w:gridCol w:w="960"/>
      </w:tblGrid>
      <w:tr w:rsidR="00E63D35" w:rsidRPr="000F45BD" w14:paraId="18B8505D" w14:textId="77777777" w:rsidTr="00B23510">
        <w:trPr>
          <w:trHeight w:val="288"/>
        </w:trPr>
        <w:tc>
          <w:tcPr>
            <w:tcW w:w="987" w:type="dxa"/>
            <w:hideMark/>
          </w:tcPr>
          <w:p w14:paraId="3948852C"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 </w:t>
            </w:r>
          </w:p>
        </w:tc>
        <w:tc>
          <w:tcPr>
            <w:tcW w:w="960" w:type="dxa"/>
            <w:noWrap/>
            <w:hideMark/>
          </w:tcPr>
          <w:p w14:paraId="2E29ACDF"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Clothes</w:t>
            </w:r>
          </w:p>
        </w:tc>
        <w:tc>
          <w:tcPr>
            <w:tcW w:w="960" w:type="dxa"/>
            <w:noWrap/>
            <w:hideMark/>
          </w:tcPr>
          <w:p w14:paraId="0FD9B038"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PC</w:t>
            </w:r>
          </w:p>
        </w:tc>
        <w:tc>
          <w:tcPr>
            <w:tcW w:w="960" w:type="dxa"/>
            <w:noWrap/>
            <w:hideMark/>
          </w:tcPr>
          <w:p w14:paraId="2D4A1994"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Internet</w:t>
            </w:r>
          </w:p>
        </w:tc>
        <w:tc>
          <w:tcPr>
            <w:tcW w:w="960" w:type="dxa"/>
            <w:noWrap/>
            <w:hideMark/>
          </w:tcPr>
          <w:p w14:paraId="0EC41650"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Mobile</w:t>
            </w:r>
          </w:p>
        </w:tc>
        <w:tc>
          <w:tcPr>
            <w:tcW w:w="960" w:type="dxa"/>
            <w:noWrap/>
            <w:hideMark/>
          </w:tcPr>
          <w:p w14:paraId="1398C2D9"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Room</w:t>
            </w:r>
          </w:p>
        </w:tc>
        <w:tc>
          <w:tcPr>
            <w:tcW w:w="960" w:type="dxa"/>
            <w:noWrap/>
            <w:hideMark/>
          </w:tcPr>
          <w:p w14:paraId="6677B2C1"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Books</w:t>
            </w:r>
          </w:p>
        </w:tc>
        <w:tc>
          <w:tcPr>
            <w:tcW w:w="960" w:type="dxa"/>
            <w:noWrap/>
            <w:hideMark/>
          </w:tcPr>
          <w:p w14:paraId="19119199"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Car</w:t>
            </w:r>
          </w:p>
        </w:tc>
        <w:tc>
          <w:tcPr>
            <w:tcW w:w="960" w:type="dxa"/>
            <w:noWrap/>
            <w:hideMark/>
          </w:tcPr>
          <w:p w14:paraId="520B5B3F"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Music</w:t>
            </w:r>
          </w:p>
        </w:tc>
      </w:tr>
      <w:tr w:rsidR="00E63D35" w:rsidRPr="000F45BD" w14:paraId="15C9305C" w14:textId="77777777" w:rsidTr="00B23510">
        <w:trPr>
          <w:trHeight w:val="288"/>
        </w:trPr>
        <w:tc>
          <w:tcPr>
            <w:tcW w:w="987" w:type="dxa"/>
            <w:hideMark/>
          </w:tcPr>
          <w:p w14:paraId="71EFB668"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Algeria</w:t>
            </w:r>
          </w:p>
        </w:tc>
        <w:tc>
          <w:tcPr>
            <w:tcW w:w="960" w:type="dxa"/>
            <w:noWrap/>
            <w:hideMark/>
          </w:tcPr>
          <w:p w14:paraId="14359D95"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2.53</w:t>
            </w:r>
          </w:p>
        </w:tc>
        <w:tc>
          <w:tcPr>
            <w:tcW w:w="960" w:type="dxa"/>
            <w:noWrap/>
            <w:hideMark/>
          </w:tcPr>
          <w:p w14:paraId="67EB22E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47.09</w:t>
            </w:r>
          </w:p>
        </w:tc>
        <w:tc>
          <w:tcPr>
            <w:tcW w:w="960" w:type="dxa"/>
            <w:noWrap/>
            <w:hideMark/>
          </w:tcPr>
          <w:p w14:paraId="42A63C6D"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55.28</w:t>
            </w:r>
          </w:p>
        </w:tc>
        <w:tc>
          <w:tcPr>
            <w:tcW w:w="960" w:type="dxa"/>
            <w:noWrap/>
            <w:hideMark/>
          </w:tcPr>
          <w:p w14:paraId="7E68F2E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60.46</w:t>
            </w:r>
          </w:p>
        </w:tc>
        <w:tc>
          <w:tcPr>
            <w:tcW w:w="960" w:type="dxa"/>
            <w:noWrap/>
            <w:hideMark/>
          </w:tcPr>
          <w:p w14:paraId="1B3B181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62.02</w:t>
            </w:r>
          </w:p>
        </w:tc>
        <w:tc>
          <w:tcPr>
            <w:tcW w:w="960" w:type="dxa"/>
            <w:noWrap/>
            <w:hideMark/>
          </w:tcPr>
          <w:p w14:paraId="45188047"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27.35</w:t>
            </w:r>
          </w:p>
        </w:tc>
        <w:tc>
          <w:tcPr>
            <w:tcW w:w="960" w:type="dxa"/>
            <w:noWrap/>
            <w:hideMark/>
          </w:tcPr>
          <w:p w14:paraId="57FDEDAC"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41.6</w:t>
            </w:r>
          </w:p>
        </w:tc>
        <w:tc>
          <w:tcPr>
            <w:tcW w:w="960" w:type="dxa"/>
            <w:noWrap/>
            <w:hideMark/>
          </w:tcPr>
          <w:p w14:paraId="4393BD1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55.02</w:t>
            </w:r>
          </w:p>
        </w:tc>
      </w:tr>
      <w:tr w:rsidR="00E63D35" w:rsidRPr="000F45BD" w14:paraId="0FFCF737" w14:textId="77777777" w:rsidTr="00B23510">
        <w:trPr>
          <w:trHeight w:val="288"/>
        </w:trPr>
        <w:tc>
          <w:tcPr>
            <w:tcW w:w="987" w:type="dxa"/>
            <w:hideMark/>
          </w:tcPr>
          <w:p w14:paraId="62510493"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Nepal</w:t>
            </w:r>
          </w:p>
        </w:tc>
        <w:tc>
          <w:tcPr>
            <w:tcW w:w="960" w:type="dxa"/>
            <w:noWrap/>
            <w:hideMark/>
          </w:tcPr>
          <w:p w14:paraId="59295C5C"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3.23</w:t>
            </w:r>
          </w:p>
        </w:tc>
        <w:tc>
          <w:tcPr>
            <w:tcW w:w="960" w:type="dxa"/>
            <w:noWrap/>
            <w:hideMark/>
          </w:tcPr>
          <w:p w14:paraId="22C910E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87.21</w:t>
            </w:r>
          </w:p>
        </w:tc>
        <w:tc>
          <w:tcPr>
            <w:tcW w:w="960" w:type="dxa"/>
            <w:noWrap/>
            <w:hideMark/>
          </w:tcPr>
          <w:p w14:paraId="169A8C2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93.39</w:t>
            </w:r>
          </w:p>
        </w:tc>
        <w:tc>
          <w:tcPr>
            <w:tcW w:w="960" w:type="dxa"/>
            <w:noWrap/>
            <w:hideMark/>
          </w:tcPr>
          <w:p w14:paraId="4200191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24.55</w:t>
            </w:r>
          </w:p>
        </w:tc>
        <w:tc>
          <w:tcPr>
            <w:tcW w:w="960" w:type="dxa"/>
            <w:noWrap/>
            <w:hideMark/>
          </w:tcPr>
          <w:p w14:paraId="18CEC45F"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41.71</w:t>
            </w:r>
          </w:p>
        </w:tc>
        <w:tc>
          <w:tcPr>
            <w:tcW w:w="960" w:type="dxa"/>
            <w:noWrap/>
            <w:hideMark/>
          </w:tcPr>
          <w:p w14:paraId="4F503B8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30.4</w:t>
            </w:r>
          </w:p>
        </w:tc>
        <w:tc>
          <w:tcPr>
            <w:tcW w:w="960" w:type="dxa"/>
            <w:noWrap/>
            <w:hideMark/>
          </w:tcPr>
          <w:p w14:paraId="540809F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92.87</w:t>
            </w:r>
          </w:p>
        </w:tc>
        <w:tc>
          <w:tcPr>
            <w:tcW w:w="960" w:type="dxa"/>
            <w:noWrap/>
            <w:hideMark/>
          </w:tcPr>
          <w:p w14:paraId="5373793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46.53</w:t>
            </w:r>
          </w:p>
        </w:tc>
      </w:tr>
      <w:tr w:rsidR="00E63D35" w:rsidRPr="000F45BD" w14:paraId="768EBB36" w14:textId="77777777" w:rsidTr="00B23510">
        <w:trPr>
          <w:trHeight w:val="288"/>
        </w:trPr>
        <w:tc>
          <w:tcPr>
            <w:tcW w:w="987" w:type="dxa"/>
            <w:hideMark/>
          </w:tcPr>
          <w:p w14:paraId="76A4A51C"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Estonia</w:t>
            </w:r>
          </w:p>
        </w:tc>
        <w:tc>
          <w:tcPr>
            <w:tcW w:w="960" w:type="dxa"/>
            <w:noWrap/>
            <w:hideMark/>
          </w:tcPr>
          <w:p w14:paraId="255F22DA"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0.62</w:t>
            </w:r>
          </w:p>
        </w:tc>
        <w:tc>
          <w:tcPr>
            <w:tcW w:w="960" w:type="dxa"/>
            <w:noWrap/>
            <w:hideMark/>
          </w:tcPr>
          <w:p w14:paraId="4DC8CC7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2.89</w:t>
            </w:r>
          </w:p>
        </w:tc>
        <w:tc>
          <w:tcPr>
            <w:tcW w:w="960" w:type="dxa"/>
            <w:noWrap/>
            <w:hideMark/>
          </w:tcPr>
          <w:p w14:paraId="2B584E0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2.22</w:t>
            </w:r>
          </w:p>
        </w:tc>
        <w:tc>
          <w:tcPr>
            <w:tcW w:w="960" w:type="dxa"/>
            <w:noWrap/>
            <w:hideMark/>
          </w:tcPr>
          <w:p w14:paraId="75B5BB0E"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4.12</w:t>
            </w:r>
          </w:p>
        </w:tc>
        <w:tc>
          <w:tcPr>
            <w:tcW w:w="960" w:type="dxa"/>
            <w:noWrap/>
            <w:hideMark/>
          </w:tcPr>
          <w:p w14:paraId="57D5EC7D"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27.94</w:t>
            </w:r>
          </w:p>
        </w:tc>
        <w:tc>
          <w:tcPr>
            <w:tcW w:w="960" w:type="dxa"/>
            <w:noWrap/>
            <w:hideMark/>
          </w:tcPr>
          <w:p w14:paraId="44DE608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4.45</w:t>
            </w:r>
          </w:p>
        </w:tc>
        <w:tc>
          <w:tcPr>
            <w:tcW w:w="960" w:type="dxa"/>
            <w:noWrap/>
            <w:hideMark/>
          </w:tcPr>
          <w:p w14:paraId="222A3B8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13.83</w:t>
            </w:r>
          </w:p>
        </w:tc>
        <w:tc>
          <w:tcPr>
            <w:tcW w:w="960" w:type="dxa"/>
            <w:noWrap/>
            <w:hideMark/>
          </w:tcPr>
          <w:p w14:paraId="493AF9D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11.71</w:t>
            </w:r>
          </w:p>
        </w:tc>
      </w:tr>
      <w:tr w:rsidR="00E63D35" w:rsidRPr="000F45BD" w14:paraId="1647E832" w14:textId="77777777" w:rsidTr="00B23510">
        <w:trPr>
          <w:trHeight w:val="288"/>
        </w:trPr>
        <w:tc>
          <w:tcPr>
            <w:tcW w:w="987" w:type="dxa"/>
            <w:hideMark/>
          </w:tcPr>
          <w:p w14:paraId="5CB10339"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Spain</w:t>
            </w:r>
          </w:p>
        </w:tc>
        <w:tc>
          <w:tcPr>
            <w:tcW w:w="960" w:type="dxa"/>
            <w:noWrap/>
            <w:hideMark/>
          </w:tcPr>
          <w:p w14:paraId="0DD57E3F"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2.13</w:t>
            </w:r>
          </w:p>
        </w:tc>
        <w:tc>
          <w:tcPr>
            <w:tcW w:w="960" w:type="dxa"/>
            <w:noWrap/>
            <w:hideMark/>
          </w:tcPr>
          <w:p w14:paraId="5258F6E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5.7</w:t>
            </w:r>
          </w:p>
        </w:tc>
        <w:tc>
          <w:tcPr>
            <w:tcW w:w="960" w:type="dxa"/>
            <w:noWrap/>
            <w:hideMark/>
          </w:tcPr>
          <w:p w14:paraId="3A03CDDC"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6.94</w:t>
            </w:r>
          </w:p>
        </w:tc>
        <w:tc>
          <w:tcPr>
            <w:tcW w:w="960" w:type="dxa"/>
            <w:noWrap/>
            <w:hideMark/>
          </w:tcPr>
          <w:p w14:paraId="3EFD4CA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44.43</w:t>
            </w:r>
          </w:p>
        </w:tc>
        <w:tc>
          <w:tcPr>
            <w:tcW w:w="960" w:type="dxa"/>
            <w:noWrap/>
            <w:hideMark/>
          </w:tcPr>
          <w:p w14:paraId="1671C948"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18.49</w:t>
            </w:r>
          </w:p>
        </w:tc>
        <w:tc>
          <w:tcPr>
            <w:tcW w:w="960" w:type="dxa"/>
            <w:noWrap/>
            <w:hideMark/>
          </w:tcPr>
          <w:p w14:paraId="26438E3F"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9.72</w:t>
            </w:r>
          </w:p>
        </w:tc>
        <w:tc>
          <w:tcPr>
            <w:tcW w:w="960" w:type="dxa"/>
            <w:noWrap/>
            <w:hideMark/>
          </w:tcPr>
          <w:p w14:paraId="08B4DE7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13.39</w:t>
            </w:r>
          </w:p>
        </w:tc>
        <w:tc>
          <w:tcPr>
            <w:tcW w:w="960" w:type="dxa"/>
            <w:noWrap/>
            <w:hideMark/>
          </w:tcPr>
          <w:p w14:paraId="1DC7D52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14.14</w:t>
            </w:r>
          </w:p>
        </w:tc>
      </w:tr>
      <w:tr w:rsidR="00E63D35" w:rsidRPr="000F45BD" w14:paraId="68F07050" w14:textId="77777777" w:rsidTr="00B23510">
        <w:trPr>
          <w:trHeight w:val="288"/>
        </w:trPr>
        <w:tc>
          <w:tcPr>
            <w:tcW w:w="987" w:type="dxa"/>
            <w:hideMark/>
          </w:tcPr>
          <w:p w14:paraId="5FA38926"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Colombia</w:t>
            </w:r>
          </w:p>
        </w:tc>
        <w:tc>
          <w:tcPr>
            <w:tcW w:w="960" w:type="dxa"/>
            <w:noWrap/>
            <w:hideMark/>
          </w:tcPr>
          <w:p w14:paraId="1FD15F7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1.02</w:t>
            </w:r>
          </w:p>
        </w:tc>
        <w:tc>
          <w:tcPr>
            <w:tcW w:w="960" w:type="dxa"/>
            <w:noWrap/>
            <w:hideMark/>
          </w:tcPr>
          <w:p w14:paraId="3E48C20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21.54</w:t>
            </w:r>
          </w:p>
        </w:tc>
        <w:tc>
          <w:tcPr>
            <w:tcW w:w="960" w:type="dxa"/>
            <w:noWrap/>
            <w:hideMark/>
          </w:tcPr>
          <w:p w14:paraId="084795C8"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24.85</w:t>
            </w:r>
          </w:p>
        </w:tc>
        <w:tc>
          <w:tcPr>
            <w:tcW w:w="960" w:type="dxa"/>
            <w:noWrap/>
            <w:hideMark/>
          </w:tcPr>
          <w:p w14:paraId="3D49BEF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23.03</w:t>
            </w:r>
          </w:p>
        </w:tc>
        <w:tc>
          <w:tcPr>
            <w:tcW w:w="960" w:type="dxa"/>
            <w:noWrap/>
            <w:hideMark/>
          </w:tcPr>
          <w:p w14:paraId="51301B77"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39.31</w:t>
            </w:r>
          </w:p>
        </w:tc>
        <w:tc>
          <w:tcPr>
            <w:tcW w:w="960" w:type="dxa"/>
            <w:noWrap/>
            <w:hideMark/>
          </w:tcPr>
          <w:p w14:paraId="3D9A893C"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29.13</w:t>
            </w:r>
          </w:p>
        </w:tc>
        <w:tc>
          <w:tcPr>
            <w:tcW w:w="960" w:type="dxa"/>
            <w:noWrap/>
            <w:hideMark/>
          </w:tcPr>
          <w:p w14:paraId="6C8F96F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63.78</w:t>
            </w:r>
          </w:p>
        </w:tc>
        <w:tc>
          <w:tcPr>
            <w:tcW w:w="960" w:type="dxa"/>
            <w:noWrap/>
            <w:hideMark/>
          </w:tcPr>
          <w:p w14:paraId="5B9E74B7"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42.27</w:t>
            </w:r>
          </w:p>
        </w:tc>
      </w:tr>
      <w:tr w:rsidR="00E63D35" w:rsidRPr="000F45BD" w14:paraId="65F639E2" w14:textId="77777777" w:rsidTr="00B23510">
        <w:trPr>
          <w:trHeight w:val="288"/>
        </w:trPr>
        <w:tc>
          <w:tcPr>
            <w:tcW w:w="987" w:type="dxa"/>
            <w:hideMark/>
          </w:tcPr>
          <w:p w14:paraId="6B11931D"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Turkey</w:t>
            </w:r>
          </w:p>
        </w:tc>
        <w:tc>
          <w:tcPr>
            <w:tcW w:w="960" w:type="dxa"/>
            <w:noWrap/>
            <w:hideMark/>
          </w:tcPr>
          <w:p w14:paraId="1C45A88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4.9</w:t>
            </w:r>
          </w:p>
        </w:tc>
        <w:tc>
          <w:tcPr>
            <w:tcW w:w="960" w:type="dxa"/>
            <w:noWrap/>
            <w:hideMark/>
          </w:tcPr>
          <w:p w14:paraId="375E6F8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18.16</w:t>
            </w:r>
          </w:p>
        </w:tc>
        <w:tc>
          <w:tcPr>
            <w:tcW w:w="960" w:type="dxa"/>
            <w:noWrap/>
            <w:hideMark/>
          </w:tcPr>
          <w:p w14:paraId="3CE8470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22.95</w:t>
            </w:r>
          </w:p>
        </w:tc>
        <w:tc>
          <w:tcPr>
            <w:tcW w:w="960" w:type="dxa"/>
            <w:noWrap/>
            <w:hideMark/>
          </w:tcPr>
          <w:p w14:paraId="35F9ED5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59.73</w:t>
            </w:r>
          </w:p>
        </w:tc>
        <w:tc>
          <w:tcPr>
            <w:tcW w:w="960" w:type="dxa"/>
            <w:noWrap/>
            <w:hideMark/>
          </w:tcPr>
          <w:p w14:paraId="501266D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33.26</w:t>
            </w:r>
          </w:p>
        </w:tc>
        <w:tc>
          <w:tcPr>
            <w:tcW w:w="960" w:type="dxa"/>
            <w:noWrap/>
            <w:hideMark/>
          </w:tcPr>
          <w:p w14:paraId="6CFF155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10.18</w:t>
            </w:r>
          </w:p>
        </w:tc>
        <w:tc>
          <w:tcPr>
            <w:tcW w:w="960" w:type="dxa"/>
            <w:noWrap/>
            <w:hideMark/>
          </w:tcPr>
          <w:p w14:paraId="10E2E4B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42.49</w:t>
            </w:r>
          </w:p>
        </w:tc>
        <w:tc>
          <w:tcPr>
            <w:tcW w:w="960" w:type="dxa"/>
            <w:noWrap/>
            <w:hideMark/>
          </w:tcPr>
          <w:p w14:paraId="6B6D94E6"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42.97</w:t>
            </w:r>
          </w:p>
        </w:tc>
      </w:tr>
      <w:tr w:rsidR="00E63D35" w:rsidRPr="000F45BD" w14:paraId="0CD77B9D" w14:textId="77777777" w:rsidTr="00B23510">
        <w:trPr>
          <w:trHeight w:val="288"/>
        </w:trPr>
        <w:tc>
          <w:tcPr>
            <w:tcW w:w="987" w:type="dxa"/>
            <w:hideMark/>
          </w:tcPr>
          <w:p w14:paraId="32177688"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Ethiopia</w:t>
            </w:r>
          </w:p>
        </w:tc>
        <w:tc>
          <w:tcPr>
            <w:tcW w:w="960" w:type="dxa"/>
            <w:noWrap/>
            <w:hideMark/>
          </w:tcPr>
          <w:p w14:paraId="492B1AA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17.27</w:t>
            </w:r>
          </w:p>
        </w:tc>
        <w:tc>
          <w:tcPr>
            <w:tcW w:w="960" w:type="dxa"/>
            <w:noWrap/>
            <w:hideMark/>
          </w:tcPr>
          <w:p w14:paraId="15AAF51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97.03</w:t>
            </w:r>
          </w:p>
        </w:tc>
        <w:tc>
          <w:tcPr>
            <w:tcW w:w="960" w:type="dxa"/>
            <w:noWrap/>
            <w:hideMark/>
          </w:tcPr>
          <w:p w14:paraId="5A89BE4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98.18</w:t>
            </w:r>
          </w:p>
        </w:tc>
        <w:tc>
          <w:tcPr>
            <w:tcW w:w="960" w:type="dxa"/>
            <w:noWrap/>
            <w:hideMark/>
          </w:tcPr>
          <w:p w14:paraId="7154E5AE"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86.25</w:t>
            </w:r>
          </w:p>
        </w:tc>
        <w:tc>
          <w:tcPr>
            <w:tcW w:w="960" w:type="dxa"/>
            <w:noWrap/>
            <w:hideMark/>
          </w:tcPr>
          <w:p w14:paraId="60FC402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85.92</w:t>
            </w:r>
          </w:p>
        </w:tc>
        <w:tc>
          <w:tcPr>
            <w:tcW w:w="960" w:type="dxa"/>
            <w:noWrap/>
            <w:hideMark/>
          </w:tcPr>
          <w:p w14:paraId="48358FB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63.63</w:t>
            </w:r>
          </w:p>
        </w:tc>
        <w:tc>
          <w:tcPr>
            <w:tcW w:w="960" w:type="dxa"/>
            <w:noWrap/>
            <w:hideMark/>
          </w:tcPr>
          <w:p w14:paraId="49D6B21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97.79</w:t>
            </w:r>
          </w:p>
        </w:tc>
        <w:tc>
          <w:tcPr>
            <w:tcW w:w="960" w:type="dxa"/>
            <w:noWrap/>
            <w:hideMark/>
          </w:tcPr>
          <w:p w14:paraId="4C7A59E5"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82.74</w:t>
            </w:r>
          </w:p>
        </w:tc>
      </w:tr>
      <w:tr w:rsidR="00E63D35" w:rsidRPr="000F45BD" w14:paraId="6378E2C1" w14:textId="77777777" w:rsidTr="00B23510">
        <w:trPr>
          <w:trHeight w:val="288"/>
        </w:trPr>
        <w:tc>
          <w:tcPr>
            <w:tcW w:w="987" w:type="dxa"/>
            <w:hideMark/>
          </w:tcPr>
          <w:p w14:paraId="41ADEC35"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S Korea</w:t>
            </w:r>
          </w:p>
        </w:tc>
        <w:tc>
          <w:tcPr>
            <w:tcW w:w="960" w:type="dxa"/>
            <w:noWrap/>
            <w:hideMark/>
          </w:tcPr>
          <w:p w14:paraId="484B939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0.95</w:t>
            </w:r>
          </w:p>
        </w:tc>
        <w:tc>
          <w:tcPr>
            <w:tcW w:w="960" w:type="dxa"/>
            <w:noWrap/>
            <w:hideMark/>
          </w:tcPr>
          <w:p w14:paraId="166A7FCC"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3.82</w:t>
            </w:r>
          </w:p>
        </w:tc>
        <w:tc>
          <w:tcPr>
            <w:tcW w:w="960" w:type="dxa"/>
            <w:noWrap/>
            <w:hideMark/>
          </w:tcPr>
          <w:p w14:paraId="0EB56A76"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3.03</w:t>
            </w:r>
          </w:p>
        </w:tc>
        <w:tc>
          <w:tcPr>
            <w:tcW w:w="960" w:type="dxa"/>
            <w:noWrap/>
            <w:hideMark/>
          </w:tcPr>
          <w:p w14:paraId="60C1F0EE"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10.21</w:t>
            </w:r>
          </w:p>
        </w:tc>
        <w:tc>
          <w:tcPr>
            <w:tcW w:w="960" w:type="dxa"/>
            <w:noWrap/>
            <w:hideMark/>
          </w:tcPr>
          <w:p w14:paraId="0B44BFE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11.13</w:t>
            </w:r>
          </w:p>
        </w:tc>
        <w:tc>
          <w:tcPr>
            <w:tcW w:w="960" w:type="dxa"/>
            <w:noWrap/>
            <w:hideMark/>
          </w:tcPr>
          <w:p w14:paraId="67834B9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4.09</w:t>
            </w:r>
          </w:p>
        </w:tc>
        <w:tc>
          <w:tcPr>
            <w:tcW w:w="960" w:type="dxa"/>
            <w:noWrap/>
            <w:hideMark/>
          </w:tcPr>
          <w:p w14:paraId="32F8136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7.45</w:t>
            </w:r>
          </w:p>
        </w:tc>
        <w:tc>
          <w:tcPr>
            <w:tcW w:w="960" w:type="dxa"/>
            <w:noWrap/>
            <w:hideMark/>
          </w:tcPr>
          <w:p w14:paraId="720C7888"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9.68</w:t>
            </w:r>
          </w:p>
        </w:tc>
      </w:tr>
      <w:tr w:rsidR="00E63D35" w:rsidRPr="000F45BD" w14:paraId="4A5B4DE6" w14:textId="77777777" w:rsidTr="00B23510">
        <w:trPr>
          <w:trHeight w:val="288"/>
        </w:trPr>
        <w:tc>
          <w:tcPr>
            <w:tcW w:w="987" w:type="dxa"/>
            <w:hideMark/>
          </w:tcPr>
          <w:p w14:paraId="2F9FEEF0"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Germany</w:t>
            </w:r>
          </w:p>
        </w:tc>
        <w:tc>
          <w:tcPr>
            <w:tcW w:w="960" w:type="dxa"/>
            <w:noWrap/>
            <w:hideMark/>
          </w:tcPr>
          <w:p w14:paraId="259E4B7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2.11</w:t>
            </w:r>
          </w:p>
        </w:tc>
        <w:tc>
          <w:tcPr>
            <w:tcW w:w="960" w:type="dxa"/>
            <w:noWrap/>
            <w:hideMark/>
          </w:tcPr>
          <w:p w14:paraId="44C14196"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16.22</w:t>
            </w:r>
          </w:p>
        </w:tc>
        <w:tc>
          <w:tcPr>
            <w:tcW w:w="960" w:type="dxa"/>
            <w:noWrap/>
            <w:hideMark/>
          </w:tcPr>
          <w:p w14:paraId="44FDE3E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8.98</w:t>
            </w:r>
          </w:p>
        </w:tc>
        <w:tc>
          <w:tcPr>
            <w:tcW w:w="960" w:type="dxa"/>
            <w:noWrap/>
            <w:hideMark/>
          </w:tcPr>
          <w:p w14:paraId="5B1D92B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7.6</w:t>
            </w:r>
          </w:p>
        </w:tc>
        <w:tc>
          <w:tcPr>
            <w:tcW w:w="960" w:type="dxa"/>
            <w:noWrap/>
            <w:hideMark/>
          </w:tcPr>
          <w:p w14:paraId="1891BF3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10.82</w:t>
            </w:r>
          </w:p>
        </w:tc>
        <w:tc>
          <w:tcPr>
            <w:tcW w:w="960" w:type="dxa"/>
            <w:noWrap/>
            <w:hideMark/>
          </w:tcPr>
          <w:p w14:paraId="2A6045F7"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20.89</w:t>
            </w:r>
          </w:p>
        </w:tc>
        <w:tc>
          <w:tcPr>
            <w:tcW w:w="960" w:type="dxa"/>
            <w:noWrap/>
            <w:hideMark/>
          </w:tcPr>
          <w:p w14:paraId="4A68F10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6.62</w:t>
            </w:r>
          </w:p>
        </w:tc>
        <w:tc>
          <w:tcPr>
            <w:tcW w:w="960" w:type="dxa"/>
            <w:noWrap/>
            <w:hideMark/>
          </w:tcPr>
          <w:p w14:paraId="36F4047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5.37</w:t>
            </w:r>
          </w:p>
        </w:tc>
      </w:tr>
      <w:tr w:rsidR="00E63D35" w:rsidRPr="000F45BD" w14:paraId="5CC39CBF" w14:textId="77777777" w:rsidTr="00B23510">
        <w:trPr>
          <w:trHeight w:val="288"/>
        </w:trPr>
        <w:tc>
          <w:tcPr>
            <w:tcW w:w="987" w:type="dxa"/>
            <w:hideMark/>
          </w:tcPr>
          <w:p w14:paraId="2BC84B25"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England</w:t>
            </w:r>
          </w:p>
        </w:tc>
        <w:tc>
          <w:tcPr>
            <w:tcW w:w="960" w:type="dxa"/>
            <w:noWrap/>
            <w:hideMark/>
          </w:tcPr>
          <w:p w14:paraId="3DF7951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0.27</w:t>
            </w:r>
          </w:p>
        </w:tc>
        <w:tc>
          <w:tcPr>
            <w:tcW w:w="960" w:type="dxa"/>
            <w:noWrap/>
            <w:hideMark/>
          </w:tcPr>
          <w:p w14:paraId="5E1EAA1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5.51</w:t>
            </w:r>
          </w:p>
        </w:tc>
        <w:tc>
          <w:tcPr>
            <w:tcW w:w="960" w:type="dxa"/>
            <w:noWrap/>
            <w:hideMark/>
          </w:tcPr>
          <w:p w14:paraId="596FB99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3.27</w:t>
            </w:r>
          </w:p>
        </w:tc>
        <w:tc>
          <w:tcPr>
            <w:tcW w:w="960" w:type="dxa"/>
            <w:noWrap/>
            <w:hideMark/>
          </w:tcPr>
          <w:p w14:paraId="2E3017D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15.73</w:t>
            </w:r>
          </w:p>
        </w:tc>
        <w:tc>
          <w:tcPr>
            <w:tcW w:w="960" w:type="dxa"/>
            <w:noWrap/>
            <w:hideMark/>
          </w:tcPr>
          <w:p w14:paraId="060F9D9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17.34</w:t>
            </w:r>
          </w:p>
        </w:tc>
        <w:tc>
          <w:tcPr>
            <w:tcW w:w="960" w:type="dxa"/>
            <w:noWrap/>
            <w:hideMark/>
          </w:tcPr>
          <w:p w14:paraId="201CDDA8"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9.53</w:t>
            </w:r>
          </w:p>
        </w:tc>
        <w:tc>
          <w:tcPr>
            <w:tcW w:w="960" w:type="dxa"/>
            <w:noWrap/>
            <w:hideMark/>
          </w:tcPr>
          <w:p w14:paraId="0E7033ED"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10.98</w:t>
            </w:r>
          </w:p>
        </w:tc>
        <w:tc>
          <w:tcPr>
            <w:tcW w:w="960" w:type="dxa"/>
            <w:noWrap/>
            <w:hideMark/>
          </w:tcPr>
          <w:p w14:paraId="0184BFED"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5.08</w:t>
            </w:r>
          </w:p>
        </w:tc>
      </w:tr>
      <w:tr w:rsidR="00E63D35" w:rsidRPr="000F45BD" w14:paraId="77F74EBE" w14:textId="77777777" w:rsidTr="00B23510">
        <w:trPr>
          <w:trHeight w:val="288"/>
        </w:trPr>
        <w:tc>
          <w:tcPr>
            <w:tcW w:w="987" w:type="dxa"/>
            <w:hideMark/>
          </w:tcPr>
          <w:p w14:paraId="57612753"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Israel</w:t>
            </w:r>
          </w:p>
        </w:tc>
        <w:tc>
          <w:tcPr>
            <w:tcW w:w="960" w:type="dxa"/>
            <w:noWrap/>
            <w:hideMark/>
          </w:tcPr>
          <w:p w14:paraId="452E7B96"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1.34</w:t>
            </w:r>
          </w:p>
        </w:tc>
        <w:tc>
          <w:tcPr>
            <w:tcW w:w="960" w:type="dxa"/>
            <w:noWrap/>
            <w:hideMark/>
          </w:tcPr>
          <w:p w14:paraId="2347FA91"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5.04</w:t>
            </w:r>
          </w:p>
        </w:tc>
        <w:tc>
          <w:tcPr>
            <w:tcW w:w="960" w:type="dxa"/>
            <w:noWrap/>
            <w:hideMark/>
          </w:tcPr>
          <w:p w14:paraId="1B6454AF"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5.92</w:t>
            </w:r>
          </w:p>
        </w:tc>
        <w:tc>
          <w:tcPr>
            <w:tcW w:w="960" w:type="dxa"/>
            <w:noWrap/>
            <w:hideMark/>
          </w:tcPr>
          <w:p w14:paraId="73118667"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19.77</w:t>
            </w:r>
          </w:p>
        </w:tc>
        <w:tc>
          <w:tcPr>
            <w:tcW w:w="960" w:type="dxa"/>
            <w:noWrap/>
            <w:hideMark/>
          </w:tcPr>
          <w:p w14:paraId="025E0C8A"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29.22</w:t>
            </w:r>
          </w:p>
        </w:tc>
        <w:tc>
          <w:tcPr>
            <w:tcW w:w="960" w:type="dxa"/>
            <w:noWrap/>
            <w:hideMark/>
          </w:tcPr>
          <w:p w14:paraId="6D13CBFE"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6.78</w:t>
            </w:r>
          </w:p>
        </w:tc>
        <w:tc>
          <w:tcPr>
            <w:tcW w:w="960" w:type="dxa"/>
            <w:noWrap/>
            <w:hideMark/>
          </w:tcPr>
          <w:p w14:paraId="2B85C28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7.75</w:t>
            </w:r>
          </w:p>
        </w:tc>
        <w:tc>
          <w:tcPr>
            <w:tcW w:w="960" w:type="dxa"/>
            <w:noWrap/>
            <w:hideMark/>
          </w:tcPr>
          <w:p w14:paraId="45841A7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18.7</w:t>
            </w:r>
          </w:p>
        </w:tc>
      </w:tr>
      <w:tr w:rsidR="00E63D35" w:rsidRPr="000F45BD" w14:paraId="774C2BB6" w14:textId="77777777" w:rsidTr="00B23510">
        <w:trPr>
          <w:trHeight w:val="288"/>
        </w:trPr>
        <w:tc>
          <w:tcPr>
            <w:tcW w:w="987" w:type="dxa"/>
            <w:hideMark/>
          </w:tcPr>
          <w:p w14:paraId="6594CC3A"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Romania</w:t>
            </w:r>
          </w:p>
        </w:tc>
        <w:tc>
          <w:tcPr>
            <w:tcW w:w="960" w:type="dxa"/>
            <w:noWrap/>
            <w:hideMark/>
          </w:tcPr>
          <w:p w14:paraId="186BBAFE"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0.82</w:t>
            </w:r>
          </w:p>
        </w:tc>
        <w:tc>
          <w:tcPr>
            <w:tcW w:w="960" w:type="dxa"/>
            <w:noWrap/>
            <w:hideMark/>
          </w:tcPr>
          <w:p w14:paraId="77F167A7"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13.49</w:t>
            </w:r>
          </w:p>
        </w:tc>
        <w:tc>
          <w:tcPr>
            <w:tcW w:w="960" w:type="dxa"/>
            <w:noWrap/>
            <w:hideMark/>
          </w:tcPr>
          <w:p w14:paraId="03227984"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20</w:t>
            </w:r>
          </w:p>
        </w:tc>
        <w:tc>
          <w:tcPr>
            <w:tcW w:w="960" w:type="dxa"/>
            <w:noWrap/>
            <w:hideMark/>
          </w:tcPr>
          <w:p w14:paraId="5C9C7C91"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17.69</w:t>
            </w:r>
          </w:p>
        </w:tc>
        <w:tc>
          <w:tcPr>
            <w:tcW w:w="960" w:type="dxa"/>
            <w:noWrap/>
            <w:hideMark/>
          </w:tcPr>
          <w:p w14:paraId="7A63A8AE"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36.55</w:t>
            </w:r>
          </w:p>
        </w:tc>
        <w:tc>
          <w:tcPr>
            <w:tcW w:w="960" w:type="dxa"/>
            <w:noWrap/>
            <w:hideMark/>
          </w:tcPr>
          <w:p w14:paraId="5C4B2288"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11.7</w:t>
            </w:r>
          </w:p>
        </w:tc>
        <w:tc>
          <w:tcPr>
            <w:tcW w:w="960" w:type="dxa"/>
            <w:noWrap/>
            <w:hideMark/>
          </w:tcPr>
          <w:p w14:paraId="4978970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41.3</w:t>
            </w:r>
          </w:p>
        </w:tc>
        <w:tc>
          <w:tcPr>
            <w:tcW w:w="960" w:type="dxa"/>
            <w:noWrap/>
            <w:hideMark/>
          </w:tcPr>
          <w:p w14:paraId="32476075"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13.25</w:t>
            </w:r>
          </w:p>
        </w:tc>
      </w:tr>
      <w:tr w:rsidR="00E63D35" w:rsidRPr="000F45BD" w14:paraId="31BA8963" w14:textId="77777777" w:rsidTr="00B23510">
        <w:trPr>
          <w:trHeight w:val="288"/>
        </w:trPr>
        <w:tc>
          <w:tcPr>
            <w:tcW w:w="987" w:type="dxa"/>
            <w:hideMark/>
          </w:tcPr>
          <w:p w14:paraId="4035E2B3"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Norway</w:t>
            </w:r>
          </w:p>
        </w:tc>
        <w:tc>
          <w:tcPr>
            <w:tcW w:w="960" w:type="dxa"/>
            <w:noWrap/>
            <w:hideMark/>
          </w:tcPr>
          <w:p w14:paraId="6E46B0FC"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0.28</w:t>
            </w:r>
          </w:p>
        </w:tc>
        <w:tc>
          <w:tcPr>
            <w:tcW w:w="960" w:type="dxa"/>
            <w:noWrap/>
            <w:hideMark/>
          </w:tcPr>
          <w:p w14:paraId="2900AA16"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2.05</w:t>
            </w:r>
          </w:p>
        </w:tc>
        <w:tc>
          <w:tcPr>
            <w:tcW w:w="960" w:type="dxa"/>
            <w:noWrap/>
            <w:hideMark/>
          </w:tcPr>
          <w:p w14:paraId="1989CF4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0.7</w:t>
            </w:r>
          </w:p>
        </w:tc>
        <w:tc>
          <w:tcPr>
            <w:tcW w:w="960" w:type="dxa"/>
            <w:noWrap/>
            <w:hideMark/>
          </w:tcPr>
          <w:p w14:paraId="56E0D278"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2.51</w:t>
            </w:r>
          </w:p>
        </w:tc>
        <w:tc>
          <w:tcPr>
            <w:tcW w:w="960" w:type="dxa"/>
            <w:noWrap/>
            <w:hideMark/>
          </w:tcPr>
          <w:p w14:paraId="09F727FA"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7.04</w:t>
            </w:r>
          </w:p>
        </w:tc>
        <w:tc>
          <w:tcPr>
            <w:tcW w:w="960" w:type="dxa"/>
            <w:noWrap/>
            <w:hideMark/>
          </w:tcPr>
          <w:p w14:paraId="69C5684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3.52</w:t>
            </w:r>
          </w:p>
        </w:tc>
        <w:tc>
          <w:tcPr>
            <w:tcW w:w="960" w:type="dxa"/>
            <w:noWrap/>
            <w:hideMark/>
          </w:tcPr>
          <w:p w14:paraId="553D559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3.22</w:t>
            </w:r>
          </w:p>
        </w:tc>
        <w:tc>
          <w:tcPr>
            <w:tcW w:w="960" w:type="dxa"/>
            <w:noWrap/>
            <w:hideMark/>
          </w:tcPr>
          <w:p w14:paraId="2D0847E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1.14</w:t>
            </w:r>
          </w:p>
        </w:tc>
      </w:tr>
      <w:tr w:rsidR="00E63D35" w:rsidRPr="000F45BD" w14:paraId="5A527D24" w14:textId="77777777" w:rsidTr="00B23510">
        <w:trPr>
          <w:trHeight w:val="288"/>
        </w:trPr>
        <w:tc>
          <w:tcPr>
            <w:tcW w:w="987" w:type="dxa"/>
            <w:hideMark/>
          </w:tcPr>
          <w:p w14:paraId="5C355E19"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Poland</w:t>
            </w:r>
          </w:p>
        </w:tc>
        <w:tc>
          <w:tcPr>
            <w:tcW w:w="960" w:type="dxa"/>
            <w:noWrap/>
            <w:hideMark/>
          </w:tcPr>
          <w:p w14:paraId="0667DBB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1.07</w:t>
            </w:r>
          </w:p>
        </w:tc>
        <w:tc>
          <w:tcPr>
            <w:tcW w:w="960" w:type="dxa"/>
            <w:noWrap/>
            <w:hideMark/>
          </w:tcPr>
          <w:p w14:paraId="596403BE"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2.45</w:t>
            </w:r>
          </w:p>
        </w:tc>
        <w:tc>
          <w:tcPr>
            <w:tcW w:w="960" w:type="dxa"/>
            <w:noWrap/>
            <w:hideMark/>
          </w:tcPr>
          <w:p w14:paraId="6CF0862F"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3.7</w:t>
            </w:r>
          </w:p>
        </w:tc>
        <w:tc>
          <w:tcPr>
            <w:tcW w:w="960" w:type="dxa"/>
            <w:noWrap/>
            <w:hideMark/>
          </w:tcPr>
          <w:p w14:paraId="6258A41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5.35</w:t>
            </w:r>
          </w:p>
        </w:tc>
        <w:tc>
          <w:tcPr>
            <w:tcW w:w="960" w:type="dxa"/>
            <w:noWrap/>
            <w:hideMark/>
          </w:tcPr>
          <w:p w14:paraId="7D9B2F1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7.99</w:t>
            </w:r>
          </w:p>
        </w:tc>
        <w:tc>
          <w:tcPr>
            <w:tcW w:w="960" w:type="dxa"/>
            <w:noWrap/>
            <w:hideMark/>
          </w:tcPr>
          <w:p w14:paraId="4569619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14.18</w:t>
            </w:r>
          </w:p>
        </w:tc>
        <w:tc>
          <w:tcPr>
            <w:tcW w:w="960" w:type="dxa"/>
            <w:noWrap/>
            <w:hideMark/>
          </w:tcPr>
          <w:p w14:paraId="76D0A8C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10.87</w:t>
            </w:r>
          </w:p>
        </w:tc>
        <w:tc>
          <w:tcPr>
            <w:tcW w:w="960" w:type="dxa"/>
            <w:noWrap/>
            <w:hideMark/>
          </w:tcPr>
          <w:p w14:paraId="3DE6CCFB"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9.41</w:t>
            </w:r>
          </w:p>
        </w:tc>
      </w:tr>
      <w:tr w:rsidR="00E63D35" w:rsidRPr="000F45BD" w14:paraId="399CC372" w14:textId="77777777" w:rsidTr="00B23510">
        <w:trPr>
          <w:trHeight w:val="288"/>
        </w:trPr>
        <w:tc>
          <w:tcPr>
            <w:tcW w:w="987" w:type="dxa"/>
            <w:hideMark/>
          </w:tcPr>
          <w:p w14:paraId="2997C49E"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S Africa</w:t>
            </w:r>
          </w:p>
        </w:tc>
        <w:tc>
          <w:tcPr>
            <w:tcW w:w="960" w:type="dxa"/>
            <w:noWrap/>
            <w:hideMark/>
          </w:tcPr>
          <w:p w14:paraId="3E5EA283"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3.32</w:t>
            </w:r>
          </w:p>
        </w:tc>
        <w:tc>
          <w:tcPr>
            <w:tcW w:w="960" w:type="dxa"/>
            <w:noWrap/>
            <w:hideMark/>
          </w:tcPr>
          <w:p w14:paraId="4F8D4F8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37.66</w:t>
            </w:r>
          </w:p>
        </w:tc>
        <w:tc>
          <w:tcPr>
            <w:tcW w:w="960" w:type="dxa"/>
            <w:noWrap/>
            <w:hideMark/>
          </w:tcPr>
          <w:p w14:paraId="7B3018D9"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39.69</w:t>
            </w:r>
          </w:p>
        </w:tc>
        <w:tc>
          <w:tcPr>
            <w:tcW w:w="960" w:type="dxa"/>
            <w:noWrap/>
            <w:hideMark/>
          </w:tcPr>
          <w:p w14:paraId="7F3628E0"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26.94</w:t>
            </w:r>
          </w:p>
        </w:tc>
        <w:tc>
          <w:tcPr>
            <w:tcW w:w="960" w:type="dxa"/>
            <w:noWrap/>
            <w:hideMark/>
          </w:tcPr>
          <w:p w14:paraId="5BCB16E1"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42.39</w:t>
            </w:r>
          </w:p>
        </w:tc>
        <w:tc>
          <w:tcPr>
            <w:tcW w:w="960" w:type="dxa"/>
            <w:noWrap/>
            <w:hideMark/>
          </w:tcPr>
          <w:p w14:paraId="1939992C"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17.69</w:t>
            </w:r>
          </w:p>
        </w:tc>
        <w:tc>
          <w:tcPr>
            <w:tcW w:w="960" w:type="dxa"/>
            <w:noWrap/>
            <w:hideMark/>
          </w:tcPr>
          <w:p w14:paraId="51B5E1E2"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28.46</w:t>
            </w:r>
          </w:p>
        </w:tc>
        <w:tc>
          <w:tcPr>
            <w:tcW w:w="960" w:type="dxa"/>
            <w:noWrap/>
            <w:hideMark/>
          </w:tcPr>
          <w:p w14:paraId="49A77E15" w14:textId="77777777" w:rsidR="00E63D35" w:rsidRPr="000F45BD" w:rsidRDefault="00E63D35" w:rsidP="00D4634E">
            <w:pPr>
              <w:spacing w:before="100" w:beforeAutospacing="1" w:after="100" w:afterAutospacing="1"/>
              <w:rPr>
                <w:rFonts w:asciiTheme="majorHAnsi" w:eastAsia="Times New Roman" w:hAnsiTheme="majorHAnsi" w:cs="Times New Roman"/>
                <w:bCs/>
                <w:color w:val="000000"/>
                <w:sz w:val="20"/>
                <w:lang w:eastAsia="en-GB"/>
              </w:rPr>
            </w:pPr>
            <w:r w:rsidRPr="000F45BD">
              <w:rPr>
                <w:rFonts w:asciiTheme="majorHAnsi" w:eastAsia="Times New Roman" w:hAnsiTheme="majorHAnsi" w:cs="Times New Roman"/>
                <w:bCs/>
                <w:color w:val="000000"/>
                <w:sz w:val="20"/>
                <w:lang w:eastAsia="en-GB"/>
              </w:rPr>
              <w:t>28.49</w:t>
            </w:r>
          </w:p>
        </w:tc>
      </w:tr>
      <w:tr w:rsidR="00E63D35" w:rsidRPr="000F45BD" w14:paraId="3236CDE4" w14:textId="77777777" w:rsidTr="00B23510">
        <w:trPr>
          <w:trHeight w:val="288"/>
        </w:trPr>
        <w:tc>
          <w:tcPr>
            <w:tcW w:w="987" w:type="dxa"/>
            <w:hideMark/>
          </w:tcPr>
          <w:p w14:paraId="4E02C1C2" w14:textId="77777777" w:rsidR="00E63D35" w:rsidRPr="000F45BD" w:rsidRDefault="00E63D35" w:rsidP="00D4634E">
            <w:pPr>
              <w:spacing w:before="100" w:beforeAutospacing="1" w:after="100" w:afterAutospacing="1"/>
              <w:jc w:val="both"/>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Total</w:t>
            </w:r>
          </w:p>
        </w:tc>
        <w:tc>
          <w:tcPr>
            <w:tcW w:w="960" w:type="dxa"/>
            <w:noWrap/>
            <w:hideMark/>
          </w:tcPr>
          <w:p w14:paraId="5AD0050B"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2.81</w:t>
            </w:r>
          </w:p>
        </w:tc>
        <w:tc>
          <w:tcPr>
            <w:tcW w:w="960" w:type="dxa"/>
            <w:noWrap/>
            <w:hideMark/>
          </w:tcPr>
          <w:p w14:paraId="795E6177"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24.46</w:t>
            </w:r>
          </w:p>
        </w:tc>
        <w:tc>
          <w:tcPr>
            <w:tcW w:w="960" w:type="dxa"/>
            <w:noWrap/>
            <w:hideMark/>
          </w:tcPr>
          <w:p w14:paraId="34CE16B4"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25.61</w:t>
            </w:r>
          </w:p>
        </w:tc>
        <w:tc>
          <w:tcPr>
            <w:tcW w:w="960" w:type="dxa"/>
            <w:noWrap/>
            <w:hideMark/>
          </w:tcPr>
          <w:p w14:paraId="6149D69F"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27.33</w:t>
            </w:r>
          </w:p>
        </w:tc>
        <w:tc>
          <w:tcPr>
            <w:tcW w:w="960" w:type="dxa"/>
            <w:noWrap/>
            <w:hideMark/>
          </w:tcPr>
          <w:p w14:paraId="68BB8CCB"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31.35</w:t>
            </w:r>
          </w:p>
        </w:tc>
        <w:tc>
          <w:tcPr>
            <w:tcW w:w="960" w:type="dxa"/>
            <w:noWrap/>
            <w:hideMark/>
          </w:tcPr>
          <w:p w14:paraId="7E152B53"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17.62</w:t>
            </w:r>
          </w:p>
        </w:tc>
        <w:tc>
          <w:tcPr>
            <w:tcW w:w="960" w:type="dxa"/>
            <w:noWrap/>
            <w:hideMark/>
          </w:tcPr>
          <w:p w14:paraId="0D2BF85B"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32.03</w:t>
            </w:r>
          </w:p>
        </w:tc>
        <w:tc>
          <w:tcPr>
            <w:tcW w:w="960" w:type="dxa"/>
            <w:noWrap/>
            <w:hideMark/>
          </w:tcPr>
          <w:p w14:paraId="6AE36F6E" w14:textId="77777777" w:rsidR="00E63D35" w:rsidRPr="000F45BD" w:rsidRDefault="00E63D35" w:rsidP="00D4634E">
            <w:pPr>
              <w:spacing w:before="100" w:beforeAutospacing="1" w:after="100" w:afterAutospacing="1"/>
              <w:jc w:val="center"/>
              <w:rPr>
                <w:rFonts w:asciiTheme="majorHAnsi" w:eastAsia="Times New Roman" w:hAnsiTheme="majorHAnsi" w:cs="Times New Roman"/>
                <w:b/>
                <w:bCs/>
                <w:color w:val="000000"/>
                <w:sz w:val="20"/>
                <w:lang w:eastAsia="en-GB"/>
              </w:rPr>
            </w:pPr>
            <w:r w:rsidRPr="000F45BD">
              <w:rPr>
                <w:rFonts w:asciiTheme="majorHAnsi" w:eastAsia="Times New Roman" w:hAnsiTheme="majorHAnsi" w:cs="Times New Roman"/>
                <w:b/>
                <w:bCs/>
                <w:color w:val="000000"/>
                <w:sz w:val="20"/>
                <w:lang w:eastAsia="en-GB"/>
              </w:rPr>
              <w:t>25.74</w:t>
            </w:r>
          </w:p>
        </w:tc>
      </w:tr>
    </w:tbl>
    <w:p w14:paraId="1614EAB6" w14:textId="3A0E7F4B"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A scale of material resources was summed by adding up the number of items children lacked (that is, the more items lacked, the higher the score).  Mean scores on this scale are shown in table 2, along with </w:t>
      </w:r>
      <w:r w:rsidR="001473EC" w:rsidRPr="000F45BD">
        <w:rPr>
          <w:rFonts w:asciiTheme="majorHAnsi" w:hAnsiTheme="majorHAnsi"/>
        </w:rPr>
        <w:t>key details of the sample and other variables described next</w:t>
      </w:r>
      <w:r w:rsidRPr="000F45BD">
        <w:rPr>
          <w:rFonts w:asciiTheme="majorHAnsi" w:hAnsiTheme="majorHAnsi"/>
        </w:rPr>
        <w:t xml:space="preserve">.  </w:t>
      </w:r>
      <w:r w:rsidR="00472692" w:rsidRPr="000F45BD">
        <w:rPr>
          <w:rFonts w:asciiTheme="majorHAnsi" w:hAnsiTheme="majorHAnsi"/>
        </w:rPr>
        <w:t xml:space="preserve">More details about the scale are presented in the findings section, where its structure and characteristics are explored in more depth.  </w:t>
      </w:r>
    </w:p>
    <w:p w14:paraId="3B7D17C4" w14:textId="7569FF00" w:rsidR="00B55B66" w:rsidRPr="00903712" w:rsidRDefault="00B55B66" w:rsidP="00D4634E">
      <w:pPr>
        <w:pStyle w:val="ListParagraph"/>
        <w:numPr>
          <w:ilvl w:val="2"/>
          <w:numId w:val="21"/>
        </w:numPr>
        <w:spacing w:before="100" w:beforeAutospacing="1" w:after="100" w:afterAutospacing="1" w:line="240" w:lineRule="auto"/>
        <w:jc w:val="both"/>
        <w:rPr>
          <w:rFonts w:asciiTheme="majorHAnsi" w:hAnsiTheme="majorHAnsi"/>
          <w:i/>
        </w:rPr>
      </w:pPr>
      <w:r w:rsidRPr="00903712">
        <w:rPr>
          <w:rFonts w:asciiTheme="majorHAnsi" w:hAnsiTheme="majorHAnsi"/>
          <w:i/>
        </w:rPr>
        <w:t>School- and country-level material resources</w:t>
      </w:r>
    </w:p>
    <w:p w14:paraId="49059744" w14:textId="77777777" w:rsidR="00B55B66" w:rsidRPr="00903712" w:rsidRDefault="00B55B66" w:rsidP="00D4634E">
      <w:pPr>
        <w:spacing w:before="100" w:beforeAutospacing="1" w:after="100" w:afterAutospacing="1" w:line="240" w:lineRule="auto"/>
        <w:jc w:val="both"/>
        <w:rPr>
          <w:rFonts w:asciiTheme="majorHAnsi" w:hAnsiTheme="majorHAnsi"/>
          <w:i/>
        </w:rPr>
      </w:pPr>
      <w:r w:rsidRPr="000F45BD">
        <w:rPr>
          <w:rFonts w:asciiTheme="majorHAnsi" w:hAnsiTheme="majorHAnsi"/>
        </w:rPr>
        <w:t>For school- and country-level material resources, mean scores and the standard deviations of scores on the material resource scale</w:t>
      </w:r>
      <w:r w:rsidR="001473EC" w:rsidRPr="000F45BD">
        <w:rPr>
          <w:rFonts w:asciiTheme="majorHAnsi" w:hAnsiTheme="majorHAnsi"/>
        </w:rPr>
        <w:t xml:space="preserve"> (detailed above)</w:t>
      </w:r>
      <w:r w:rsidRPr="000F45BD">
        <w:rPr>
          <w:rFonts w:asciiTheme="majorHAnsi" w:hAnsiTheme="majorHAnsi"/>
        </w:rPr>
        <w:t xml:space="preserve"> were calculated for each school and each country.  These are intended to represent school- and country-level access to material resources and inequalities in such access.</w:t>
      </w:r>
    </w:p>
    <w:p w14:paraId="7688D61B" w14:textId="127F1888" w:rsidR="00B55B66" w:rsidRPr="00903712" w:rsidRDefault="00B55B66" w:rsidP="00D4634E">
      <w:pPr>
        <w:pStyle w:val="ListParagraph"/>
        <w:numPr>
          <w:ilvl w:val="2"/>
          <w:numId w:val="21"/>
        </w:numPr>
        <w:spacing w:before="100" w:beforeAutospacing="1" w:after="100" w:afterAutospacing="1" w:line="240" w:lineRule="auto"/>
        <w:jc w:val="both"/>
        <w:rPr>
          <w:rFonts w:asciiTheme="majorHAnsi" w:hAnsiTheme="majorHAnsi"/>
          <w:i/>
        </w:rPr>
      </w:pPr>
      <w:r w:rsidRPr="00903712">
        <w:rPr>
          <w:rFonts w:asciiTheme="majorHAnsi" w:hAnsiTheme="majorHAnsi"/>
          <w:i/>
        </w:rPr>
        <w:t>Country-level economic indicators</w:t>
      </w:r>
    </w:p>
    <w:p w14:paraId="7A8AB1CE" w14:textId="77777777"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No data were available on the economic situations of children’s households or schools.  For country-level economic resources, G</w:t>
      </w:r>
      <w:r w:rsidR="001473EC" w:rsidRPr="000F45BD">
        <w:rPr>
          <w:rFonts w:asciiTheme="majorHAnsi" w:hAnsiTheme="majorHAnsi"/>
        </w:rPr>
        <w:t xml:space="preserve">ross </w:t>
      </w:r>
      <w:r w:rsidRPr="000F45BD">
        <w:rPr>
          <w:rFonts w:asciiTheme="majorHAnsi" w:hAnsiTheme="majorHAnsi"/>
        </w:rPr>
        <w:t>D</w:t>
      </w:r>
      <w:r w:rsidR="001473EC" w:rsidRPr="000F45BD">
        <w:rPr>
          <w:rFonts w:asciiTheme="majorHAnsi" w:hAnsiTheme="majorHAnsi"/>
        </w:rPr>
        <w:t xml:space="preserve">omestic </w:t>
      </w:r>
      <w:r w:rsidRPr="000F45BD">
        <w:rPr>
          <w:rFonts w:asciiTheme="majorHAnsi" w:hAnsiTheme="majorHAnsi"/>
        </w:rPr>
        <w:t>P</w:t>
      </w:r>
      <w:r w:rsidR="001473EC" w:rsidRPr="000F45BD">
        <w:rPr>
          <w:rFonts w:asciiTheme="majorHAnsi" w:hAnsiTheme="majorHAnsi"/>
        </w:rPr>
        <w:t>roduct</w:t>
      </w:r>
      <w:r w:rsidRPr="000F45BD">
        <w:rPr>
          <w:rFonts w:asciiTheme="majorHAnsi" w:hAnsiTheme="majorHAnsi"/>
        </w:rPr>
        <w:t xml:space="preserve"> per capita </w:t>
      </w:r>
      <w:r w:rsidR="001473EC" w:rsidRPr="000F45BD">
        <w:rPr>
          <w:rFonts w:asciiTheme="majorHAnsi" w:hAnsiTheme="majorHAnsi"/>
        </w:rPr>
        <w:t xml:space="preserve">(GDPPC) </w:t>
      </w:r>
      <w:r w:rsidRPr="000F45BD">
        <w:rPr>
          <w:rFonts w:asciiTheme="majorHAnsi" w:hAnsiTheme="majorHAnsi"/>
        </w:rPr>
        <w:t xml:space="preserve">and Gini coefficients were imputed for each participating country.  </w:t>
      </w:r>
      <w:r w:rsidR="001473EC" w:rsidRPr="000F45BD">
        <w:rPr>
          <w:rFonts w:asciiTheme="majorHAnsi" w:hAnsiTheme="majorHAnsi"/>
        </w:rPr>
        <w:t xml:space="preserve">GDPPC </w:t>
      </w:r>
      <w:r w:rsidRPr="000F45BD">
        <w:rPr>
          <w:rFonts w:asciiTheme="majorHAnsi" w:hAnsiTheme="majorHAnsi"/>
        </w:rPr>
        <w:t>was included to provide a measure of overall national wealth; Gini coefficients were included to provide a measure of (in</w:t>
      </w:r>
      <w:proofErr w:type="gramStart"/>
      <w:r w:rsidRPr="000F45BD">
        <w:rPr>
          <w:rFonts w:asciiTheme="majorHAnsi" w:hAnsiTheme="majorHAnsi"/>
        </w:rPr>
        <w:t>)equality</w:t>
      </w:r>
      <w:proofErr w:type="gramEnd"/>
      <w:r w:rsidRPr="000F45BD">
        <w:rPr>
          <w:rFonts w:asciiTheme="majorHAnsi" w:hAnsiTheme="majorHAnsi"/>
        </w:rPr>
        <w:t xml:space="preserve"> in the distribution of wealth within participating countries (with a coefficient of 0 representing complete equality, and 100 representing complete inequality).  GDP</w:t>
      </w:r>
      <w:r w:rsidR="001473EC" w:rsidRPr="000F45BD">
        <w:rPr>
          <w:rFonts w:asciiTheme="majorHAnsi" w:hAnsiTheme="majorHAnsi"/>
        </w:rPr>
        <w:t>PC</w:t>
      </w:r>
      <w:r w:rsidRPr="000F45BD">
        <w:rPr>
          <w:rFonts w:asciiTheme="majorHAnsi" w:hAnsiTheme="majorHAnsi"/>
        </w:rPr>
        <w:t xml:space="preserve"> and Gini coefficients were not normally distributed and so the natural log of each was used in </w:t>
      </w:r>
      <w:r w:rsidR="001473EC" w:rsidRPr="000F45BD">
        <w:rPr>
          <w:rFonts w:asciiTheme="majorHAnsi" w:hAnsiTheme="majorHAnsi"/>
        </w:rPr>
        <w:t xml:space="preserve">the </w:t>
      </w:r>
      <w:r w:rsidRPr="000F45BD">
        <w:rPr>
          <w:rFonts w:asciiTheme="majorHAnsi" w:hAnsiTheme="majorHAnsi"/>
        </w:rPr>
        <w:t>models.</w:t>
      </w:r>
    </w:p>
    <w:p w14:paraId="35D43089" w14:textId="13DD25FA" w:rsidR="00B55B66" w:rsidRPr="000F45BD" w:rsidRDefault="00903712" w:rsidP="00D4634E">
      <w:pPr>
        <w:spacing w:before="100" w:beforeAutospacing="1" w:after="100" w:afterAutospacing="1" w:line="240" w:lineRule="auto"/>
        <w:jc w:val="both"/>
        <w:rPr>
          <w:rFonts w:asciiTheme="majorHAnsi" w:hAnsiTheme="majorHAnsi"/>
          <w:b/>
          <w:i/>
        </w:rPr>
      </w:pPr>
      <w:r>
        <w:rPr>
          <w:rFonts w:asciiTheme="majorHAnsi" w:hAnsiTheme="majorHAnsi"/>
          <w:b/>
          <w:i/>
        </w:rPr>
        <w:t xml:space="preserve">3.3 </w:t>
      </w:r>
      <w:r w:rsidR="00B55B66" w:rsidRPr="000F45BD">
        <w:rPr>
          <w:rFonts w:asciiTheme="majorHAnsi" w:hAnsiTheme="majorHAnsi"/>
          <w:b/>
          <w:i/>
        </w:rPr>
        <w:t>Subjective well-being</w:t>
      </w:r>
    </w:p>
    <w:p w14:paraId="2856C59F" w14:textId="77777777"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Subjective well-being was measured using the Personal Well-being Index – School Children (PWI-SC).  This is a multidimensional measure of children’s subjective well-being (Cummins and Lau, 2005).  It was adapted </w:t>
      </w:r>
      <w:r w:rsidR="001473EC" w:rsidRPr="000F45BD">
        <w:rPr>
          <w:rFonts w:asciiTheme="majorHAnsi" w:hAnsiTheme="majorHAnsi"/>
        </w:rPr>
        <w:t>from</w:t>
      </w:r>
      <w:r w:rsidRPr="000F45BD">
        <w:rPr>
          <w:rFonts w:asciiTheme="majorHAnsi" w:hAnsiTheme="majorHAnsi"/>
        </w:rPr>
        <w:t xml:space="preserve"> the </w:t>
      </w:r>
      <w:r w:rsidR="001473EC" w:rsidRPr="000F45BD">
        <w:rPr>
          <w:rFonts w:asciiTheme="majorHAnsi" w:hAnsiTheme="majorHAnsi"/>
        </w:rPr>
        <w:t xml:space="preserve">adult </w:t>
      </w:r>
      <w:r w:rsidRPr="000F45BD">
        <w:rPr>
          <w:rFonts w:asciiTheme="majorHAnsi" w:hAnsiTheme="majorHAnsi"/>
        </w:rPr>
        <w:t xml:space="preserve">PWI scale specifically for use with school children, drawing on simpler wording of items than were used with adults. Children were asked to rate </w:t>
      </w:r>
      <w:r w:rsidRPr="000F45BD">
        <w:rPr>
          <w:rFonts w:asciiTheme="majorHAnsi" w:hAnsiTheme="majorHAnsi"/>
        </w:rPr>
        <w:lastRenderedPageBreak/>
        <w:t>their satisfaction with various aspects of their lives on a 0-10 scale, with 0 representing ‘not at all satisfied’ and 10 representing ‘totally satisfied’.  Items comprised:</w:t>
      </w:r>
    </w:p>
    <w:p w14:paraId="23E8340A" w14:textId="77777777" w:rsidR="00B55B66" w:rsidRPr="000F45BD" w:rsidRDefault="00B55B66" w:rsidP="00D4634E">
      <w:pPr>
        <w:pStyle w:val="ListParagraph"/>
        <w:numPr>
          <w:ilvl w:val="0"/>
          <w:numId w:val="16"/>
        </w:numPr>
        <w:spacing w:before="100" w:beforeAutospacing="1" w:after="100" w:afterAutospacing="1" w:line="240" w:lineRule="auto"/>
        <w:jc w:val="both"/>
        <w:rPr>
          <w:rFonts w:asciiTheme="majorHAnsi" w:hAnsiTheme="majorHAnsi"/>
        </w:rPr>
      </w:pPr>
      <w:r w:rsidRPr="000F45BD">
        <w:rPr>
          <w:rFonts w:asciiTheme="majorHAnsi" w:hAnsiTheme="majorHAnsi"/>
        </w:rPr>
        <w:t>All the things you have</w:t>
      </w:r>
    </w:p>
    <w:p w14:paraId="1E211DDB" w14:textId="77777777" w:rsidR="00B55B66" w:rsidRPr="000F45BD" w:rsidRDefault="00B55B66" w:rsidP="00D4634E">
      <w:pPr>
        <w:pStyle w:val="ListParagraph"/>
        <w:numPr>
          <w:ilvl w:val="0"/>
          <w:numId w:val="16"/>
        </w:numPr>
        <w:spacing w:before="100" w:beforeAutospacing="1" w:after="100" w:afterAutospacing="1" w:line="240" w:lineRule="auto"/>
        <w:jc w:val="both"/>
        <w:rPr>
          <w:rFonts w:asciiTheme="majorHAnsi" w:hAnsiTheme="majorHAnsi"/>
        </w:rPr>
      </w:pPr>
      <w:r w:rsidRPr="000F45BD">
        <w:rPr>
          <w:rFonts w:asciiTheme="majorHAnsi" w:hAnsiTheme="majorHAnsi"/>
        </w:rPr>
        <w:t>Your health</w:t>
      </w:r>
    </w:p>
    <w:p w14:paraId="77831334" w14:textId="77777777" w:rsidR="00B55B66" w:rsidRPr="000F45BD" w:rsidRDefault="00B55B66" w:rsidP="00D4634E">
      <w:pPr>
        <w:pStyle w:val="ListParagraph"/>
        <w:numPr>
          <w:ilvl w:val="0"/>
          <w:numId w:val="16"/>
        </w:numPr>
        <w:spacing w:before="100" w:beforeAutospacing="1" w:after="100" w:afterAutospacing="1" w:line="240" w:lineRule="auto"/>
        <w:jc w:val="both"/>
        <w:rPr>
          <w:rFonts w:asciiTheme="majorHAnsi" w:hAnsiTheme="majorHAnsi"/>
        </w:rPr>
      </w:pPr>
      <w:r w:rsidRPr="000F45BD">
        <w:rPr>
          <w:rFonts w:asciiTheme="majorHAnsi" w:hAnsiTheme="majorHAnsi"/>
        </w:rPr>
        <w:t>Things you want to be good at</w:t>
      </w:r>
    </w:p>
    <w:p w14:paraId="7A849804" w14:textId="77777777" w:rsidR="00B55B66" w:rsidRPr="000F45BD" w:rsidRDefault="00B55B66" w:rsidP="00D4634E">
      <w:pPr>
        <w:pStyle w:val="ListParagraph"/>
        <w:numPr>
          <w:ilvl w:val="0"/>
          <w:numId w:val="16"/>
        </w:numPr>
        <w:spacing w:before="100" w:beforeAutospacing="1" w:after="100" w:afterAutospacing="1" w:line="240" w:lineRule="auto"/>
        <w:jc w:val="both"/>
        <w:rPr>
          <w:rFonts w:asciiTheme="majorHAnsi" w:hAnsiTheme="majorHAnsi"/>
        </w:rPr>
      </w:pPr>
      <w:r w:rsidRPr="000F45BD">
        <w:rPr>
          <w:rFonts w:asciiTheme="majorHAnsi" w:hAnsiTheme="majorHAnsi"/>
        </w:rPr>
        <w:t>Your relationships with people, generally</w:t>
      </w:r>
      <w:r w:rsidRPr="000F45BD">
        <w:rPr>
          <w:rStyle w:val="FootnoteReference"/>
          <w:rFonts w:asciiTheme="majorHAnsi" w:hAnsiTheme="majorHAnsi"/>
        </w:rPr>
        <w:footnoteReference w:id="6"/>
      </w:r>
    </w:p>
    <w:p w14:paraId="4BC8C178" w14:textId="77777777" w:rsidR="00B55B66" w:rsidRPr="000F45BD" w:rsidRDefault="00B55B66" w:rsidP="00D4634E">
      <w:pPr>
        <w:pStyle w:val="ListParagraph"/>
        <w:numPr>
          <w:ilvl w:val="0"/>
          <w:numId w:val="16"/>
        </w:numPr>
        <w:spacing w:before="100" w:beforeAutospacing="1" w:after="100" w:afterAutospacing="1" w:line="240" w:lineRule="auto"/>
        <w:jc w:val="both"/>
        <w:rPr>
          <w:rFonts w:asciiTheme="majorHAnsi" w:hAnsiTheme="majorHAnsi"/>
        </w:rPr>
      </w:pPr>
      <w:r w:rsidRPr="000F45BD">
        <w:rPr>
          <w:rFonts w:asciiTheme="majorHAnsi" w:hAnsiTheme="majorHAnsi"/>
        </w:rPr>
        <w:t>How safe you feel</w:t>
      </w:r>
    </w:p>
    <w:p w14:paraId="6FB307B6" w14:textId="77777777" w:rsidR="00B55B66" w:rsidRPr="000F45BD" w:rsidRDefault="00B55B66" w:rsidP="00D4634E">
      <w:pPr>
        <w:pStyle w:val="ListParagraph"/>
        <w:numPr>
          <w:ilvl w:val="0"/>
          <w:numId w:val="16"/>
        </w:numPr>
        <w:spacing w:before="100" w:beforeAutospacing="1" w:after="100" w:afterAutospacing="1" w:line="240" w:lineRule="auto"/>
        <w:jc w:val="both"/>
        <w:rPr>
          <w:rFonts w:asciiTheme="majorHAnsi" w:hAnsiTheme="majorHAnsi"/>
        </w:rPr>
      </w:pPr>
      <w:r w:rsidRPr="000F45BD">
        <w:rPr>
          <w:rFonts w:asciiTheme="majorHAnsi" w:hAnsiTheme="majorHAnsi"/>
        </w:rPr>
        <w:t>Doing things away from home</w:t>
      </w:r>
    </w:p>
    <w:p w14:paraId="423BB945" w14:textId="77777777" w:rsidR="00B55B66" w:rsidRPr="000F45BD" w:rsidRDefault="00B55B66" w:rsidP="00D4634E">
      <w:pPr>
        <w:pStyle w:val="ListParagraph"/>
        <w:numPr>
          <w:ilvl w:val="0"/>
          <w:numId w:val="16"/>
        </w:numPr>
        <w:spacing w:before="100" w:beforeAutospacing="1" w:after="100" w:afterAutospacing="1" w:line="240" w:lineRule="auto"/>
        <w:jc w:val="both"/>
        <w:rPr>
          <w:rFonts w:asciiTheme="majorHAnsi" w:hAnsiTheme="majorHAnsi"/>
        </w:rPr>
      </w:pPr>
      <w:r w:rsidRPr="000F45BD">
        <w:rPr>
          <w:rFonts w:asciiTheme="majorHAnsi" w:hAnsiTheme="majorHAnsi"/>
        </w:rPr>
        <w:t>What might happen to you later in life</w:t>
      </w:r>
    </w:p>
    <w:p w14:paraId="083F5221" w14:textId="39F3C745"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Responses were then summed to form a scale ranging from 0-70.  As would be expected in a subjective well-being measure, the distribution of r</w:t>
      </w:r>
      <w:r w:rsidR="000C5814" w:rsidRPr="000F45BD">
        <w:rPr>
          <w:rFonts w:asciiTheme="majorHAnsi" w:hAnsiTheme="majorHAnsi"/>
        </w:rPr>
        <w:t>esponses was negatively skewed - shown in figure 1 (see, for example, Cummins (2003) and Lim (2008))</w:t>
      </w:r>
      <w:r w:rsidRPr="000F45BD">
        <w:rPr>
          <w:rFonts w:asciiTheme="majorHAnsi" w:hAnsiTheme="majorHAnsi"/>
        </w:rPr>
        <w:t xml:space="preserve">.  </w:t>
      </w:r>
    </w:p>
    <w:p w14:paraId="003E6919" w14:textId="77777777" w:rsidR="00B55B66" w:rsidRPr="000F45BD" w:rsidRDefault="00B55B66"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t>Figure 1: Distribution of scores on the PWI-SC</w:t>
      </w:r>
    </w:p>
    <w:p w14:paraId="7552A4E4" w14:textId="77777777" w:rsidR="00B55B66" w:rsidRPr="000F45BD" w:rsidRDefault="00B55B66" w:rsidP="00D4634E">
      <w:pPr>
        <w:spacing w:before="100" w:beforeAutospacing="1" w:after="100" w:afterAutospacing="1" w:line="240" w:lineRule="auto"/>
        <w:jc w:val="center"/>
        <w:rPr>
          <w:rFonts w:asciiTheme="majorHAnsi" w:hAnsiTheme="majorHAnsi"/>
        </w:rPr>
      </w:pPr>
      <w:r w:rsidRPr="000F45BD">
        <w:rPr>
          <w:rFonts w:asciiTheme="majorHAnsi" w:hAnsiTheme="majorHAnsi"/>
          <w:noProof/>
          <w:sz w:val="20"/>
          <w:szCs w:val="20"/>
          <w:lang w:eastAsia="en-GB"/>
        </w:rPr>
        <w:drawing>
          <wp:inline distT="0" distB="0" distL="0" distR="0" wp14:anchorId="075E1F01" wp14:editId="40D82E73">
            <wp:extent cx="5114290" cy="3742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114290" cy="3742690"/>
                    </a:xfrm>
                    <a:prstGeom prst="rect">
                      <a:avLst/>
                    </a:prstGeom>
                    <a:noFill/>
                    <a:ln w="9525">
                      <a:noFill/>
                      <a:miter lim="800000"/>
                      <a:headEnd/>
                      <a:tailEnd/>
                    </a:ln>
                  </pic:spPr>
                </pic:pic>
              </a:graphicData>
            </a:graphic>
          </wp:inline>
        </w:drawing>
      </w:r>
    </w:p>
    <w:p w14:paraId="7E8CC399" w14:textId="2606A424" w:rsidR="00B55B66" w:rsidRPr="000F45BD" w:rsidRDefault="00903712" w:rsidP="00D4634E">
      <w:pPr>
        <w:spacing w:before="100" w:beforeAutospacing="1" w:after="100" w:afterAutospacing="1" w:line="240" w:lineRule="auto"/>
        <w:jc w:val="both"/>
        <w:rPr>
          <w:rFonts w:asciiTheme="majorHAnsi" w:hAnsiTheme="majorHAnsi"/>
          <w:b/>
          <w:i/>
        </w:rPr>
      </w:pPr>
      <w:r>
        <w:rPr>
          <w:rFonts w:asciiTheme="majorHAnsi" w:hAnsiTheme="majorHAnsi"/>
          <w:b/>
          <w:i/>
        </w:rPr>
        <w:t xml:space="preserve">3.4 </w:t>
      </w:r>
      <w:r w:rsidR="00B55B66" w:rsidRPr="000F45BD">
        <w:rPr>
          <w:rFonts w:asciiTheme="majorHAnsi" w:hAnsiTheme="majorHAnsi"/>
          <w:b/>
          <w:i/>
        </w:rPr>
        <w:t>Summary of included variables</w:t>
      </w:r>
    </w:p>
    <w:p w14:paraId="7938CE13" w14:textId="3F3F7586"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Table 2 provides a descriptive summary of the variables used in analysis</w:t>
      </w:r>
      <w:r w:rsidR="00F905BF" w:rsidRPr="000F45BD">
        <w:rPr>
          <w:rFonts w:asciiTheme="majorHAnsi" w:hAnsiTheme="majorHAnsi"/>
        </w:rPr>
        <w:t xml:space="preserve">, with details of the deprivation scale </w:t>
      </w:r>
      <w:r w:rsidR="0050330B" w:rsidRPr="000F45BD">
        <w:rPr>
          <w:rFonts w:asciiTheme="majorHAnsi" w:hAnsiTheme="majorHAnsi"/>
        </w:rPr>
        <w:t xml:space="preserve">overall and at the school level </w:t>
      </w:r>
      <w:r w:rsidR="00F905BF" w:rsidRPr="000F45BD">
        <w:rPr>
          <w:rFonts w:asciiTheme="majorHAnsi" w:hAnsiTheme="majorHAnsi"/>
        </w:rPr>
        <w:t>presented in table 3</w:t>
      </w:r>
      <w:r w:rsidRPr="000F45BD">
        <w:rPr>
          <w:rFonts w:asciiTheme="majorHAnsi" w:hAnsiTheme="majorHAnsi"/>
        </w:rPr>
        <w:t>.  A weighting variable was used which was constructed based on three criteria: to account for selection probability; to ensure the sample represented the population within each country in terms of age and gender; and to ensure that each country had an equal weight in comparative analysis (</w:t>
      </w:r>
      <w:proofErr w:type="spellStart"/>
      <w:r w:rsidRPr="000F45BD">
        <w:rPr>
          <w:rFonts w:asciiTheme="majorHAnsi" w:hAnsiTheme="majorHAnsi"/>
        </w:rPr>
        <w:t>ie</w:t>
      </w:r>
      <w:proofErr w:type="spellEnd"/>
      <w:r w:rsidRPr="000F45BD">
        <w:rPr>
          <w:rFonts w:asciiTheme="majorHAnsi" w:hAnsiTheme="majorHAnsi"/>
        </w:rPr>
        <w:t>. countries with larger samples were weighted</w:t>
      </w:r>
      <w:r w:rsidR="000C5814" w:rsidRPr="000F45BD">
        <w:rPr>
          <w:rFonts w:asciiTheme="majorHAnsi" w:hAnsiTheme="majorHAnsi"/>
        </w:rPr>
        <w:t xml:space="preserve"> downwards</w:t>
      </w:r>
      <w:r w:rsidRPr="000F45BD">
        <w:rPr>
          <w:rFonts w:asciiTheme="majorHAnsi" w:hAnsiTheme="majorHAnsi"/>
        </w:rPr>
        <w:t xml:space="preserve"> so that </w:t>
      </w:r>
      <w:r w:rsidR="000C5814" w:rsidRPr="000F45BD">
        <w:rPr>
          <w:rFonts w:asciiTheme="majorHAnsi" w:hAnsiTheme="majorHAnsi"/>
        </w:rPr>
        <w:t>they did not overly influence findings</w:t>
      </w:r>
      <w:r w:rsidRPr="000F45BD">
        <w:rPr>
          <w:rFonts w:asciiTheme="majorHAnsi" w:hAnsiTheme="majorHAnsi"/>
        </w:rPr>
        <w:t xml:space="preserve">).  </w:t>
      </w:r>
      <w:r w:rsidR="005C461E" w:rsidRPr="000F45BD">
        <w:rPr>
          <w:rFonts w:asciiTheme="majorHAnsi" w:hAnsiTheme="majorHAnsi"/>
        </w:rPr>
        <w:t xml:space="preserve">It should be noted that weighting does not compensate for differential response rates based on </w:t>
      </w:r>
      <w:r w:rsidR="005C461E" w:rsidRPr="000F45BD">
        <w:rPr>
          <w:rFonts w:asciiTheme="majorHAnsi" w:hAnsiTheme="majorHAnsi"/>
        </w:rPr>
        <w:lastRenderedPageBreak/>
        <w:t xml:space="preserve">participant characteristics (e.g. socio-economic status, </w:t>
      </w:r>
      <w:proofErr w:type="spellStart"/>
      <w:r w:rsidR="005C461E" w:rsidRPr="000F45BD">
        <w:rPr>
          <w:rFonts w:asciiTheme="majorHAnsi" w:hAnsiTheme="majorHAnsi"/>
        </w:rPr>
        <w:t>etc</w:t>
      </w:r>
      <w:proofErr w:type="spellEnd"/>
      <w:r w:rsidR="005C461E" w:rsidRPr="000F45BD">
        <w:rPr>
          <w:rFonts w:asciiTheme="majorHAnsi" w:hAnsiTheme="majorHAnsi"/>
        </w:rPr>
        <w:t xml:space="preserve">).  </w:t>
      </w:r>
      <w:r w:rsidRPr="000F45BD">
        <w:rPr>
          <w:rFonts w:asciiTheme="majorHAnsi" w:hAnsiTheme="majorHAnsi"/>
        </w:rPr>
        <w:t xml:space="preserve">In table 2, unweighted numbers of participants </w:t>
      </w:r>
      <w:r w:rsidR="00B23510" w:rsidRPr="000F45BD">
        <w:rPr>
          <w:rFonts w:asciiTheme="majorHAnsi" w:hAnsiTheme="majorHAnsi"/>
        </w:rPr>
        <w:t xml:space="preserve">and schools </w:t>
      </w:r>
      <w:r w:rsidRPr="000F45BD">
        <w:rPr>
          <w:rFonts w:asciiTheme="majorHAnsi" w:hAnsiTheme="majorHAnsi"/>
        </w:rPr>
        <w:t>are provided for each country, but percentages are based on weighted totals</w:t>
      </w:r>
      <w:r w:rsidR="000C5814" w:rsidRPr="000F45BD">
        <w:rPr>
          <w:rFonts w:asciiTheme="majorHAnsi" w:hAnsiTheme="majorHAnsi"/>
        </w:rPr>
        <w:t>.</w:t>
      </w:r>
    </w:p>
    <w:p w14:paraId="134694BC" w14:textId="77777777" w:rsidR="000C5814" w:rsidRPr="000F45BD" w:rsidRDefault="000C5814" w:rsidP="00D4634E">
      <w:pPr>
        <w:spacing w:before="100" w:beforeAutospacing="1" w:after="100" w:afterAutospacing="1" w:line="240" w:lineRule="auto"/>
        <w:jc w:val="both"/>
        <w:rPr>
          <w:rFonts w:asciiTheme="majorHAnsi" w:hAnsiTheme="majorHAnsi"/>
        </w:rPr>
        <w:sectPr w:rsidR="000C5814" w:rsidRPr="000F45BD">
          <w:pgSz w:w="11906" w:h="16838"/>
          <w:pgMar w:top="1440" w:right="1440" w:bottom="1440" w:left="1440" w:header="708" w:footer="708" w:gutter="0"/>
          <w:cols w:space="708"/>
          <w:docGrid w:linePitch="360"/>
        </w:sectPr>
      </w:pPr>
    </w:p>
    <w:p w14:paraId="15C49E15" w14:textId="5683F495" w:rsidR="00B55B66" w:rsidRPr="000F45BD" w:rsidRDefault="00B55B66"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lastRenderedPageBreak/>
        <w:t>Table 2: Descriptive statistics for the sample</w:t>
      </w:r>
    </w:p>
    <w:tbl>
      <w:tblPr>
        <w:tblStyle w:val="TableGrid"/>
        <w:tblW w:w="13575" w:type="dxa"/>
        <w:tblLayout w:type="fixed"/>
        <w:tblLook w:val="04A0" w:firstRow="1" w:lastRow="0" w:firstColumn="1" w:lastColumn="0" w:noHBand="0" w:noVBand="1"/>
      </w:tblPr>
      <w:tblGrid>
        <w:gridCol w:w="1049"/>
        <w:gridCol w:w="902"/>
        <w:gridCol w:w="851"/>
        <w:gridCol w:w="708"/>
        <w:gridCol w:w="709"/>
        <w:gridCol w:w="851"/>
        <w:gridCol w:w="850"/>
        <w:gridCol w:w="709"/>
        <w:gridCol w:w="709"/>
        <w:gridCol w:w="708"/>
        <w:gridCol w:w="709"/>
        <w:gridCol w:w="709"/>
        <w:gridCol w:w="709"/>
        <w:gridCol w:w="708"/>
        <w:gridCol w:w="851"/>
        <w:gridCol w:w="1134"/>
        <w:gridCol w:w="709"/>
      </w:tblGrid>
      <w:tr w:rsidR="00F905BF" w:rsidRPr="000F45BD" w14:paraId="053BA7B6" w14:textId="77777777" w:rsidTr="00F905BF">
        <w:tc>
          <w:tcPr>
            <w:tcW w:w="1049" w:type="dxa"/>
          </w:tcPr>
          <w:p w14:paraId="32F13E6E" w14:textId="77777777" w:rsidR="00F905BF" w:rsidRPr="000F45BD" w:rsidRDefault="00F905BF" w:rsidP="00D4634E">
            <w:pPr>
              <w:spacing w:before="100" w:beforeAutospacing="1" w:after="100" w:afterAutospacing="1"/>
              <w:jc w:val="center"/>
              <w:rPr>
                <w:rFonts w:asciiTheme="majorHAnsi" w:hAnsiTheme="majorHAnsi"/>
                <w:b/>
                <w:sz w:val="18"/>
              </w:rPr>
            </w:pPr>
          </w:p>
        </w:tc>
        <w:tc>
          <w:tcPr>
            <w:tcW w:w="902" w:type="dxa"/>
          </w:tcPr>
          <w:p w14:paraId="6BF4E1A4"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n</w:t>
            </w:r>
          </w:p>
        </w:tc>
        <w:tc>
          <w:tcPr>
            <w:tcW w:w="851" w:type="dxa"/>
          </w:tcPr>
          <w:p w14:paraId="6CC11458" w14:textId="0FE87D7D"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n schools</w:t>
            </w:r>
          </w:p>
        </w:tc>
        <w:tc>
          <w:tcPr>
            <w:tcW w:w="1417" w:type="dxa"/>
            <w:gridSpan w:val="2"/>
          </w:tcPr>
          <w:p w14:paraId="2C814F0F" w14:textId="3871471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Age</w:t>
            </w:r>
          </w:p>
        </w:tc>
        <w:tc>
          <w:tcPr>
            <w:tcW w:w="1701" w:type="dxa"/>
            <w:gridSpan w:val="2"/>
          </w:tcPr>
          <w:p w14:paraId="77C2BD4D"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Gender</w:t>
            </w:r>
          </w:p>
        </w:tc>
        <w:tc>
          <w:tcPr>
            <w:tcW w:w="2126" w:type="dxa"/>
            <w:gridSpan w:val="3"/>
          </w:tcPr>
          <w:p w14:paraId="04E51E6C"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N parents</w:t>
            </w:r>
          </w:p>
        </w:tc>
        <w:tc>
          <w:tcPr>
            <w:tcW w:w="1418" w:type="dxa"/>
            <w:gridSpan w:val="2"/>
          </w:tcPr>
          <w:p w14:paraId="64CCDAFE"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Siblings</w:t>
            </w:r>
          </w:p>
        </w:tc>
        <w:tc>
          <w:tcPr>
            <w:tcW w:w="1417" w:type="dxa"/>
            <w:gridSpan w:val="2"/>
          </w:tcPr>
          <w:p w14:paraId="21FA203C"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Grandparents</w:t>
            </w:r>
          </w:p>
        </w:tc>
        <w:tc>
          <w:tcPr>
            <w:tcW w:w="851" w:type="dxa"/>
          </w:tcPr>
          <w:p w14:paraId="65B9C8A1"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PWI-SC</w:t>
            </w:r>
          </w:p>
        </w:tc>
        <w:tc>
          <w:tcPr>
            <w:tcW w:w="1134" w:type="dxa"/>
          </w:tcPr>
          <w:p w14:paraId="2352AB52"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GDP</w:t>
            </w:r>
          </w:p>
        </w:tc>
        <w:tc>
          <w:tcPr>
            <w:tcW w:w="709" w:type="dxa"/>
          </w:tcPr>
          <w:p w14:paraId="358332AB"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Gini</w:t>
            </w:r>
          </w:p>
        </w:tc>
      </w:tr>
      <w:tr w:rsidR="00F905BF" w:rsidRPr="000F45BD" w14:paraId="5131E314" w14:textId="77777777" w:rsidTr="00F905BF">
        <w:tc>
          <w:tcPr>
            <w:tcW w:w="1049" w:type="dxa"/>
          </w:tcPr>
          <w:p w14:paraId="5C9D9F92"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Country</w:t>
            </w:r>
          </w:p>
        </w:tc>
        <w:tc>
          <w:tcPr>
            <w:tcW w:w="902" w:type="dxa"/>
          </w:tcPr>
          <w:p w14:paraId="25FF958F" w14:textId="77777777" w:rsidR="00F905BF" w:rsidRPr="000F45BD" w:rsidRDefault="00F905BF" w:rsidP="00D4634E">
            <w:pPr>
              <w:spacing w:before="100" w:beforeAutospacing="1" w:after="100" w:afterAutospacing="1"/>
              <w:jc w:val="center"/>
              <w:rPr>
                <w:rFonts w:asciiTheme="majorHAnsi" w:hAnsiTheme="majorHAnsi"/>
                <w:b/>
                <w:sz w:val="18"/>
              </w:rPr>
            </w:pPr>
          </w:p>
        </w:tc>
        <w:tc>
          <w:tcPr>
            <w:tcW w:w="851" w:type="dxa"/>
          </w:tcPr>
          <w:p w14:paraId="3169F54A" w14:textId="77777777" w:rsidR="00F905BF" w:rsidRPr="000F45BD" w:rsidRDefault="00F905BF" w:rsidP="00D4634E">
            <w:pPr>
              <w:spacing w:before="100" w:beforeAutospacing="1" w:after="100" w:afterAutospacing="1"/>
              <w:jc w:val="center"/>
              <w:rPr>
                <w:rFonts w:asciiTheme="majorHAnsi" w:hAnsiTheme="majorHAnsi"/>
                <w:b/>
                <w:sz w:val="18"/>
              </w:rPr>
            </w:pPr>
          </w:p>
        </w:tc>
        <w:tc>
          <w:tcPr>
            <w:tcW w:w="708" w:type="dxa"/>
          </w:tcPr>
          <w:p w14:paraId="5919498B" w14:textId="46366FC0"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10</w:t>
            </w:r>
          </w:p>
        </w:tc>
        <w:tc>
          <w:tcPr>
            <w:tcW w:w="709" w:type="dxa"/>
          </w:tcPr>
          <w:p w14:paraId="3A2734FC"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12</w:t>
            </w:r>
          </w:p>
        </w:tc>
        <w:tc>
          <w:tcPr>
            <w:tcW w:w="851" w:type="dxa"/>
          </w:tcPr>
          <w:p w14:paraId="0D287913"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Boy</w:t>
            </w:r>
          </w:p>
        </w:tc>
        <w:tc>
          <w:tcPr>
            <w:tcW w:w="850" w:type="dxa"/>
          </w:tcPr>
          <w:p w14:paraId="64B972FD"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Girl</w:t>
            </w:r>
          </w:p>
        </w:tc>
        <w:tc>
          <w:tcPr>
            <w:tcW w:w="709" w:type="dxa"/>
          </w:tcPr>
          <w:p w14:paraId="397D50BE"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0</w:t>
            </w:r>
          </w:p>
        </w:tc>
        <w:tc>
          <w:tcPr>
            <w:tcW w:w="709" w:type="dxa"/>
          </w:tcPr>
          <w:p w14:paraId="178F5408"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1</w:t>
            </w:r>
          </w:p>
        </w:tc>
        <w:tc>
          <w:tcPr>
            <w:tcW w:w="708" w:type="dxa"/>
          </w:tcPr>
          <w:p w14:paraId="70976390"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2</w:t>
            </w:r>
          </w:p>
        </w:tc>
        <w:tc>
          <w:tcPr>
            <w:tcW w:w="709" w:type="dxa"/>
          </w:tcPr>
          <w:p w14:paraId="7AD36F0A"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Yes</w:t>
            </w:r>
          </w:p>
        </w:tc>
        <w:tc>
          <w:tcPr>
            <w:tcW w:w="709" w:type="dxa"/>
          </w:tcPr>
          <w:p w14:paraId="1C57C9D9"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No</w:t>
            </w:r>
          </w:p>
        </w:tc>
        <w:tc>
          <w:tcPr>
            <w:tcW w:w="709" w:type="dxa"/>
          </w:tcPr>
          <w:p w14:paraId="6EE73D01"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Yes</w:t>
            </w:r>
          </w:p>
        </w:tc>
        <w:tc>
          <w:tcPr>
            <w:tcW w:w="708" w:type="dxa"/>
          </w:tcPr>
          <w:p w14:paraId="381C51E4"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No</w:t>
            </w:r>
          </w:p>
        </w:tc>
        <w:tc>
          <w:tcPr>
            <w:tcW w:w="851" w:type="dxa"/>
          </w:tcPr>
          <w:p w14:paraId="5788A513" w14:textId="77777777" w:rsidR="00F905BF" w:rsidRPr="000F45BD" w:rsidRDefault="00F905BF" w:rsidP="00D4634E">
            <w:pPr>
              <w:spacing w:before="100" w:beforeAutospacing="1" w:after="100" w:afterAutospacing="1"/>
              <w:jc w:val="center"/>
              <w:rPr>
                <w:rFonts w:asciiTheme="majorHAnsi" w:hAnsiTheme="majorHAnsi"/>
                <w:b/>
                <w:sz w:val="18"/>
              </w:rPr>
            </w:pPr>
          </w:p>
        </w:tc>
        <w:tc>
          <w:tcPr>
            <w:tcW w:w="1134" w:type="dxa"/>
          </w:tcPr>
          <w:p w14:paraId="30319B80" w14:textId="77777777" w:rsidR="00F905BF" w:rsidRPr="000F45BD" w:rsidRDefault="00F905BF" w:rsidP="00D4634E">
            <w:pPr>
              <w:spacing w:before="100" w:beforeAutospacing="1" w:after="100" w:afterAutospacing="1"/>
              <w:jc w:val="center"/>
              <w:rPr>
                <w:rFonts w:asciiTheme="majorHAnsi" w:hAnsiTheme="majorHAnsi"/>
                <w:b/>
                <w:sz w:val="18"/>
              </w:rPr>
            </w:pPr>
          </w:p>
        </w:tc>
        <w:tc>
          <w:tcPr>
            <w:tcW w:w="709" w:type="dxa"/>
          </w:tcPr>
          <w:p w14:paraId="7A274FEB" w14:textId="77777777" w:rsidR="00F905BF" w:rsidRPr="000F45BD" w:rsidRDefault="00F905BF" w:rsidP="00D4634E">
            <w:pPr>
              <w:spacing w:before="100" w:beforeAutospacing="1" w:after="100" w:afterAutospacing="1"/>
              <w:jc w:val="center"/>
              <w:rPr>
                <w:rFonts w:asciiTheme="majorHAnsi" w:hAnsiTheme="majorHAnsi"/>
                <w:b/>
                <w:sz w:val="18"/>
              </w:rPr>
            </w:pPr>
          </w:p>
        </w:tc>
      </w:tr>
      <w:tr w:rsidR="00F905BF" w:rsidRPr="000F45BD" w14:paraId="30A53315" w14:textId="77777777" w:rsidTr="00F905BF">
        <w:tc>
          <w:tcPr>
            <w:tcW w:w="1049" w:type="dxa"/>
          </w:tcPr>
          <w:p w14:paraId="01E16816"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Algeria</w:t>
            </w:r>
          </w:p>
        </w:tc>
        <w:tc>
          <w:tcPr>
            <w:tcW w:w="902" w:type="dxa"/>
          </w:tcPr>
          <w:p w14:paraId="3F62C41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2,343</w:t>
            </w:r>
          </w:p>
        </w:tc>
        <w:tc>
          <w:tcPr>
            <w:tcW w:w="851" w:type="dxa"/>
          </w:tcPr>
          <w:p w14:paraId="4DAD647F" w14:textId="7CE018A9"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29</w:t>
            </w:r>
          </w:p>
        </w:tc>
        <w:tc>
          <w:tcPr>
            <w:tcW w:w="708" w:type="dxa"/>
          </w:tcPr>
          <w:p w14:paraId="4B09BE16" w14:textId="48F3D7DF"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49.86</w:t>
            </w:r>
          </w:p>
        </w:tc>
        <w:tc>
          <w:tcPr>
            <w:tcW w:w="709" w:type="dxa"/>
          </w:tcPr>
          <w:p w14:paraId="4FCE3C0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50.14</w:t>
            </w:r>
          </w:p>
        </w:tc>
        <w:tc>
          <w:tcPr>
            <w:tcW w:w="851" w:type="dxa"/>
          </w:tcPr>
          <w:p w14:paraId="35E1401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53.15</w:t>
            </w:r>
          </w:p>
        </w:tc>
        <w:tc>
          <w:tcPr>
            <w:tcW w:w="850" w:type="dxa"/>
          </w:tcPr>
          <w:p w14:paraId="1D65907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46.85</w:t>
            </w:r>
          </w:p>
        </w:tc>
        <w:tc>
          <w:tcPr>
            <w:tcW w:w="709" w:type="dxa"/>
          </w:tcPr>
          <w:p w14:paraId="5C652A8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2.53</w:t>
            </w:r>
          </w:p>
        </w:tc>
        <w:tc>
          <w:tcPr>
            <w:tcW w:w="709" w:type="dxa"/>
          </w:tcPr>
          <w:p w14:paraId="301E824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7.76</w:t>
            </w:r>
          </w:p>
        </w:tc>
        <w:tc>
          <w:tcPr>
            <w:tcW w:w="708" w:type="dxa"/>
          </w:tcPr>
          <w:p w14:paraId="1D7968F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89.71</w:t>
            </w:r>
          </w:p>
        </w:tc>
        <w:tc>
          <w:tcPr>
            <w:tcW w:w="709" w:type="dxa"/>
          </w:tcPr>
          <w:p w14:paraId="55BD816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86.57</w:t>
            </w:r>
          </w:p>
        </w:tc>
        <w:tc>
          <w:tcPr>
            <w:tcW w:w="709" w:type="dxa"/>
          </w:tcPr>
          <w:p w14:paraId="621A684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13.43</w:t>
            </w:r>
          </w:p>
        </w:tc>
        <w:tc>
          <w:tcPr>
            <w:tcW w:w="709" w:type="dxa"/>
          </w:tcPr>
          <w:p w14:paraId="2A1EF1B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25.96</w:t>
            </w:r>
          </w:p>
        </w:tc>
        <w:tc>
          <w:tcPr>
            <w:tcW w:w="708" w:type="dxa"/>
          </w:tcPr>
          <w:p w14:paraId="002BBA5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74.04</w:t>
            </w:r>
          </w:p>
        </w:tc>
        <w:tc>
          <w:tcPr>
            <w:tcW w:w="851" w:type="dxa"/>
          </w:tcPr>
          <w:p w14:paraId="25D744A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60.76</w:t>
            </w:r>
          </w:p>
        </w:tc>
        <w:tc>
          <w:tcPr>
            <w:tcW w:w="1134" w:type="dxa"/>
          </w:tcPr>
          <w:p w14:paraId="4E72271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5360.70</w:t>
            </w:r>
          </w:p>
        </w:tc>
        <w:tc>
          <w:tcPr>
            <w:tcW w:w="709" w:type="dxa"/>
          </w:tcPr>
          <w:p w14:paraId="0C5193F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b/>
                <w:bCs/>
                <w:i/>
                <w:iCs/>
                <w:sz w:val="18"/>
                <w:lang w:eastAsia="en-GB"/>
              </w:rPr>
              <w:t>35.3*</w:t>
            </w:r>
          </w:p>
        </w:tc>
      </w:tr>
      <w:tr w:rsidR="00F905BF" w:rsidRPr="000F45BD" w14:paraId="5C44B496" w14:textId="77777777" w:rsidTr="00F905BF">
        <w:tc>
          <w:tcPr>
            <w:tcW w:w="1049" w:type="dxa"/>
          </w:tcPr>
          <w:p w14:paraId="4CA57EC0"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Colombia</w:t>
            </w:r>
          </w:p>
        </w:tc>
        <w:tc>
          <w:tcPr>
            <w:tcW w:w="902" w:type="dxa"/>
          </w:tcPr>
          <w:p w14:paraId="03FC689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1,850</w:t>
            </w:r>
          </w:p>
        </w:tc>
        <w:tc>
          <w:tcPr>
            <w:tcW w:w="851" w:type="dxa"/>
          </w:tcPr>
          <w:p w14:paraId="4D6C6642" w14:textId="3C1F024E"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29</w:t>
            </w:r>
          </w:p>
        </w:tc>
        <w:tc>
          <w:tcPr>
            <w:tcW w:w="708" w:type="dxa"/>
          </w:tcPr>
          <w:p w14:paraId="05451E5C" w14:textId="0FF537DA"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49.61</w:t>
            </w:r>
          </w:p>
        </w:tc>
        <w:tc>
          <w:tcPr>
            <w:tcW w:w="709" w:type="dxa"/>
          </w:tcPr>
          <w:p w14:paraId="47AA570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50.39</w:t>
            </w:r>
          </w:p>
        </w:tc>
        <w:tc>
          <w:tcPr>
            <w:tcW w:w="851" w:type="dxa"/>
          </w:tcPr>
          <w:p w14:paraId="6CDAB7A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48.73</w:t>
            </w:r>
          </w:p>
        </w:tc>
        <w:tc>
          <w:tcPr>
            <w:tcW w:w="850" w:type="dxa"/>
          </w:tcPr>
          <w:p w14:paraId="1DC4A6B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51.27</w:t>
            </w:r>
          </w:p>
        </w:tc>
        <w:tc>
          <w:tcPr>
            <w:tcW w:w="709" w:type="dxa"/>
          </w:tcPr>
          <w:p w14:paraId="1C3D5A2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4.78</w:t>
            </w:r>
          </w:p>
        </w:tc>
        <w:tc>
          <w:tcPr>
            <w:tcW w:w="709" w:type="dxa"/>
          </w:tcPr>
          <w:p w14:paraId="78B78A0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35.72</w:t>
            </w:r>
          </w:p>
        </w:tc>
        <w:tc>
          <w:tcPr>
            <w:tcW w:w="708" w:type="dxa"/>
          </w:tcPr>
          <w:p w14:paraId="34378A9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59.49</w:t>
            </w:r>
          </w:p>
        </w:tc>
        <w:tc>
          <w:tcPr>
            <w:tcW w:w="709" w:type="dxa"/>
          </w:tcPr>
          <w:p w14:paraId="51CD489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68.56</w:t>
            </w:r>
          </w:p>
        </w:tc>
        <w:tc>
          <w:tcPr>
            <w:tcW w:w="709" w:type="dxa"/>
          </w:tcPr>
          <w:p w14:paraId="4B6641A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31.44</w:t>
            </w:r>
          </w:p>
        </w:tc>
        <w:tc>
          <w:tcPr>
            <w:tcW w:w="709" w:type="dxa"/>
          </w:tcPr>
          <w:p w14:paraId="2CF1DFD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25.57</w:t>
            </w:r>
          </w:p>
        </w:tc>
        <w:tc>
          <w:tcPr>
            <w:tcW w:w="708" w:type="dxa"/>
          </w:tcPr>
          <w:p w14:paraId="56240C3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74.43</w:t>
            </w:r>
          </w:p>
        </w:tc>
        <w:tc>
          <w:tcPr>
            <w:tcW w:w="851" w:type="dxa"/>
          </w:tcPr>
          <w:p w14:paraId="5233492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64.56</w:t>
            </w:r>
          </w:p>
        </w:tc>
        <w:tc>
          <w:tcPr>
            <w:tcW w:w="1134" w:type="dxa"/>
          </w:tcPr>
          <w:p w14:paraId="148AD7F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7831.20</w:t>
            </w:r>
          </w:p>
        </w:tc>
        <w:tc>
          <w:tcPr>
            <w:tcW w:w="709" w:type="dxa"/>
          </w:tcPr>
          <w:p w14:paraId="2D8B839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53.5</w:t>
            </w:r>
          </w:p>
        </w:tc>
      </w:tr>
      <w:tr w:rsidR="00F905BF" w:rsidRPr="000F45BD" w14:paraId="4E7C12A1" w14:textId="77777777" w:rsidTr="00F905BF">
        <w:tc>
          <w:tcPr>
            <w:tcW w:w="1049" w:type="dxa"/>
          </w:tcPr>
          <w:p w14:paraId="52D0D22E"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England</w:t>
            </w:r>
          </w:p>
        </w:tc>
        <w:tc>
          <w:tcPr>
            <w:tcW w:w="902" w:type="dxa"/>
          </w:tcPr>
          <w:p w14:paraId="301C19E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2,246</w:t>
            </w:r>
          </w:p>
        </w:tc>
        <w:tc>
          <w:tcPr>
            <w:tcW w:w="851" w:type="dxa"/>
          </w:tcPr>
          <w:p w14:paraId="3FA46E8D" w14:textId="0CA84E5E"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45</w:t>
            </w:r>
          </w:p>
        </w:tc>
        <w:tc>
          <w:tcPr>
            <w:tcW w:w="708" w:type="dxa"/>
          </w:tcPr>
          <w:p w14:paraId="411BBCE4" w14:textId="529BD76E"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49.84</w:t>
            </w:r>
          </w:p>
        </w:tc>
        <w:tc>
          <w:tcPr>
            <w:tcW w:w="709" w:type="dxa"/>
          </w:tcPr>
          <w:p w14:paraId="602A533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50.16</w:t>
            </w:r>
          </w:p>
        </w:tc>
        <w:tc>
          <w:tcPr>
            <w:tcW w:w="851" w:type="dxa"/>
          </w:tcPr>
          <w:p w14:paraId="52C73D6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51.10</w:t>
            </w:r>
          </w:p>
        </w:tc>
        <w:tc>
          <w:tcPr>
            <w:tcW w:w="850" w:type="dxa"/>
          </w:tcPr>
          <w:p w14:paraId="408B326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48.90</w:t>
            </w:r>
          </w:p>
        </w:tc>
        <w:tc>
          <w:tcPr>
            <w:tcW w:w="709" w:type="dxa"/>
          </w:tcPr>
          <w:p w14:paraId="371A0DD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1.83</w:t>
            </w:r>
          </w:p>
        </w:tc>
        <w:tc>
          <w:tcPr>
            <w:tcW w:w="709" w:type="dxa"/>
          </w:tcPr>
          <w:p w14:paraId="7D9191D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30.79</w:t>
            </w:r>
          </w:p>
        </w:tc>
        <w:tc>
          <w:tcPr>
            <w:tcW w:w="708" w:type="dxa"/>
          </w:tcPr>
          <w:p w14:paraId="54951A2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67.37</w:t>
            </w:r>
          </w:p>
        </w:tc>
        <w:tc>
          <w:tcPr>
            <w:tcW w:w="709" w:type="dxa"/>
          </w:tcPr>
          <w:p w14:paraId="77185E3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83.21</w:t>
            </w:r>
          </w:p>
        </w:tc>
        <w:tc>
          <w:tcPr>
            <w:tcW w:w="709" w:type="dxa"/>
          </w:tcPr>
          <w:p w14:paraId="7CE287D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16.79</w:t>
            </w:r>
          </w:p>
        </w:tc>
        <w:tc>
          <w:tcPr>
            <w:tcW w:w="709" w:type="dxa"/>
          </w:tcPr>
          <w:p w14:paraId="19814D3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4.81</w:t>
            </w:r>
          </w:p>
        </w:tc>
        <w:tc>
          <w:tcPr>
            <w:tcW w:w="708" w:type="dxa"/>
          </w:tcPr>
          <w:p w14:paraId="107D282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95.19</w:t>
            </w:r>
          </w:p>
        </w:tc>
        <w:tc>
          <w:tcPr>
            <w:tcW w:w="851" w:type="dxa"/>
          </w:tcPr>
          <w:p w14:paraId="67BCD42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60.47</w:t>
            </w:r>
          </w:p>
        </w:tc>
        <w:tc>
          <w:tcPr>
            <w:tcW w:w="1134" w:type="dxa"/>
          </w:tcPr>
          <w:p w14:paraId="5223939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41787.50</w:t>
            </w:r>
          </w:p>
        </w:tc>
        <w:tc>
          <w:tcPr>
            <w:tcW w:w="709" w:type="dxa"/>
          </w:tcPr>
          <w:p w14:paraId="39E2D7C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32.3</w:t>
            </w:r>
          </w:p>
        </w:tc>
      </w:tr>
      <w:tr w:rsidR="00F905BF" w:rsidRPr="000F45BD" w14:paraId="54DC9355" w14:textId="77777777" w:rsidTr="00F905BF">
        <w:tc>
          <w:tcPr>
            <w:tcW w:w="1049" w:type="dxa"/>
          </w:tcPr>
          <w:p w14:paraId="08E38C93"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Estonia</w:t>
            </w:r>
          </w:p>
        </w:tc>
        <w:tc>
          <w:tcPr>
            <w:tcW w:w="902" w:type="dxa"/>
          </w:tcPr>
          <w:p w14:paraId="1C948DF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1,961</w:t>
            </w:r>
          </w:p>
        </w:tc>
        <w:tc>
          <w:tcPr>
            <w:tcW w:w="851" w:type="dxa"/>
          </w:tcPr>
          <w:p w14:paraId="72EB0E1C" w14:textId="2FD3326F"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47</w:t>
            </w:r>
          </w:p>
        </w:tc>
        <w:tc>
          <w:tcPr>
            <w:tcW w:w="708" w:type="dxa"/>
          </w:tcPr>
          <w:p w14:paraId="0A16F6CE" w14:textId="2231FE0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49.83</w:t>
            </w:r>
          </w:p>
        </w:tc>
        <w:tc>
          <w:tcPr>
            <w:tcW w:w="709" w:type="dxa"/>
          </w:tcPr>
          <w:p w14:paraId="2E06E78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50.17</w:t>
            </w:r>
          </w:p>
        </w:tc>
        <w:tc>
          <w:tcPr>
            <w:tcW w:w="851" w:type="dxa"/>
          </w:tcPr>
          <w:p w14:paraId="59EDADD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50.98</w:t>
            </w:r>
          </w:p>
        </w:tc>
        <w:tc>
          <w:tcPr>
            <w:tcW w:w="850" w:type="dxa"/>
          </w:tcPr>
          <w:p w14:paraId="0E33E67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49.02</w:t>
            </w:r>
          </w:p>
        </w:tc>
        <w:tc>
          <w:tcPr>
            <w:tcW w:w="709" w:type="dxa"/>
          </w:tcPr>
          <w:p w14:paraId="781DC57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2.35</w:t>
            </w:r>
          </w:p>
        </w:tc>
        <w:tc>
          <w:tcPr>
            <w:tcW w:w="709" w:type="dxa"/>
          </w:tcPr>
          <w:p w14:paraId="292C41D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22.41</w:t>
            </w:r>
          </w:p>
        </w:tc>
        <w:tc>
          <w:tcPr>
            <w:tcW w:w="708" w:type="dxa"/>
          </w:tcPr>
          <w:p w14:paraId="21E69B2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75.24</w:t>
            </w:r>
          </w:p>
        </w:tc>
        <w:tc>
          <w:tcPr>
            <w:tcW w:w="709" w:type="dxa"/>
          </w:tcPr>
          <w:p w14:paraId="26DB6DB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72.04</w:t>
            </w:r>
          </w:p>
        </w:tc>
        <w:tc>
          <w:tcPr>
            <w:tcW w:w="709" w:type="dxa"/>
          </w:tcPr>
          <w:p w14:paraId="4B0D5FB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27.96</w:t>
            </w:r>
          </w:p>
        </w:tc>
        <w:tc>
          <w:tcPr>
            <w:tcW w:w="709" w:type="dxa"/>
          </w:tcPr>
          <w:p w14:paraId="5B1F00C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22.04</w:t>
            </w:r>
          </w:p>
        </w:tc>
        <w:tc>
          <w:tcPr>
            <w:tcW w:w="708" w:type="dxa"/>
          </w:tcPr>
          <w:p w14:paraId="4F6E66D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77.96</w:t>
            </w:r>
          </w:p>
        </w:tc>
        <w:tc>
          <w:tcPr>
            <w:tcW w:w="851" w:type="dxa"/>
          </w:tcPr>
          <w:p w14:paraId="37D2951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61.17</w:t>
            </w:r>
          </w:p>
        </w:tc>
        <w:tc>
          <w:tcPr>
            <w:tcW w:w="1134" w:type="dxa"/>
          </w:tcPr>
          <w:p w14:paraId="24AEE18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18783.10</w:t>
            </w:r>
          </w:p>
        </w:tc>
        <w:tc>
          <w:tcPr>
            <w:tcW w:w="709" w:type="dxa"/>
          </w:tcPr>
          <w:p w14:paraId="640FFFF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32.7</w:t>
            </w:r>
          </w:p>
        </w:tc>
      </w:tr>
      <w:tr w:rsidR="00F905BF" w:rsidRPr="000F45BD" w14:paraId="5A59F858" w14:textId="77777777" w:rsidTr="00F905BF">
        <w:tc>
          <w:tcPr>
            <w:tcW w:w="1049" w:type="dxa"/>
          </w:tcPr>
          <w:p w14:paraId="2D0CF879"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Ethiopia</w:t>
            </w:r>
          </w:p>
        </w:tc>
        <w:tc>
          <w:tcPr>
            <w:tcW w:w="902" w:type="dxa"/>
          </w:tcPr>
          <w:p w14:paraId="65A5169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1,884</w:t>
            </w:r>
          </w:p>
        </w:tc>
        <w:tc>
          <w:tcPr>
            <w:tcW w:w="851" w:type="dxa"/>
          </w:tcPr>
          <w:p w14:paraId="303DA424" w14:textId="54428E56"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100</w:t>
            </w:r>
          </w:p>
        </w:tc>
        <w:tc>
          <w:tcPr>
            <w:tcW w:w="708" w:type="dxa"/>
          </w:tcPr>
          <w:p w14:paraId="095FA600" w14:textId="3E893185"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50.09</w:t>
            </w:r>
          </w:p>
        </w:tc>
        <w:tc>
          <w:tcPr>
            <w:tcW w:w="709" w:type="dxa"/>
          </w:tcPr>
          <w:p w14:paraId="3570020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49.91</w:t>
            </w:r>
          </w:p>
        </w:tc>
        <w:tc>
          <w:tcPr>
            <w:tcW w:w="851" w:type="dxa"/>
          </w:tcPr>
          <w:p w14:paraId="2509961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49.80</w:t>
            </w:r>
          </w:p>
        </w:tc>
        <w:tc>
          <w:tcPr>
            <w:tcW w:w="850" w:type="dxa"/>
          </w:tcPr>
          <w:p w14:paraId="7BCFACE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50.20</w:t>
            </w:r>
          </w:p>
        </w:tc>
        <w:tc>
          <w:tcPr>
            <w:tcW w:w="709" w:type="dxa"/>
          </w:tcPr>
          <w:p w14:paraId="6928C46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4.73</w:t>
            </w:r>
          </w:p>
        </w:tc>
        <w:tc>
          <w:tcPr>
            <w:tcW w:w="709" w:type="dxa"/>
          </w:tcPr>
          <w:p w14:paraId="5C037CF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14.49</w:t>
            </w:r>
          </w:p>
        </w:tc>
        <w:tc>
          <w:tcPr>
            <w:tcW w:w="708" w:type="dxa"/>
          </w:tcPr>
          <w:p w14:paraId="0CDD9F2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80.78</w:t>
            </w:r>
          </w:p>
        </w:tc>
        <w:tc>
          <w:tcPr>
            <w:tcW w:w="709" w:type="dxa"/>
          </w:tcPr>
          <w:p w14:paraId="2D2FF82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86.32</w:t>
            </w:r>
          </w:p>
        </w:tc>
        <w:tc>
          <w:tcPr>
            <w:tcW w:w="709" w:type="dxa"/>
          </w:tcPr>
          <w:p w14:paraId="244EFD1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13.68</w:t>
            </w:r>
          </w:p>
        </w:tc>
        <w:tc>
          <w:tcPr>
            <w:tcW w:w="709" w:type="dxa"/>
          </w:tcPr>
          <w:p w14:paraId="054FC21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22.09</w:t>
            </w:r>
          </w:p>
        </w:tc>
        <w:tc>
          <w:tcPr>
            <w:tcW w:w="708" w:type="dxa"/>
          </w:tcPr>
          <w:p w14:paraId="5FD6577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77.91</w:t>
            </w:r>
          </w:p>
        </w:tc>
        <w:tc>
          <w:tcPr>
            <w:tcW w:w="851" w:type="dxa"/>
          </w:tcPr>
          <w:p w14:paraId="00A21E2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56.64</w:t>
            </w:r>
          </w:p>
        </w:tc>
        <w:tc>
          <w:tcPr>
            <w:tcW w:w="1134" w:type="dxa"/>
          </w:tcPr>
          <w:p w14:paraId="666AA3B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505.00</w:t>
            </w:r>
          </w:p>
        </w:tc>
        <w:tc>
          <w:tcPr>
            <w:tcW w:w="709" w:type="dxa"/>
          </w:tcPr>
          <w:p w14:paraId="24187C0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33.6</w:t>
            </w:r>
          </w:p>
        </w:tc>
      </w:tr>
      <w:tr w:rsidR="00F905BF" w:rsidRPr="000F45BD" w14:paraId="1685BBE4" w14:textId="77777777" w:rsidTr="00F905BF">
        <w:tc>
          <w:tcPr>
            <w:tcW w:w="1049" w:type="dxa"/>
          </w:tcPr>
          <w:p w14:paraId="48993AD5"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Germany</w:t>
            </w:r>
          </w:p>
        </w:tc>
        <w:tc>
          <w:tcPr>
            <w:tcW w:w="902" w:type="dxa"/>
          </w:tcPr>
          <w:p w14:paraId="3972E8A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1,918</w:t>
            </w:r>
          </w:p>
        </w:tc>
        <w:tc>
          <w:tcPr>
            <w:tcW w:w="851" w:type="dxa"/>
          </w:tcPr>
          <w:p w14:paraId="6527EB69" w14:textId="185B540F"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69</w:t>
            </w:r>
          </w:p>
        </w:tc>
        <w:tc>
          <w:tcPr>
            <w:tcW w:w="708" w:type="dxa"/>
          </w:tcPr>
          <w:p w14:paraId="085512E3" w14:textId="47CED756"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50.15</w:t>
            </w:r>
          </w:p>
        </w:tc>
        <w:tc>
          <w:tcPr>
            <w:tcW w:w="709" w:type="dxa"/>
          </w:tcPr>
          <w:p w14:paraId="42C2405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49.85</w:t>
            </w:r>
          </w:p>
        </w:tc>
        <w:tc>
          <w:tcPr>
            <w:tcW w:w="851" w:type="dxa"/>
          </w:tcPr>
          <w:p w14:paraId="312C2EF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48.40</w:t>
            </w:r>
          </w:p>
        </w:tc>
        <w:tc>
          <w:tcPr>
            <w:tcW w:w="850" w:type="dxa"/>
          </w:tcPr>
          <w:p w14:paraId="0711906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51.60</w:t>
            </w:r>
          </w:p>
        </w:tc>
        <w:tc>
          <w:tcPr>
            <w:tcW w:w="709" w:type="dxa"/>
          </w:tcPr>
          <w:p w14:paraId="47DD390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0.96</w:t>
            </w:r>
          </w:p>
        </w:tc>
        <w:tc>
          <w:tcPr>
            <w:tcW w:w="709" w:type="dxa"/>
          </w:tcPr>
          <w:p w14:paraId="0CE270B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22.58</w:t>
            </w:r>
          </w:p>
        </w:tc>
        <w:tc>
          <w:tcPr>
            <w:tcW w:w="708" w:type="dxa"/>
          </w:tcPr>
          <w:p w14:paraId="660A801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76.46</w:t>
            </w:r>
          </w:p>
        </w:tc>
        <w:tc>
          <w:tcPr>
            <w:tcW w:w="709" w:type="dxa"/>
          </w:tcPr>
          <w:p w14:paraId="3BE0858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76.69</w:t>
            </w:r>
          </w:p>
        </w:tc>
        <w:tc>
          <w:tcPr>
            <w:tcW w:w="709" w:type="dxa"/>
          </w:tcPr>
          <w:p w14:paraId="2F6FC5C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23.31</w:t>
            </w:r>
          </w:p>
        </w:tc>
        <w:tc>
          <w:tcPr>
            <w:tcW w:w="709" w:type="dxa"/>
          </w:tcPr>
          <w:p w14:paraId="6E03BB3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15.77</w:t>
            </w:r>
          </w:p>
        </w:tc>
        <w:tc>
          <w:tcPr>
            <w:tcW w:w="708" w:type="dxa"/>
          </w:tcPr>
          <w:p w14:paraId="2032D95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84.23</w:t>
            </w:r>
          </w:p>
        </w:tc>
        <w:tc>
          <w:tcPr>
            <w:tcW w:w="851" w:type="dxa"/>
          </w:tcPr>
          <w:p w14:paraId="2DBC226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61.74</w:t>
            </w:r>
          </w:p>
        </w:tc>
        <w:tc>
          <w:tcPr>
            <w:tcW w:w="1134" w:type="dxa"/>
          </w:tcPr>
          <w:p w14:paraId="2580315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46268.60</w:t>
            </w:r>
          </w:p>
        </w:tc>
        <w:tc>
          <w:tcPr>
            <w:tcW w:w="709" w:type="dxa"/>
          </w:tcPr>
          <w:p w14:paraId="41F2B13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30.6</w:t>
            </w:r>
          </w:p>
        </w:tc>
      </w:tr>
      <w:tr w:rsidR="00F905BF" w:rsidRPr="000F45BD" w14:paraId="2ED9482E" w14:textId="77777777" w:rsidTr="00F905BF">
        <w:tc>
          <w:tcPr>
            <w:tcW w:w="1049" w:type="dxa"/>
          </w:tcPr>
          <w:p w14:paraId="2385C7B0"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Israel</w:t>
            </w:r>
          </w:p>
        </w:tc>
        <w:tc>
          <w:tcPr>
            <w:tcW w:w="902" w:type="dxa"/>
          </w:tcPr>
          <w:p w14:paraId="5E4A64B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1,817</w:t>
            </w:r>
          </w:p>
        </w:tc>
        <w:tc>
          <w:tcPr>
            <w:tcW w:w="851" w:type="dxa"/>
          </w:tcPr>
          <w:p w14:paraId="70466E27" w14:textId="02B47CA0"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39</w:t>
            </w:r>
          </w:p>
        </w:tc>
        <w:tc>
          <w:tcPr>
            <w:tcW w:w="708" w:type="dxa"/>
          </w:tcPr>
          <w:p w14:paraId="67064F50" w14:textId="477F0DEF"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50.13</w:t>
            </w:r>
          </w:p>
        </w:tc>
        <w:tc>
          <w:tcPr>
            <w:tcW w:w="709" w:type="dxa"/>
          </w:tcPr>
          <w:p w14:paraId="781DAEE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49.87</w:t>
            </w:r>
          </w:p>
        </w:tc>
        <w:tc>
          <w:tcPr>
            <w:tcW w:w="851" w:type="dxa"/>
          </w:tcPr>
          <w:p w14:paraId="25CC34B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47.61</w:t>
            </w:r>
          </w:p>
        </w:tc>
        <w:tc>
          <w:tcPr>
            <w:tcW w:w="850" w:type="dxa"/>
          </w:tcPr>
          <w:p w14:paraId="260EB43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52.39</w:t>
            </w:r>
          </w:p>
        </w:tc>
        <w:tc>
          <w:tcPr>
            <w:tcW w:w="709" w:type="dxa"/>
          </w:tcPr>
          <w:p w14:paraId="1D25294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0.83</w:t>
            </w:r>
          </w:p>
        </w:tc>
        <w:tc>
          <w:tcPr>
            <w:tcW w:w="709" w:type="dxa"/>
          </w:tcPr>
          <w:p w14:paraId="35AD6D9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9.67</w:t>
            </w:r>
          </w:p>
        </w:tc>
        <w:tc>
          <w:tcPr>
            <w:tcW w:w="708" w:type="dxa"/>
          </w:tcPr>
          <w:p w14:paraId="59515FA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89.50</w:t>
            </w:r>
          </w:p>
        </w:tc>
        <w:tc>
          <w:tcPr>
            <w:tcW w:w="709" w:type="dxa"/>
          </w:tcPr>
          <w:p w14:paraId="21CEFC1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91.09</w:t>
            </w:r>
          </w:p>
        </w:tc>
        <w:tc>
          <w:tcPr>
            <w:tcW w:w="709" w:type="dxa"/>
          </w:tcPr>
          <w:p w14:paraId="1CAA765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8.91</w:t>
            </w:r>
          </w:p>
        </w:tc>
        <w:tc>
          <w:tcPr>
            <w:tcW w:w="709" w:type="dxa"/>
          </w:tcPr>
          <w:p w14:paraId="528BD6D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6.76</w:t>
            </w:r>
          </w:p>
        </w:tc>
        <w:tc>
          <w:tcPr>
            <w:tcW w:w="708" w:type="dxa"/>
          </w:tcPr>
          <w:p w14:paraId="59BD655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93.24</w:t>
            </w:r>
          </w:p>
        </w:tc>
        <w:tc>
          <w:tcPr>
            <w:tcW w:w="851" w:type="dxa"/>
          </w:tcPr>
          <w:p w14:paraId="5489E17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63.25</w:t>
            </w:r>
          </w:p>
        </w:tc>
        <w:tc>
          <w:tcPr>
            <w:tcW w:w="1134" w:type="dxa"/>
          </w:tcPr>
          <w:p w14:paraId="489B8AC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36051.10</w:t>
            </w:r>
          </w:p>
        </w:tc>
        <w:tc>
          <w:tcPr>
            <w:tcW w:w="709" w:type="dxa"/>
          </w:tcPr>
          <w:p w14:paraId="12284B3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37.6</w:t>
            </w:r>
          </w:p>
        </w:tc>
      </w:tr>
      <w:tr w:rsidR="00F905BF" w:rsidRPr="000F45BD" w14:paraId="55909399" w14:textId="77777777" w:rsidTr="00F905BF">
        <w:tc>
          <w:tcPr>
            <w:tcW w:w="1049" w:type="dxa"/>
          </w:tcPr>
          <w:p w14:paraId="60B2DB16"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Nepal</w:t>
            </w:r>
          </w:p>
        </w:tc>
        <w:tc>
          <w:tcPr>
            <w:tcW w:w="902" w:type="dxa"/>
          </w:tcPr>
          <w:p w14:paraId="488BB4A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1,939</w:t>
            </w:r>
          </w:p>
        </w:tc>
        <w:tc>
          <w:tcPr>
            <w:tcW w:w="851" w:type="dxa"/>
          </w:tcPr>
          <w:p w14:paraId="71053831" w14:textId="611DA9F0"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88</w:t>
            </w:r>
          </w:p>
        </w:tc>
        <w:tc>
          <w:tcPr>
            <w:tcW w:w="708" w:type="dxa"/>
          </w:tcPr>
          <w:p w14:paraId="329F614F" w14:textId="58FCB053"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49.83</w:t>
            </w:r>
          </w:p>
        </w:tc>
        <w:tc>
          <w:tcPr>
            <w:tcW w:w="709" w:type="dxa"/>
          </w:tcPr>
          <w:p w14:paraId="2764F55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50.17</w:t>
            </w:r>
          </w:p>
        </w:tc>
        <w:tc>
          <w:tcPr>
            <w:tcW w:w="851" w:type="dxa"/>
          </w:tcPr>
          <w:p w14:paraId="67248B5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49.56</w:t>
            </w:r>
          </w:p>
        </w:tc>
        <w:tc>
          <w:tcPr>
            <w:tcW w:w="850" w:type="dxa"/>
          </w:tcPr>
          <w:p w14:paraId="0002F4D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50.44</w:t>
            </w:r>
          </w:p>
        </w:tc>
        <w:tc>
          <w:tcPr>
            <w:tcW w:w="709" w:type="dxa"/>
          </w:tcPr>
          <w:p w14:paraId="0C78446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2.80</w:t>
            </w:r>
          </w:p>
        </w:tc>
        <w:tc>
          <w:tcPr>
            <w:tcW w:w="709" w:type="dxa"/>
          </w:tcPr>
          <w:p w14:paraId="7CE440B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10.84</w:t>
            </w:r>
          </w:p>
        </w:tc>
        <w:tc>
          <w:tcPr>
            <w:tcW w:w="708" w:type="dxa"/>
          </w:tcPr>
          <w:p w14:paraId="5B9471D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86.36</w:t>
            </w:r>
          </w:p>
        </w:tc>
        <w:tc>
          <w:tcPr>
            <w:tcW w:w="709" w:type="dxa"/>
          </w:tcPr>
          <w:p w14:paraId="68E11F0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84.66</w:t>
            </w:r>
          </w:p>
        </w:tc>
        <w:tc>
          <w:tcPr>
            <w:tcW w:w="709" w:type="dxa"/>
          </w:tcPr>
          <w:p w14:paraId="1F71018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15.34</w:t>
            </w:r>
          </w:p>
        </w:tc>
        <w:tc>
          <w:tcPr>
            <w:tcW w:w="709" w:type="dxa"/>
          </w:tcPr>
          <w:p w14:paraId="4D55512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59.98</w:t>
            </w:r>
          </w:p>
        </w:tc>
        <w:tc>
          <w:tcPr>
            <w:tcW w:w="708" w:type="dxa"/>
          </w:tcPr>
          <w:p w14:paraId="5D17BB6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40.02</w:t>
            </w:r>
          </w:p>
        </w:tc>
        <w:tc>
          <w:tcPr>
            <w:tcW w:w="851" w:type="dxa"/>
          </w:tcPr>
          <w:p w14:paraId="2B67A14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56.19</w:t>
            </w:r>
          </w:p>
        </w:tc>
        <w:tc>
          <w:tcPr>
            <w:tcW w:w="1134" w:type="dxa"/>
          </w:tcPr>
          <w:p w14:paraId="41A23DD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694.10</w:t>
            </w:r>
          </w:p>
        </w:tc>
        <w:tc>
          <w:tcPr>
            <w:tcW w:w="709" w:type="dxa"/>
          </w:tcPr>
          <w:p w14:paraId="082A306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32.8</w:t>
            </w:r>
          </w:p>
        </w:tc>
      </w:tr>
      <w:tr w:rsidR="00F905BF" w:rsidRPr="000F45BD" w14:paraId="4E253C22" w14:textId="77777777" w:rsidTr="00F905BF">
        <w:tc>
          <w:tcPr>
            <w:tcW w:w="1049" w:type="dxa"/>
          </w:tcPr>
          <w:p w14:paraId="267B31CB"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Norway</w:t>
            </w:r>
          </w:p>
        </w:tc>
        <w:tc>
          <w:tcPr>
            <w:tcW w:w="902" w:type="dxa"/>
          </w:tcPr>
          <w:p w14:paraId="5F32111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1,873</w:t>
            </w:r>
          </w:p>
        </w:tc>
        <w:tc>
          <w:tcPr>
            <w:tcW w:w="851" w:type="dxa"/>
          </w:tcPr>
          <w:p w14:paraId="52A7AE14" w14:textId="4A0D55A6"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38</w:t>
            </w:r>
          </w:p>
        </w:tc>
        <w:tc>
          <w:tcPr>
            <w:tcW w:w="708" w:type="dxa"/>
          </w:tcPr>
          <w:p w14:paraId="1EC658C1" w14:textId="70499A0C"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49.59</w:t>
            </w:r>
          </w:p>
        </w:tc>
        <w:tc>
          <w:tcPr>
            <w:tcW w:w="709" w:type="dxa"/>
          </w:tcPr>
          <w:p w14:paraId="3A479CD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50.41</w:t>
            </w:r>
          </w:p>
        </w:tc>
        <w:tc>
          <w:tcPr>
            <w:tcW w:w="851" w:type="dxa"/>
          </w:tcPr>
          <w:p w14:paraId="6858847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43.75</w:t>
            </w:r>
          </w:p>
        </w:tc>
        <w:tc>
          <w:tcPr>
            <w:tcW w:w="850" w:type="dxa"/>
          </w:tcPr>
          <w:p w14:paraId="26DF01C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56.25</w:t>
            </w:r>
          </w:p>
        </w:tc>
        <w:tc>
          <w:tcPr>
            <w:tcW w:w="709" w:type="dxa"/>
          </w:tcPr>
          <w:p w14:paraId="545417B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0.73</w:t>
            </w:r>
          </w:p>
        </w:tc>
        <w:tc>
          <w:tcPr>
            <w:tcW w:w="709" w:type="dxa"/>
          </w:tcPr>
          <w:p w14:paraId="391FB5C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23.63</w:t>
            </w:r>
          </w:p>
        </w:tc>
        <w:tc>
          <w:tcPr>
            <w:tcW w:w="708" w:type="dxa"/>
          </w:tcPr>
          <w:p w14:paraId="108E7B4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75.65</w:t>
            </w:r>
          </w:p>
        </w:tc>
        <w:tc>
          <w:tcPr>
            <w:tcW w:w="709" w:type="dxa"/>
          </w:tcPr>
          <w:p w14:paraId="451B10C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84.88</w:t>
            </w:r>
          </w:p>
        </w:tc>
        <w:tc>
          <w:tcPr>
            <w:tcW w:w="709" w:type="dxa"/>
          </w:tcPr>
          <w:p w14:paraId="3A607E6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15.12</w:t>
            </w:r>
          </w:p>
        </w:tc>
        <w:tc>
          <w:tcPr>
            <w:tcW w:w="709" w:type="dxa"/>
          </w:tcPr>
          <w:p w14:paraId="22DE583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5.05</w:t>
            </w:r>
          </w:p>
        </w:tc>
        <w:tc>
          <w:tcPr>
            <w:tcW w:w="708" w:type="dxa"/>
          </w:tcPr>
          <w:p w14:paraId="46EBEAA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94.95</w:t>
            </w:r>
          </w:p>
        </w:tc>
        <w:tc>
          <w:tcPr>
            <w:tcW w:w="851" w:type="dxa"/>
          </w:tcPr>
          <w:p w14:paraId="382E3D6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63.39</w:t>
            </w:r>
          </w:p>
        </w:tc>
        <w:tc>
          <w:tcPr>
            <w:tcW w:w="1134" w:type="dxa"/>
          </w:tcPr>
          <w:p w14:paraId="60F5BAF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100818.50</w:t>
            </w:r>
          </w:p>
        </w:tc>
        <w:tc>
          <w:tcPr>
            <w:tcW w:w="709" w:type="dxa"/>
          </w:tcPr>
          <w:p w14:paraId="4E131BF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26.8</w:t>
            </w:r>
          </w:p>
        </w:tc>
      </w:tr>
      <w:tr w:rsidR="00F905BF" w:rsidRPr="000F45BD" w14:paraId="17227346" w14:textId="77777777" w:rsidTr="00F905BF">
        <w:tc>
          <w:tcPr>
            <w:tcW w:w="1049" w:type="dxa"/>
          </w:tcPr>
          <w:p w14:paraId="0580B6ED"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Poland</w:t>
            </w:r>
          </w:p>
        </w:tc>
        <w:tc>
          <w:tcPr>
            <w:tcW w:w="902" w:type="dxa"/>
          </w:tcPr>
          <w:p w14:paraId="35F65C0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2,117</w:t>
            </w:r>
          </w:p>
        </w:tc>
        <w:tc>
          <w:tcPr>
            <w:tcW w:w="851" w:type="dxa"/>
          </w:tcPr>
          <w:p w14:paraId="4C295BDC" w14:textId="7C9B9CA4"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65</w:t>
            </w:r>
          </w:p>
        </w:tc>
        <w:tc>
          <w:tcPr>
            <w:tcW w:w="708" w:type="dxa"/>
          </w:tcPr>
          <w:p w14:paraId="4734EEF4" w14:textId="05CE0884"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49.94</w:t>
            </w:r>
          </w:p>
        </w:tc>
        <w:tc>
          <w:tcPr>
            <w:tcW w:w="709" w:type="dxa"/>
          </w:tcPr>
          <w:p w14:paraId="54BFD6E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50.06</w:t>
            </w:r>
          </w:p>
        </w:tc>
        <w:tc>
          <w:tcPr>
            <w:tcW w:w="851" w:type="dxa"/>
          </w:tcPr>
          <w:p w14:paraId="5EA3B0E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51.03</w:t>
            </w:r>
          </w:p>
        </w:tc>
        <w:tc>
          <w:tcPr>
            <w:tcW w:w="850" w:type="dxa"/>
          </w:tcPr>
          <w:p w14:paraId="48C6AA7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48.97</w:t>
            </w:r>
          </w:p>
        </w:tc>
        <w:tc>
          <w:tcPr>
            <w:tcW w:w="709" w:type="dxa"/>
          </w:tcPr>
          <w:p w14:paraId="08859C0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0.76</w:t>
            </w:r>
          </w:p>
        </w:tc>
        <w:tc>
          <w:tcPr>
            <w:tcW w:w="709" w:type="dxa"/>
          </w:tcPr>
          <w:p w14:paraId="08C060E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14.59</w:t>
            </w:r>
          </w:p>
        </w:tc>
        <w:tc>
          <w:tcPr>
            <w:tcW w:w="708" w:type="dxa"/>
          </w:tcPr>
          <w:p w14:paraId="5751A6D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84.65</w:t>
            </w:r>
          </w:p>
        </w:tc>
        <w:tc>
          <w:tcPr>
            <w:tcW w:w="709" w:type="dxa"/>
          </w:tcPr>
          <w:p w14:paraId="727AD07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72.50</w:t>
            </w:r>
          </w:p>
        </w:tc>
        <w:tc>
          <w:tcPr>
            <w:tcW w:w="709" w:type="dxa"/>
          </w:tcPr>
          <w:p w14:paraId="6C9D165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27.50</w:t>
            </w:r>
          </w:p>
        </w:tc>
        <w:tc>
          <w:tcPr>
            <w:tcW w:w="709" w:type="dxa"/>
          </w:tcPr>
          <w:p w14:paraId="616ED3A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32.96</w:t>
            </w:r>
          </w:p>
        </w:tc>
        <w:tc>
          <w:tcPr>
            <w:tcW w:w="708" w:type="dxa"/>
          </w:tcPr>
          <w:p w14:paraId="73BABBF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67.04</w:t>
            </w:r>
          </w:p>
        </w:tc>
        <w:tc>
          <w:tcPr>
            <w:tcW w:w="851" w:type="dxa"/>
          </w:tcPr>
          <w:p w14:paraId="15DB779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62.93</w:t>
            </w:r>
          </w:p>
        </w:tc>
        <w:tc>
          <w:tcPr>
            <w:tcW w:w="1134" w:type="dxa"/>
          </w:tcPr>
          <w:p w14:paraId="1F867ED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13648.00</w:t>
            </w:r>
          </w:p>
        </w:tc>
        <w:tc>
          <w:tcPr>
            <w:tcW w:w="709" w:type="dxa"/>
          </w:tcPr>
          <w:p w14:paraId="05BBF7E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32.8</w:t>
            </w:r>
          </w:p>
        </w:tc>
      </w:tr>
      <w:tr w:rsidR="00F905BF" w:rsidRPr="000F45BD" w14:paraId="51C1282C" w14:textId="77777777" w:rsidTr="00F905BF">
        <w:tc>
          <w:tcPr>
            <w:tcW w:w="1049" w:type="dxa"/>
          </w:tcPr>
          <w:p w14:paraId="1FACFECD"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Romania</w:t>
            </w:r>
          </w:p>
        </w:tc>
        <w:tc>
          <w:tcPr>
            <w:tcW w:w="902" w:type="dxa"/>
          </w:tcPr>
          <w:p w14:paraId="4AB7C50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2,816</w:t>
            </w:r>
          </w:p>
        </w:tc>
        <w:tc>
          <w:tcPr>
            <w:tcW w:w="851" w:type="dxa"/>
          </w:tcPr>
          <w:p w14:paraId="04060D4A" w14:textId="78D52986"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139</w:t>
            </w:r>
          </w:p>
        </w:tc>
        <w:tc>
          <w:tcPr>
            <w:tcW w:w="708" w:type="dxa"/>
          </w:tcPr>
          <w:p w14:paraId="070F87FA" w14:textId="69B5F1B1"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49.81</w:t>
            </w:r>
          </w:p>
        </w:tc>
        <w:tc>
          <w:tcPr>
            <w:tcW w:w="709" w:type="dxa"/>
          </w:tcPr>
          <w:p w14:paraId="79E025C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50.19</w:t>
            </w:r>
          </w:p>
        </w:tc>
        <w:tc>
          <w:tcPr>
            <w:tcW w:w="851" w:type="dxa"/>
          </w:tcPr>
          <w:p w14:paraId="2716710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52.48</w:t>
            </w:r>
          </w:p>
        </w:tc>
        <w:tc>
          <w:tcPr>
            <w:tcW w:w="850" w:type="dxa"/>
          </w:tcPr>
          <w:p w14:paraId="22FBE24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47.52</w:t>
            </w:r>
          </w:p>
        </w:tc>
        <w:tc>
          <w:tcPr>
            <w:tcW w:w="709" w:type="dxa"/>
          </w:tcPr>
          <w:p w14:paraId="3423ABF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4.36</w:t>
            </w:r>
          </w:p>
        </w:tc>
        <w:tc>
          <w:tcPr>
            <w:tcW w:w="709" w:type="dxa"/>
          </w:tcPr>
          <w:p w14:paraId="5789AA4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13.04</w:t>
            </w:r>
          </w:p>
        </w:tc>
        <w:tc>
          <w:tcPr>
            <w:tcW w:w="708" w:type="dxa"/>
          </w:tcPr>
          <w:p w14:paraId="575552E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82.60</w:t>
            </w:r>
          </w:p>
        </w:tc>
        <w:tc>
          <w:tcPr>
            <w:tcW w:w="709" w:type="dxa"/>
          </w:tcPr>
          <w:p w14:paraId="7F5B740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67.99</w:t>
            </w:r>
          </w:p>
        </w:tc>
        <w:tc>
          <w:tcPr>
            <w:tcW w:w="709" w:type="dxa"/>
          </w:tcPr>
          <w:p w14:paraId="7280707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32.01</w:t>
            </w:r>
          </w:p>
        </w:tc>
        <w:tc>
          <w:tcPr>
            <w:tcW w:w="709" w:type="dxa"/>
          </w:tcPr>
          <w:p w14:paraId="4467596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35.11</w:t>
            </w:r>
          </w:p>
        </w:tc>
        <w:tc>
          <w:tcPr>
            <w:tcW w:w="708" w:type="dxa"/>
          </w:tcPr>
          <w:p w14:paraId="4BDC911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64.89</w:t>
            </w:r>
          </w:p>
        </w:tc>
        <w:tc>
          <w:tcPr>
            <w:tcW w:w="851" w:type="dxa"/>
          </w:tcPr>
          <w:p w14:paraId="15ECC16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65.50</w:t>
            </w:r>
          </w:p>
        </w:tc>
        <w:tc>
          <w:tcPr>
            <w:tcW w:w="1134" w:type="dxa"/>
          </w:tcPr>
          <w:p w14:paraId="36C58A8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9499.20</w:t>
            </w:r>
          </w:p>
        </w:tc>
        <w:tc>
          <w:tcPr>
            <w:tcW w:w="709" w:type="dxa"/>
          </w:tcPr>
          <w:p w14:paraId="53612B2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27.3</w:t>
            </w:r>
          </w:p>
        </w:tc>
      </w:tr>
      <w:tr w:rsidR="00F905BF" w:rsidRPr="000F45BD" w14:paraId="2D4051D1" w14:textId="77777777" w:rsidTr="00F905BF">
        <w:tc>
          <w:tcPr>
            <w:tcW w:w="1049" w:type="dxa"/>
          </w:tcPr>
          <w:p w14:paraId="7A2EF1E1"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S Africa</w:t>
            </w:r>
          </w:p>
        </w:tc>
        <w:tc>
          <w:tcPr>
            <w:tcW w:w="902" w:type="dxa"/>
          </w:tcPr>
          <w:p w14:paraId="7602330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2,064</w:t>
            </w:r>
          </w:p>
        </w:tc>
        <w:tc>
          <w:tcPr>
            <w:tcW w:w="851" w:type="dxa"/>
          </w:tcPr>
          <w:p w14:paraId="4C6AC53C" w14:textId="24A6F3E4"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28</w:t>
            </w:r>
          </w:p>
        </w:tc>
        <w:tc>
          <w:tcPr>
            <w:tcW w:w="708" w:type="dxa"/>
          </w:tcPr>
          <w:p w14:paraId="4D6CA222" w14:textId="77387844"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48.66</w:t>
            </w:r>
          </w:p>
        </w:tc>
        <w:tc>
          <w:tcPr>
            <w:tcW w:w="709" w:type="dxa"/>
          </w:tcPr>
          <w:p w14:paraId="5B94BF4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51.34</w:t>
            </w:r>
          </w:p>
        </w:tc>
        <w:tc>
          <w:tcPr>
            <w:tcW w:w="851" w:type="dxa"/>
          </w:tcPr>
          <w:p w14:paraId="747BDBB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45.84</w:t>
            </w:r>
          </w:p>
        </w:tc>
        <w:tc>
          <w:tcPr>
            <w:tcW w:w="850" w:type="dxa"/>
          </w:tcPr>
          <w:p w14:paraId="4EA8E72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54.16</w:t>
            </w:r>
          </w:p>
        </w:tc>
        <w:tc>
          <w:tcPr>
            <w:tcW w:w="709" w:type="dxa"/>
          </w:tcPr>
          <w:p w14:paraId="40B89DC2"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6.03</w:t>
            </w:r>
          </w:p>
        </w:tc>
        <w:tc>
          <w:tcPr>
            <w:tcW w:w="709" w:type="dxa"/>
          </w:tcPr>
          <w:p w14:paraId="0588E61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29.04</w:t>
            </w:r>
          </w:p>
        </w:tc>
        <w:tc>
          <w:tcPr>
            <w:tcW w:w="708" w:type="dxa"/>
          </w:tcPr>
          <w:p w14:paraId="6FF0705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64.93</w:t>
            </w:r>
          </w:p>
        </w:tc>
        <w:tc>
          <w:tcPr>
            <w:tcW w:w="709" w:type="dxa"/>
          </w:tcPr>
          <w:p w14:paraId="7612FEA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77.67</w:t>
            </w:r>
          </w:p>
        </w:tc>
        <w:tc>
          <w:tcPr>
            <w:tcW w:w="709" w:type="dxa"/>
          </w:tcPr>
          <w:p w14:paraId="51C0B52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22.33</w:t>
            </w:r>
          </w:p>
        </w:tc>
        <w:tc>
          <w:tcPr>
            <w:tcW w:w="709" w:type="dxa"/>
          </w:tcPr>
          <w:p w14:paraId="68F324B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34.04</w:t>
            </w:r>
          </w:p>
        </w:tc>
        <w:tc>
          <w:tcPr>
            <w:tcW w:w="708" w:type="dxa"/>
          </w:tcPr>
          <w:p w14:paraId="52D532A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65.96</w:t>
            </w:r>
          </w:p>
        </w:tc>
        <w:tc>
          <w:tcPr>
            <w:tcW w:w="851" w:type="dxa"/>
          </w:tcPr>
          <w:p w14:paraId="3E802B9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58.09</w:t>
            </w:r>
          </w:p>
        </w:tc>
        <w:tc>
          <w:tcPr>
            <w:tcW w:w="1134" w:type="dxa"/>
          </w:tcPr>
          <w:p w14:paraId="5615889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6617.90</w:t>
            </w:r>
          </w:p>
        </w:tc>
        <w:tc>
          <w:tcPr>
            <w:tcW w:w="709" w:type="dxa"/>
          </w:tcPr>
          <w:p w14:paraId="1325D3F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65.0</w:t>
            </w:r>
          </w:p>
        </w:tc>
      </w:tr>
      <w:tr w:rsidR="00F905BF" w:rsidRPr="000F45BD" w14:paraId="5C48C2EF" w14:textId="77777777" w:rsidTr="00F905BF">
        <w:tc>
          <w:tcPr>
            <w:tcW w:w="1049" w:type="dxa"/>
          </w:tcPr>
          <w:p w14:paraId="178F782C"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S Korea</w:t>
            </w:r>
          </w:p>
        </w:tc>
        <w:tc>
          <w:tcPr>
            <w:tcW w:w="902" w:type="dxa"/>
          </w:tcPr>
          <w:p w14:paraId="7602012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4,998</w:t>
            </w:r>
          </w:p>
        </w:tc>
        <w:tc>
          <w:tcPr>
            <w:tcW w:w="851" w:type="dxa"/>
          </w:tcPr>
          <w:p w14:paraId="7DA30E20" w14:textId="33E72F32"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232</w:t>
            </w:r>
          </w:p>
        </w:tc>
        <w:tc>
          <w:tcPr>
            <w:tcW w:w="708" w:type="dxa"/>
          </w:tcPr>
          <w:p w14:paraId="45F24453" w14:textId="371D6471"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50.00</w:t>
            </w:r>
          </w:p>
        </w:tc>
        <w:tc>
          <w:tcPr>
            <w:tcW w:w="709" w:type="dxa"/>
          </w:tcPr>
          <w:p w14:paraId="7A340F5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50.00</w:t>
            </w:r>
          </w:p>
        </w:tc>
        <w:tc>
          <w:tcPr>
            <w:tcW w:w="851" w:type="dxa"/>
          </w:tcPr>
          <w:p w14:paraId="3A3EACF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46.30</w:t>
            </w:r>
          </w:p>
        </w:tc>
        <w:tc>
          <w:tcPr>
            <w:tcW w:w="850" w:type="dxa"/>
          </w:tcPr>
          <w:p w14:paraId="117D7617"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53.70</w:t>
            </w:r>
          </w:p>
        </w:tc>
        <w:tc>
          <w:tcPr>
            <w:tcW w:w="709" w:type="dxa"/>
          </w:tcPr>
          <w:p w14:paraId="1528105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0.71</w:t>
            </w:r>
          </w:p>
        </w:tc>
        <w:tc>
          <w:tcPr>
            <w:tcW w:w="709" w:type="dxa"/>
          </w:tcPr>
          <w:p w14:paraId="3D07DE7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8.06</w:t>
            </w:r>
          </w:p>
        </w:tc>
        <w:tc>
          <w:tcPr>
            <w:tcW w:w="708" w:type="dxa"/>
          </w:tcPr>
          <w:p w14:paraId="71EDE3D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91.23</w:t>
            </w:r>
          </w:p>
        </w:tc>
        <w:tc>
          <w:tcPr>
            <w:tcW w:w="709" w:type="dxa"/>
          </w:tcPr>
          <w:p w14:paraId="4E4B089F"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84.87</w:t>
            </w:r>
          </w:p>
        </w:tc>
        <w:tc>
          <w:tcPr>
            <w:tcW w:w="709" w:type="dxa"/>
          </w:tcPr>
          <w:p w14:paraId="2F96A14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15.13</w:t>
            </w:r>
          </w:p>
        </w:tc>
        <w:tc>
          <w:tcPr>
            <w:tcW w:w="709" w:type="dxa"/>
          </w:tcPr>
          <w:p w14:paraId="40B6727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13.16</w:t>
            </w:r>
          </w:p>
        </w:tc>
        <w:tc>
          <w:tcPr>
            <w:tcW w:w="708" w:type="dxa"/>
          </w:tcPr>
          <w:p w14:paraId="32513BB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86.84</w:t>
            </w:r>
          </w:p>
        </w:tc>
        <w:tc>
          <w:tcPr>
            <w:tcW w:w="851" w:type="dxa"/>
          </w:tcPr>
          <w:p w14:paraId="0AB8A4F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57.49</w:t>
            </w:r>
          </w:p>
        </w:tc>
        <w:tc>
          <w:tcPr>
            <w:tcW w:w="1134" w:type="dxa"/>
          </w:tcPr>
          <w:p w14:paraId="689E520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25977.00</w:t>
            </w:r>
          </w:p>
        </w:tc>
        <w:tc>
          <w:tcPr>
            <w:tcW w:w="709" w:type="dxa"/>
          </w:tcPr>
          <w:p w14:paraId="1CBEBC4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31.1</w:t>
            </w:r>
          </w:p>
        </w:tc>
      </w:tr>
      <w:tr w:rsidR="00F905BF" w:rsidRPr="000F45BD" w14:paraId="2AF1C32B" w14:textId="77777777" w:rsidTr="00F905BF">
        <w:tc>
          <w:tcPr>
            <w:tcW w:w="1049" w:type="dxa"/>
          </w:tcPr>
          <w:p w14:paraId="6E6B22F0"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Spain</w:t>
            </w:r>
          </w:p>
        </w:tc>
        <w:tc>
          <w:tcPr>
            <w:tcW w:w="902" w:type="dxa"/>
          </w:tcPr>
          <w:p w14:paraId="1F28426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2,684</w:t>
            </w:r>
          </w:p>
        </w:tc>
        <w:tc>
          <w:tcPr>
            <w:tcW w:w="851" w:type="dxa"/>
          </w:tcPr>
          <w:p w14:paraId="0D271382" w14:textId="470A61F0"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105</w:t>
            </w:r>
          </w:p>
        </w:tc>
        <w:tc>
          <w:tcPr>
            <w:tcW w:w="708" w:type="dxa"/>
          </w:tcPr>
          <w:p w14:paraId="668854F0" w14:textId="7361E1F9"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49.80</w:t>
            </w:r>
          </w:p>
        </w:tc>
        <w:tc>
          <w:tcPr>
            <w:tcW w:w="709" w:type="dxa"/>
          </w:tcPr>
          <w:p w14:paraId="172F6E2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50.20</w:t>
            </w:r>
          </w:p>
        </w:tc>
        <w:tc>
          <w:tcPr>
            <w:tcW w:w="851" w:type="dxa"/>
          </w:tcPr>
          <w:p w14:paraId="11A0B3E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50.21</w:t>
            </w:r>
          </w:p>
        </w:tc>
        <w:tc>
          <w:tcPr>
            <w:tcW w:w="850" w:type="dxa"/>
          </w:tcPr>
          <w:p w14:paraId="5D220BB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49.79</w:t>
            </w:r>
          </w:p>
        </w:tc>
        <w:tc>
          <w:tcPr>
            <w:tcW w:w="709" w:type="dxa"/>
          </w:tcPr>
          <w:p w14:paraId="7E2950A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0.66</w:t>
            </w:r>
          </w:p>
        </w:tc>
        <w:tc>
          <w:tcPr>
            <w:tcW w:w="709" w:type="dxa"/>
          </w:tcPr>
          <w:p w14:paraId="12085F0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22.48</w:t>
            </w:r>
          </w:p>
        </w:tc>
        <w:tc>
          <w:tcPr>
            <w:tcW w:w="708" w:type="dxa"/>
          </w:tcPr>
          <w:p w14:paraId="66325E4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76.86</w:t>
            </w:r>
          </w:p>
        </w:tc>
        <w:tc>
          <w:tcPr>
            <w:tcW w:w="709" w:type="dxa"/>
          </w:tcPr>
          <w:p w14:paraId="3558396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78.32</w:t>
            </w:r>
          </w:p>
        </w:tc>
        <w:tc>
          <w:tcPr>
            <w:tcW w:w="709" w:type="dxa"/>
          </w:tcPr>
          <w:p w14:paraId="149F6D0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21.68</w:t>
            </w:r>
          </w:p>
        </w:tc>
        <w:tc>
          <w:tcPr>
            <w:tcW w:w="709" w:type="dxa"/>
          </w:tcPr>
          <w:p w14:paraId="43257C81"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9.94</w:t>
            </w:r>
          </w:p>
        </w:tc>
        <w:tc>
          <w:tcPr>
            <w:tcW w:w="708" w:type="dxa"/>
          </w:tcPr>
          <w:p w14:paraId="1026431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90.06</w:t>
            </w:r>
          </w:p>
        </w:tc>
        <w:tc>
          <w:tcPr>
            <w:tcW w:w="851" w:type="dxa"/>
          </w:tcPr>
          <w:p w14:paraId="4C49DBF5"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62.58</w:t>
            </w:r>
          </w:p>
        </w:tc>
        <w:tc>
          <w:tcPr>
            <w:tcW w:w="1134" w:type="dxa"/>
          </w:tcPr>
          <w:p w14:paraId="488817D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29863.20</w:t>
            </w:r>
          </w:p>
        </w:tc>
        <w:tc>
          <w:tcPr>
            <w:tcW w:w="709" w:type="dxa"/>
          </w:tcPr>
          <w:p w14:paraId="2806E0FB"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35.8</w:t>
            </w:r>
          </w:p>
        </w:tc>
      </w:tr>
      <w:tr w:rsidR="00F905BF" w:rsidRPr="000F45BD" w14:paraId="679F5D71" w14:textId="77777777" w:rsidTr="00F905BF">
        <w:tc>
          <w:tcPr>
            <w:tcW w:w="1049" w:type="dxa"/>
          </w:tcPr>
          <w:p w14:paraId="17D91520" w14:textId="77777777" w:rsidR="00F905BF" w:rsidRPr="000F45BD" w:rsidRDefault="00F905BF" w:rsidP="00D4634E">
            <w:pPr>
              <w:spacing w:before="100" w:beforeAutospacing="1" w:after="100" w:afterAutospacing="1"/>
              <w:jc w:val="both"/>
              <w:rPr>
                <w:rFonts w:asciiTheme="majorHAnsi" w:hAnsiTheme="majorHAnsi"/>
                <w:sz w:val="18"/>
              </w:rPr>
            </w:pPr>
            <w:r w:rsidRPr="000F45BD">
              <w:rPr>
                <w:rFonts w:asciiTheme="majorHAnsi" w:hAnsiTheme="majorHAnsi"/>
                <w:sz w:val="18"/>
              </w:rPr>
              <w:t>Turkey</w:t>
            </w:r>
          </w:p>
        </w:tc>
        <w:tc>
          <w:tcPr>
            <w:tcW w:w="902" w:type="dxa"/>
          </w:tcPr>
          <w:p w14:paraId="7E0C318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2,004</w:t>
            </w:r>
          </w:p>
        </w:tc>
        <w:tc>
          <w:tcPr>
            <w:tcW w:w="851" w:type="dxa"/>
          </w:tcPr>
          <w:p w14:paraId="16222EE9" w14:textId="745C06AE"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35</w:t>
            </w:r>
          </w:p>
        </w:tc>
        <w:tc>
          <w:tcPr>
            <w:tcW w:w="708" w:type="dxa"/>
          </w:tcPr>
          <w:p w14:paraId="34D618FC" w14:textId="2F24140E"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49.88</w:t>
            </w:r>
          </w:p>
        </w:tc>
        <w:tc>
          <w:tcPr>
            <w:tcW w:w="709" w:type="dxa"/>
          </w:tcPr>
          <w:p w14:paraId="148953E4"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50.12</w:t>
            </w:r>
          </w:p>
        </w:tc>
        <w:tc>
          <w:tcPr>
            <w:tcW w:w="851" w:type="dxa"/>
          </w:tcPr>
          <w:p w14:paraId="73640B38"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50.31</w:t>
            </w:r>
          </w:p>
        </w:tc>
        <w:tc>
          <w:tcPr>
            <w:tcW w:w="850" w:type="dxa"/>
          </w:tcPr>
          <w:p w14:paraId="600F68C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49.69</w:t>
            </w:r>
          </w:p>
        </w:tc>
        <w:tc>
          <w:tcPr>
            <w:tcW w:w="709" w:type="dxa"/>
          </w:tcPr>
          <w:p w14:paraId="4A33FA8E"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0.50</w:t>
            </w:r>
          </w:p>
        </w:tc>
        <w:tc>
          <w:tcPr>
            <w:tcW w:w="709" w:type="dxa"/>
          </w:tcPr>
          <w:p w14:paraId="471FE60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7.14</w:t>
            </w:r>
          </w:p>
        </w:tc>
        <w:tc>
          <w:tcPr>
            <w:tcW w:w="708" w:type="dxa"/>
          </w:tcPr>
          <w:p w14:paraId="2DC7E56C"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92.36</w:t>
            </w:r>
          </w:p>
        </w:tc>
        <w:tc>
          <w:tcPr>
            <w:tcW w:w="709" w:type="dxa"/>
          </w:tcPr>
          <w:p w14:paraId="68B91C06"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85.74</w:t>
            </w:r>
          </w:p>
        </w:tc>
        <w:tc>
          <w:tcPr>
            <w:tcW w:w="709" w:type="dxa"/>
          </w:tcPr>
          <w:p w14:paraId="20751070"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14.26</w:t>
            </w:r>
          </w:p>
        </w:tc>
        <w:tc>
          <w:tcPr>
            <w:tcW w:w="709" w:type="dxa"/>
          </w:tcPr>
          <w:p w14:paraId="46044EA3"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19.30</w:t>
            </w:r>
          </w:p>
        </w:tc>
        <w:tc>
          <w:tcPr>
            <w:tcW w:w="708" w:type="dxa"/>
          </w:tcPr>
          <w:p w14:paraId="2E4994AA"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80.70</w:t>
            </w:r>
          </w:p>
        </w:tc>
        <w:tc>
          <w:tcPr>
            <w:tcW w:w="851" w:type="dxa"/>
          </w:tcPr>
          <w:p w14:paraId="3B37DF1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hAnsiTheme="majorHAnsi"/>
                <w:sz w:val="18"/>
              </w:rPr>
              <w:t>64.77</w:t>
            </w:r>
          </w:p>
        </w:tc>
        <w:tc>
          <w:tcPr>
            <w:tcW w:w="1134" w:type="dxa"/>
          </w:tcPr>
          <w:p w14:paraId="69772629"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10971.70</w:t>
            </w:r>
          </w:p>
        </w:tc>
        <w:tc>
          <w:tcPr>
            <w:tcW w:w="709" w:type="dxa"/>
          </w:tcPr>
          <w:p w14:paraId="1AFFEFCD" w14:textId="77777777" w:rsidR="00F905BF" w:rsidRPr="000F45BD" w:rsidRDefault="00F905BF" w:rsidP="00D4634E">
            <w:pPr>
              <w:spacing w:before="100" w:beforeAutospacing="1" w:after="100" w:afterAutospacing="1"/>
              <w:jc w:val="right"/>
              <w:rPr>
                <w:rFonts w:asciiTheme="majorHAnsi" w:hAnsiTheme="majorHAnsi"/>
                <w:sz w:val="18"/>
              </w:rPr>
            </w:pPr>
            <w:r w:rsidRPr="000F45BD">
              <w:rPr>
                <w:rFonts w:asciiTheme="majorHAnsi" w:eastAsia="Times New Roman" w:hAnsiTheme="majorHAnsi" w:cs="Times New Roman"/>
                <w:sz w:val="18"/>
                <w:lang w:eastAsia="en-GB"/>
              </w:rPr>
              <w:t>40.0</w:t>
            </w:r>
          </w:p>
        </w:tc>
      </w:tr>
      <w:tr w:rsidR="00F905BF" w:rsidRPr="000F45BD" w14:paraId="31C57339" w14:textId="77777777" w:rsidTr="00F905BF">
        <w:tc>
          <w:tcPr>
            <w:tcW w:w="1049" w:type="dxa"/>
          </w:tcPr>
          <w:p w14:paraId="67D0AD50"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Total</w:t>
            </w:r>
          </w:p>
        </w:tc>
        <w:tc>
          <w:tcPr>
            <w:tcW w:w="902" w:type="dxa"/>
          </w:tcPr>
          <w:p w14:paraId="4B95BA2B"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34,354</w:t>
            </w:r>
          </w:p>
        </w:tc>
        <w:tc>
          <w:tcPr>
            <w:tcW w:w="851" w:type="dxa"/>
          </w:tcPr>
          <w:p w14:paraId="7DA363A7" w14:textId="097940E4"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1,088</w:t>
            </w:r>
          </w:p>
        </w:tc>
        <w:tc>
          <w:tcPr>
            <w:tcW w:w="708" w:type="dxa"/>
          </w:tcPr>
          <w:p w14:paraId="4A13D0DF" w14:textId="386E619C"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49.80</w:t>
            </w:r>
          </w:p>
        </w:tc>
        <w:tc>
          <w:tcPr>
            <w:tcW w:w="709" w:type="dxa"/>
          </w:tcPr>
          <w:p w14:paraId="7540DF43"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50.20</w:t>
            </w:r>
          </w:p>
        </w:tc>
        <w:tc>
          <w:tcPr>
            <w:tcW w:w="851" w:type="dxa"/>
          </w:tcPr>
          <w:p w14:paraId="54C20EE4"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49.29</w:t>
            </w:r>
          </w:p>
        </w:tc>
        <w:tc>
          <w:tcPr>
            <w:tcW w:w="850" w:type="dxa"/>
          </w:tcPr>
          <w:p w14:paraId="33C21CEB"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50.71</w:t>
            </w:r>
          </w:p>
        </w:tc>
        <w:tc>
          <w:tcPr>
            <w:tcW w:w="709" w:type="dxa"/>
          </w:tcPr>
          <w:p w14:paraId="38DC1FEA"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2.29</w:t>
            </w:r>
          </w:p>
        </w:tc>
        <w:tc>
          <w:tcPr>
            <w:tcW w:w="709" w:type="dxa"/>
          </w:tcPr>
          <w:p w14:paraId="6FC124DA"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18.09</w:t>
            </w:r>
          </w:p>
        </w:tc>
        <w:tc>
          <w:tcPr>
            <w:tcW w:w="708" w:type="dxa"/>
          </w:tcPr>
          <w:p w14:paraId="5FAFBF05"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79.62</w:t>
            </w:r>
          </w:p>
        </w:tc>
        <w:tc>
          <w:tcPr>
            <w:tcW w:w="709" w:type="dxa"/>
          </w:tcPr>
          <w:p w14:paraId="74401E85"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80.07</w:t>
            </w:r>
          </w:p>
        </w:tc>
        <w:tc>
          <w:tcPr>
            <w:tcW w:w="709" w:type="dxa"/>
          </w:tcPr>
          <w:p w14:paraId="5ADFD03F"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19.93</w:t>
            </w:r>
          </w:p>
        </w:tc>
        <w:tc>
          <w:tcPr>
            <w:tcW w:w="709" w:type="dxa"/>
          </w:tcPr>
          <w:p w14:paraId="5744EB82"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22.16</w:t>
            </w:r>
          </w:p>
        </w:tc>
        <w:tc>
          <w:tcPr>
            <w:tcW w:w="708" w:type="dxa"/>
          </w:tcPr>
          <w:p w14:paraId="0A0BC647"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77.84</w:t>
            </w:r>
          </w:p>
        </w:tc>
        <w:tc>
          <w:tcPr>
            <w:tcW w:w="851" w:type="dxa"/>
          </w:tcPr>
          <w:p w14:paraId="377AFEA7" w14:textId="77777777" w:rsidR="00F905BF" w:rsidRPr="000F45BD" w:rsidRDefault="00F905BF" w:rsidP="00D4634E">
            <w:pPr>
              <w:spacing w:before="100" w:beforeAutospacing="1" w:after="100" w:afterAutospacing="1"/>
              <w:jc w:val="center"/>
              <w:rPr>
                <w:rFonts w:asciiTheme="majorHAnsi" w:hAnsiTheme="majorHAnsi"/>
                <w:b/>
                <w:sz w:val="18"/>
              </w:rPr>
            </w:pPr>
            <w:r w:rsidRPr="000F45BD">
              <w:rPr>
                <w:rFonts w:asciiTheme="majorHAnsi" w:hAnsiTheme="majorHAnsi"/>
                <w:b/>
                <w:sz w:val="18"/>
              </w:rPr>
              <w:t>61.30</w:t>
            </w:r>
          </w:p>
        </w:tc>
        <w:tc>
          <w:tcPr>
            <w:tcW w:w="1134" w:type="dxa"/>
          </w:tcPr>
          <w:p w14:paraId="04882936" w14:textId="77777777" w:rsidR="00F905BF" w:rsidRPr="000F45BD" w:rsidRDefault="00F905BF" w:rsidP="00D4634E">
            <w:pPr>
              <w:spacing w:before="100" w:beforeAutospacing="1" w:after="100" w:afterAutospacing="1"/>
              <w:jc w:val="center"/>
              <w:rPr>
                <w:rFonts w:asciiTheme="majorHAnsi" w:hAnsiTheme="majorHAnsi"/>
                <w:b/>
                <w:sz w:val="18"/>
              </w:rPr>
            </w:pPr>
          </w:p>
        </w:tc>
        <w:tc>
          <w:tcPr>
            <w:tcW w:w="709" w:type="dxa"/>
          </w:tcPr>
          <w:p w14:paraId="76A1A1B4" w14:textId="77777777" w:rsidR="00F905BF" w:rsidRPr="000F45BD" w:rsidRDefault="00F905BF" w:rsidP="00D4634E">
            <w:pPr>
              <w:spacing w:before="100" w:beforeAutospacing="1" w:after="100" w:afterAutospacing="1"/>
              <w:jc w:val="center"/>
              <w:rPr>
                <w:rFonts w:asciiTheme="majorHAnsi" w:hAnsiTheme="majorHAnsi"/>
                <w:b/>
                <w:sz w:val="18"/>
              </w:rPr>
            </w:pPr>
          </w:p>
        </w:tc>
      </w:tr>
    </w:tbl>
    <w:p w14:paraId="7EE21CDB" w14:textId="63C70D6E" w:rsidR="00B55B66" w:rsidRPr="000F45BD" w:rsidRDefault="000C5814" w:rsidP="00D4634E">
      <w:pPr>
        <w:spacing w:before="100" w:beforeAutospacing="1" w:after="100" w:afterAutospacing="1" w:line="240" w:lineRule="auto"/>
        <w:jc w:val="both"/>
        <w:rPr>
          <w:rFonts w:asciiTheme="majorHAnsi" w:hAnsiTheme="majorHAnsi"/>
        </w:rPr>
      </w:pPr>
      <w:proofErr w:type="gramStart"/>
      <w:r w:rsidRPr="000F45BD">
        <w:rPr>
          <w:rFonts w:asciiTheme="majorHAnsi" w:hAnsiTheme="majorHAnsi"/>
        </w:rPr>
        <w:t>n</w:t>
      </w:r>
      <w:proofErr w:type="gramEnd"/>
      <w:r w:rsidR="00B55B66" w:rsidRPr="000F45BD">
        <w:rPr>
          <w:rFonts w:asciiTheme="majorHAnsi" w:hAnsiTheme="majorHAnsi"/>
        </w:rPr>
        <w:t xml:space="preserve"> </w:t>
      </w:r>
      <w:r w:rsidR="00570B3F" w:rsidRPr="000F45BD">
        <w:rPr>
          <w:rFonts w:asciiTheme="majorHAnsi" w:hAnsiTheme="majorHAnsi"/>
        </w:rPr>
        <w:t xml:space="preserve">and n schools </w:t>
      </w:r>
      <w:r w:rsidR="00B55B66" w:rsidRPr="000F45BD">
        <w:rPr>
          <w:rFonts w:asciiTheme="majorHAnsi" w:hAnsiTheme="majorHAnsi"/>
        </w:rPr>
        <w:t>column</w:t>
      </w:r>
      <w:r w:rsidR="00570B3F" w:rsidRPr="000F45BD">
        <w:rPr>
          <w:rFonts w:asciiTheme="majorHAnsi" w:hAnsiTheme="majorHAnsi"/>
        </w:rPr>
        <w:t>s</w:t>
      </w:r>
      <w:r w:rsidR="00B55B66" w:rsidRPr="000F45BD">
        <w:rPr>
          <w:rFonts w:asciiTheme="majorHAnsi" w:hAnsiTheme="majorHAnsi"/>
        </w:rPr>
        <w:t xml:space="preserve"> based on unweighted data; all other columns show % based on weighted data</w:t>
      </w:r>
    </w:p>
    <w:p w14:paraId="3B1A0760" w14:textId="7CBCFCB3" w:rsidR="00B55B66" w:rsidRPr="000F45BD" w:rsidRDefault="000C5814" w:rsidP="00D4634E">
      <w:pPr>
        <w:spacing w:before="100" w:beforeAutospacing="1" w:after="100" w:afterAutospacing="1" w:line="240" w:lineRule="auto"/>
        <w:jc w:val="both"/>
        <w:rPr>
          <w:rFonts w:asciiTheme="majorHAnsi" w:hAnsiTheme="majorHAnsi"/>
        </w:rPr>
      </w:pPr>
      <w:r w:rsidRPr="000F45BD">
        <w:rPr>
          <w:rFonts w:asciiTheme="majorHAnsi" w:hAnsiTheme="majorHAnsi"/>
        </w:rPr>
        <w:t>*</w:t>
      </w:r>
      <w:r w:rsidR="00B55B66" w:rsidRPr="000F45BD">
        <w:rPr>
          <w:rFonts w:asciiTheme="majorHAnsi" w:hAnsiTheme="majorHAnsi"/>
        </w:rPr>
        <w:t xml:space="preserve">Data on GDP per capita and Gini coefficients obtained from whichever of the World Bank or the CIA World </w:t>
      </w:r>
      <w:proofErr w:type="spellStart"/>
      <w:r w:rsidR="00B55B66" w:rsidRPr="000F45BD">
        <w:rPr>
          <w:rFonts w:asciiTheme="majorHAnsi" w:hAnsiTheme="majorHAnsi"/>
        </w:rPr>
        <w:t>Factbook</w:t>
      </w:r>
      <w:proofErr w:type="spellEnd"/>
      <w:r w:rsidR="00B55B66" w:rsidRPr="000F45BD">
        <w:rPr>
          <w:rFonts w:asciiTheme="majorHAnsi" w:hAnsiTheme="majorHAnsi"/>
        </w:rPr>
        <w:t xml:space="preserve"> had the most recent measure; only measures dated after 2011 were included, with the result that Algeria was not included in models incorporating Gini coefficient as the most recent measure was from 1995.</w:t>
      </w:r>
    </w:p>
    <w:p w14:paraId="62ACC0CB" w14:textId="77777777" w:rsidR="00F905BF" w:rsidRPr="000F45BD" w:rsidRDefault="00F905BF" w:rsidP="00D4634E">
      <w:pPr>
        <w:spacing w:before="100" w:beforeAutospacing="1" w:after="100" w:afterAutospacing="1" w:line="240" w:lineRule="auto"/>
        <w:rPr>
          <w:rFonts w:asciiTheme="majorHAnsi" w:hAnsiTheme="majorHAnsi"/>
          <w:b/>
        </w:rPr>
      </w:pPr>
      <w:r w:rsidRPr="000F45BD">
        <w:rPr>
          <w:rFonts w:asciiTheme="majorHAnsi" w:hAnsiTheme="majorHAnsi"/>
          <w:b/>
        </w:rPr>
        <w:br w:type="page"/>
      </w:r>
    </w:p>
    <w:p w14:paraId="7099CD55" w14:textId="4E8AB279" w:rsidR="00B55B66" w:rsidRPr="000F45BD" w:rsidRDefault="00472692"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lastRenderedPageBreak/>
        <w:t xml:space="preserve">Table </w:t>
      </w:r>
      <w:r w:rsidR="00B23510" w:rsidRPr="000F45BD">
        <w:rPr>
          <w:rFonts w:asciiTheme="majorHAnsi" w:hAnsiTheme="majorHAnsi"/>
          <w:b/>
        </w:rPr>
        <w:t>3</w:t>
      </w:r>
      <w:r w:rsidR="00F905BF" w:rsidRPr="000F45BD">
        <w:rPr>
          <w:rFonts w:asciiTheme="majorHAnsi" w:hAnsiTheme="majorHAnsi"/>
          <w:b/>
        </w:rPr>
        <w:t xml:space="preserve">: Material resources scale descriptive statistics </w:t>
      </w:r>
      <w:r w:rsidR="0050330B" w:rsidRPr="000F45BD">
        <w:rPr>
          <w:rFonts w:asciiTheme="majorHAnsi" w:hAnsiTheme="majorHAnsi"/>
          <w:b/>
        </w:rPr>
        <w:t xml:space="preserve">overall and </w:t>
      </w:r>
      <w:r w:rsidR="00F905BF" w:rsidRPr="000F45BD">
        <w:rPr>
          <w:rFonts w:asciiTheme="majorHAnsi" w:hAnsiTheme="majorHAnsi"/>
          <w:b/>
        </w:rPr>
        <w:t xml:space="preserve">at the school </w:t>
      </w:r>
      <w:r w:rsidR="0050330B" w:rsidRPr="000F45BD">
        <w:rPr>
          <w:rFonts w:asciiTheme="majorHAnsi" w:hAnsiTheme="majorHAnsi"/>
          <w:b/>
        </w:rPr>
        <w:t>level</w:t>
      </w:r>
    </w:p>
    <w:tbl>
      <w:tblPr>
        <w:tblStyle w:val="TableGrid"/>
        <w:tblW w:w="5000" w:type="pct"/>
        <w:tblLook w:val="04A0" w:firstRow="1" w:lastRow="0" w:firstColumn="1" w:lastColumn="0" w:noHBand="0" w:noVBand="1"/>
      </w:tblPr>
      <w:tblGrid>
        <w:gridCol w:w="1574"/>
        <w:gridCol w:w="1576"/>
        <w:gridCol w:w="1576"/>
        <w:gridCol w:w="1576"/>
        <w:gridCol w:w="1576"/>
        <w:gridCol w:w="1576"/>
        <w:gridCol w:w="1576"/>
        <w:gridCol w:w="1576"/>
        <w:gridCol w:w="1568"/>
      </w:tblGrid>
      <w:tr w:rsidR="00C37202" w:rsidRPr="000F45BD" w14:paraId="567C8BA6" w14:textId="77777777" w:rsidTr="00C37202">
        <w:tc>
          <w:tcPr>
            <w:tcW w:w="555" w:type="pct"/>
          </w:tcPr>
          <w:p w14:paraId="005C1CEE" w14:textId="77777777" w:rsidR="00C37202" w:rsidRPr="000F45BD" w:rsidRDefault="00C37202" w:rsidP="00D4634E">
            <w:pPr>
              <w:spacing w:before="100" w:beforeAutospacing="1" w:after="100" w:afterAutospacing="1"/>
              <w:jc w:val="center"/>
              <w:rPr>
                <w:rFonts w:asciiTheme="majorHAnsi" w:hAnsiTheme="majorHAnsi"/>
                <w:b/>
                <w:sz w:val="20"/>
              </w:rPr>
            </w:pPr>
          </w:p>
        </w:tc>
        <w:tc>
          <w:tcPr>
            <w:tcW w:w="2224" w:type="pct"/>
            <w:gridSpan w:val="4"/>
          </w:tcPr>
          <w:p w14:paraId="3B4C9B67" w14:textId="658E87D2"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School level</w:t>
            </w:r>
          </w:p>
        </w:tc>
        <w:tc>
          <w:tcPr>
            <w:tcW w:w="2221" w:type="pct"/>
            <w:gridSpan w:val="4"/>
          </w:tcPr>
          <w:p w14:paraId="2E14292E" w14:textId="082088B2" w:rsidR="00C37202" w:rsidRPr="000F45BD" w:rsidRDefault="0050330B"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Overall</w:t>
            </w:r>
          </w:p>
        </w:tc>
      </w:tr>
      <w:tr w:rsidR="00C37202" w:rsidRPr="000F45BD" w14:paraId="37D6F7D5" w14:textId="77777777" w:rsidTr="0050330B">
        <w:tc>
          <w:tcPr>
            <w:tcW w:w="555" w:type="pct"/>
          </w:tcPr>
          <w:p w14:paraId="03063327" w14:textId="77777777"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Country</w:t>
            </w:r>
          </w:p>
        </w:tc>
        <w:tc>
          <w:tcPr>
            <w:tcW w:w="556" w:type="pct"/>
          </w:tcPr>
          <w:p w14:paraId="31087E63" w14:textId="5C520409"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Mean</w:t>
            </w:r>
          </w:p>
        </w:tc>
        <w:tc>
          <w:tcPr>
            <w:tcW w:w="556" w:type="pct"/>
          </w:tcPr>
          <w:p w14:paraId="2DE57B6D" w14:textId="5171C77A"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 xml:space="preserve">SD </w:t>
            </w:r>
          </w:p>
        </w:tc>
        <w:tc>
          <w:tcPr>
            <w:tcW w:w="556" w:type="pct"/>
          </w:tcPr>
          <w:p w14:paraId="57BCC7CF" w14:textId="14FE76FA"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Max</w:t>
            </w:r>
          </w:p>
        </w:tc>
        <w:tc>
          <w:tcPr>
            <w:tcW w:w="556" w:type="pct"/>
          </w:tcPr>
          <w:p w14:paraId="6AAB036E" w14:textId="55B485AD"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Min</w:t>
            </w:r>
          </w:p>
        </w:tc>
        <w:tc>
          <w:tcPr>
            <w:tcW w:w="556" w:type="pct"/>
          </w:tcPr>
          <w:p w14:paraId="487D2809" w14:textId="097933F0"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Mean</w:t>
            </w:r>
          </w:p>
        </w:tc>
        <w:tc>
          <w:tcPr>
            <w:tcW w:w="556" w:type="pct"/>
          </w:tcPr>
          <w:p w14:paraId="78119594" w14:textId="09CA3BDB"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SD</w:t>
            </w:r>
          </w:p>
        </w:tc>
        <w:tc>
          <w:tcPr>
            <w:tcW w:w="556" w:type="pct"/>
          </w:tcPr>
          <w:p w14:paraId="5169C6ED" w14:textId="2E6706D8"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Max</w:t>
            </w:r>
          </w:p>
        </w:tc>
        <w:tc>
          <w:tcPr>
            <w:tcW w:w="553" w:type="pct"/>
          </w:tcPr>
          <w:p w14:paraId="004A276C" w14:textId="1E80E1F9"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Min</w:t>
            </w:r>
          </w:p>
        </w:tc>
      </w:tr>
      <w:tr w:rsidR="00C37202" w:rsidRPr="000F45BD" w14:paraId="08075A94" w14:textId="77777777" w:rsidTr="0050330B">
        <w:tc>
          <w:tcPr>
            <w:tcW w:w="555" w:type="pct"/>
          </w:tcPr>
          <w:p w14:paraId="4CEE768E"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Algeria</w:t>
            </w:r>
          </w:p>
        </w:tc>
        <w:tc>
          <w:tcPr>
            <w:tcW w:w="556" w:type="pct"/>
            <w:vAlign w:val="bottom"/>
          </w:tcPr>
          <w:p w14:paraId="02DD09FA" w14:textId="59F25EE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3.21</w:t>
            </w:r>
          </w:p>
        </w:tc>
        <w:tc>
          <w:tcPr>
            <w:tcW w:w="556" w:type="pct"/>
            <w:vAlign w:val="bottom"/>
          </w:tcPr>
          <w:p w14:paraId="74D46D32" w14:textId="422F3695"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0.62</w:t>
            </w:r>
          </w:p>
        </w:tc>
        <w:tc>
          <w:tcPr>
            <w:tcW w:w="556" w:type="pct"/>
            <w:vAlign w:val="bottom"/>
          </w:tcPr>
          <w:p w14:paraId="146E0BE8" w14:textId="284DBF3B"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4.38</w:t>
            </w:r>
          </w:p>
        </w:tc>
        <w:tc>
          <w:tcPr>
            <w:tcW w:w="556" w:type="pct"/>
            <w:vAlign w:val="bottom"/>
          </w:tcPr>
          <w:p w14:paraId="10D084E9" w14:textId="49AE10C0"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1.97</w:t>
            </w:r>
          </w:p>
        </w:tc>
        <w:tc>
          <w:tcPr>
            <w:tcW w:w="556" w:type="pct"/>
          </w:tcPr>
          <w:p w14:paraId="34BA45C8" w14:textId="198E0CC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3.43</w:t>
            </w:r>
          </w:p>
        </w:tc>
        <w:tc>
          <w:tcPr>
            <w:tcW w:w="556" w:type="pct"/>
            <w:vAlign w:val="bottom"/>
          </w:tcPr>
          <w:p w14:paraId="199C0742" w14:textId="02E0383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2.00</w:t>
            </w:r>
          </w:p>
        </w:tc>
        <w:tc>
          <w:tcPr>
            <w:tcW w:w="556" w:type="pct"/>
            <w:vAlign w:val="bottom"/>
          </w:tcPr>
          <w:p w14:paraId="689F92C7" w14:textId="6ED93F5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5CCB8DAF" w14:textId="1F5FE7A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7F5DE949" w14:textId="77777777" w:rsidTr="0050330B">
        <w:tc>
          <w:tcPr>
            <w:tcW w:w="555" w:type="pct"/>
          </w:tcPr>
          <w:p w14:paraId="1D2A97BD"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Colombia</w:t>
            </w:r>
          </w:p>
        </w:tc>
        <w:tc>
          <w:tcPr>
            <w:tcW w:w="556" w:type="pct"/>
            <w:vAlign w:val="bottom"/>
          </w:tcPr>
          <w:p w14:paraId="0783EE96" w14:textId="35C5792E"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2.38</w:t>
            </w:r>
          </w:p>
        </w:tc>
        <w:tc>
          <w:tcPr>
            <w:tcW w:w="556" w:type="pct"/>
            <w:vAlign w:val="bottom"/>
          </w:tcPr>
          <w:p w14:paraId="6B64B37A" w14:textId="73C6B4F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0.90</w:t>
            </w:r>
          </w:p>
        </w:tc>
        <w:tc>
          <w:tcPr>
            <w:tcW w:w="556" w:type="pct"/>
            <w:vAlign w:val="bottom"/>
          </w:tcPr>
          <w:p w14:paraId="11463800" w14:textId="29199770"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4.25</w:t>
            </w:r>
          </w:p>
        </w:tc>
        <w:tc>
          <w:tcPr>
            <w:tcW w:w="556" w:type="pct"/>
            <w:vAlign w:val="bottom"/>
          </w:tcPr>
          <w:p w14:paraId="302E07B7" w14:textId="55D37B9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0.24</w:t>
            </w:r>
          </w:p>
        </w:tc>
        <w:tc>
          <w:tcPr>
            <w:tcW w:w="556" w:type="pct"/>
          </w:tcPr>
          <w:p w14:paraId="3BD767A1" w14:textId="798D248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2.38</w:t>
            </w:r>
          </w:p>
        </w:tc>
        <w:tc>
          <w:tcPr>
            <w:tcW w:w="556" w:type="pct"/>
            <w:vAlign w:val="bottom"/>
          </w:tcPr>
          <w:p w14:paraId="52D9A8C5" w14:textId="3D460DF0"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1.78</w:t>
            </w:r>
          </w:p>
        </w:tc>
        <w:tc>
          <w:tcPr>
            <w:tcW w:w="556" w:type="pct"/>
            <w:vAlign w:val="bottom"/>
          </w:tcPr>
          <w:p w14:paraId="33EE4857" w14:textId="4391931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4DDF0209" w14:textId="42C4D091"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235B1F1F" w14:textId="77777777" w:rsidTr="0050330B">
        <w:tc>
          <w:tcPr>
            <w:tcW w:w="555" w:type="pct"/>
          </w:tcPr>
          <w:p w14:paraId="50CB8370"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England</w:t>
            </w:r>
          </w:p>
        </w:tc>
        <w:tc>
          <w:tcPr>
            <w:tcW w:w="556" w:type="pct"/>
            <w:vAlign w:val="bottom"/>
          </w:tcPr>
          <w:p w14:paraId="7AE5A243" w14:textId="2D38B91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0.66</w:t>
            </w:r>
          </w:p>
        </w:tc>
        <w:tc>
          <w:tcPr>
            <w:tcW w:w="556" w:type="pct"/>
            <w:vAlign w:val="bottom"/>
          </w:tcPr>
          <w:p w14:paraId="568EDCC0" w14:textId="742105B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0.25</w:t>
            </w:r>
          </w:p>
        </w:tc>
        <w:tc>
          <w:tcPr>
            <w:tcW w:w="556" w:type="pct"/>
            <w:vAlign w:val="bottom"/>
          </w:tcPr>
          <w:p w14:paraId="41B787B1" w14:textId="31E501F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1.30</w:t>
            </w:r>
          </w:p>
        </w:tc>
        <w:tc>
          <w:tcPr>
            <w:tcW w:w="556" w:type="pct"/>
            <w:vAlign w:val="bottom"/>
          </w:tcPr>
          <w:p w14:paraId="7BA965BE" w14:textId="39893B7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0.31</w:t>
            </w:r>
          </w:p>
        </w:tc>
        <w:tc>
          <w:tcPr>
            <w:tcW w:w="556" w:type="pct"/>
          </w:tcPr>
          <w:p w14:paraId="4D23237A" w14:textId="36BF410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0.66</w:t>
            </w:r>
          </w:p>
        </w:tc>
        <w:tc>
          <w:tcPr>
            <w:tcW w:w="556" w:type="pct"/>
            <w:vAlign w:val="bottom"/>
          </w:tcPr>
          <w:p w14:paraId="585FBFC6" w14:textId="13822425"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0.97</w:t>
            </w:r>
          </w:p>
        </w:tc>
        <w:tc>
          <w:tcPr>
            <w:tcW w:w="556" w:type="pct"/>
            <w:vAlign w:val="bottom"/>
          </w:tcPr>
          <w:p w14:paraId="32901BF1" w14:textId="02B14E4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38DD7841" w14:textId="67149B0F"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20DF6C2E" w14:textId="77777777" w:rsidTr="0050330B">
        <w:tc>
          <w:tcPr>
            <w:tcW w:w="555" w:type="pct"/>
          </w:tcPr>
          <w:p w14:paraId="79C5A301"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Estonia</w:t>
            </w:r>
          </w:p>
        </w:tc>
        <w:tc>
          <w:tcPr>
            <w:tcW w:w="556" w:type="pct"/>
            <w:vAlign w:val="bottom"/>
          </w:tcPr>
          <w:p w14:paraId="3AD4B531" w14:textId="60BB432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0.67</w:t>
            </w:r>
          </w:p>
        </w:tc>
        <w:tc>
          <w:tcPr>
            <w:tcW w:w="556" w:type="pct"/>
            <w:vAlign w:val="bottom"/>
          </w:tcPr>
          <w:p w14:paraId="0D37DC3D" w14:textId="0B0C4A3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0.28</w:t>
            </w:r>
          </w:p>
        </w:tc>
        <w:tc>
          <w:tcPr>
            <w:tcW w:w="556" w:type="pct"/>
            <w:vAlign w:val="bottom"/>
          </w:tcPr>
          <w:p w14:paraId="3308D5EB" w14:textId="718732E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1.38</w:t>
            </w:r>
          </w:p>
        </w:tc>
        <w:tc>
          <w:tcPr>
            <w:tcW w:w="556" w:type="pct"/>
            <w:vAlign w:val="bottom"/>
          </w:tcPr>
          <w:p w14:paraId="2226D668" w14:textId="6AB7F65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0.17</w:t>
            </w:r>
          </w:p>
        </w:tc>
        <w:tc>
          <w:tcPr>
            <w:tcW w:w="556" w:type="pct"/>
          </w:tcPr>
          <w:p w14:paraId="338563F0" w14:textId="622DCE3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0.67</w:t>
            </w:r>
          </w:p>
        </w:tc>
        <w:tc>
          <w:tcPr>
            <w:tcW w:w="556" w:type="pct"/>
            <w:vAlign w:val="bottom"/>
          </w:tcPr>
          <w:p w14:paraId="5DD852BF" w14:textId="1C8D812B"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0.92</w:t>
            </w:r>
          </w:p>
        </w:tc>
        <w:tc>
          <w:tcPr>
            <w:tcW w:w="556" w:type="pct"/>
            <w:vAlign w:val="bottom"/>
          </w:tcPr>
          <w:p w14:paraId="7D75928E" w14:textId="7BA11C9E"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6</w:t>
            </w:r>
          </w:p>
        </w:tc>
        <w:tc>
          <w:tcPr>
            <w:tcW w:w="553" w:type="pct"/>
            <w:vAlign w:val="bottom"/>
          </w:tcPr>
          <w:p w14:paraId="75037654" w14:textId="6ED3DCF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330D1CCF" w14:textId="77777777" w:rsidTr="0050330B">
        <w:tc>
          <w:tcPr>
            <w:tcW w:w="555" w:type="pct"/>
          </w:tcPr>
          <w:p w14:paraId="3645D756"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Ethiopia</w:t>
            </w:r>
          </w:p>
        </w:tc>
        <w:tc>
          <w:tcPr>
            <w:tcW w:w="556" w:type="pct"/>
            <w:vAlign w:val="bottom"/>
          </w:tcPr>
          <w:p w14:paraId="665791FD" w14:textId="2E71891F"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6.28</w:t>
            </w:r>
          </w:p>
        </w:tc>
        <w:tc>
          <w:tcPr>
            <w:tcW w:w="556" w:type="pct"/>
            <w:vAlign w:val="bottom"/>
          </w:tcPr>
          <w:p w14:paraId="48888D5F" w14:textId="54A6423A"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0.67</w:t>
            </w:r>
          </w:p>
        </w:tc>
        <w:tc>
          <w:tcPr>
            <w:tcW w:w="556" w:type="pct"/>
            <w:vAlign w:val="bottom"/>
          </w:tcPr>
          <w:p w14:paraId="39A45605" w14:textId="09478E5B"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7.75</w:t>
            </w:r>
          </w:p>
        </w:tc>
        <w:tc>
          <w:tcPr>
            <w:tcW w:w="556" w:type="pct"/>
            <w:vAlign w:val="bottom"/>
          </w:tcPr>
          <w:p w14:paraId="522A2D0C" w14:textId="192CE00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4.10</w:t>
            </w:r>
          </w:p>
        </w:tc>
        <w:tc>
          <w:tcPr>
            <w:tcW w:w="556" w:type="pct"/>
          </w:tcPr>
          <w:p w14:paraId="039EFD5E" w14:textId="124C90FD"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6.27</w:t>
            </w:r>
          </w:p>
        </w:tc>
        <w:tc>
          <w:tcPr>
            <w:tcW w:w="556" w:type="pct"/>
            <w:vAlign w:val="bottom"/>
          </w:tcPr>
          <w:p w14:paraId="3764215B" w14:textId="50D114CC"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1.25</w:t>
            </w:r>
          </w:p>
        </w:tc>
        <w:tc>
          <w:tcPr>
            <w:tcW w:w="556" w:type="pct"/>
            <w:vAlign w:val="bottom"/>
          </w:tcPr>
          <w:p w14:paraId="4A1A1A81" w14:textId="0017B5F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7084D5DB" w14:textId="28ABC49B"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4F596854" w14:textId="77777777" w:rsidTr="0050330B">
        <w:tc>
          <w:tcPr>
            <w:tcW w:w="555" w:type="pct"/>
          </w:tcPr>
          <w:p w14:paraId="1916FA8F"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Germany</w:t>
            </w:r>
          </w:p>
        </w:tc>
        <w:tc>
          <w:tcPr>
            <w:tcW w:w="556" w:type="pct"/>
            <w:vAlign w:val="bottom"/>
          </w:tcPr>
          <w:p w14:paraId="4CCD256B" w14:textId="699B0B0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0.76</w:t>
            </w:r>
          </w:p>
        </w:tc>
        <w:tc>
          <w:tcPr>
            <w:tcW w:w="556" w:type="pct"/>
            <w:vAlign w:val="bottom"/>
          </w:tcPr>
          <w:p w14:paraId="75214BB1" w14:textId="7C0355B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0.31</w:t>
            </w:r>
          </w:p>
        </w:tc>
        <w:tc>
          <w:tcPr>
            <w:tcW w:w="556" w:type="pct"/>
            <w:vAlign w:val="bottom"/>
          </w:tcPr>
          <w:p w14:paraId="1961ACA1" w14:textId="26FB906A"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1.81</w:t>
            </w:r>
          </w:p>
        </w:tc>
        <w:tc>
          <w:tcPr>
            <w:tcW w:w="556" w:type="pct"/>
            <w:vAlign w:val="bottom"/>
          </w:tcPr>
          <w:p w14:paraId="561BF0CB" w14:textId="1BE00B00"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0.28</w:t>
            </w:r>
          </w:p>
        </w:tc>
        <w:tc>
          <w:tcPr>
            <w:tcW w:w="556" w:type="pct"/>
          </w:tcPr>
          <w:p w14:paraId="6A928770" w14:textId="1E62E33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0.77</w:t>
            </w:r>
          </w:p>
        </w:tc>
        <w:tc>
          <w:tcPr>
            <w:tcW w:w="556" w:type="pct"/>
            <w:vAlign w:val="bottom"/>
          </w:tcPr>
          <w:p w14:paraId="6C117423" w14:textId="60A230EB"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0.99</w:t>
            </w:r>
          </w:p>
        </w:tc>
        <w:tc>
          <w:tcPr>
            <w:tcW w:w="556" w:type="pct"/>
            <w:vAlign w:val="bottom"/>
          </w:tcPr>
          <w:p w14:paraId="180EF789" w14:textId="493BA13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5328628C" w14:textId="0FA42F1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223DB977" w14:textId="77777777" w:rsidTr="0050330B">
        <w:tc>
          <w:tcPr>
            <w:tcW w:w="555" w:type="pct"/>
          </w:tcPr>
          <w:p w14:paraId="340445B1"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Israel</w:t>
            </w:r>
          </w:p>
        </w:tc>
        <w:tc>
          <w:tcPr>
            <w:tcW w:w="556" w:type="pct"/>
            <w:vAlign w:val="bottom"/>
          </w:tcPr>
          <w:p w14:paraId="330E2861" w14:textId="7D12C65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1.37</w:t>
            </w:r>
          </w:p>
        </w:tc>
        <w:tc>
          <w:tcPr>
            <w:tcW w:w="556" w:type="pct"/>
            <w:vAlign w:val="bottom"/>
          </w:tcPr>
          <w:p w14:paraId="412FE78E" w14:textId="544F81B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0.83</w:t>
            </w:r>
          </w:p>
        </w:tc>
        <w:tc>
          <w:tcPr>
            <w:tcW w:w="556" w:type="pct"/>
            <w:vAlign w:val="bottom"/>
          </w:tcPr>
          <w:p w14:paraId="65D31604" w14:textId="09305DC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3.50</w:t>
            </w:r>
          </w:p>
        </w:tc>
        <w:tc>
          <w:tcPr>
            <w:tcW w:w="556" w:type="pct"/>
            <w:vAlign w:val="bottom"/>
          </w:tcPr>
          <w:p w14:paraId="32416CC7" w14:textId="1F89ED9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0.39</w:t>
            </w:r>
          </w:p>
        </w:tc>
        <w:tc>
          <w:tcPr>
            <w:tcW w:w="556" w:type="pct"/>
          </w:tcPr>
          <w:p w14:paraId="74C67F3B" w14:textId="52B2D23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0.90</w:t>
            </w:r>
          </w:p>
        </w:tc>
        <w:tc>
          <w:tcPr>
            <w:tcW w:w="556" w:type="pct"/>
            <w:vAlign w:val="bottom"/>
          </w:tcPr>
          <w:p w14:paraId="6C1DBCFB" w14:textId="28AE7D9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1.16</w:t>
            </w:r>
          </w:p>
        </w:tc>
        <w:tc>
          <w:tcPr>
            <w:tcW w:w="556" w:type="pct"/>
            <w:vAlign w:val="bottom"/>
          </w:tcPr>
          <w:p w14:paraId="226F4DBC" w14:textId="4914B83C"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7</w:t>
            </w:r>
          </w:p>
        </w:tc>
        <w:tc>
          <w:tcPr>
            <w:tcW w:w="553" w:type="pct"/>
            <w:vAlign w:val="bottom"/>
          </w:tcPr>
          <w:p w14:paraId="6E0072B7" w14:textId="3AECC05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50E7F388" w14:textId="77777777" w:rsidTr="0050330B">
        <w:tc>
          <w:tcPr>
            <w:tcW w:w="555" w:type="pct"/>
          </w:tcPr>
          <w:p w14:paraId="3500BBC2"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Nepal</w:t>
            </w:r>
          </w:p>
        </w:tc>
        <w:tc>
          <w:tcPr>
            <w:tcW w:w="556" w:type="pct"/>
            <w:vAlign w:val="bottom"/>
          </w:tcPr>
          <w:p w14:paraId="6620A836" w14:textId="096C74FA"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3.95</w:t>
            </w:r>
          </w:p>
        </w:tc>
        <w:tc>
          <w:tcPr>
            <w:tcW w:w="556" w:type="pct"/>
            <w:vAlign w:val="bottom"/>
          </w:tcPr>
          <w:p w14:paraId="0DE20586" w14:textId="20D05A5D"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0.64</w:t>
            </w:r>
          </w:p>
        </w:tc>
        <w:tc>
          <w:tcPr>
            <w:tcW w:w="556" w:type="pct"/>
            <w:vAlign w:val="bottom"/>
          </w:tcPr>
          <w:p w14:paraId="32FA9A5B" w14:textId="74275675"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5.43</w:t>
            </w:r>
          </w:p>
        </w:tc>
        <w:tc>
          <w:tcPr>
            <w:tcW w:w="556" w:type="pct"/>
            <w:vAlign w:val="bottom"/>
          </w:tcPr>
          <w:p w14:paraId="2348A824" w14:textId="242CBAF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2.33</w:t>
            </w:r>
          </w:p>
        </w:tc>
        <w:tc>
          <w:tcPr>
            <w:tcW w:w="556" w:type="pct"/>
          </w:tcPr>
          <w:p w14:paraId="2967D5E5" w14:textId="3137C57A"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3.96</w:t>
            </w:r>
          </w:p>
        </w:tc>
        <w:tc>
          <w:tcPr>
            <w:tcW w:w="556" w:type="pct"/>
            <w:vAlign w:val="bottom"/>
          </w:tcPr>
          <w:p w14:paraId="18F7637A" w14:textId="279BD50D"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1.54</w:t>
            </w:r>
          </w:p>
        </w:tc>
        <w:tc>
          <w:tcPr>
            <w:tcW w:w="556" w:type="pct"/>
            <w:vAlign w:val="bottom"/>
          </w:tcPr>
          <w:p w14:paraId="36C96285" w14:textId="2049087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53006322" w14:textId="2CD6DF01"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2495D8E4" w14:textId="77777777" w:rsidTr="0050330B">
        <w:tc>
          <w:tcPr>
            <w:tcW w:w="555" w:type="pct"/>
          </w:tcPr>
          <w:p w14:paraId="6D767CA0"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Norway</w:t>
            </w:r>
          </w:p>
        </w:tc>
        <w:tc>
          <w:tcPr>
            <w:tcW w:w="556" w:type="pct"/>
            <w:vAlign w:val="bottom"/>
          </w:tcPr>
          <w:p w14:paraId="15C994AA" w14:textId="630C93E1"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0.20</w:t>
            </w:r>
          </w:p>
        </w:tc>
        <w:tc>
          <w:tcPr>
            <w:tcW w:w="556" w:type="pct"/>
            <w:vAlign w:val="bottom"/>
          </w:tcPr>
          <w:p w14:paraId="7158F3EE" w14:textId="749200E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0.11</w:t>
            </w:r>
          </w:p>
        </w:tc>
        <w:tc>
          <w:tcPr>
            <w:tcW w:w="556" w:type="pct"/>
            <w:vAlign w:val="bottom"/>
          </w:tcPr>
          <w:p w14:paraId="7C92D7CF" w14:textId="2039291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0.50</w:t>
            </w:r>
          </w:p>
        </w:tc>
        <w:tc>
          <w:tcPr>
            <w:tcW w:w="556" w:type="pct"/>
            <w:vAlign w:val="bottom"/>
          </w:tcPr>
          <w:p w14:paraId="5266C197" w14:textId="4BE9E70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0.00</w:t>
            </w:r>
          </w:p>
        </w:tc>
        <w:tc>
          <w:tcPr>
            <w:tcW w:w="556" w:type="pct"/>
          </w:tcPr>
          <w:p w14:paraId="112BE2A7" w14:textId="439F9AF5"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0.20</w:t>
            </w:r>
          </w:p>
        </w:tc>
        <w:tc>
          <w:tcPr>
            <w:tcW w:w="556" w:type="pct"/>
            <w:vAlign w:val="bottom"/>
          </w:tcPr>
          <w:p w14:paraId="2A7268BD" w14:textId="4A35E30F"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0.54</w:t>
            </w:r>
          </w:p>
        </w:tc>
        <w:tc>
          <w:tcPr>
            <w:tcW w:w="556" w:type="pct"/>
            <w:vAlign w:val="bottom"/>
          </w:tcPr>
          <w:p w14:paraId="2096E790" w14:textId="10548B0C"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6</w:t>
            </w:r>
          </w:p>
        </w:tc>
        <w:tc>
          <w:tcPr>
            <w:tcW w:w="553" w:type="pct"/>
            <w:vAlign w:val="bottom"/>
          </w:tcPr>
          <w:p w14:paraId="286E2533" w14:textId="1667019C"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07FC283F" w14:textId="77777777" w:rsidTr="0050330B">
        <w:tc>
          <w:tcPr>
            <w:tcW w:w="555" w:type="pct"/>
          </w:tcPr>
          <w:p w14:paraId="23AE619F"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Poland</w:t>
            </w:r>
          </w:p>
        </w:tc>
        <w:tc>
          <w:tcPr>
            <w:tcW w:w="556" w:type="pct"/>
            <w:vAlign w:val="bottom"/>
          </w:tcPr>
          <w:p w14:paraId="18A1E6B7" w14:textId="67505CDE"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0.55</w:t>
            </w:r>
          </w:p>
        </w:tc>
        <w:tc>
          <w:tcPr>
            <w:tcW w:w="556" w:type="pct"/>
            <w:vAlign w:val="bottom"/>
          </w:tcPr>
          <w:p w14:paraId="161CC530" w14:textId="11079761"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0.23</w:t>
            </w:r>
          </w:p>
        </w:tc>
        <w:tc>
          <w:tcPr>
            <w:tcW w:w="556" w:type="pct"/>
            <w:vAlign w:val="bottom"/>
          </w:tcPr>
          <w:p w14:paraId="68C57995" w14:textId="6B4718D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1.13</w:t>
            </w:r>
          </w:p>
        </w:tc>
        <w:tc>
          <w:tcPr>
            <w:tcW w:w="556" w:type="pct"/>
            <w:vAlign w:val="bottom"/>
          </w:tcPr>
          <w:p w14:paraId="4B37237B" w14:textId="2190B73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0.13</w:t>
            </w:r>
          </w:p>
        </w:tc>
        <w:tc>
          <w:tcPr>
            <w:tcW w:w="556" w:type="pct"/>
          </w:tcPr>
          <w:p w14:paraId="0F023484" w14:textId="5D08875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0.54</w:t>
            </w:r>
          </w:p>
        </w:tc>
        <w:tc>
          <w:tcPr>
            <w:tcW w:w="556" w:type="pct"/>
            <w:vAlign w:val="bottom"/>
          </w:tcPr>
          <w:p w14:paraId="7710917D" w14:textId="08B584A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0.98</w:t>
            </w:r>
          </w:p>
        </w:tc>
        <w:tc>
          <w:tcPr>
            <w:tcW w:w="556" w:type="pct"/>
            <w:vAlign w:val="bottom"/>
          </w:tcPr>
          <w:p w14:paraId="6754485A" w14:textId="36ADEEDA"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7AD63D57" w14:textId="49B0FD4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6BACA46D" w14:textId="77777777" w:rsidTr="0050330B">
        <w:tc>
          <w:tcPr>
            <w:tcW w:w="555" w:type="pct"/>
          </w:tcPr>
          <w:p w14:paraId="6FA0B341"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Romania</w:t>
            </w:r>
          </w:p>
        </w:tc>
        <w:tc>
          <w:tcPr>
            <w:tcW w:w="556" w:type="pct"/>
            <w:vAlign w:val="bottom"/>
          </w:tcPr>
          <w:p w14:paraId="12F0A4F6" w14:textId="47D17AFE"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1.50</w:t>
            </w:r>
          </w:p>
        </w:tc>
        <w:tc>
          <w:tcPr>
            <w:tcW w:w="556" w:type="pct"/>
            <w:vAlign w:val="bottom"/>
          </w:tcPr>
          <w:p w14:paraId="34F52512" w14:textId="4A683D1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0.81</w:t>
            </w:r>
          </w:p>
        </w:tc>
        <w:tc>
          <w:tcPr>
            <w:tcW w:w="556" w:type="pct"/>
            <w:vAlign w:val="bottom"/>
          </w:tcPr>
          <w:p w14:paraId="3B9BE3C1" w14:textId="1BFC548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4.13</w:t>
            </w:r>
          </w:p>
        </w:tc>
        <w:tc>
          <w:tcPr>
            <w:tcW w:w="556" w:type="pct"/>
            <w:vAlign w:val="bottom"/>
          </w:tcPr>
          <w:p w14:paraId="795B3457" w14:textId="3A43893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0.12</w:t>
            </w:r>
          </w:p>
        </w:tc>
        <w:tc>
          <w:tcPr>
            <w:tcW w:w="556" w:type="pct"/>
          </w:tcPr>
          <w:p w14:paraId="7DE049E8" w14:textId="2B3CE26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1.51</w:t>
            </w:r>
          </w:p>
        </w:tc>
        <w:tc>
          <w:tcPr>
            <w:tcW w:w="556" w:type="pct"/>
            <w:vAlign w:val="bottom"/>
          </w:tcPr>
          <w:p w14:paraId="11C9D44C" w14:textId="25F19610"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1.58</w:t>
            </w:r>
          </w:p>
        </w:tc>
        <w:tc>
          <w:tcPr>
            <w:tcW w:w="556" w:type="pct"/>
            <w:vAlign w:val="bottom"/>
          </w:tcPr>
          <w:p w14:paraId="717FE045" w14:textId="4016B4A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667D3023" w14:textId="421D90DC"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413D204A" w14:textId="77777777" w:rsidTr="0050330B">
        <w:tc>
          <w:tcPr>
            <w:tcW w:w="555" w:type="pct"/>
          </w:tcPr>
          <w:p w14:paraId="592CD126"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S Africa</w:t>
            </w:r>
          </w:p>
        </w:tc>
        <w:tc>
          <w:tcPr>
            <w:tcW w:w="556" w:type="pct"/>
            <w:vAlign w:val="bottom"/>
          </w:tcPr>
          <w:p w14:paraId="304FEE91" w14:textId="4BF422CD"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0.49</w:t>
            </w:r>
          </w:p>
        </w:tc>
        <w:tc>
          <w:tcPr>
            <w:tcW w:w="556" w:type="pct"/>
            <w:vAlign w:val="bottom"/>
          </w:tcPr>
          <w:p w14:paraId="057FECFF" w14:textId="6FE7FD2B"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0.29</w:t>
            </w:r>
          </w:p>
        </w:tc>
        <w:tc>
          <w:tcPr>
            <w:tcW w:w="556" w:type="pct"/>
            <w:vAlign w:val="bottom"/>
          </w:tcPr>
          <w:p w14:paraId="17B3AE95" w14:textId="31E84DA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2.20</w:t>
            </w:r>
          </w:p>
        </w:tc>
        <w:tc>
          <w:tcPr>
            <w:tcW w:w="556" w:type="pct"/>
            <w:vAlign w:val="bottom"/>
          </w:tcPr>
          <w:p w14:paraId="3BA647FC" w14:textId="37F7392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0.00</w:t>
            </w:r>
          </w:p>
        </w:tc>
        <w:tc>
          <w:tcPr>
            <w:tcW w:w="556" w:type="pct"/>
          </w:tcPr>
          <w:p w14:paraId="7120535D" w14:textId="59C591E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2.24</w:t>
            </w:r>
          </w:p>
        </w:tc>
        <w:tc>
          <w:tcPr>
            <w:tcW w:w="556" w:type="pct"/>
            <w:vAlign w:val="bottom"/>
          </w:tcPr>
          <w:p w14:paraId="2B66CA78" w14:textId="034B1D1F"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1.03</w:t>
            </w:r>
          </w:p>
        </w:tc>
        <w:tc>
          <w:tcPr>
            <w:tcW w:w="556" w:type="pct"/>
            <w:vAlign w:val="bottom"/>
          </w:tcPr>
          <w:p w14:paraId="0FD53D4C" w14:textId="73A8CF8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633D4997" w14:textId="2E2E60C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64965356" w14:textId="77777777" w:rsidTr="0050330B">
        <w:tc>
          <w:tcPr>
            <w:tcW w:w="555" w:type="pct"/>
          </w:tcPr>
          <w:p w14:paraId="610C8914"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S Korea</w:t>
            </w:r>
          </w:p>
        </w:tc>
        <w:tc>
          <w:tcPr>
            <w:tcW w:w="556" w:type="pct"/>
            <w:vAlign w:val="bottom"/>
          </w:tcPr>
          <w:p w14:paraId="61A17BAC" w14:textId="2258B6A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2.24</w:t>
            </w:r>
          </w:p>
        </w:tc>
        <w:tc>
          <w:tcPr>
            <w:tcW w:w="556" w:type="pct"/>
            <w:vAlign w:val="bottom"/>
          </w:tcPr>
          <w:p w14:paraId="0B126821" w14:textId="40641FED"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0.93</w:t>
            </w:r>
          </w:p>
        </w:tc>
        <w:tc>
          <w:tcPr>
            <w:tcW w:w="556" w:type="pct"/>
            <w:vAlign w:val="bottom"/>
          </w:tcPr>
          <w:p w14:paraId="5C316A04" w14:textId="5C299938"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3.75</w:t>
            </w:r>
          </w:p>
        </w:tc>
        <w:tc>
          <w:tcPr>
            <w:tcW w:w="556" w:type="pct"/>
            <w:vAlign w:val="bottom"/>
          </w:tcPr>
          <w:p w14:paraId="0D86B504" w14:textId="42E7D62E"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0.41</w:t>
            </w:r>
          </w:p>
        </w:tc>
        <w:tc>
          <w:tcPr>
            <w:tcW w:w="556" w:type="pct"/>
          </w:tcPr>
          <w:p w14:paraId="105A16DF" w14:textId="0B7B55FD"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0.49</w:t>
            </w:r>
          </w:p>
        </w:tc>
        <w:tc>
          <w:tcPr>
            <w:tcW w:w="556" w:type="pct"/>
            <w:vAlign w:val="bottom"/>
          </w:tcPr>
          <w:p w14:paraId="30F4467A" w14:textId="4442E6D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1.86</w:t>
            </w:r>
          </w:p>
        </w:tc>
        <w:tc>
          <w:tcPr>
            <w:tcW w:w="556" w:type="pct"/>
            <w:vAlign w:val="bottom"/>
          </w:tcPr>
          <w:p w14:paraId="64F58611" w14:textId="559EA351"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6EBD05D9" w14:textId="41EC32C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0748BC0A" w14:textId="77777777" w:rsidTr="0050330B">
        <w:tc>
          <w:tcPr>
            <w:tcW w:w="555" w:type="pct"/>
          </w:tcPr>
          <w:p w14:paraId="7607EDAB"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Spain</w:t>
            </w:r>
          </w:p>
        </w:tc>
        <w:tc>
          <w:tcPr>
            <w:tcW w:w="556" w:type="pct"/>
            <w:vAlign w:val="bottom"/>
          </w:tcPr>
          <w:p w14:paraId="7FF3E807" w14:textId="53107E9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1.14</w:t>
            </w:r>
          </w:p>
        </w:tc>
        <w:tc>
          <w:tcPr>
            <w:tcW w:w="556" w:type="pct"/>
            <w:vAlign w:val="bottom"/>
          </w:tcPr>
          <w:p w14:paraId="4B1947C8" w14:textId="3AD49B6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0.46</w:t>
            </w:r>
          </w:p>
        </w:tc>
        <w:tc>
          <w:tcPr>
            <w:tcW w:w="556" w:type="pct"/>
            <w:vAlign w:val="bottom"/>
          </w:tcPr>
          <w:p w14:paraId="23E3AB95" w14:textId="095A9BA2"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2.13</w:t>
            </w:r>
          </w:p>
        </w:tc>
        <w:tc>
          <w:tcPr>
            <w:tcW w:w="556" w:type="pct"/>
            <w:vAlign w:val="bottom"/>
          </w:tcPr>
          <w:p w14:paraId="05E5F2CF" w14:textId="741147D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0.33</w:t>
            </w:r>
          </w:p>
        </w:tc>
        <w:tc>
          <w:tcPr>
            <w:tcW w:w="556" w:type="pct"/>
          </w:tcPr>
          <w:p w14:paraId="14C3F92C" w14:textId="159E832F"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1.13</w:t>
            </w:r>
          </w:p>
        </w:tc>
        <w:tc>
          <w:tcPr>
            <w:tcW w:w="556" w:type="pct"/>
            <w:vAlign w:val="bottom"/>
          </w:tcPr>
          <w:p w14:paraId="1651A1C9" w14:textId="1D6468F7"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1.13</w:t>
            </w:r>
          </w:p>
        </w:tc>
        <w:tc>
          <w:tcPr>
            <w:tcW w:w="556" w:type="pct"/>
            <w:vAlign w:val="bottom"/>
          </w:tcPr>
          <w:p w14:paraId="411265DA" w14:textId="301B8474"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7</w:t>
            </w:r>
          </w:p>
        </w:tc>
        <w:tc>
          <w:tcPr>
            <w:tcW w:w="553" w:type="pct"/>
            <w:vAlign w:val="bottom"/>
          </w:tcPr>
          <w:p w14:paraId="703A4A7E" w14:textId="2AB51CE0"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4AE5BC5F" w14:textId="77777777" w:rsidTr="0050330B">
        <w:tc>
          <w:tcPr>
            <w:tcW w:w="555" w:type="pct"/>
          </w:tcPr>
          <w:p w14:paraId="0C626D47" w14:textId="77777777" w:rsidR="00C37202" w:rsidRPr="000F45BD" w:rsidRDefault="00C37202" w:rsidP="00D4634E">
            <w:pPr>
              <w:spacing w:before="100" w:beforeAutospacing="1" w:after="100" w:afterAutospacing="1"/>
              <w:jc w:val="both"/>
              <w:rPr>
                <w:rFonts w:asciiTheme="majorHAnsi" w:hAnsiTheme="majorHAnsi"/>
                <w:sz w:val="20"/>
              </w:rPr>
            </w:pPr>
            <w:r w:rsidRPr="000F45BD">
              <w:rPr>
                <w:rFonts w:asciiTheme="majorHAnsi" w:hAnsiTheme="majorHAnsi"/>
                <w:sz w:val="20"/>
              </w:rPr>
              <w:t>Turkey</w:t>
            </w:r>
          </w:p>
        </w:tc>
        <w:tc>
          <w:tcPr>
            <w:tcW w:w="556" w:type="pct"/>
            <w:vAlign w:val="bottom"/>
          </w:tcPr>
          <w:p w14:paraId="14F4BC46" w14:textId="55FD6FC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2.33</w:t>
            </w:r>
          </w:p>
        </w:tc>
        <w:tc>
          <w:tcPr>
            <w:tcW w:w="556" w:type="pct"/>
            <w:vAlign w:val="bottom"/>
          </w:tcPr>
          <w:p w14:paraId="0BE788D3" w14:textId="76B5DE29"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0.70</w:t>
            </w:r>
          </w:p>
        </w:tc>
        <w:tc>
          <w:tcPr>
            <w:tcW w:w="556" w:type="pct"/>
            <w:vAlign w:val="bottom"/>
          </w:tcPr>
          <w:p w14:paraId="4C78AD64" w14:textId="3A18C5ED"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4.32</w:t>
            </w:r>
          </w:p>
        </w:tc>
        <w:tc>
          <w:tcPr>
            <w:tcW w:w="556" w:type="pct"/>
            <w:vAlign w:val="bottom"/>
          </w:tcPr>
          <w:p w14:paraId="6ADE14E5" w14:textId="636DF8D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1.04</w:t>
            </w:r>
          </w:p>
        </w:tc>
        <w:tc>
          <w:tcPr>
            <w:tcW w:w="556" w:type="pct"/>
          </w:tcPr>
          <w:p w14:paraId="10BA0EC5" w14:textId="7D1B655B"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sz w:val="20"/>
              </w:rPr>
              <w:t>2.32</w:t>
            </w:r>
          </w:p>
        </w:tc>
        <w:tc>
          <w:tcPr>
            <w:tcW w:w="556" w:type="pct"/>
            <w:vAlign w:val="bottom"/>
          </w:tcPr>
          <w:p w14:paraId="3DE2ABE7" w14:textId="012182D6"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1.72</w:t>
            </w:r>
          </w:p>
        </w:tc>
        <w:tc>
          <w:tcPr>
            <w:tcW w:w="556" w:type="pct"/>
            <w:vAlign w:val="bottom"/>
          </w:tcPr>
          <w:p w14:paraId="456E70E3" w14:textId="7DA50DD3"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8</w:t>
            </w:r>
          </w:p>
        </w:tc>
        <w:tc>
          <w:tcPr>
            <w:tcW w:w="553" w:type="pct"/>
            <w:vAlign w:val="bottom"/>
          </w:tcPr>
          <w:p w14:paraId="4CA0ABA5" w14:textId="40105FCC" w:rsidR="00C37202" w:rsidRPr="000F45BD" w:rsidRDefault="00C37202" w:rsidP="00D4634E">
            <w:pPr>
              <w:spacing w:before="100" w:beforeAutospacing="1" w:after="100" w:afterAutospacing="1"/>
              <w:jc w:val="right"/>
              <w:rPr>
                <w:rFonts w:asciiTheme="majorHAnsi" w:hAnsiTheme="majorHAnsi"/>
                <w:sz w:val="20"/>
              </w:rPr>
            </w:pPr>
            <w:r w:rsidRPr="000F45BD">
              <w:rPr>
                <w:rFonts w:asciiTheme="majorHAnsi" w:hAnsiTheme="majorHAnsi" w:cs="Arial"/>
                <w:color w:val="000000"/>
                <w:sz w:val="20"/>
              </w:rPr>
              <w:t>0</w:t>
            </w:r>
          </w:p>
        </w:tc>
      </w:tr>
      <w:tr w:rsidR="00C37202" w:rsidRPr="000F45BD" w14:paraId="591FEFFB" w14:textId="77777777" w:rsidTr="0050330B">
        <w:tc>
          <w:tcPr>
            <w:tcW w:w="555" w:type="pct"/>
          </w:tcPr>
          <w:p w14:paraId="6A7863C6" w14:textId="77777777"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Total</w:t>
            </w:r>
          </w:p>
        </w:tc>
        <w:tc>
          <w:tcPr>
            <w:tcW w:w="556" w:type="pct"/>
          </w:tcPr>
          <w:p w14:paraId="2E9919B9" w14:textId="6893717C" w:rsidR="00C37202" w:rsidRPr="000F45BD" w:rsidRDefault="0050330B"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1.84</w:t>
            </w:r>
          </w:p>
        </w:tc>
        <w:tc>
          <w:tcPr>
            <w:tcW w:w="556" w:type="pct"/>
          </w:tcPr>
          <w:p w14:paraId="427CA69F" w14:textId="7B759C1A" w:rsidR="00C37202" w:rsidRPr="000F45BD" w:rsidRDefault="0050330B"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1.70</w:t>
            </w:r>
          </w:p>
        </w:tc>
        <w:tc>
          <w:tcPr>
            <w:tcW w:w="556" w:type="pct"/>
          </w:tcPr>
          <w:p w14:paraId="4311087D" w14:textId="69F28D86" w:rsidR="00C37202" w:rsidRPr="000F45BD" w:rsidRDefault="0050330B"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7.75</w:t>
            </w:r>
          </w:p>
        </w:tc>
        <w:tc>
          <w:tcPr>
            <w:tcW w:w="556" w:type="pct"/>
          </w:tcPr>
          <w:p w14:paraId="4A5756BB" w14:textId="192C4618" w:rsidR="00C37202" w:rsidRPr="000F45BD" w:rsidRDefault="0050330B"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0</w:t>
            </w:r>
          </w:p>
        </w:tc>
        <w:tc>
          <w:tcPr>
            <w:tcW w:w="556" w:type="pct"/>
          </w:tcPr>
          <w:p w14:paraId="2D26B79A" w14:textId="1F0C589C"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1.83</w:t>
            </w:r>
          </w:p>
        </w:tc>
        <w:tc>
          <w:tcPr>
            <w:tcW w:w="556" w:type="pct"/>
          </w:tcPr>
          <w:p w14:paraId="0CA53281" w14:textId="4F37FC23"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2.11</w:t>
            </w:r>
          </w:p>
        </w:tc>
        <w:tc>
          <w:tcPr>
            <w:tcW w:w="556" w:type="pct"/>
          </w:tcPr>
          <w:p w14:paraId="0C84977E" w14:textId="31D09B30"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8</w:t>
            </w:r>
          </w:p>
        </w:tc>
        <w:tc>
          <w:tcPr>
            <w:tcW w:w="553" w:type="pct"/>
          </w:tcPr>
          <w:p w14:paraId="7F7F7E5F" w14:textId="2ADE5D6D" w:rsidR="00C37202" w:rsidRPr="000F45BD" w:rsidRDefault="00C37202" w:rsidP="00D4634E">
            <w:pPr>
              <w:spacing w:before="100" w:beforeAutospacing="1" w:after="100" w:afterAutospacing="1"/>
              <w:jc w:val="center"/>
              <w:rPr>
                <w:rFonts w:asciiTheme="majorHAnsi" w:hAnsiTheme="majorHAnsi"/>
                <w:b/>
                <w:sz w:val="20"/>
              </w:rPr>
            </w:pPr>
            <w:r w:rsidRPr="000F45BD">
              <w:rPr>
                <w:rFonts w:asciiTheme="majorHAnsi" w:hAnsiTheme="majorHAnsi"/>
                <w:b/>
                <w:sz w:val="20"/>
              </w:rPr>
              <w:t>0</w:t>
            </w:r>
          </w:p>
        </w:tc>
      </w:tr>
    </w:tbl>
    <w:p w14:paraId="1FFB2235" w14:textId="53E26D56" w:rsidR="00F905BF" w:rsidRPr="000F45BD" w:rsidRDefault="0050330B" w:rsidP="00D4634E">
      <w:pPr>
        <w:spacing w:before="100" w:beforeAutospacing="1" w:after="100" w:afterAutospacing="1" w:line="240" w:lineRule="auto"/>
        <w:rPr>
          <w:rFonts w:asciiTheme="majorHAnsi" w:hAnsiTheme="majorHAnsi"/>
          <w:sz w:val="20"/>
          <w:szCs w:val="24"/>
        </w:rPr>
        <w:sectPr w:rsidR="00F905BF" w:rsidRPr="000F45BD" w:rsidSect="002D76AB">
          <w:pgSz w:w="16838" w:h="11906" w:orient="landscape"/>
          <w:pgMar w:top="1440" w:right="1440" w:bottom="1440" w:left="1440" w:header="708" w:footer="708" w:gutter="0"/>
          <w:cols w:space="708"/>
          <w:docGrid w:linePitch="360"/>
        </w:sectPr>
      </w:pPr>
      <w:r w:rsidRPr="000F45BD">
        <w:rPr>
          <w:rFonts w:asciiTheme="majorHAnsi" w:hAnsiTheme="majorHAnsi"/>
          <w:sz w:val="20"/>
          <w:szCs w:val="24"/>
        </w:rPr>
        <w:t>SD-standard deviation; max-maximum; min-minimum</w:t>
      </w:r>
    </w:p>
    <w:p w14:paraId="57671F74" w14:textId="3FD466A5" w:rsidR="00B55B66" w:rsidRPr="00903712" w:rsidRDefault="00B55B66" w:rsidP="00D4634E">
      <w:pPr>
        <w:pStyle w:val="ListParagraph"/>
        <w:numPr>
          <w:ilvl w:val="0"/>
          <w:numId w:val="21"/>
        </w:numPr>
        <w:spacing w:before="100" w:beforeAutospacing="1" w:after="100" w:afterAutospacing="1" w:line="240" w:lineRule="auto"/>
        <w:jc w:val="both"/>
        <w:rPr>
          <w:rFonts w:asciiTheme="majorHAnsi" w:hAnsiTheme="majorHAnsi"/>
          <w:b/>
        </w:rPr>
      </w:pPr>
      <w:r w:rsidRPr="00903712">
        <w:rPr>
          <w:rFonts w:asciiTheme="majorHAnsi" w:hAnsiTheme="majorHAnsi"/>
          <w:b/>
        </w:rPr>
        <w:lastRenderedPageBreak/>
        <w:t>Analysis</w:t>
      </w:r>
    </w:p>
    <w:p w14:paraId="2A2E7C6F" w14:textId="5E8FBA8A" w:rsidR="00B55B66" w:rsidRPr="000F45BD" w:rsidRDefault="00472692"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Analysis is presented in two sections. Firstly the nature and characteristics of the material resources scale are explored, drawing on descriptive statistics and linear regression models examining the characteristics associated with the levels of material resources children reported access to. </w:t>
      </w:r>
      <w:r w:rsidR="00D17D2D" w:rsidRPr="000F45BD">
        <w:rPr>
          <w:rFonts w:asciiTheme="majorHAnsi" w:hAnsiTheme="majorHAnsi"/>
        </w:rPr>
        <w:t xml:space="preserve"> In these models, the hierarchical nature of the data is addressed through the use of Stata’s –</w:t>
      </w:r>
      <w:proofErr w:type="spellStart"/>
      <w:r w:rsidR="00D17D2D" w:rsidRPr="000F45BD">
        <w:rPr>
          <w:rFonts w:asciiTheme="majorHAnsi" w:hAnsiTheme="majorHAnsi"/>
        </w:rPr>
        <w:t>svy</w:t>
      </w:r>
      <w:proofErr w:type="spellEnd"/>
      <w:r w:rsidR="00D17D2D" w:rsidRPr="000F45BD">
        <w:rPr>
          <w:rFonts w:asciiTheme="majorHAnsi" w:hAnsiTheme="majorHAnsi"/>
        </w:rPr>
        <w:t xml:space="preserve">- commands, compensating for clustering around schools in the national samples.  </w:t>
      </w:r>
      <w:r w:rsidRPr="000F45BD">
        <w:rPr>
          <w:rFonts w:asciiTheme="majorHAnsi" w:hAnsiTheme="majorHAnsi"/>
        </w:rPr>
        <w:t xml:space="preserve">Secondly, multilevel models are presented assessing the associations between material resources and subjective well-being taking into account the hierarchical nature of the Children’s Worlds data.  </w:t>
      </w:r>
      <w:r w:rsidR="00B55B66" w:rsidRPr="000F45BD">
        <w:rPr>
          <w:rFonts w:asciiTheme="majorHAnsi" w:hAnsiTheme="majorHAnsi"/>
        </w:rPr>
        <w:t xml:space="preserve">The nature of the research question and the Children’s Worlds study informed the decision to use a multilevel modelling approach.  Multilevel models allow for an examination of the effects of individual- and group-level variables on individual-level outcomes.  Since children participating in the study were recruited within schools and within countries, it may be expected that children within the same school and within the same country may vary in similar ways, and be more similar to one another, compared with children from different schools and countries.  </w:t>
      </w:r>
      <w:r w:rsidR="000C5814" w:rsidRPr="000F45BD">
        <w:rPr>
          <w:rFonts w:asciiTheme="majorHAnsi" w:hAnsiTheme="majorHAnsi"/>
        </w:rPr>
        <w:t xml:space="preserve">The type of multilevel model used in this analysis – a random intercepts and random slopes model - </w:t>
      </w:r>
      <w:r w:rsidR="00B55B66" w:rsidRPr="000F45BD">
        <w:rPr>
          <w:rFonts w:asciiTheme="majorHAnsi" w:hAnsiTheme="majorHAnsi"/>
        </w:rPr>
        <w:t>permit</w:t>
      </w:r>
      <w:r w:rsidR="000C5814" w:rsidRPr="000F45BD">
        <w:rPr>
          <w:rFonts w:asciiTheme="majorHAnsi" w:hAnsiTheme="majorHAnsi"/>
        </w:rPr>
        <w:t>s</w:t>
      </w:r>
      <w:r w:rsidR="00B55B66" w:rsidRPr="000F45BD">
        <w:rPr>
          <w:rFonts w:asciiTheme="majorHAnsi" w:hAnsiTheme="majorHAnsi"/>
        </w:rPr>
        <w:t xml:space="preserve"> the examination of both fixed and random effects; that is, </w:t>
      </w:r>
      <w:r w:rsidR="000C5814" w:rsidRPr="000F45BD">
        <w:rPr>
          <w:rFonts w:asciiTheme="majorHAnsi" w:hAnsiTheme="majorHAnsi"/>
        </w:rPr>
        <w:t xml:space="preserve">it allows </w:t>
      </w:r>
      <w:r w:rsidR="00B55B66" w:rsidRPr="000F45BD">
        <w:rPr>
          <w:rFonts w:asciiTheme="majorHAnsi" w:hAnsiTheme="majorHAnsi"/>
        </w:rPr>
        <w:t xml:space="preserve">for an examination of </w:t>
      </w:r>
      <w:r w:rsidR="000C5814" w:rsidRPr="000F45BD">
        <w:rPr>
          <w:rFonts w:asciiTheme="majorHAnsi" w:hAnsiTheme="majorHAnsi"/>
        </w:rPr>
        <w:t xml:space="preserve">the random effects of different levels of analysis, and also of how fixed effects vary at different levels.  </w:t>
      </w:r>
      <w:r w:rsidR="00B55B66" w:rsidRPr="000F45BD">
        <w:rPr>
          <w:rFonts w:asciiTheme="majorHAnsi" w:hAnsiTheme="majorHAnsi"/>
        </w:rPr>
        <w:t>Based on the analysis here, this meant that not only could the impact of individual, school, and country-level material resources on individual subjective well-being be examined, but the data could also be examined in terms of whether the mean levels of subjective well-being, and the associations between predictors of subjective well-being and outcomes, varied between school- and country groups.</w:t>
      </w:r>
    </w:p>
    <w:p w14:paraId="54687940" w14:textId="5830814D"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Analysis wa</w:t>
      </w:r>
      <w:r w:rsidR="00CD0D0D" w:rsidRPr="000F45BD">
        <w:rPr>
          <w:rFonts w:asciiTheme="majorHAnsi" w:hAnsiTheme="majorHAnsi"/>
        </w:rPr>
        <w:t>s performed using Stata</w:t>
      </w:r>
      <w:r w:rsidR="00472692" w:rsidRPr="000F45BD">
        <w:rPr>
          <w:rFonts w:asciiTheme="majorHAnsi" w:hAnsiTheme="majorHAnsi"/>
        </w:rPr>
        <w:t>, and multilevel models used the</w:t>
      </w:r>
      <w:r w:rsidR="00CD0D0D" w:rsidRPr="000F45BD">
        <w:rPr>
          <w:rFonts w:asciiTheme="majorHAnsi" w:hAnsiTheme="majorHAnsi"/>
        </w:rPr>
        <w:t xml:space="preserve"> - </w:t>
      </w:r>
      <w:proofErr w:type="spellStart"/>
      <w:r w:rsidR="00CD0D0D" w:rsidRPr="000F45BD">
        <w:rPr>
          <w:rFonts w:asciiTheme="majorHAnsi" w:hAnsiTheme="majorHAnsi"/>
        </w:rPr>
        <w:t>xtmixed</w:t>
      </w:r>
      <w:proofErr w:type="spellEnd"/>
      <w:r w:rsidR="00CD0D0D" w:rsidRPr="000F45BD">
        <w:rPr>
          <w:rFonts w:asciiTheme="majorHAnsi" w:hAnsiTheme="majorHAnsi"/>
        </w:rPr>
        <w:t>- command.</w:t>
      </w:r>
      <w:r w:rsidRPr="000F45BD">
        <w:rPr>
          <w:rFonts w:asciiTheme="majorHAnsi" w:hAnsiTheme="majorHAnsi"/>
        </w:rPr>
        <w:t xml:space="preserve"> Initially, a random effects model (</w:t>
      </w:r>
      <w:proofErr w:type="spellStart"/>
      <w:r w:rsidRPr="000F45BD">
        <w:rPr>
          <w:rFonts w:asciiTheme="majorHAnsi" w:hAnsiTheme="majorHAnsi"/>
        </w:rPr>
        <w:t>ie</w:t>
      </w:r>
      <w:proofErr w:type="spellEnd"/>
      <w:r w:rsidRPr="000F45BD">
        <w:rPr>
          <w:rFonts w:asciiTheme="majorHAnsi" w:hAnsiTheme="majorHAnsi"/>
        </w:rPr>
        <w:t>. including only the dependent variable, PWI) was tested including country and school as random effects levels but with no fixed predictors.  Random effects were retained if their standard de</w:t>
      </w:r>
      <w:r w:rsidR="00CD0D0D" w:rsidRPr="000F45BD">
        <w:rPr>
          <w:rFonts w:asciiTheme="majorHAnsi" w:hAnsiTheme="majorHAnsi"/>
        </w:rPr>
        <w:t>viation was greater than 0.001.</w:t>
      </w:r>
      <w:r w:rsidRPr="000F45BD">
        <w:rPr>
          <w:rFonts w:asciiTheme="majorHAnsi" w:hAnsiTheme="majorHAnsi"/>
        </w:rPr>
        <w:t xml:space="preserve"> The fixed portion of the model was then built starting with the individual level then adding schoo</w:t>
      </w:r>
      <w:r w:rsidR="00CD0D0D" w:rsidRPr="000F45BD">
        <w:rPr>
          <w:rFonts w:asciiTheme="majorHAnsi" w:hAnsiTheme="majorHAnsi"/>
        </w:rPr>
        <w:t>l and country level predictors.</w:t>
      </w:r>
      <w:r w:rsidRPr="000F45BD">
        <w:rPr>
          <w:rFonts w:asciiTheme="majorHAnsi" w:hAnsiTheme="majorHAnsi"/>
        </w:rPr>
        <w:t xml:space="preserve"> Control variables were entered first, followed by material resources and e</w:t>
      </w:r>
      <w:r w:rsidR="00CD0D0D" w:rsidRPr="000F45BD">
        <w:rPr>
          <w:rFonts w:asciiTheme="majorHAnsi" w:hAnsiTheme="majorHAnsi"/>
        </w:rPr>
        <w:t>conomic variables.</w:t>
      </w:r>
      <w:r w:rsidRPr="000F45BD">
        <w:rPr>
          <w:rFonts w:asciiTheme="majorHAnsi" w:hAnsiTheme="majorHAnsi"/>
        </w:rPr>
        <w:t xml:space="preserve"> Variables were retained if they made a statistically significant contribution to the model.</w:t>
      </w:r>
    </w:p>
    <w:p w14:paraId="47007EAA" w14:textId="442188F5" w:rsidR="00B55B66" w:rsidRPr="00903712" w:rsidRDefault="00B55B66" w:rsidP="00D4634E">
      <w:pPr>
        <w:pStyle w:val="ListParagraph"/>
        <w:numPr>
          <w:ilvl w:val="0"/>
          <w:numId w:val="21"/>
        </w:numPr>
        <w:spacing w:before="100" w:beforeAutospacing="1" w:after="100" w:afterAutospacing="1" w:line="240" w:lineRule="auto"/>
        <w:jc w:val="both"/>
        <w:rPr>
          <w:rFonts w:asciiTheme="majorHAnsi" w:hAnsiTheme="majorHAnsi"/>
          <w:b/>
        </w:rPr>
      </w:pPr>
      <w:r w:rsidRPr="00903712">
        <w:rPr>
          <w:rFonts w:asciiTheme="majorHAnsi" w:hAnsiTheme="majorHAnsi"/>
          <w:b/>
        </w:rPr>
        <w:t>Findings</w:t>
      </w:r>
    </w:p>
    <w:p w14:paraId="5F828F43" w14:textId="7FE5718A" w:rsidR="00472692" w:rsidRPr="000F45BD" w:rsidRDefault="00903712" w:rsidP="00D4634E">
      <w:pPr>
        <w:spacing w:before="100" w:beforeAutospacing="1" w:after="100" w:afterAutospacing="1" w:line="240" w:lineRule="auto"/>
        <w:jc w:val="both"/>
        <w:rPr>
          <w:rFonts w:asciiTheme="majorHAnsi" w:hAnsiTheme="majorHAnsi"/>
          <w:b/>
          <w:i/>
        </w:rPr>
      </w:pPr>
      <w:r>
        <w:rPr>
          <w:rFonts w:asciiTheme="majorHAnsi" w:hAnsiTheme="majorHAnsi"/>
          <w:b/>
          <w:i/>
        </w:rPr>
        <w:t xml:space="preserve">5.1 </w:t>
      </w:r>
      <w:r w:rsidR="00472692" w:rsidRPr="000F45BD">
        <w:rPr>
          <w:rFonts w:asciiTheme="majorHAnsi" w:hAnsiTheme="majorHAnsi"/>
          <w:b/>
          <w:i/>
        </w:rPr>
        <w:t>The material resources scale</w:t>
      </w:r>
    </w:p>
    <w:p w14:paraId="6CBD76EC" w14:textId="658E4D9F" w:rsidR="00570F2D" w:rsidRPr="000F45BD" w:rsidRDefault="00570F2D"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As noted above, the material resources scale was created by summing the number of items lacked by children.  </w:t>
      </w:r>
      <w:r w:rsidR="004F1156" w:rsidRPr="000F45BD">
        <w:rPr>
          <w:rFonts w:asciiTheme="majorHAnsi" w:hAnsiTheme="majorHAnsi"/>
        </w:rPr>
        <w:t>The decision was taken to use a simple sum of the items lacked rather than apply prevalence weighting to the scale, as</w:t>
      </w:r>
      <w:r w:rsidR="007C7A7A" w:rsidRPr="000F45BD">
        <w:rPr>
          <w:rFonts w:asciiTheme="majorHAnsi" w:hAnsiTheme="majorHAnsi"/>
        </w:rPr>
        <w:t xml:space="preserve"> (in line with </w:t>
      </w:r>
      <w:proofErr w:type="spellStart"/>
      <w:r w:rsidR="007C7A7A" w:rsidRPr="000F45BD">
        <w:rPr>
          <w:rFonts w:asciiTheme="majorHAnsi" w:hAnsiTheme="majorHAnsi"/>
        </w:rPr>
        <w:t>Hallerod</w:t>
      </w:r>
      <w:proofErr w:type="spellEnd"/>
      <w:r w:rsidR="007C7A7A" w:rsidRPr="000F45BD">
        <w:rPr>
          <w:rFonts w:asciiTheme="majorHAnsi" w:hAnsiTheme="majorHAnsi"/>
        </w:rPr>
        <w:t xml:space="preserve"> et al</w:t>
      </w:r>
      <w:r w:rsidR="0018277B">
        <w:rPr>
          <w:rFonts w:asciiTheme="majorHAnsi" w:hAnsiTheme="majorHAnsi"/>
        </w:rPr>
        <w:t>.</w:t>
      </w:r>
      <w:r w:rsidR="007C7A7A" w:rsidRPr="000F45BD">
        <w:rPr>
          <w:rFonts w:asciiTheme="majorHAnsi" w:hAnsiTheme="majorHAnsi"/>
        </w:rPr>
        <w:t>’s (1997) findings) prevalence weighting tends to make little difference to final results and can complicate interpretation of the resulting scale, which no longer has scores representing cumulative numbers of items lacked.  Cronbach’s Alpha was used to test the reliability of the material resources scale.  Cronbach’s</w:t>
      </w:r>
      <w:r w:rsidR="00430B2F" w:rsidRPr="000F45BD">
        <w:rPr>
          <w:rFonts w:asciiTheme="majorHAnsi" w:hAnsiTheme="majorHAnsi"/>
        </w:rPr>
        <w:t xml:space="preserve"> Alpha scores vary between 0 and 1, with 1 indicating higher reliability</w:t>
      </w:r>
      <w:r w:rsidR="00D4248A" w:rsidRPr="000F45BD">
        <w:rPr>
          <w:rFonts w:asciiTheme="majorHAnsi" w:hAnsiTheme="majorHAnsi"/>
        </w:rPr>
        <w:t xml:space="preserve"> and 0 indicating lower reliability, based on the internal consistency of scale items</w:t>
      </w:r>
      <w:r w:rsidR="00D4248A" w:rsidRPr="000F45BD">
        <w:rPr>
          <w:rStyle w:val="FootnoteReference"/>
          <w:rFonts w:asciiTheme="majorHAnsi" w:hAnsiTheme="majorHAnsi"/>
        </w:rPr>
        <w:footnoteReference w:id="7"/>
      </w:r>
      <w:r w:rsidR="00D4248A" w:rsidRPr="000F45BD">
        <w:rPr>
          <w:rFonts w:asciiTheme="majorHAnsi" w:hAnsiTheme="majorHAnsi"/>
        </w:rPr>
        <w:t xml:space="preserve">.  </w:t>
      </w:r>
      <w:proofErr w:type="spellStart"/>
      <w:r w:rsidR="00D4248A" w:rsidRPr="000F45BD">
        <w:rPr>
          <w:rFonts w:asciiTheme="majorHAnsi" w:hAnsiTheme="majorHAnsi"/>
        </w:rPr>
        <w:t>Nunnally</w:t>
      </w:r>
      <w:proofErr w:type="spellEnd"/>
      <w:r w:rsidR="00D4248A" w:rsidRPr="000F45BD">
        <w:rPr>
          <w:rFonts w:asciiTheme="majorHAnsi" w:hAnsiTheme="majorHAnsi"/>
        </w:rPr>
        <w:t xml:space="preserve"> et al</w:t>
      </w:r>
      <w:r w:rsidR="0018277B">
        <w:rPr>
          <w:rFonts w:asciiTheme="majorHAnsi" w:hAnsiTheme="majorHAnsi"/>
        </w:rPr>
        <w:t>.</w:t>
      </w:r>
      <w:r w:rsidR="00D4248A" w:rsidRPr="000F45BD">
        <w:rPr>
          <w:rFonts w:asciiTheme="majorHAnsi" w:hAnsiTheme="majorHAnsi"/>
        </w:rPr>
        <w:t xml:space="preserve"> (1994) suggest that 0.70-0.95 represent acceptable values of Cronbach’s Alpha; </w:t>
      </w:r>
      <w:proofErr w:type="spellStart"/>
      <w:r w:rsidR="00D4248A" w:rsidRPr="000F45BD">
        <w:rPr>
          <w:rFonts w:asciiTheme="majorHAnsi" w:hAnsiTheme="majorHAnsi"/>
        </w:rPr>
        <w:t>Tavakol</w:t>
      </w:r>
      <w:proofErr w:type="spellEnd"/>
      <w:r w:rsidR="00D4248A" w:rsidRPr="000F45BD">
        <w:rPr>
          <w:rFonts w:asciiTheme="majorHAnsi" w:hAnsiTheme="majorHAnsi"/>
        </w:rPr>
        <w:t xml:space="preserve"> and </w:t>
      </w:r>
      <w:proofErr w:type="spellStart"/>
      <w:r w:rsidR="00D4248A" w:rsidRPr="000F45BD">
        <w:rPr>
          <w:rFonts w:asciiTheme="majorHAnsi" w:hAnsiTheme="majorHAnsi"/>
        </w:rPr>
        <w:t>Dennick</w:t>
      </w:r>
      <w:proofErr w:type="spellEnd"/>
      <w:r w:rsidR="00D4248A" w:rsidRPr="000F45BD">
        <w:rPr>
          <w:rFonts w:asciiTheme="majorHAnsi" w:hAnsiTheme="majorHAnsi"/>
        </w:rPr>
        <w:t xml:space="preserve"> (2011) suggest scales failing to meet this threshold may be improved through introducing additional items (as the statistic is based partially on the number of contributing items), and revising or deleting items which do not contribute to the scale.</w:t>
      </w:r>
    </w:p>
    <w:p w14:paraId="1046F21B" w14:textId="66EE8949" w:rsidR="00D4248A" w:rsidRPr="000F45BD" w:rsidRDefault="00D4248A" w:rsidP="00D4634E">
      <w:pPr>
        <w:spacing w:before="100" w:beforeAutospacing="1" w:after="100" w:afterAutospacing="1" w:line="240" w:lineRule="auto"/>
        <w:jc w:val="both"/>
        <w:rPr>
          <w:rFonts w:asciiTheme="majorHAnsi" w:hAnsiTheme="majorHAnsi"/>
        </w:rPr>
      </w:pPr>
      <w:r w:rsidRPr="000F45BD">
        <w:rPr>
          <w:rFonts w:asciiTheme="majorHAnsi" w:hAnsiTheme="majorHAnsi"/>
        </w:rPr>
        <w:lastRenderedPageBreak/>
        <w:t>The overall Cronbach’s Alpha for the scale, and the scores for ea</w:t>
      </w:r>
      <w:r w:rsidR="00B23510" w:rsidRPr="000F45BD">
        <w:rPr>
          <w:rFonts w:asciiTheme="majorHAnsi" w:hAnsiTheme="majorHAnsi"/>
        </w:rPr>
        <w:t>ch country, are shown in table 4</w:t>
      </w:r>
      <w:r w:rsidRPr="000F45BD">
        <w:rPr>
          <w:rFonts w:asciiTheme="majorHAnsi" w:hAnsiTheme="majorHAnsi"/>
        </w:rPr>
        <w:t xml:space="preserve">.  Across all participating countries, the scale is within </w:t>
      </w:r>
      <w:proofErr w:type="spellStart"/>
      <w:r w:rsidRPr="000F45BD">
        <w:rPr>
          <w:rFonts w:asciiTheme="majorHAnsi" w:hAnsiTheme="majorHAnsi"/>
        </w:rPr>
        <w:t>Nunally</w:t>
      </w:r>
      <w:proofErr w:type="spellEnd"/>
      <w:r w:rsidRPr="000F45BD">
        <w:rPr>
          <w:rFonts w:asciiTheme="majorHAnsi" w:hAnsiTheme="majorHAnsi"/>
        </w:rPr>
        <w:t xml:space="preserve"> et </w:t>
      </w:r>
      <w:proofErr w:type="spellStart"/>
      <w:r w:rsidRPr="000F45BD">
        <w:rPr>
          <w:rFonts w:asciiTheme="majorHAnsi" w:hAnsiTheme="majorHAnsi"/>
        </w:rPr>
        <w:t>al’s</w:t>
      </w:r>
      <w:proofErr w:type="spellEnd"/>
      <w:r w:rsidRPr="000F45BD">
        <w:rPr>
          <w:rFonts w:asciiTheme="majorHAnsi" w:hAnsiTheme="majorHAnsi"/>
        </w:rPr>
        <w:t xml:space="preserve"> (1994) recommended </w:t>
      </w:r>
      <w:r w:rsidR="00C54ED5" w:rsidRPr="000F45BD">
        <w:rPr>
          <w:rFonts w:asciiTheme="majorHAnsi" w:hAnsiTheme="majorHAnsi"/>
        </w:rPr>
        <w:t xml:space="preserve">range with an Alpha of 0.80.  However, within each country the scale falls short of this standard.  The extent of this shortfall varies from a score of 0.66 in Algeria and South Korea, suggesting that the scale is close to adequate, </w:t>
      </w:r>
      <w:r w:rsidR="00FA5EAB" w:rsidRPr="000F45BD">
        <w:rPr>
          <w:rFonts w:asciiTheme="majorHAnsi" w:hAnsiTheme="majorHAnsi"/>
        </w:rPr>
        <w:t>to a score of 0.37</w:t>
      </w:r>
      <w:r w:rsidR="00C54ED5" w:rsidRPr="000F45BD">
        <w:rPr>
          <w:rFonts w:asciiTheme="majorHAnsi" w:hAnsiTheme="majorHAnsi"/>
        </w:rPr>
        <w:t xml:space="preserve"> in Germany, where the scale clearly falls far short of the expected standard.  In terms of the contributions of specific items, the overall Cronbach’s Alpha would be fractionally improved by the removal of ‘clothes’, with all other items making a contribution to the score; the removal of ‘clothes’ would also make fractional improvements in Algeria, Nepal, Colombia, Romania, and South Africa.  The scale would be fractionally improved through the removal of ‘books’ in Colombia, Turkey, Germany, and Poland; </w:t>
      </w:r>
      <w:r w:rsidR="00207F99" w:rsidRPr="000F45BD">
        <w:rPr>
          <w:rFonts w:asciiTheme="majorHAnsi" w:hAnsiTheme="majorHAnsi"/>
        </w:rPr>
        <w:t xml:space="preserve">by the removal of </w:t>
      </w:r>
      <w:r w:rsidR="00FA5EAB" w:rsidRPr="000F45BD">
        <w:rPr>
          <w:rFonts w:asciiTheme="majorHAnsi" w:hAnsiTheme="majorHAnsi"/>
        </w:rPr>
        <w:t>‘mobile’ in Estonia and Spain</w:t>
      </w:r>
      <w:r w:rsidR="00207F99" w:rsidRPr="000F45BD">
        <w:rPr>
          <w:rFonts w:asciiTheme="majorHAnsi" w:hAnsiTheme="majorHAnsi"/>
        </w:rPr>
        <w:t xml:space="preserve">; and </w:t>
      </w:r>
      <w:r w:rsidR="00C54ED5" w:rsidRPr="000F45BD">
        <w:rPr>
          <w:rFonts w:asciiTheme="majorHAnsi" w:hAnsiTheme="majorHAnsi"/>
        </w:rPr>
        <w:t>by the removal of</w:t>
      </w:r>
      <w:r w:rsidR="00FA5EAB" w:rsidRPr="000F45BD">
        <w:rPr>
          <w:rFonts w:asciiTheme="majorHAnsi" w:hAnsiTheme="majorHAnsi"/>
        </w:rPr>
        <w:t xml:space="preserve"> ‘car’ in Nepal</w:t>
      </w:r>
      <w:r w:rsidR="00C54ED5" w:rsidRPr="000F45BD">
        <w:rPr>
          <w:rFonts w:asciiTheme="majorHAnsi" w:hAnsiTheme="majorHAnsi"/>
        </w:rPr>
        <w:t>.  However, improvements resulting from these removals would be very minor, and as the overall score was within the acceptable range and no clear picture emerged for the removal of items across all country scores, all items were retained in subsequent analysis.  The lack of an acceptable Cronbach’s Alpha in any participating country perhaps reflects the challenge of measuring material resources over such a diverse group of countries.  The inclusion of a wider set of items, reflecting the cultural and economic characteristics of a wider range of countries, is indicated in future research, to improve the measure for use at the individual country level.  Thus while it is acknowledged that this scale requires a great deal of further development, and ideally the input of children in participating countries, it represents one of the first efforts to examine the impact of material resources on subjective well-being across a very diverse group of countries.  As above regarding family structure, a great deal more work in this area is indicated and one of the aims of this article is to provide a starting point for such work.</w:t>
      </w:r>
    </w:p>
    <w:p w14:paraId="3B881BB8" w14:textId="31C45F9E" w:rsidR="00570F2D" w:rsidRPr="000F45BD" w:rsidRDefault="00570F2D" w:rsidP="00D4634E">
      <w:pPr>
        <w:spacing w:before="100" w:beforeAutospacing="1" w:after="100" w:afterAutospacing="1" w:line="240" w:lineRule="auto"/>
        <w:rPr>
          <w:rFonts w:asciiTheme="majorHAnsi" w:hAnsiTheme="majorHAnsi"/>
          <w:b/>
        </w:rPr>
      </w:pPr>
      <w:r w:rsidRPr="000F45BD">
        <w:rPr>
          <w:rFonts w:asciiTheme="majorHAnsi" w:hAnsiTheme="majorHAnsi"/>
          <w:b/>
        </w:rPr>
        <w:t xml:space="preserve">Table </w:t>
      </w:r>
      <w:r w:rsidR="00D16916" w:rsidRPr="000F45BD">
        <w:rPr>
          <w:rFonts w:asciiTheme="majorHAnsi" w:hAnsiTheme="majorHAnsi"/>
          <w:b/>
        </w:rPr>
        <w:t>4</w:t>
      </w:r>
      <w:r w:rsidRPr="000F45BD">
        <w:rPr>
          <w:rFonts w:asciiTheme="majorHAnsi" w:hAnsiTheme="majorHAnsi"/>
          <w:b/>
        </w:rPr>
        <w:t>: Cronbach’s Alpha for the material resources scale, overall and within each country</w:t>
      </w:r>
    </w:p>
    <w:tbl>
      <w:tblPr>
        <w:tblStyle w:val="TableGrid"/>
        <w:tblW w:w="0" w:type="auto"/>
        <w:tblLook w:val="04A0" w:firstRow="1" w:lastRow="0" w:firstColumn="1" w:lastColumn="0" w:noHBand="0" w:noVBand="1"/>
      </w:tblPr>
      <w:tblGrid>
        <w:gridCol w:w="4621"/>
        <w:gridCol w:w="4621"/>
      </w:tblGrid>
      <w:tr w:rsidR="00570F2D" w:rsidRPr="000F45BD" w14:paraId="71DE43EF" w14:textId="77777777" w:rsidTr="00570F2D">
        <w:tc>
          <w:tcPr>
            <w:tcW w:w="4621" w:type="dxa"/>
          </w:tcPr>
          <w:p w14:paraId="0779C48B" w14:textId="7031A5F6"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b/>
                <w:sz w:val="20"/>
              </w:rPr>
              <w:t>Country</w:t>
            </w:r>
          </w:p>
        </w:tc>
        <w:tc>
          <w:tcPr>
            <w:tcW w:w="4621" w:type="dxa"/>
          </w:tcPr>
          <w:p w14:paraId="6575C39D" w14:textId="5287D84E" w:rsidR="00570F2D" w:rsidRPr="000F45BD" w:rsidRDefault="00570F2D" w:rsidP="00D4634E">
            <w:pPr>
              <w:spacing w:before="100" w:beforeAutospacing="1" w:after="100" w:afterAutospacing="1"/>
              <w:rPr>
                <w:rFonts w:asciiTheme="majorHAnsi" w:hAnsiTheme="majorHAnsi"/>
                <w:b/>
                <w:sz w:val="20"/>
              </w:rPr>
            </w:pPr>
            <w:r w:rsidRPr="000F45BD">
              <w:rPr>
                <w:rFonts w:asciiTheme="majorHAnsi" w:hAnsiTheme="majorHAnsi"/>
                <w:b/>
                <w:sz w:val="20"/>
              </w:rPr>
              <w:t>Cronbach’s Alpha</w:t>
            </w:r>
          </w:p>
        </w:tc>
      </w:tr>
      <w:tr w:rsidR="00D4248A" w:rsidRPr="000F45BD" w14:paraId="635994A1" w14:textId="77777777" w:rsidTr="00C54ED5">
        <w:tc>
          <w:tcPr>
            <w:tcW w:w="4621" w:type="dxa"/>
          </w:tcPr>
          <w:p w14:paraId="4F02CD85" w14:textId="77777777" w:rsidR="00D4248A" w:rsidRPr="000F45BD" w:rsidRDefault="00D4248A" w:rsidP="00D4634E">
            <w:pPr>
              <w:spacing w:before="100" w:beforeAutospacing="1" w:after="100" w:afterAutospacing="1"/>
              <w:rPr>
                <w:rFonts w:asciiTheme="majorHAnsi" w:hAnsiTheme="majorHAnsi"/>
                <w:sz w:val="20"/>
              </w:rPr>
            </w:pPr>
            <w:r w:rsidRPr="000F45BD">
              <w:rPr>
                <w:rFonts w:asciiTheme="majorHAnsi" w:hAnsiTheme="majorHAnsi"/>
                <w:b/>
                <w:sz w:val="20"/>
              </w:rPr>
              <w:t>Overall</w:t>
            </w:r>
          </w:p>
        </w:tc>
        <w:tc>
          <w:tcPr>
            <w:tcW w:w="4621" w:type="dxa"/>
          </w:tcPr>
          <w:p w14:paraId="39934F64" w14:textId="77777777" w:rsidR="00D4248A" w:rsidRPr="000F45BD" w:rsidRDefault="00D4248A" w:rsidP="00D4634E">
            <w:pPr>
              <w:spacing w:before="100" w:beforeAutospacing="1" w:after="100" w:afterAutospacing="1"/>
              <w:rPr>
                <w:rFonts w:asciiTheme="majorHAnsi" w:hAnsiTheme="majorHAnsi"/>
                <w:b/>
                <w:sz w:val="20"/>
              </w:rPr>
            </w:pPr>
            <w:r w:rsidRPr="000F45BD">
              <w:rPr>
                <w:rFonts w:asciiTheme="majorHAnsi" w:hAnsiTheme="majorHAnsi"/>
                <w:b/>
                <w:sz w:val="20"/>
              </w:rPr>
              <w:t>0.80</w:t>
            </w:r>
            <w:r w:rsidRPr="000F45BD">
              <w:rPr>
                <w:rFonts w:asciiTheme="majorHAnsi" w:hAnsiTheme="majorHAnsi"/>
                <w:b/>
                <w:sz w:val="20"/>
              </w:rPr>
              <w:tab/>
            </w:r>
          </w:p>
        </w:tc>
      </w:tr>
      <w:tr w:rsidR="00570F2D" w:rsidRPr="000F45BD" w14:paraId="4BCCA391" w14:textId="77777777" w:rsidTr="00570F2D">
        <w:tc>
          <w:tcPr>
            <w:tcW w:w="4621" w:type="dxa"/>
          </w:tcPr>
          <w:p w14:paraId="76E12939" w14:textId="3BB8C37B"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Algeria</w:t>
            </w:r>
          </w:p>
        </w:tc>
        <w:tc>
          <w:tcPr>
            <w:tcW w:w="4621" w:type="dxa"/>
          </w:tcPr>
          <w:p w14:paraId="36F76439" w14:textId="4D8B0EAE"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0.66</w:t>
            </w:r>
          </w:p>
        </w:tc>
      </w:tr>
      <w:tr w:rsidR="00570F2D" w:rsidRPr="000F45BD" w14:paraId="51467D8F" w14:textId="77777777" w:rsidTr="00570F2D">
        <w:tc>
          <w:tcPr>
            <w:tcW w:w="4621" w:type="dxa"/>
          </w:tcPr>
          <w:p w14:paraId="04ABC8BF" w14:textId="3A301BED"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Colombia</w:t>
            </w:r>
          </w:p>
        </w:tc>
        <w:tc>
          <w:tcPr>
            <w:tcW w:w="4621" w:type="dxa"/>
          </w:tcPr>
          <w:p w14:paraId="4D40FD69" w14:textId="21353140" w:rsidR="00570F2D" w:rsidRPr="000F45BD" w:rsidRDefault="00207F99" w:rsidP="00D4634E">
            <w:pPr>
              <w:spacing w:before="100" w:beforeAutospacing="1" w:after="100" w:afterAutospacing="1"/>
              <w:rPr>
                <w:rFonts w:asciiTheme="majorHAnsi" w:hAnsiTheme="majorHAnsi"/>
                <w:sz w:val="20"/>
              </w:rPr>
            </w:pPr>
            <w:r w:rsidRPr="000F45BD">
              <w:rPr>
                <w:rFonts w:asciiTheme="majorHAnsi" w:hAnsiTheme="majorHAnsi"/>
                <w:sz w:val="20"/>
              </w:rPr>
              <w:t>0.63</w:t>
            </w:r>
          </w:p>
        </w:tc>
      </w:tr>
      <w:tr w:rsidR="00570F2D" w:rsidRPr="000F45BD" w14:paraId="3ACCA2AC" w14:textId="77777777" w:rsidTr="00570F2D">
        <w:tc>
          <w:tcPr>
            <w:tcW w:w="4621" w:type="dxa"/>
          </w:tcPr>
          <w:p w14:paraId="184BBDAE" w14:textId="62AC2F8F"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England</w:t>
            </w:r>
          </w:p>
        </w:tc>
        <w:tc>
          <w:tcPr>
            <w:tcW w:w="4621" w:type="dxa"/>
          </w:tcPr>
          <w:p w14:paraId="2CB870D0" w14:textId="427A5029" w:rsidR="00570F2D" w:rsidRPr="000F45BD" w:rsidRDefault="00FA5EAB" w:rsidP="00D4634E">
            <w:pPr>
              <w:spacing w:before="100" w:beforeAutospacing="1" w:after="100" w:afterAutospacing="1"/>
              <w:rPr>
                <w:rFonts w:asciiTheme="majorHAnsi" w:hAnsiTheme="majorHAnsi"/>
                <w:sz w:val="20"/>
              </w:rPr>
            </w:pPr>
            <w:r w:rsidRPr="000F45BD">
              <w:rPr>
                <w:rFonts w:asciiTheme="majorHAnsi" w:hAnsiTheme="majorHAnsi"/>
                <w:sz w:val="20"/>
              </w:rPr>
              <w:t>0.43</w:t>
            </w:r>
          </w:p>
        </w:tc>
      </w:tr>
      <w:tr w:rsidR="00570F2D" w:rsidRPr="000F45BD" w14:paraId="0943EBED" w14:textId="77777777" w:rsidTr="00570F2D">
        <w:tc>
          <w:tcPr>
            <w:tcW w:w="4621" w:type="dxa"/>
          </w:tcPr>
          <w:p w14:paraId="5789626C" w14:textId="02A96056"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Estonia</w:t>
            </w:r>
          </w:p>
        </w:tc>
        <w:tc>
          <w:tcPr>
            <w:tcW w:w="4621" w:type="dxa"/>
          </w:tcPr>
          <w:p w14:paraId="4C919D14" w14:textId="67ADDC49" w:rsidR="00570F2D" w:rsidRPr="000F45BD" w:rsidRDefault="00207F99" w:rsidP="00D4634E">
            <w:pPr>
              <w:spacing w:before="100" w:beforeAutospacing="1" w:after="100" w:afterAutospacing="1"/>
              <w:rPr>
                <w:rFonts w:asciiTheme="majorHAnsi" w:hAnsiTheme="majorHAnsi"/>
                <w:sz w:val="20"/>
              </w:rPr>
            </w:pPr>
            <w:r w:rsidRPr="000F45BD">
              <w:rPr>
                <w:rFonts w:asciiTheme="majorHAnsi" w:hAnsiTheme="majorHAnsi"/>
                <w:sz w:val="20"/>
              </w:rPr>
              <w:t>0.40</w:t>
            </w:r>
          </w:p>
        </w:tc>
      </w:tr>
      <w:tr w:rsidR="00570F2D" w:rsidRPr="000F45BD" w14:paraId="5D73C8B0" w14:textId="77777777" w:rsidTr="00570F2D">
        <w:tc>
          <w:tcPr>
            <w:tcW w:w="4621" w:type="dxa"/>
          </w:tcPr>
          <w:p w14:paraId="0DBE868B" w14:textId="36E17F7C"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Ethiopia</w:t>
            </w:r>
          </w:p>
        </w:tc>
        <w:tc>
          <w:tcPr>
            <w:tcW w:w="4621" w:type="dxa"/>
          </w:tcPr>
          <w:p w14:paraId="613C32C0" w14:textId="6B5C29C8" w:rsidR="00570F2D" w:rsidRPr="000F45BD" w:rsidRDefault="00FA5EAB" w:rsidP="00D4634E">
            <w:pPr>
              <w:spacing w:before="100" w:beforeAutospacing="1" w:after="100" w:afterAutospacing="1"/>
              <w:rPr>
                <w:rFonts w:asciiTheme="majorHAnsi" w:hAnsiTheme="majorHAnsi"/>
                <w:sz w:val="20"/>
              </w:rPr>
            </w:pPr>
            <w:r w:rsidRPr="000F45BD">
              <w:rPr>
                <w:rFonts w:asciiTheme="majorHAnsi" w:hAnsiTheme="majorHAnsi"/>
                <w:sz w:val="20"/>
              </w:rPr>
              <w:t>0.54</w:t>
            </w:r>
          </w:p>
        </w:tc>
      </w:tr>
      <w:tr w:rsidR="00570F2D" w:rsidRPr="000F45BD" w14:paraId="32CF611E" w14:textId="77777777" w:rsidTr="00570F2D">
        <w:tc>
          <w:tcPr>
            <w:tcW w:w="4621" w:type="dxa"/>
          </w:tcPr>
          <w:p w14:paraId="3DE6F914" w14:textId="03E49364"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Germany</w:t>
            </w:r>
          </w:p>
        </w:tc>
        <w:tc>
          <w:tcPr>
            <w:tcW w:w="4621" w:type="dxa"/>
          </w:tcPr>
          <w:p w14:paraId="60EE58BE" w14:textId="213B580E" w:rsidR="00570F2D" w:rsidRPr="000F45BD" w:rsidRDefault="00FA5EAB" w:rsidP="00D4634E">
            <w:pPr>
              <w:spacing w:before="100" w:beforeAutospacing="1" w:after="100" w:afterAutospacing="1"/>
              <w:rPr>
                <w:rFonts w:asciiTheme="majorHAnsi" w:hAnsiTheme="majorHAnsi"/>
                <w:sz w:val="20"/>
              </w:rPr>
            </w:pPr>
            <w:r w:rsidRPr="000F45BD">
              <w:rPr>
                <w:rFonts w:asciiTheme="majorHAnsi" w:hAnsiTheme="majorHAnsi"/>
                <w:sz w:val="20"/>
              </w:rPr>
              <w:t>0.37</w:t>
            </w:r>
          </w:p>
        </w:tc>
      </w:tr>
      <w:tr w:rsidR="00570F2D" w:rsidRPr="000F45BD" w14:paraId="2A666624" w14:textId="77777777" w:rsidTr="00570F2D">
        <w:tc>
          <w:tcPr>
            <w:tcW w:w="4621" w:type="dxa"/>
          </w:tcPr>
          <w:p w14:paraId="58CD8B8C" w14:textId="72F7178D"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Israel</w:t>
            </w:r>
          </w:p>
        </w:tc>
        <w:tc>
          <w:tcPr>
            <w:tcW w:w="4621" w:type="dxa"/>
          </w:tcPr>
          <w:p w14:paraId="606F56EB" w14:textId="32C99C88" w:rsidR="00570F2D" w:rsidRPr="000F45BD" w:rsidRDefault="00FA5EAB" w:rsidP="00D4634E">
            <w:pPr>
              <w:spacing w:before="100" w:beforeAutospacing="1" w:after="100" w:afterAutospacing="1"/>
              <w:rPr>
                <w:rFonts w:asciiTheme="majorHAnsi" w:hAnsiTheme="majorHAnsi"/>
                <w:sz w:val="20"/>
              </w:rPr>
            </w:pPr>
            <w:r w:rsidRPr="000F45BD">
              <w:rPr>
                <w:rFonts w:asciiTheme="majorHAnsi" w:hAnsiTheme="majorHAnsi"/>
                <w:sz w:val="20"/>
              </w:rPr>
              <w:t>0.55</w:t>
            </w:r>
          </w:p>
        </w:tc>
      </w:tr>
      <w:tr w:rsidR="00570F2D" w:rsidRPr="000F45BD" w14:paraId="62DDF6C7" w14:textId="77777777" w:rsidTr="00570F2D">
        <w:tc>
          <w:tcPr>
            <w:tcW w:w="4621" w:type="dxa"/>
          </w:tcPr>
          <w:p w14:paraId="3396BFA7" w14:textId="785123E7"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Nepal</w:t>
            </w:r>
          </w:p>
        </w:tc>
        <w:tc>
          <w:tcPr>
            <w:tcW w:w="4621" w:type="dxa"/>
          </w:tcPr>
          <w:p w14:paraId="39433891" w14:textId="2AE07034" w:rsidR="00570F2D" w:rsidRPr="000F45BD" w:rsidRDefault="00207F99" w:rsidP="00D4634E">
            <w:pPr>
              <w:spacing w:before="100" w:beforeAutospacing="1" w:after="100" w:afterAutospacing="1"/>
              <w:rPr>
                <w:rFonts w:asciiTheme="majorHAnsi" w:hAnsiTheme="majorHAnsi"/>
                <w:sz w:val="20"/>
              </w:rPr>
            </w:pPr>
            <w:r w:rsidRPr="000F45BD">
              <w:rPr>
                <w:rFonts w:asciiTheme="majorHAnsi" w:hAnsiTheme="majorHAnsi"/>
                <w:sz w:val="20"/>
              </w:rPr>
              <w:t>0.43</w:t>
            </w:r>
          </w:p>
        </w:tc>
      </w:tr>
      <w:tr w:rsidR="00570F2D" w:rsidRPr="000F45BD" w14:paraId="18F1D6B4" w14:textId="77777777" w:rsidTr="00570F2D">
        <w:tc>
          <w:tcPr>
            <w:tcW w:w="4621" w:type="dxa"/>
          </w:tcPr>
          <w:p w14:paraId="604483C1" w14:textId="10C68971"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Norway</w:t>
            </w:r>
          </w:p>
        </w:tc>
        <w:tc>
          <w:tcPr>
            <w:tcW w:w="4621" w:type="dxa"/>
          </w:tcPr>
          <w:p w14:paraId="3F7F7D2C" w14:textId="3ED31C53" w:rsidR="00570F2D" w:rsidRPr="000F45BD" w:rsidRDefault="00FA5EAB" w:rsidP="00D4634E">
            <w:pPr>
              <w:spacing w:before="100" w:beforeAutospacing="1" w:after="100" w:afterAutospacing="1"/>
              <w:rPr>
                <w:rFonts w:asciiTheme="majorHAnsi" w:hAnsiTheme="majorHAnsi"/>
                <w:sz w:val="20"/>
              </w:rPr>
            </w:pPr>
            <w:r w:rsidRPr="000F45BD">
              <w:rPr>
                <w:rFonts w:asciiTheme="majorHAnsi" w:hAnsiTheme="majorHAnsi"/>
                <w:sz w:val="20"/>
              </w:rPr>
              <w:t>0.40</w:t>
            </w:r>
          </w:p>
        </w:tc>
      </w:tr>
      <w:tr w:rsidR="00570F2D" w:rsidRPr="000F45BD" w14:paraId="7F668E6D" w14:textId="77777777" w:rsidTr="00570F2D">
        <w:tc>
          <w:tcPr>
            <w:tcW w:w="4621" w:type="dxa"/>
          </w:tcPr>
          <w:p w14:paraId="6C2494AA" w14:textId="1C72F6D1"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Poland</w:t>
            </w:r>
          </w:p>
        </w:tc>
        <w:tc>
          <w:tcPr>
            <w:tcW w:w="4621" w:type="dxa"/>
          </w:tcPr>
          <w:p w14:paraId="52681E7D" w14:textId="33B47013"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0.56</w:t>
            </w:r>
          </w:p>
        </w:tc>
      </w:tr>
      <w:tr w:rsidR="00570F2D" w:rsidRPr="000F45BD" w14:paraId="0CF2B3FE" w14:textId="77777777" w:rsidTr="00570F2D">
        <w:tc>
          <w:tcPr>
            <w:tcW w:w="4621" w:type="dxa"/>
          </w:tcPr>
          <w:p w14:paraId="63F9E031" w14:textId="55EFC50E"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Romania</w:t>
            </w:r>
          </w:p>
        </w:tc>
        <w:tc>
          <w:tcPr>
            <w:tcW w:w="4621" w:type="dxa"/>
          </w:tcPr>
          <w:p w14:paraId="041AA32D" w14:textId="152C29F8"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0.65</w:t>
            </w:r>
          </w:p>
        </w:tc>
      </w:tr>
      <w:tr w:rsidR="00570F2D" w:rsidRPr="000F45BD" w14:paraId="1563CBF1" w14:textId="77777777" w:rsidTr="00570F2D">
        <w:tc>
          <w:tcPr>
            <w:tcW w:w="4621" w:type="dxa"/>
          </w:tcPr>
          <w:p w14:paraId="7BDA61F0" w14:textId="3093A921"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S Africa</w:t>
            </w:r>
          </w:p>
        </w:tc>
        <w:tc>
          <w:tcPr>
            <w:tcW w:w="4621" w:type="dxa"/>
          </w:tcPr>
          <w:p w14:paraId="03EC2568" w14:textId="2C3C5A5A"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0.65</w:t>
            </w:r>
          </w:p>
        </w:tc>
      </w:tr>
      <w:tr w:rsidR="00570F2D" w:rsidRPr="000F45BD" w14:paraId="1D50FD4C" w14:textId="77777777" w:rsidTr="00570F2D">
        <w:tc>
          <w:tcPr>
            <w:tcW w:w="4621" w:type="dxa"/>
          </w:tcPr>
          <w:p w14:paraId="6C3677A9" w14:textId="4711FC6A"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S Korea</w:t>
            </w:r>
          </w:p>
        </w:tc>
        <w:tc>
          <w:tcPr>
            <w:tcW w:w="4621" w:type="dxa"/>
          </w:tcPr>
          <w:p w14:paraId="00998A08" w14:textId="634E03BA"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0.66</w:t>
            </w:r>
          </w:p>
        </w:tc>
      </w:tr>
      <w:tr w:rsidR="00570F2D" w:rsidRPr="000F45BD" w14:paraId="658EAE32" w14:textId="77777777" w:rsidTr="00570F2D">
        <w:tc>
          <w:tcPr>
            <w:tcW w:w="4621" w:type="dxa"/>
          </w:tcPr>
          <w:p w14:paraId="6159003F" w14:textId="2DBDACA6"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Spain</w:t>
            </w:r>
          </w:p>
        </w:tc>
        <w:tc>
          <w:tcPr>
            <w:tcW w:w="4621" w:type="dxa"/>
          </w:tcPr>
          <w:p w14:paraId="2E6B4DA6" w14:textId="14E4A8DC" w:rsidR="00570F2D" w:rsidRPr="000F45BD" w:rsidRDefault="00207F99" w:rsidP="00D4634E">
            <w:pPr>
              <w:spacing w:before="100" w:beforeAutospacing="1" w:after="100" w:afterAutospacing="1"/>
              <w:rPr>
                <w:rFonts w:asciiTheme="majorHAnsi" w:hAnsiTheme="majorHAnsi"/>
                <w:sz w:val="20"/>
              </w:rPr>
            </w:pPr>
            <w:r w:rsidRPr="000F45BD">
              <w:rPr>
                <w:rFonts w:asciiTheme="majorHAnsi" w:hAnsiTheme="majorHAnsi"/>
                <w:sz w:val="20"/>
              </w:rPr>
              <w:t>0.38</w:t>
            </w:r>
          </w:p>
        </w:tc>
      </w:tr>
      <w:tr w:rsidR="00570F2D" w:rsidRPr="000F45BD" w14:paraId="5B300CAA" w14:textId="77777777" w:rsidTr="00570F2D">
        <w:tc>
          <w:tcPr>
            <w:tcW w:w="4621" w:type="dxa"/>
          </w:tcPr>
          <w:p w14:paraId="2D90EC8D" w14:textId="5D62B584" w:rsidR="00570F2D" w:rsidRPr="000F45BD" w:rsidRDefault="00570F2D" w:rsidP="00D4634E">
            <w:pPr>
              <w:spacing w:before="100" w:beforeAutospacing="1" w:after="100" w:afterAutospacing="1"/>
              <w:rPr>
                <w:rFonts w:asciiTheme="majorHAnsi" w:hAnsiTheme="majorHAnsi"/>
                <w:sz w:val="20"/>
              </w:rPr>
            </w:pPr>
            <w:r w:rsidRPr="000F45BD">
              <w:rPr>
                <w:rFonts w:asciiTheme="majorHAnsi" w:hAnsiTheme="majorHAnsi"/>
                <w:sz w:val="20"/>
              </w:rPr>
              <w:t>Turkey</w:t>
            </w:r>
          </w:p>
        </w:tc>
        <w:tc>
          <w:tcPr>
            <w:tcW w:w="4621" w:type="dxa"/>
          </w:tcPr>
          <w:p w14:paraId="2BCFBA6F" w14:textId="45459FEC" w:rsidR="00570F2D" w:rsidRPr="000F45BD" w:rsidRDefault="00FA5EAB" w:rsidP="00D4634E">
            <w:pPr>
              <w:spacing w:before="100" w:beforeAutospacing="1" w:after="100" w:afterAutospacing="1"/>
              <w:rPr>
                <w:rFonts w:asciiTheme="majorHAnsi" w:hAnsiTheme="majorHAnsi"/>
                <w:sz w:val="20"/>
              </w:rPr>
            </w:pPr>
            <w:r w:rsidRPr="000F45BD">
              <w:rPr>
                <w:rFonts w:asciiTheme="majorHAnsi" w:hAnsiTheme="majorHAnsi"/>
                <w:sz w:val="20"/>
              </w:rPr>
              <w:t>0.60</w:t>
            </w:r>
          </w:p>
        </w:tc>
      </w:tr>
    </w:tbl>
    <w:p w14:paraId="3AD562AC" w14:textId="707D746C" w:rsidR="00157FC3" w:rsidRPr="000F45BD" w:rsidRDefault="00157FC3" w:rsidP="00D4634E">
      <w:pPr>
        <w:spacing w:before="100" w:beforeAutospacing="1" w:after="100" w:afterAutospacing="1" w:line="240" w:lineRule="auto"/>
        <w:rPr>
          <w:rFonts w:asciiTheme="majorHAnsi" w:hAnsiTheme="majorHAnsi"/>
        </w:rPr>
      </w:pPr>
      <w:r w:rsidRPr="000F45BD">
        <w:rPr>
          <w:rFonts w:asciiTheme="majorHAnsi" w:hAnsiTheme="majorHAnsi"/>
        </w:rPr>
        <w:t>To provide insight into the face validity of the items comprising the material resources scale, as well as the scale as a whole, items were tested for significant association with children’s reports of their satisfaction with all the things they have (which in the later analysis forms part of the PWI, used to measure subjective well-being).</w:t>
      </w:r>
      <w:r w:rsidR="00A9482B" w:rsidRPr="000F45BD">
        <w:rPr>
          <w:rFonts w:asciiTheme="majorHAnsi" w:hAnsiTheme="majorHAnsi"/>
        </w:rPr>
        <w:t xml:space="preserve">  A significant and negative association would be expected if items and the scale they form represent a valid measure of material resources which is relevant to children’s own conceptions of their material wants and needs.</w:t>
      </w:r>
    </w:p>
    <w:p w14:paraId="0999E89D" w14:textId="4AF41D7E" w:rsidR="00A9482B" w:rsidRPr="000F45BD" w:rsidRDefault="00B23510" w:rsidP="001700BE">
      <w:pPr>
        <w:spacing w:before="100" w:beforeAutospacing="1" w:after="100" w:afterAutospacing="1" w:line="240" w:lineRule="auto"/>
        <w:jc w:val="both"/>
        <w:rPr>
          <w:rFonts w:asciiTheme="majorHAnsi" w:hAnsiTheme="majorHAnsi"/>
        </w:rPr>
      </w:pPr>
      <w:r w:rsidRPr="000F45BD">
        <w:rPr>
          <w:rFonts w:asciiTheme="majorHAnsi" w:hAnsiTheme="majorHAnsi"/>
        </w:rPr>
        <w:t>Table 5</w:t>
      </w:r>
      <w:r w:rsidR="00A9482B" w:rsidRPr="000F45BD">
        <w:rPr>
          <w:rFonts w:asciiTheme="majorHAnsi" w:hAnsiTheme="majorHAnsi"/>
        </w:rPr>
        <w:t xml:space="preserve"> shows the beta coefficients associated with individual resources and the material resource scale, when entered alone into a linear regression predicting scores on the variable </w:t>
      </w:r>
      <w:r w:rsidR="00A9482B" w:rsidRPr="000F45BD">
        <w:rPr>
          <w:rFonts w:asciiTheme="majorHAnsi" w:hAnsiTheme="majorHAnsi"/>
        </w:rPr>
        <w:lastRenderedPageBreak/>
        <w:t>asking children to rate their satisfaction with all the things they have.  In the overall sample, as shown in the second row of the table, all resources are significantly associated with children’s satisfaction with their things.  The full material resources scale, as shown in the final column of the table, is significantly associated with children’s satisfaction with their things, overall and within each country.  Looking to the individual items, having clothes in a good condition to go to school has no significant association with children’s satisfaction with their things in four countries (England, Estonia, Romania and South Korea); access to the internet has no such significant association in one country (England); having a mobile phone has no significant association in four countries (Colombia, Estonia, Germany and Norway); having their own room has no significant association in two countries (Germany and Nepal); having a car has no significant association in five countries (England, Ethiopia, Germany, Nepal and Norway); and having access to things to play music has no significant association in one country (Germany).  Looking to the individual countries, one of the items has no significant association with children’s satisfaction with their things</w:t>
      </w:r>
      <w:r w:rsidR="00423A5C" w:rsidRPr="000F45BD">
        <w:rPr>
          <w:rFonts w:asciiTheme="majorHAnsi" w:hAnsiTheme="majorHAnsi"/>
        </w:rPr>
        <w:t xml:space="preserve"> in Colombia, Ethiopia, Romania, and South Korea; two of the items have no such significant association in Estonia, Nepal and Norway; three of the items have no significant association in England; and four of the items have no significant association in Germany.  Thus the individual items appear to have the highest face validity in Algeria, Israel, Poland, South Africa, Spain and Turkey, in which countries all items are significantly associated with children’s satisfaction with their things.  Conversely, in England and Germany in particular, many of the contributing items may not be providing a good measure of children’s perceptions of their material wants and needs.</w:t>
      </w:r>
    </w:p>
    <w:p w14:paraId="13D0296A" w14:textId="6DD9A86C" w:rsidR="00157FC3" w:rsidRPr="000F45BD" w:rsidRDefault="00B23510" w:rsidP="00D4634E">
      <w:pPr>
        <w:spacing w:before="100" w:beforeAutospacing="1" w:after="100" w:afterAutospacing="1" w:line="240" w:lineRule="auto"/>
        <w:rPr>
          <w:rFonts w:asciiTheme="majorHAnsi" w:hAnsiTheme="majorHAnsi"/>
          <w:b/>
        </w:rPr>
      </w:pPr>
      <w:r w:rsidRPr="000F45BD">
        <w:rPr>
          <w:rFonts w:asciiTheme="majorHAnsi" w:hAnsiTheme="majorHAnsi"/>
          <w:b/>
        </w:rPr>
        <w:t>Table 5</w:t>
      </w:r>
      <w:r w:rsidR="00423A5C" w:rsidRPr="000F45BD">
        <w:rPr>
          <w:rFonts w:asciiTheme="majorHAnsi" w:hAnsiTheme="majorHAnsi"/>
          <w:b/>
        </w:rPr>
        <w:t>: Beta coefficients from linear regressions of material resources items and scale on children’s satisfaction with their things</w:t>
      </w:r>
    </w:p>
    <w:tbl>
      <w:tblPr>
        <w:tblStyle w:val="TableGrid"/>
        <w:tblW w:w="0" w:type="auto"/>
        <w:tblLook w:val="04A0" w:firstRow="1" w:lastRow="0" w:firstColumn="1" w:lastColumn="0" w:noHBand="0" w:noVBand="1"/>
      </w:tblPr>
      <w:tblGrid>
        <w:gridCol w:w="1026"/>
        <w:gridCol w:w="906"/>
        <w:gridCol w:w="1071"/>
        <w:gridCol w:w="923"/>
        <w:gridCol w:w="894"/>
        <w:gridCol w:w="884"/>
        <w:gridCol w:w="884"/>
        <w:gridCol w:w="884"/>
        <w:gridCol w:w="885"/>
        <w:gridCol w:w="885"/>
      </w:tblGrid>
      <w:tr w:rsidR="005F383C" w:rsidRPr="000F45BD" w14:paraId="3F4C149E" w14:textId="77777777" w:rsidTr="00157FC3">
        <w:tc>
          <w:tcPr>
            <w:tcW w:w="924" w:type="dxa"/>
          </w:tcPr>
          <w:p w14:paraId="46DBC589" w14:textId="77777777" w:rsidR="00157FC3" w:rsidRPr="000F45BD" w:rsidRDefault="00157FC3" w:rsidP="00D4634E">
            <w:pPr>
              <w:spacing w:before="100" w:beforeAutospacing="1" w:after="100" w:afterAutospacing="1"/>
              <w:rPr>
                <w:rFonts w:asciiTheme="majorHAnsi" w:hAnsiTheme="majorHAnsi"/>
                <w:sz w:val="20"/>
              </w:rPr>
            </w:pPr>
          </w:p>
        </w:tc>
        <w:tc>
          <w:tcPr>
            <w:tcW w:w="924" w:type="dxa"/>
          </w:tcPr>
          <w:p w14:paraId="7835F89A" w14:textId="566EB0DC"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Clothes</w:t>
            </w:r>
          </w:p>
        </w:tc>
        <w:tc>
          <w:tcPr>
            <w:tcW w:w="924" w:type="dxa"/>
          </w:tcPr>
          <w:p w14:paraId="498F11FF" w14:textId="6F83CEB9"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Computer</w:t>
            </w:r>
          </w:p>
        </w:tc>
        <w:tc>
          <w:tcPr>
            <w:tcW w:w="924" w:type="dxa"/>
          </w:tcPr>
          <w:p w14:paraId="10B24CC4" w14:textId="2E9E7124"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Internet</w:t>
            </w:r>
          </w:p>
        </w:tc>
        <w:tc>
          <w:tcPr>
            <w:tcW w:w="924" w:type="dxa"/>
          </w:tcPr>
          <w:p w14:paraId="2337A89D" w14:textId="0F673524"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Mobile</w:t>
            </w:r>
          </w:p>
        </w:tc>
        <w:tc>
          <w:tcPr>
            <w:tcW w:w="924" w:type="dxa"/>
          </w:tcPr>
          <w:p w14:paraId="294C455C" w14:textId="056E6F5D"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Room</w:t>
            </w:r>
          </w:p>
        </w:tc>
        <w:tc>
          <w:tcPr>
            <w:tcW w:w="924" w:type="dxa"/>
          </w:tcPr>
          <w:p w14:paraId="6E0DA858" w14:textId="78B2E89F"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Books</w:t>
            </w:r>
          </w:p>
        </w:tc>
        <w:tc>
          <w:tcPr>
            <w:tcW w:w="924" w:type="dxa"/>
          </w:tcPr>
          <w:p w14:paraId="1D003494" w14:textId="0293118E"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Car</w:t>
            </w:r>
          </w:p>
        </w:tc>
        <w:tc>
          <w:tcPr>
            <w:tcW w:w="925" w:type="dxa"/>
          </w:tcPr>
          <w:p w14:paraId="2BEDC7F1" w14:textId="5F151661"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Music</w:t>
            </w:r>
          </w:p>
        </w:tc>
        <w:tc>
          <w:tcPr>
            <w:tcW w:w="925" w:type="dxa"/>
          </w:tcPr>
          <w:p w14:paraId="5C1C288A" w14:textId="6FE2E51C"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Full scale</w:t>
            </w:r>
          </w:p>
        </w:tc>
      </w:tr>
      <w:tr w:rsidR="005F383C" w:rsidRPr="000F45BD" w14:paraId="50786DD3" w14:textId="77777777" w:rsidTr="00157FC3">
        <w:tc>
          <w:tcPr>
            <w:tcW w:w="924" w:type="dxa"/>
          </w:tcPr>
          <w:p w14:paraId="2EFEDFB2" w14:textId="64BFCD1C"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Overall</w:t>
            </w:r>
          </w:p>
        </w:tc>
        <w:tc>
          <w:tcPr>
            <w:tcW w:w="924" w:type="dxa"/>
          </w:tcPr>
          <w:p w14:paraId="02D88E87" w14:textId="181B15B5"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-2.43</w:t>
            </w:r>
            <w:r w:rsidR="00157FC3" w:rsidRPr="000F45BD">
              <w:rPr>
                <w:rFonts w:asciiTheme="majorHAnsi" w:hAnsiTheme="majorHAnsi"/>
                <w:sz w:val="20"/>
              </w:rPr>
              <w:t>**</w:t>
            </w:r>
          </w:p>
        </w:tc>
        <w:tc>
          <w:tcPr>
            <w:tcW w:w="924" w:type="dxa"/>
          </w:tcPr>
          <w:p w14:paraId="48E082DF" w14:textId="6FB0EA0D"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-1.19**</w:t>
            </w:r>
          </w:p>
        </w:tc>
        <w:tc>
          <w:tcPr>
            <w:tcW w:w="924" w:type="dxa"/>
          </w:tcPr>
          <w:p w14:paraId="680976D5" w14:textId="621C8623"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-1.17**</w:t>
            </w:r>
          </w:p>
        </w:tc>
        <w:tc>
          <w:tcPr>
            <w:tcW w:w="924" w:type="dxa"/>
          </w:tcPr>
          <w:p w14:paraId="4E20C7B5" w14:textId="095C010F"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-0.90*</w:t>
            </w:r>
          </w:p>
        </w:tc>
        <w:tc>
          <w:tcPr>
            <w:tcW w:w="924" w:type="dxa"/>
          </w:tcPr>
          <w:p w14:paraId="5A9A4E08" w14:textId="29A15A44"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-0.92**</w:t>
            </w:r>
          </w:p>
        </w:tc>
        <w:tc>
          <w:tcPr>
            <w:tcW w:w="924" w:type="dxa"/>
          </w:tcPr>
          <w:p w14:paraId="6CB07C98" w14:textId="2E10B6ED"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-1.28**</w:t>
            </w:r>
          </w:p>
        </w:tc>
        <w:tc>
          <w:tcPr>
            <w:tcW w:w="924" w:type="dxa"/>
          </w:tcPr>
          <w:p w14:paraId="49A8BE71" w14:textId="52465BDE"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-0.77*</w:t>
            </w:r>
          </w:p>
        </w:tc>
        <w:tc>
          <w:tcPr>
            <w:tcW w:w="925" w:type="dxa"/>
          </w:tcPr>
          <w:p w14:paraId="699ECC31" w14:textId="703F2F35"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-1.11**</w:t>
            </w:r>
          </w:p>
        </w:tc>
        <w:tc>
          <w:tcPr>
            <w:tcW w:w="925" w:type="dxa"/>
          </w:tcPr>
          <w:p w14:paraId="0C0C5729" w14:textId="4303031C"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-0.32**</w:t>
            </w:r>
          </w:p>
        </w:tc>
      </w:tr>
      <w:tr w:rsidR="005F383C" w:rsidRPr="000F45BD" w14:paraId="38B6D40B" w14:textId="77777777" w:rsidTr="00157FC3">
        <w:tc>
          <w:tcPr>
            <w:tcW w:w="924" w:type="dxa"/>
          </w:tcPr>
          <w:p w14:paraId="371A1EC1" w14:textId="539EF60E"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Algeria</w:t>
            </w:r>
          </w:p>
        </w:tc>
        <w:tc>
          <w:tcPr>
            <w:tcW w:w="924" w:type="dxa"/>
          </w:tcPr>
          <w:p w14:paraId="001AA98F" w14:textId="08D7DB94"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-3.45**</w:t>
            </w:r>
          </w:p>
        </w:tc>
        <w:tc>
          <w:tcPr>
            <w:tcW w:w="924" w:type="dxa"/>
          </w:tcPr>
          <w:p w14:paraId="19E78574" w14:textId="5C0F8020"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-1.69**</w:t>
            </w:r>
          </w:p>
        </w:tc>
        <w:tc>
          <w:tcPr>
            <w:tcW w:w="924" w:type="dxa"/>
          </w:tcPr>
          <w:p w14:paraId="61F776F3" w14:textId="59B330C7"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-1.55**</w:t>
            </w:r>
          </w:p>
        </w:tc>
        <w:tc>
          <w:tcPr>
            <w:tcW w:w="924" w:type="dxa"/>
          </w:tcPr>
          <w:p w14:paraId="6D9B3F3E" w14:textId="4A632460"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-0.91**</w:t>
            </w:r>
          </w:p>
        </w:tc>
        <w:tc>
          <w:tcPr>
            <w:tcW w:w="924" w:type="dxa"/>
          </w:tcPr>
          <w:p w14:paraId="77D6204F" w14:textId="59EC7F32"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-1.15**</w:t>
            </w:r>
          </w:p>
        </w:tc>
        <w:tc>
          <w:tcPr>
            <w:tcW w:w="924" w:type="dxa"/>
          </w:tcPr>
          <w:p w14:paraId="6CA28164" w14:textId="60D87801"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-1.77**</w:t>
            </w:r>
          </w:p>
        </w:tc>
        <w:tc>
          <w:tcPr>
            <w:tcW w:w="924" w:type="dxa"/>
          </w:tcPr>
          <w:p w14:paraId="314ABB8F" w14:textId="6B80AC35"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-1.26**</w:t>
            </w:r>
          </w:p>
        </w:tc>
        <w:tc>
          <w:tcPr>
            <w:tcW w:w="925" w:type="dxa"/>
          </w:tcPr>
          <w:p w14:paraId="1B0A3BE3" w14:textId="71EB76DF"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-1.16**</w:t>
            </w:r>
          </w:p>
        </w:tc>
        <w:tc>
          <w:tcPr>
            <w:tcW w:w="925" w:type="dxa"/>
          </w:tcPr>
          <w:p w14:paraId="72A82C42" w14:textId="713C2F5C"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-0.56**</w:t>
            </w:r>
          </w:p>
        </w:tc>
      </w:tr>
      <w:tr w:rsidR="005F383C" w:rsidRPr="000F45BD" w14:paraId="6D83279B" w14:textId="77777777" w:rsidTr="00157FC3">
        <w:tc>
          <w:tcPr>
            <w:tcW w:w="924" w:type="dxa"/>
          </w:tcPr>
          <w:p w14:paraId="58F16B68" w14:textId="14524E75"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Colombia</w:t>
            </w:r>
          </w:p>
        </w:tc>
        <w:tc>
          <w:tcPr>
            <w:tcW w:w="924" w:type="dxa"/>
          </w:tcPr>
          <w:p w14:paraId="40B26493" w14:textId="3A91A9A1"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-1.85**</w:t>
            </w:r>
          </w:p>
        </w:tc>
        <w:tc>
          <w:tcPr>
            <w:tcW w:w="924" w:type="dxa"/>
          </w:tcPr>
          <w:p w14:paraId="16C9358B" w14:textId="01254CE6"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-0.50**</w:t>
            </w:r>
          </w:p>
        </w:tc>
        <w:tc>
          <w:tcPr>
            <w:tcW w:w="924" w:type="dxa"/>
          </w:tcPr>
          <w:p w14:paraId="4017DCAE" w14:textId="0F03CB01"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-0.54**</w:t>
            </w:r>
          </w:p>
        </w:tc>
        <w:tc>
          <w:tcPr>
            <w:tcW w:w="924" w:type="dxa"/>
          </w:tcPr>
          <w:p w14:paraId="6E79C81D" w14:textId="1F8FA8BA"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-0.21 NS</w:t>
            </w:r>
          </w:p>
        </w:tc>
        <w:tc>
          <w:tcPr>
            <w:tcW w:w="924" w:type="dxa"/>
          </w:tcPr>
          <w:p w14:paraId="50FEF69F" w14:textId="6548B1DC"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-0.36**</w:t>
            </w:r>
          </w:p>
        </w:tc>
        <w:tc>
          <w:tcPr>
            <w:tcW w:w="924" w:type="dxa"/>
          </w:tcPr>
          <w:p w14:paraId="604815CA" w14:textId="30DC35A7"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-0.48**</w:t>
            </w:r>
          </w:p>
        </w:tc>
        <w:tc>
          <w:tcPr>
            <w:tcW w:w="924" w:type="dxa"/>
          </w:tcPr>
          <w:p w14:paraId="4878D307" w14:textId="0B03190B"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-0.24*</w:t>
            </w:r>
          </w:p>
        </w:tc>
        <w:tc>
          <w:tcPr>
            <w:tcW w:w="925" w:type="dxa"/>
          </w:tcPr>
          <w:p w14:paraId="5E449BEB" w14:textId="10E47884"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-0.30**</w:t>
            </w:r>
          </w:p>
        </w:tc>
        <w:tc>
          <w:tcPr>
            <w:tcW w:w="925" w:type="dxa"/>
          </w:tcPr>
          <w:p w14:paraId="091E6130" w14:textId="27F0184D"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-0.16**</w:t>
            </w:r>
          </w:p>
        </w:tc>
      </w:tr>
      <w:tr w:rsidR="005F383C" w:rsidRPr="000F45BD" w14:paraId="0707353D" w14:textId="77777777" w:rsidTr="00157FC3">
        <w:tc>
          <w:tcPr>
            <w:tcW w:w="924" w:type="dxa"/>
          </w:tcPr>
          <w:p w14:paraId="5B9355D9" w14:textId="34988A0A"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England</w:t>
            </w:r>
          </w:p>
        </w:tc>
        <w:tc>
          <w:tcPr>
            <w:tcW w:w="924" w:type="dxa"/>
          </w:tcPr>
          <w:p w14:paraId="3E515F71" w14:textId="57C93C3B"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-2.14 NS</w:t>
            </w:r>
          </w:p>
        </w:tc>
        <w:tc>
          <w:tcPr>
            <w:tcW w:w="924" w:type="dxa"/>
          </w:tcPr>
          <w:p w14:paraId="52C74452" w14:textId="5E189480"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-0.66*</w:t>
            </w:r>
          </w:p>
        </w:tc>
        <w:tc>
          <w:tcPr>
            <w:tcW w:w="924" w:type="dxa"/>
          </w:tcPr>
          <w:p w14:paraId="4194E890" w14:textId="7005D002"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-0.26 NS</w:t>
            </w:r>
          </w:p>
        </w:tc>
        <w:tc>
          <w:tcPr>
            <w:tcW w:w="924" w:type="dxa"/>
          </w:tcPr>
          <w:p w14:paraId="08AAAFF0" w14:textId="2A09D0F1"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-0.41**</w:t>
            </w:r>
          </w:p>
        </w:tc>
        <w:tc>
          <w:tcPr>
            <w:tcW w:w="924" w:type="dxa"/>
          </w:tcPr>
          <w:p w14:paraId="172C3294" w14:textId="55A17CE6"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-0.49**</w:t>
            </w:r>
          </w:p>
        </w:tc>
        <w:tc>
          <w:tcPr>
            <w:tcW w:w="924" w:type="dxa"/>
          </w:tcPr>
          <w:p w14:paraId="159D0793" w14:textId="2F416B1B"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-0.49*</w:t>
            </w:r>
          </w:p>
        </w:tc>
        <w:tc>
          <w:tcPr>
            <w:tcW w:w="924" w:type="dxa"/>
          </w:tcPr>
          <w:p w14:paraId="44384188" w14:textId="7BB6C5B1"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-0.17 NS</w:t>
            </w:r>
          </w:p>
        </w:tc>
        <w:tc>
          <w:tcPr>
            <w:tcW w:w="925" w:type="dxa"/>
          </w:tcPr>
          <w:p w14:paraId="3D36E1E9" w14:textId="2DCB242B"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-1.01**</w:t>
            </w:r>
          </w:p>
        </w:tc>
        <w:tc>
          <w:tcPr>
            <w:tcW w:w="925" w:type="dxa"/>
          </w:tcPr>
          <w:p w14:paraId="7D8589DF" w14:textId="65374BAD"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-0.29**</w:t>
            </w:r>
          </w:p>
        </w:tc>
      </w:tr>
      <w:tr w:rsidR="005F383C" w:rsidRPr="000F45BD" w14:paraId="25B72AB9" w14:textId="77777777" w:rsidTr="00157FC3">
        <w:tc>
          <w:tcPr>
            <w:tcW w:w="924" w:type="dxa"/>
          </w:tcPr>
          <w:p w14:paraId="3A921723" w14:textId="5AF46990"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Estonia</w:t>
            </w:r>
          </w:p>
        </w:tc>
        <w:tc>
          <w:tcPr>
            <w:tcW w:w="924" w:type="dxa"/>
          </w:tcPr>
          <w:p w14:paraId="118E797A" w14:textId="4C82FB03"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-2.47 NS</w:t>
            </w:r>
          </w:p>
        </w:tc>
        <w:tc>
          <w:tcPr>
            <w:tcW w:w="924" w:type="dxa"/>
          </w:tcPr>
          <w:p w14:paraId="21D6F60B" w14:textId="57E47509"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-2.25**</w:t>
            </w:r>
          </w:p>
        </w:tc>
        <w:tc>
          <w:tcPr>
            <w:tcW w:w="924" w:type="dxa"/>
          </w:tcPr>
          <w:p w14:paraId="4EA9CABA" w14:textId="726AB707"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-2.16**</w:t>
            </w:r>
          </w:p>
        </w:tc>
        <w:tc>
          <w:tcPr>
            <w:tcW w:w="924" w:type="dxa"/>
          </w:tcPr>
          <w:p w14:paraId="62D32D64" w14:textId="02FC82CE"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-0.34 NS</w:t>
            </w:r>
          </w:p>
        </w:tc>
        <w:tc>
          <w:tcPr>
            <w:tcW w:w="924" w:type="dxa"/>
          </w:tcPr>
          <w:p w14:paraId="5A813DC7" w14:textId="2C32C4AC"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-0.85**</w:t>
            </w:r>
          </w:p>
        </w:tc>
        <w:tc>
          <w:tcPr>
            <w:tcW w:w="924" w:type="dxa"/>
          </w:tcPr>
          <w:p w14:paraId="2B2BDD13" w14:textId="32AFB7EE"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-1.52**</w:t>
            </w:r>
          </w:p>
        </w:tc>
        <w:tc>
          <w:tcPr>
            <w:tcW w:w="924" w:type="dxa"/>
          </w:tcPr>
          <w:p w14:paraId="4CCCFD50" w14:textId="1A2FEDD8"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-0.65**</w:t>
            </w:r>
          </w:p>
        </w:tc>
        <w:tc>
          <w:tcPr>
            <w:tcW w:w="925" w:type="dxa"/>
          </w:tcPr>
          <w:p w14:paraId="6F1ED6FA" w14:textId="3BC43CC7"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-1.19**</w:t>
            </w:r>
          </w:p>
        </w:tc>
        <w:tc>
          <w:tcPr>
            <w:tcW w:w="925" w:type="dxa"/>
          </w:tcPr>
          <w:p w14:paraId="0D2A2AC3" w14:textId="725C78CE"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-0.66**</w:t>
            </w:r>
          </w:p>
        </w:tc>
      </w:tr>
      <w:tr w:rsidR="005F383C" w:rsidRPr="000F45BD" w14:paraId="0A096189" w14:textId="77777777" w:rsidTr="00157FC3">
        <w:tc>
          <w:tcPr>
            <w:tcW w:w="924" w:type="dxa"/>
          </w:tcPr>
          <w:p w14:paraId="7EEEB14D" w14:textId="6D82A189"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Ethiopia</w:t>
            </w:r>
          </w:p>
        </w:tc>
        <w:tc>
          <w:tcPr>
            <w:tcW w:w="924" w:type="dxa"/>
          </w:tcPr>
          <w:p w14:paraId="2614DCB9" w14:textId="3872F550"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-1.94**</w:t>
            </w:r>
          </w:p>
        </w:tc>
        <w:tc>
          <w:tcPr>
            <w:tcW w:w="924" w:type="dxa"/>
          </w:tcPr>
          <w:p w14:paraId="09646187" w14:textId="2D39BFA0"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-1.13**</w:t>
            </w:r>
          </w:p>
        </w:tc>
        <w:tc>
          <w:tcPr>
            <w:tcW w:w="924" w:type="dxa"/>
          </w:tcPr>
          <w:p w14:paraId="6AFE33FC" w14:textId="5BF85158"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-2.06**</w:t>
            </w:r>
          </w:p>
        </w:tc>
        <w:tc>
          <w:tcPr>
            <w:tcW w:w="924" w:type="dxa"/>
          </w:tcPr>
          <w:p w14:paraId="351D3060" w14:textId="60557E13"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-1.31**</w:t>
            </w:r>
          </w:p>
        </w:tc>
        <w:tc>
          <w:tcPr>
            <w:tcW w:w="924" w:type="dxa"/>
          </w:tcPr>
          <w:p w14:paraId="3BD5A705" w14:textId="5D31A94F"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-1.47**</w:t>
            </w:r>
          </w:p>
        </w:tc>
        <w:tc>
          <w:tcPr>
            <w:tcW w:w="924" w:type="dxa"/>
          </w:tcPr>
          <w:p w14:paraId="0E7543FC" w14:textId="5539317C"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-1.94**</w:t>
            </w:r>
          </w:p>
        </w:tc>
        <w:tc>
          <w:tcPr>
            <w:tcW w:w="924" w:type="dxa"/>
          </w:tcPr>
          <w:p w14:paraId="43BDD3DE" w14:textId="551BA171"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-0.63 NS</w:t>
            </w:r>
          </w:p>
        </w:tc>
        <w:tc>
          <w:tcPr>
            <w:tcW w:w="925" w:type="dxa"/>
          </w:tcPr>
          <w:p w14:paraId="6475C3C3" w14:textId="71F6642B"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-1.40**</w:t>
            </w:r>
          </w:p>
        </w:tc>
        <w:tc>
          <w:tcPr>
            <w:tcW w:w="925" w:type="dxa"/>
          </w:tcPr>
          <w:p w14:paraId="14E4010F" w14:textId="146DCC7F"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-0.86**</w:t>
            </w:r>
          </w:p>
        </w:tc>
      </w:tr>
      <w:tr w:rsidR="005F383C" w:rsidRPr="000F45BD" w14:paraId="4EF46D08" w14:textId="77777777" w:rsidTr="00157FC3">
        <w:tc>
          <w:tcPr>
            <w:tcW w:w="924" w:type="dxa"/>
          </w:tcPr>
          <w:p w14:paraId="24EF8A61" w14:textId="477BF802"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Germany</w:t>
            </w:r>
          </w:p>
        </w:tc>
        <w:tc>
          <w:tcPr>
            <w:tcW w:w="924" w:type="dxa"/>
          </w:tcPr>
          <w:p w14:paraId="149C7B44" w14:textId="53D8A8D5"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-2.11**</w:t>
            </w:r>
          </w:p>
        </w:tc>
        <w:tc>
          <w:tcPr>
            <w:tcW w:w="924" w:type="dxa"/>
          </w:tcPr>
          <w:p w14:paraId="523192E1" w14:textId="39D1E1E6"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-0.44**</w:t>
            </w:r>
          </w:p>
        </w:tc>
        <w:tc>
          <w:tcPr>
            <w:tcW w:w="924" w:type="dxa"/>
          </w:tcPr>
          <w:p w14:paraId="52DC9DE6" w14:textId="43D40B52"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-0.43*</w:t>
            </w:r>
          </w:p>
        </w:tc>
        <w:tc>
          <w:tcPr>
            <w:tcW w:w="924" w:type="dxa"/>
          </w:tcPr>
          <w:p w14:paraId="74A26A6D" w14:textId="38C32FAB"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-0.23 NS</w:t>
            </w:r>
          </w:p>
        </w:tc>
        <w:tc>
          <w:tcPr>
            <w:tcW w:w="924" w:type="dxa"/>
          </w:tcPr>
          <w:p w14:paraId="15D9CAB1" w14:textId="330875A9"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-0.09 NS</w:t>
            </w:r>
          </w:p>
        </w:tc>
        <w:tc>
          <w:tcPr>
            <w:tcW w:w="924" w:type="dxa"/>
          </w:tcPr>
          <w:p w14:paraId="5F419BC6" w14:textId="66969342"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-0.38**</w:t>
            </w:r>
          </w:p>
        </w:tc>
        <w:tc>
          <w:tcPr>
            <w:tcW w:w="924" w:type="dxa"/>
          </w:tcPr>
          <w:p w14:paraId="7301F2F6" w14:textId="399C3407"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-0.41 NS</w:t>
            </w:r>
          </w:p>
        </w:tc>
        <w:tc>
          <w:tcPr>
            <w:tcW w:w="925" w:type="dxa"/>
          </w:tcPr>
          <w:p w14:paraId="2CD2C71F" w14:textId="3884BD58"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-0.52 NS</w:t>
            </w:r>
          </w:p>
        </w:tc>
        <w:tc>
          <w:tcPr>
            <w:tcW w:w="925" w:type="dxa"/>
          </w:tcPr>
          <w:p w14:paraId="2D2DBE90" w14:textId="5760B9C6"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-0.28**</w:t>
            </w:r>
          </w:p>
        </w:tc>
      </w:tr>
      <w:tr w:rsidR="005F383C" w:rsidRPr="000F45BD" w14:paraId="2A52D396" w14:textId="77777777" w:rsidTr="00157FC3">
        <w:tc>
          <w:tcPr>
            <w:tcW w:w="924" w:type="dxa"/>
          </w:tcPr>
          <w:p w14:paraId="1207BA21" w14:textId="79E64CA6"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Israel</w:t>
            </w:r>
          </w:p>
        </w:tc>
        <w:tc>
          <w:tcPr>
            <w:tcW w:w="924" w:type="dxa"/>
          </w:tcPr>
          <w:p w14:paraId="4D7C3EE2" w14:textId="7E356B62"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-1.38**</w:t>
            </w:r>
          </w:p>
        </w:tc>
        <w:tc>
          <w:tcPr>
            <w:tcW w:w="924" w:type="dxa"/>
          </w:tcPr>
          <w:p w14:paraId="3285351A" w14:textId="6265935F"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-2.01**</w:t>
            </w:r>
          </w:p>
        </w:tc>
        <w:tc>
          <w:tcPr>
            <w:tcW w:w="924" w:type="dxa"/>
          </w:tcPr>
          <w:p w14:paraId="3B52E77C" w14:textId="6DD39E9E"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-1.71**</w:t>
            </w:r>
          </w:p>
        </w:tc>
        <w:tc>
          <w:tcPr>
            <w:tcW w:w="924" w:type="dxa"/>
          </w:tcPr>
          <w:p w14:paraId="76874CFF" w14:textId="6A78FDF2"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-0.46**</w:t>
            </w:r>
          </w:p>
        </w:tc>
        <w:tc>
          <w:tcPr>
            <w:tcW w:w="924" w:type="dxa"/>
          </w:tcPr>
          <w:p w14:paraId="3FA1C162" w14:textId="3EB31225"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-0.53**</w:t>
            </w:r>
          </w:p>
        </w:tc>
        <w:tc>
          <w:tcPr>
            <w:tcW w:w="924" w:type="dxa"/>
          </w:tcPr>
          <w:p w14:paraId="3B849210" w14:textId="76CBD820"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-1.06**</w:t>
            </w:r>
          </w:p>
        </w:tc>
        <w:tc>
          <w:tcPr>
            <w:tcW w:w="924" w:type="dxa"/>
          </w:tcPr>
          <w:p w14:paraId="67E431E6" w14:textId="052F36CB"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-0.72**</w:t>
            </w:r>
          </w:p>
        </w:tc>
        <w:tc>
          <w:tcPr>
            <w:tcW w:w="925" w:type="dxa"/>
          </w:tcPr>
          <w:p w14:paraId="385B2656" w14:textId="7F55C443"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-0.92**</w:t>
            </w:r>
          </w:p>
        </w:tc>
        <w:tc>
          <w:tcPr>
            <w:tcW w:w="925" w:type="dxa"/>
          </w:tcPr>
          <w:p w14:paraId="1BDA8CA8" w14:textId="1857393A"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-0.44**</w:t>
            </w:r>
          </w:p>
        </w:tc>
      </w:tr>
      <w:tr w:rsidR="0093005E" w:rsidRPr="000F45BD" w14:paraId="5EC3A3E5" w14:textId="77777777" w:rsidTr="00157FC3">
        <w:tc>
          <w:tcPr>
            <w:tcW w:w="924" w:type="dxa"/>
          </w:tcPr>
          <w:p w14:paraId="11BDE1E8" w14:textId="12736089"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Nepal</w:t>
            </w:r>
          </w:p>
        </w:tc>
        <w:tc>
          <w:tcPr>
            <w:tcW w:w="924" w:type="dxa"/>
          </w:tcPr>
          <w:p w14:paraId="3C904EAF" w14:textId="3A0F5AA0"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-1.45**</w:t>
            </w:r>
          </w:p>
        </w:tc>
        <w:tc>
          <w:tcPr>
            <w:tcW w:w="924" w:type="dxa"/>
          </w:tcPr>
          <w:p w14:paraId="07275B68" w14:textId="7A14868F"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-0.38*</w:t>
            </w:r>
          </w:p>
        </w:tc>
        <w:tc>
          <w:tcPr>
            <w:tcW w:w="924" w:type="dxa"/>
          </w:tcPr>
          <w:p w14:paraId="0BEA515E" w14:textId="007B255F"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-0.46*</w:t>
            </w:r>
          </w:p>
        </w:tc>
        <w:tc>
          <w:tcPr>
            <w:tcW w:w="924" w:type="dxa"/>
          </w:tcPr>
          <w:p w14:paraId="3740398C" w14:textId="0F556616"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-0.65**</w:t>
            </w:r>
          </w:p>
        </w:tc>
        <w:tc>
          <w:tcPr>
            <w:tcW w:w="924" w:type="dxa"/>
          </w:tcPr>
          <w:p w14:paraId="35EC84C1" w14:textId="5A3A12CA"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-0.30 NS</w:t>
            </w:r>
          </w:p>
        </w:tc>
        <w:tc>
          <w:tcPr>
            <w:tcW w:w="924" w:type="dxa"/>
          </w:tcPr>
          <w:p w14:paraId="4DADB23C" w14:textId="00EFA897"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-0.44**</w:t>
            </w:r>
          </w:p>
        </w:tc>
        <w:tc>
          <w:tcPr>
            <w:tcW w:w="924" w:type="dxa"/>
          </w:tcPr>
          <w:p w14:paraId="1B9B84A3" w14:textId="05235285"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-0.07 NS</w:t>
            </w:r>
          </w:p>
        </w:tc>
        <w:tc>
          <w:tcPr>
            <w:tcW w:w="925" w:type="dxa"/>
          </w:tcPr>
          <w:p w14:paraId="383C16B7" w14:textId="1825A86F"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-0.42**</w:t>
            </w:r>
          </w:p>
        </w:tc>
        <w:tc>
          <w:tcPr>
            <w:tcW w:w="925" w:type="dxa"/>
          </w:tcPr>
          <w:p w14:paraId="7440387A" w14:textId="2CF1E16C" w:rsidR="00157FC3" w:rsidRPr="000F45BD" w:rsidRDefault="005F383C" w:rsidP="00D4634E">
            <w:pPr>
              <w:spacing w:before="100" w:beforeAutospacing="1" w:after="100" w:afterAutospacing="1"/>
              <w:rPr>
                <w:rFonts w:asciiTheme="majorHAnsi" w:hAnsiTheme="majorHAnsi"/>
                <w:sz w:val="20"/>
              </w:rPr>
            </w:pPr>
            <w:r w:rsidRPr="000F45BD">
              <w:rPr>
                <w:rFonts w:asciiTheme="majorHAnsi" w:hAnsiTheme="majorHAnsi"/>
                <w:sz w:val="20"/>
              </w:rPr>
              <w:t>-0.23**</w:t>
            </w:r>
          </w:p>
        </w:tc>
      </w:tr>
      <w:tr w:rsidR="0093005E" w:rsidRPr="000F45BD" w14:paraId="42A564A9" w14:textId="77777777" w:rsidTr="00157FC3">
        <w:tc>
          <w:tcPr>
            <w:tcW w:w="924" w:type="dxa"/>
          </w:tcPr>
          <w:p w14:paraId="267E5C0E" w14:textId="5E13885A"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Norway</w:t>
            </w:r>
          </w:p>
        </w:tc>
        <w:tc>
          <w:tcPr>
            <w:tcW w:w="924" w:type="dxa"/>
          </w:tcPr>
          <w:p w14:paraId="589E4C91" w14:textId="0D381E90"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-0.53*</w:t>
            </w:r>
          </w:p>
        </w:tc>
        <w:tc>
          <w:tcPr>
            <w:tcW w:w="924" w:type="dxa"/>
          </w:tcPr>
          <w:p w14:paraId="4BEC3B74" w14:textId="3CF9356E"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-0.66**</w:t>
            </w:r>
          </w:p>
        </w:tc>
        <w:tc>
          <w:tcPr>
            <w:tcW w:w="924" w:type="dxa"/>
          </w:tcPr>
          <w:p w14:paraId="40B1B6BE" w14:textId="3F83A2DD"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-1.37**</w:t>
            </w:r>
          </w:p>
        </w:tc>
        <w:tc>
          <w:tcPr>
            <w:tcW w:w="924" w:type="dxa"/>
          </w:tcPr>
          <w:p w14:paraId="7CBC7C8C" w14:textId="380BD353"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-0.51 NS</w:t>
            </w:r>
          </w:p>
        </w:tc>
        <w:tc>
          <w:tcPr>
            <w:tcW w:w="924" w:type="dxa"/>
          </w:tcPr>
          <w:p w14:paraId="66030BC8" w14:textId="38B6E53A"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-0.47*</w:t>
            </w:r>
          </w:p>
        </w:tc>
        <w:tc>
          <w:tcPr>
            <w:tcW w:w="924" w:type="dxa"/>
          </w:tcPr>
          <w:p w14:paraId="1DE7DA7D" w14:textId="5B84C640"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-1.18**</w:t>
            </w:r>
          </w:p>
        </w:tc>
        <w:tc>
          <w:tcPr>
            <w:tcW w:w="924" w:type="dxa"/>
          </w:tcPr>
          <w:p w14:paraId="62B5B74A" w14:textId="0FB65979"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-0.27 NS</w:t>
            </w:r>
          </w:p>
        </w:tc>
        <w:tc>
          <w:tcPr>
            <w:tcW w:w="925" w:type="dxa"/>
          </w:tcPr>
          <w:p w14:paraId="70456F77" w14:textId="619330BA"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-1.13*</w:t>
            </w:r>
          </w:p>
        </w:tc>
        <w:tc>
          <w:tcPr>
            <w:tcW w:w="925" w:type="dxa"/>
          </w:tcPr>
          <w:p w14:paraId="32D2236A" w14:textId="66C12B21"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-0.42**</w:t>
            </w:r>
          </w:p>
        </w:tc>
      </w:tr>
      <w:tr w:rsidR="0093005E" w:rsidRPr="000F45BD" w14:paraId="42464992" w14:textId="77777777" w:rsidTr="00157FC3">
        <w:tc>
          <w:tcPr>
            <w:tcW w:w="924" w:type="dxa"/>
          </w:tcPr>
          <w:p w14:paraId="02EAA27A" w14:textId="1D814B32"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Poland</w:t>
            </w:r>
          </w:p>
        </w:tc>
        <w:tc>
          <w:tcPr>
            <w:tcW w:w="924" w:type="dxa"/>
          </w:tcPr>
          <w:p w14:paraId="7E67CEF9" w14:textId="79BB18CC"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-1.79**</w:t>
            </w:r>
          </w:p>
        </w:tc>
        <w:tc>
          <w:tcPr>
            <w:tcW w:w="924" w:type="dxa"/>
          </w:tcPr>
          <w:p w14:paraId="6F7C308D" w14:textId="282949EF"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-1.06*</w:t>
            </w:r>
          </w:p>
        </w:tc>
        <w:tc>
          <w:tcPr>
            <w:tcW w:w="924" w:type="dxa"/>
          </w:tcPr>
          <w:p w14:paraId="0A5F7900" w14:textId="530610F1"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-0.76*</w:t>
            </w:r>
          </w:p>
        </w:tc>
        <w:tc>
          <w:tcPr>
            <w:tcW w:w="924" w:type="dxa"/>
          </w:tcPr>
          <w:p w14:paraId="0BB1BE82" w14:textId="2AC4D374"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-0.39*</w:t>
            </w:r>
          </w:p>
        </w:tc>
        <w:tc>
          <w:tcPr>
            <w:tcW w:w="924" w:type="dxa"/>
          </w:tcPr>
          <w:p w14:paraId="3CE63BF9" w14:textId="6A829BD4"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-0.59**</w:t>
            </w:r>
          </w:p>
        </w:tc>
        <w:tc>
          <w:tcPr>
            <w:tcW w:w="924" w:type="dxa"/>
          </w:tcPr>
          <w:p w14:paraId="67978284" w14:textId="2FA10515"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-0.61**</w:t>
            </w:r>
          </w:p>
        </w:tc>
        <w:tc>
          <w:tcPr>
            <w:tcW w:w="924" w:type="dxa"/>
          </w:tcPr>
          <w:p w14:paraId="3A76F199" w14:textId="4F4CD424"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-0.43**</w:t>
            </w:r>
          </w:p>
        </w:tc>
        <w:tc>
          <w:tcPr>
            <w:tcW w:w="925" w:type="dxa"/>
          </w:tcPr>
          <w:p w14:paraId="001F46CA" w14:textId="517336EE"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-0.68**</w:t>
            </w:r>
          </w:p>
        </w:tc>
        <w:tc>
          <w:tcPr>
            <w:tcW w:w="925" w:type="dxa"/>
          </w:tcPr>
          <w:p w14:paraId="4AEB5C71" w14:textId="4C0F17BC"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-0.31**</w:t>
            </w:r>
          </w:p>
        </w:tc>
      </w:tr>
      <w:tr w:rsidR="0093005E" w:rsidRPr="000F45BD" w14:paraId="36A71FBE" w14:textId="77777777" w:rsidTr="00157FC3">
        <w:tc>
          <w:tcPr>
            <w:tcW w:w="924" w:type="dxa"/>
          </w:tcPr>
          <w:p w14:paraId="1E0B68C8" w14:textId="44799C4E"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Romania</w:t>
            </w:r>
          </w:p>
        </w:tc>
        <w:tc>
          <w:tcPr>
            <w:tcW w:w="924" w:type="dxa"/>
          </w:tcPr>
          <w:p w14:paraId="36BF77F4" w14:textId="26AEE8C6"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-2.27 NS</w:t>
            </w:r>
          </w:p>
        </w:tc>
        <w:tc>
          <w:tcPr>
            <w:tcW w:w="924" w:type="dxa"/>
          </w:tcPr>
          <w:p w14:paraId="6A69A76D" w14:textId="1F24CDEC"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-0.69**</w:t>
            </w:r>
          </w:p>
        </w:tc>
        <w:tc>
          <w:tcPr>
            <w:tcW w:w="924" w:type="dxa"/>
          </w:tcPr>
          <w:p w14:paraId="7248EDFD" w14:textId="61FC8FFA"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-0.56**</w:t>
            </w:r>
          </w:p>
        </w:tc>
        <w:tc>
          <w:tcPr>
            <w:tcW w:w="924" w:type="dxa"/>
          </w:tcPr>
          <w:p w14:paraId="72DF0A9A" w14:textId="312C6155"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-0.40**</w:t>
            </w:r>
          </w:p>
        </w:tc>
        <w:tc>
          <w:tcPr>
            <w:tcW w:w="924" w:type="dxa"/>
          </w:tcPr>
          <w:p w14:paraId="71A6B459" w14:textId="0E9EC8DB"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-0.34**</w:t>
            </w:r>
          </w:p>
        </w:tc>
        <w:tc>
          <w:tcPr>
            <w:tcW w:w="924" w:type="dxa"/>
          </w:tcPr>
          <w:p w14:paraId="2361A4A8" w14:textId="7C8C3E44"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-0.52**</w:t>
            </w:r>
          </w:p>
        </w:tc>
        <w:tc>
          <w:tcPr>
            <w:tcW w:w="924" w:type="dxa"/>
          </w:tcPr>
          <w:p w14:paraId="73F69147" w14:textId="2B3DA633"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-0.27**</w:t>
            </w:r>
          </w:p>
        </w:tc>
        <w:tc>
          <w:tcPr>
            <w:tcW w:w="925" w:type="dxa"/>
          </w:tcPr>
          <w:p w14:paraId="55303F3C" w14:textId="771DB0CA"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-0.61**</w:t>
            </w:r>
          </w:p>
        </w:tc>
        <w:tc>
          <w:tcPr>
            <w:tcW w:w="925" w:type="dxa"/>
          </w:tcPr>
          <w:p w14:paraId="36F6D71C" w14:textId="49143369"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-0.20**</w:t>
            </w:r>
          </w:p>
        </w:tc>
      </w:tr>
      <w:tr w:rsidR="0093005E" w:rsidRPr="000F45BD" w14:paraId="5D67CBA1" w14:textId="77777777" w:rsidTr="00157FC3">
        <w:tc>
          <w:tcPr>
            <w:tcW w:w="924" w:type="dxa"/>
          </w:tcPr>
          <w:p w14:paraId="4C8084FB" w14:textId="71FBB7FA"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S Africa</w:t>
            </w:r>
          </w:p>
        </w:tc>
        <w:tc>
          <w:tcPr>
            <w:tcW w:w="924" w:type="dxa"/>
          </w:tcPr>
          <w:p w14:paraId="797A80E6" w14:textId="15B401C0"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-1.56**</w:t>
            </w:r>
          </w:p>
        </w:tc>
        <w:tc>
          <w:tcPr>
            <w:tcW w:w="924" w:type="dxa"/>
          </w:tcPr>
          <w:p w14:paraId="6BAFF116" w14:textId="35B3E284"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-0.56**</w:t>
            </w:r>
          </w:p>
        </w:tc>
        <w:tc>
          <w:tcPr>
            <w:tcW w:w="924" w:type="dxa"/>
          </w:tcPr>
          <w:p w14:paraId="57C0CACF" w14:textId="5105AB88"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-0.62**</w:t>
            </w:r>
          </w:p>
        </w:tc>
        <w:tc>
          <w:tcPr>
            <w:tcW w:w="924" w:type="dxa"/>
          </w:tcPr>
          <w:p w14:paraId="1A313DBE" w14:textId="6192687B"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-0.91**</w:t>
            </w:r>
          </w:p>
        </w:tc>
        <w:tc>
          <w:tcPr>
            <w:tcW w:w="924" w:type="dxa"/>
          </w:tcPr>
          <w:p w14:paraId="6E1A73FE" w14:textId="48BF1BFD"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-0.52**</w:t>
            </w:r>
          </w:p>
        </w:tc>
        <w:tc>
          <w:tcPr>
            <w:tcW w:w="924" w:type="dxa"/>
          </w:tcPr>
          <w:p w14:paraId="07E0CC8A" w14:textId="66A18290"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-0.88**</w:t>
            </w:r>
          </w:p>
        </w:tc>
        <w:tc>
          <w:tcPr>
            <w:tcW w:w="924" w:type="dxa"/>
          </w:tcPr>
          <w:p w14:paraId="561387F3" w14:textId="5D1ABD5B"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-0.42**</w:t>
            </w:r>
          </w:p>
        </w:tc>
        <w:tc>
          <w:tcPr>
            <w:tcW w:w="925" w:type="dxa"/>
          </w:tcPr>
          <w:p w14:paraId="4653497F" w14:textId="65DF2D3D"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-1.13**</w:t>
            </w:r>
          </w:p>
        </w:tc>
        <w:tc>
          <w:tcPr>
            <w:tcW w:w="925" w:type="dxa"/>
          </w:tcPr>
          <w:p w14:paraId="04376D46" w14:textId="3DD76D8E" w:rsidR="00157FC3" w:rsidRPr="000F45BD" w:rsidRDefault="00A9482B" w:rsidP="00D4634E">
            <w:pPr>
              <w:spacing w:before="100" w:beforeAutospacing="1" w:after="100" w:afterAutospacing="1"/>
              <w:rPr>
                <w:rFonts w:asciiTheme="majorHAnsi" w:hAnsiTheme="majorHAnsi"/>
                <w:sz w:val="20"/>
              </w:rPr>
            </w:pPr>
            <w:r w:rsidRPr="000F45BD">
              <w:rPr>
                <w:rFonts w:asciiTheme="majorHAnsi" w:hAnsiTheme="majorHAnsi"/>
                <w:sz w:val="20"/>
              </w:rPr>
              <w:t>-0.31**</w:t>
            </w:r>
          </w:p>
        </w:tc>
      </w:tr>
      <w:tr w:rsidR="0093005E" w:rsidRPr="000F45BD" w14:paraId="715A486C" w14:textId="77777777" w:rsidTr="00157FC3">
        <w:tc>
          <w:tcPr>
            <w:tcW w:w="924" w:type="dxa"/>
          </w:tcPr>
          <w:p w14:paraId="3F7D3826" w14:textId="2F993858"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S Korea</w:t>
            </w:r>
          </w:p>
        </w:tc>
        <w:tc>
          <w:tcPr>
            <w:tcW w:w="924" w:type="dxa"/>
          </w:tcPr>
          <w:p w14:paraId="41DFEDC2" w14:textId="78F976CF"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-0.69 NS</w:t>
            </w:r>
          </w:p>
        </w:tc>
        <w:tc>
          <w:tcPr>
            <w:tcW w:w="924" w:type="dxa"/>
          </w:tcPr>
          <w:p w14:paraId="46B11127" w14:textId="154FD2C5"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-1.09**</w:t>
            </w:r>
          </w:p>
        </w:tc>
        <w:tc>
          <w:tcPr>
            <w:tcW w:w="924" w:type="dxa"/>
          </w:tcPr>
          <w:p w14:paraId="11EBF1AB" w14:textId="325594E0"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-1.28**</w:t>
            </w:r>
          </w:p>
        </w:tc>
        <w:tc>
          <w:tcPr>
            <w:tcW w:w="924" w:type="dxa"/>
          </w:tcPr>
          <w:p w14:paraId="23A2E133" w14:textId="183D2FE4"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-0.53**</w:t>
            </w:r>
          </w:p>
        </w:tc>
        <w:tc>
          <w:tcPr>
            <w:tcW w:w="924" w:type="dxa"/>
          </w:tcPr>
          <w:p w14:paraId="3AA61E38" w14:textId="7E63017C"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-0.82**</w:t>
            </w:r>
          </w:p>
        </w:tc>
        <w:tc>
          <w:tcPr>
            <w:tcW w:w="924" w:type="dxa"/>
          </w:tcPr>
          <w:p w14:paraId="11E22922" w14:textId="373CF313"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-1.54**</w:t>
            </w:r>
          </w:p>
        </w:tc>
        <w:tc>
          <w:tcPr>
            <w:tcW w:w="924" w:type="dxa"/>
          </w:tcPr>
          <w:p w14:paraId="2C50A836" w14:textId="3845F1A6"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-0.58**</w:t>
            </w:r>
          </w:p>
        </w:tc>
        <w:tc>
          <w:tcPr>
            <w:tcW w:w="925" w:type="dxa"/>
          </w:tcPr>
          <w:p w14:paraId="2D51F590" w14:textId="6E544DA9"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-0.80**</w:t>
            </w:r>
          </w:p>
        </w:tc>
        <w:tc>
          <w:tcPr>
            <w:tcW w:w="925" w:type="dxa"/>
          </w:tcPr>
          <w:p w14:paraId="3C4655E7" w14:textId="33343CDD" w:rsidR="00157FC3" w:rsidRPr="000F45BD" w:rsidRDefault="009E2011" w:rsidP="00D4634E">
            <w:pPr>
              <w:spacing w:before="100" w:beforeAutospacing="1" w:after="100" w:afterAutospacing="1"/>
              <w:rPr>
                <w:rFonts w:asciiTheme="majorHAnsi" w:hAnsiTheme="majorHAnsi"/>
                <w:sz w:val="20"/>
              </w:rPr>
            </w:pPr>
            <w:r w:rsidRPr="000F45BD">
              <w:rPr>
                <w:rFonts w:asciiTheme="majorHAnsi" w:hAnsiTheme="majorHAnsi"/>
                <w:sz w:val="20"/>
              </w:rPr>
              <w:t>-0.35**</w:t>
            </w:r>
          </w:p>
        </w:tc>
      </w:tr>
      <w:tr w:rsidR="0093005E" w:rsidRPr="000F45BD" w14:paraId="53B216CB" w14:textId="77777777" w:rsidTr="00157FC3">
        <w:tc>
          <w:tcPr>
            <w:tcW w:w="924" w:type="dxa"/>
          </w:tcPr>
          <w:p w14:paraId="0D5C33E0" w14:textId="72214468"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Spain</w:t>
            </w:r>
          </w:p>
        </w:tc>
        <w:tc>
          <w:tcPr>
            <w:tcW w:w="924" w:type="dxa"/>
          </w:tcPr>
          <w:p w14:paraId="253ED2D2" w14:textId="098DD5F7"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-0.69*</w:t>
            </w:r>
          </w:p>
        </w:tc>
        <w:tc>
          <w:tcPr>
            <w:tcW w:w="924" w:type="dxa"/>
          </w:tcPr>
          <w:p w14:paraId="762A8FD6" w14:textId="21560CAB"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-0.72**</w:t>
            </w:r>
          </w:p>
        </w:tc>
        <w:tc>
          <w:tcPr>
            <w:tcW w:w="924" w:type="dxa"/>
          </w:tcPr>
          <w:p w14:paraId="59DD04DE" w14:textId="7D30CED7"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-0.74**</w:t>
            </w:r>
          </w:p>
        </w:tc>
        <w:tc>
          <w:tcPr>
            <w:tcW w:w="924" w:type="dxa"/>
          </w:tcPr>
          <w:p w14:paraId="0F10A9DE" w14:textId="547BFC53"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-0.24**</w:t>
            </w:r>
          </w:p>
        </w:tc>
        <w:tc>
          <w:tcPr>
            <w:tcW w:w="924" w:type="dxa"/>
          </w:tcPr>
          <w:p w14:paraId="0D516EBC" w14:textId="338BDD7C"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-0.28*</w:t>
            </w:r>
          </w:p>
        </w:tc>
        <w:tc>
          <w:tcPr>
            <w:tcW w:w="924" w:type="dxa"/>
          </w:tcPr>
          <w:p w14:paraId="0811E7E9" w14:textId="17BCB604"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-0.53**</w:t>
            </w:r>
          </w:p>
        </w:tc>
        <w:tc>
          <w:tcPr>
            <w:tcW w:w="924" w:type="dxa"/>
          </w:tcPr>
          <w:p w14:paraId="31FA7F4E" w14:textId="3D9F745F"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-0.57**</w:t>
            </w:r>
          </w:p>
        </w:tc>
        <w:tc>
          <w:tcPr>
            <w:tcW w:w="925" w:type="dxa"/>
          </w:tcPr>
          <w:p w14:paraId="71F2ACDF" w14:textId="29402DD7"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-0.47**</w:t>
            </w:r>
          </w:p>
        </w:tc>
        <w:tc>
          <w:tcPr>
            <w:tcW w:w="925" w:type="dxa"/>
          </w:tcPr>
          <w:p w14:paraId="05DEE98A" w14:textId="1E2B55F8"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-0.29**</w:t>
            </w:r>
          </w:p>
        </w:tc>
      </w:tr>
      <w:tr w:rsidR="0093005E" w:rsidRPr="000F45BD" w14:paraId="0F1632BF" w14:textId="77777777" w:rsidTr="00157FC3">
        <w:tc>
          <w:tcPr>
            <w:tcW w:w="924" w:type="dxa"/>
          </w:tcPr>
          <w:p w14:paraId="43930534" w14:textId="61A58900" w:rsidR="00157FC3" w:rsidRPr="000F45BD" w:rsidRDefault="00157FC3" w:rsidP="00D4634E">
            <w:pPr>
              <w:spacing w:before="100" w:beforeAutospacing="1" w:after="100" w:afterAutospacing="1"/>
              <w:rPr>
                <w:rFonts w:asciiTheme="majorHAnsi" w:hAnsiTheme="majorHAnsi"/>
                <w:sz w:val="20"/>
              </w:rPr>
            </w:pPr>
            <w:r w:rsidRPr="000F45BD">
              <w:rPr>
                <w:rFonts w:asciiTheme="majorHAnsi" w:hAnsiTheme="majorHAnsi"/>
                <w:sz w:val="20"/>
              </w:rPr>
              <w:t>Turkey</w:t>
            </w:r>
          </w:p>
        </w:tc>
        <w:tc>
          <w:tcPr>
            <w:tcW w:w="924" w:type="dxa"/>
          </w:tcPr>
          <w:p w14:paraId="7A3B6578" w14:textId="4105F693"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-1.38**</w:t>
            </w:r>
          </w:p>
        </w:tc>
        <w:tc>
          <w:tcPr>
            <w:tcW w:w="924" w:type="dxa"/>
          </w:tcPr>
          <w:p w14:paraId="53B094AB" w14:textId="1CD14EE7"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-0.73**</w:t>
            </w:r>
          </w:p>
        </w:tc>
        <w:tc>
          <w:tcPr>
            <w:tcW w:w="924" w:type="dxa"/>
          </w:tcPr>
          <w:p w14:paraId="38444980" w14:textId="24CCC42B"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-0.80**</w:t>
            </w:r>
          </w:p>
        </w:tc>
        <w:tc>
          <w:tcPr>
            <w:tcW w:w="924" w:type="dxa"/>
          </w:tcPr>
          <w:p w14:paraId="2EC48420" w14:textId="5E8E6DB3"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-0.47**</w:t>
            </w:r>
          </w:p>
        </w:tc>
        <w:tc>
          <w:tcPr>
            <w:tcW w:w="924" w:type="dxa"/>
          </w:tcPr>
          <w:p w14:paraId="440D842F" w14:textId="19136231"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-0.84**</w:t>
            </w:r>
          </w:p>
        </w:tc>
        <w:tc>
          <w:tcPr>
            <w:tcW w:w="924" w:type="dxa"/>
          </w:tcPr>
          <w:p w14:paraId="5594E0A1" w14:textId="17AAB670"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-0.91**</w:t>
            </w:r>
          </w:p>
        </w:tc>
        <w:tc>
          <w:tcPr>
            <w:tcW w:w="924" w:type="dxa"/>
          </w:tcPr>
          <w:p w14:paraId="4B7A6D5C" w14:textId="0B25A8DA"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-0.59**</w:t>
            </w:r>
          </w:p>
        </w:tc>
        <w:tc>
          <w:tcPr>
            <w:tcW w:w="925" w:type="dxa"/>
          </w:tcPr>
          <w:p w14:paraId="32C23957" w14:textId="3ECB7595"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-0.64**</w:t>
            </w:r>
          </w:p>
        </w:tc>
        <w:tc>
          <w:tcPr>
            <w:tcW w:w="925" w:type="dxa"/>
          </w:tcPr>
          <w:p w14:paraId="601E8D0E" w14:textId="1E6AAC6C" w:rsidR="00157FC3" w:rsidRPr="000F45BD" w:rsidRDefault="0093005E" w:rsidP="00D4634E">
            <w:pPr>
              <w:spacing w:before="100" w:beforeAutospacing="1" w:after="100" w:afterAutospacing="1"/>
              <w:rPr>
                <w:rFonts w:asciiTheme="majorHAnsi" w:hAnsiTheme="majorHAnsi"/>
                <w:sz w:val="20"/>
              </w:rPr>
            </w:pPr>
            <w:r w:rsidRPr="000F45BD">
              <w:rPr>
                <w:rFonts w:asciiTheme="majorHAnsi" w:hAnsiTheme="majorHAnsi"/>
                <w:sz w:val="20"/>
              </w:rPr>
              <w:t>-0.33**</w:t>
            </w:r>
          </w:p>
        </w:tc>
      </w:tr>
    </w:tbl>
    <w:p w14:paraId="33D18626" w14:textId="37216B7F" w:rsidR="00157FC3" w:rsidRPr="000F45BD" w:rsidRDefault="005F383C" w:rsidP="00D4634E">
      <w:pPr>
        <w:spacing w:before="100" w:beforeAutospacing="1" w:after="100" w:afterAutospacing="1" w:line="240" w:lineRule="auto"/>
        <w:rPr>
          <w:rFonts w:asciiTheme="majorHAnsi" w:hAnsiTheme="majorHAnsi"/>
        </w:rPr>
      </w:pPr>
      <w:r w:rsidRPr="000F45BD">
        <w:rPr>
          <w:rFonts w:asciiTheme="majorHAnsi" w:hAnsiTheme="majorHAnsi"/>
        </w:rPr>
        <w:t>NS Not significant * Significant at the 0.05 level ** Significant at the 0.01 level</w:t>
      </w:r>
    </w:p>
    <w:p w14:paraId="5EE875EB" w14:textId="635E373D" w:rsidR="00EB7EC0" w:rsidRPr="000F45BD" w:rsidRDefault="00EB7EC0" w:rsidP="003E05E6">
      <w:pPr>
        <w:spacing w:before="100" w:beforeAutospacing="1" w:after="100" w:afterAutospacing="1" w:line="240" w:lineRule="auto"/>
        <w:jc w:val="both"/>
        <w:rPr>
          <w:rFonts w:asciiTheme="majorHAnsi" w:hAnsiTheme="majorHAnsi"/>
        </w:rPr>
      </w:pPr>
      <w:r w:rsidRPr="000F45BD">
        <w:rPr>
          <w:rFonts w:asciiTheme="majorHAnsi" w:hAnsiTheme="majorHAnsi"/>
        </w:rPr>
        <w:lastRenderedPageBreak/>
        <w:t xml:space="preserve">An additional test of the validity of the scale was performed through a comparison between access to material resources </w:t>
      </w:r>
      <w:r w:rsidR="00CF669C" w:rsidRPr="000F45BD">
        <w:rPr>
          <w:rFonts w:asciiTheme="majorHAnsi" w:hAnsiTheme="majorHAnsi"/>
        </w:rPr>
        <w:t xml:space="preserve">(both the mean level of resources in each country and the standard deviation of scores on the material resources scale within each country) </w:t>
      </w:r>
      <w:r w:rsidRPr="000F45BD">
        <w:rPr>
          <w:rFonts w:asciiTheme="majorHAnsi" w:hAnsiTheme="majorHAnsi"/>
        </w:rPr>
        <w:t xml:space="preserve">and national-level measures of wealth and inequality, namely the GDP per capita and the </w:t>
      </w:r>
      <w:r w:rsidR="0018277B">
        <w:rPr>
          <w:rFonts w:asciiTheme="majorHAnsi" w:hAnsiTheme="majorHAnsi"/>
        </w:rPr>
        <w:t>G</w:t>
      </w:r>
      <w:r w:rsidRPr="000F45BD">
        <w:rPr>
          <w:rFonts w:asciiTheme="majorHAnsi" w:hAnsiTheme="majorHAnsi"/>
        </w:rPr>
        <w:t xml:space="preserve">ini coefficients for each country.  Given that individual-level access to material resources does not and is not intended to represent a measure of either national wealth or inequality, a perfect relationship would not be expected; however it would be expected that the measures may correlate.  </w:t>
      </w:r>
      <w:r w:rsidR="005C461E" w:rsidRPr="000F45BD">
        <w:rPr>
          <w:rFonts w:asciiTheme="majorHAnsi" w:hAnsiTheme="majorHAnsi"/>
        </w:rPr>
        <w:t xml:space="preserve">Further, it would be expected that the strongest correlations would be between the respective measures of the levels of resources available (means of the material resources scale, and GDP), and of inequalities in access to resources (standard deviations on the material resources scale, and </w:t>
      </w:r>
      <w:r w:rsidR="0018277B">
        <w:rPr>
          <w:rFonts w:asciiTheme="majorHAnsi" w:hAnsiTheme="majorHAnsi"/>
        </w:rPr>
        <w:t>G</w:t>
      </w:r>
      <w:r w:rsidR="005C461E" w:rsidRPr="000F45BD">
        <w:rPr>
          <w:rFonts w:asciiTheme="majorHAnsi" w:hAnsiTheme="majorHAnsi"/>
        </w:rPr>
        <w:t>ini coefficients).</w:t>
      </w:r>
    </w:p>
    <w:p w14:paraId="0A24B910" w14:textId="3079FEFF" w:rsidR="00EB7EC0" w:rsidRPr="000F45BD" w:rsidRDefault="00B23510" w:rsidP="003E05E6">
      <w:pPr>
        <w:spacing w:before="100" w:beforeAutospacing="1" w:after="100" w:afterAutospacing="1" w:line="240" w:lineRule="auto"/>
        <w:jc w:val="both"/>
        <w:rPr>
          <w:rFonts w:asciiTheme="majorHAnsi" w:hAnsiTheme="majorHAnsi"/>
        </w:rPr>
      </w:pPr>
      <w:r w:rsidRPr="000F45BD">
        <w:rPr>
          <w:rFonts w:asciiTheme="majorHAnsi" w:hAnsiTheme="majorHAnsi"/>
        </w:rPr>
        <w:t>Table 6</w:t>
      </w:r>
      <w:r w:rsidR="00EB7EC0" w:rsidRPr="000F45BD">
        <w:rPr>
          <w:rFonts w:asciiTheme="majorHAnsi" w:hAnsiTheme="majorHAnsi"/>
        </w:rPr>
        <w:t xml:space="preserve"> shows rankings of countries by material resources</w:t>
      </w:r>
      <w:r w:rsidR="005C461E" w:rsidRPr="000F45BD">
        <w:rPr>
          <w:rFonts w:asciiTheme="majorHAnsi" w:hAnsiTheme="majorHAnsi"/>
        </w:rPr>
        <w:t xml:space="preserve"> (mean and standard deviation)</w:t>
      </w:r>
      <w:r w:rsidR="00EB7EC0" w:rsidRPr="000F45BD">
        <w:rPr>
          <w:rFonts w:asciiTheme="majorHAnsi" w:hAnsiTheme="majorHAnsi"/>
        </w:rPr>
        <w:t xml:space="preserve">, GDP and Gini coefficient.  </w:t>
      </w:r>
      <w:r w:rsidR="00F067C4" w:rsidRPr="000F45BD">
        <w:rPr>
          <w:rFonts w:asciiTheme="majorHAnsi" w:hAnsiTheme="majorHAnsi"/>
        </w:rPr>
        <w:t>T</w:t>
      </w:r>
      <w:r w:rsidR="00EB7EC0" w:rsidRPr="000F45BD">
        <w:rPr>
          <w:rFonts w:asciiTheme="majorHAnsi" w:hAnsiTheme="majorHAnsi"/>
        </w:rPr>
        <w:t>he material resources scale does, as expected, not produce a ranking of countries identical to that produced by GDP and Gini coefficients</w:t>
      </w:r>
      <w:r w:rsidR="00F067C4" w:rsidRPr="000F45BD">
        <w:rPr>
          <w:rFonts w:asciiTheme="majorHAnsi" w:hAnsiTheme="majorHAnsi"/>
        </w:rPr>
        <w:t>.  However, based on Spearman’s Rho, significant correlation</w:t>
      </w:r>
      <w:r w:rsidR="005C461E" w:rsidRPr="000F45BD">
        <w:rPr>
          <w:rFonts w:asciiTheme="majorHAnsi" w:hAnsiTheme="majorHAnsi"/>
        </w:rPr>
        <w:t xml:space="preserve">s were found between means on the material resources scale and GDP (r=0.83), and between standard deviations on the material resources scale and </w:t>
      </w:r>
      <w:r w:rsidR="0018277B">
        <w:rPr>
          <w:rFonts w:asciiTheme="majorHAnsi" w:hAnsiTheme="majorHAnsi"/>
        </w:rPr>
        <w:t>G</w:t>
      </w:r>
      <w:r w:rsidR="005C461E" w:rsidRPr="000F45BD">
        <w:rPr>
          <w:rFonts w:asciiTheme="majorHAnsi" w:hAnsiTheme="majorHAnsi"/>
        </w:rPr>
        <w:t xml:space="preserve">ini coefficients (r=0.72**).   </w:t>
      </w:r>
      <w:r w:rsidR="00A6437D" w:rsidRPr="000F45BD">
        <w:rPr>
          <w:rFonts w:asciiTheme="majorHAnsi" w:hAnsiTheme="majorHAnsi"/>
        </w:rPr>
        <w:t>The association</w:t>
      </w:r>
      <w:r w:rsidR="005C461E" w:rsidRPr="000F45BD">
        <w:rPr>
          <w:rFonts w:asciiTheme="majorHAnsi" w:hAnsiTheme="majorHAnsi"/>
        </w:rPr>
        <w:t>s</w:t>
      </w:r>
      <w:r w:rsidR="00A6437D" w:rsidRPr="000F45BD">
        <w:rPr>
          <w:rFonts w:asciiTheme="majorHAnsi" w:hAnsiTheme="majorHAnsi"/>
        </w:rPr>
        <w:t xml:space="preserve"> between </w:t>
      </w:r>
      <w:r w:rsidR="005C461E" w:rsidRPr="000F45BD">
        <w:rPr>
          <w:rFonts w:asciiTheme="majorHAnsi" w:hAnsiTheme="majorHAnsi"/>
        </w:rPr>
        <w:t xml:space="preserve">means on the </w:t>
      </w:r>
      <w:r w:rsidR="00A6437D" w:rsidRPr="000F45BD">
        <w:rPr>
          <w:rFonts w:asciiTheme="majorHAnsi" w:hAnsiTheme="majorHAnsi"/>
        </w:rPr>
        <w:t>material resources</w:t>
      </w:r>
      <w:r w:rsidR="005C461E" w:rsidRPr="000F45BD">
        <w:rPr>
          <w:rFonts w:asciiTheme="majorHAnsi" w:hAnsiTheme="majorHAnsi"/>
        </w:rPr>
        <w:t xml:space="preserve"> scale and</w:t>
      </w:r>
      <w:r w:rsidR="00A6437D" w:rsidRPr="000F45BD">
        <w:rPr>
          <w:rFonts w:asciiTheme="majorHAnsi" w:hAnsiTheme="majorHAnsi"/>
        </w:rPr>
        <w:t xml:space="preserve"> GDP</w:t>
      </w:r>
      <w:r w:rsidR="005C461E" w:rsidRPr="000F45BD">
        <w:rPr>
          <w:rFonts w:asciiTheme="majorHAnsi" w:hAnsiTheme="majorHAnsi"/>
        </w:rPr>
        <w:t>, and standard deviations on the material resources scale and</w:t>
      </w:r>
      <w:r w:rsidR="00A6437D" w:rsidRPr="000F45BD">
        <w:rPr>
          <w:rFonts w:asciiTheme="majorHAnsi" w:hAnsiTheme="majorHAnsi"/>
        </w:rPr>
        <w:t xml:space="preserve"> Gini coefficients</w:t>
      </w:r>
      <w:r w:rsidR="005C461E" w:rsidRPr="000F45BD">
        <w:rPr>
          <w:rFonts w:asciiTheme="majorHAnsi" w:hAnsiTheme="majorHAnsi"/>
        </w:rPr>
        <w:t>,</w:t>
      </w:r>
      <w:r w:rsidR="00A6437D" w:rsidRPr="000F45BD">
        <w:rPr>
          <w:rFonts w:asciiTheme="majorHAnsi" w:hAnsiTheme="majorHAnsi"/>
        </w:rPr>
        <w:t xml:space="preserve"> are illustrated in chart 2</w:t>
      </w:r>
      <w:r w:rsidR="005C461E" w:rsidRPr="000F45BD">
        <w:rPr>
          <w:rFonts w:asciiTheme="majorHAnsi" w:hAnsiTheme="majorHAnsi"/>
        </w:rPr>
        <w:t xml:space="preserve"> and 3 respectively</w:t>
      </w:r>
      <w:r w:rsidR="00A6437D" w:rsidRPr="000F45BD">
        <w:rPr>
          <w:rFonts w:asciiTheme="majorHAnsi" w:hAnsiTheme="majorHAnsi"/>
        </w:rPr>
        <w:t>.</w:t>
      </w:r>
    </w:p>
    <w:p w14:paraId="0E7DCF36" w14:textId="5068743B" w:rsidR="00EB7EC0" w:rsidRPr="000F45BD" w:rsidRDefault="00B23510" w:rsidP="00D4634E">
      <w:pPr>
        <w:spacing w:before="100" w:beforeAutospacing="1" w:after="100" w:afterAutospacing="1" w:line="240" w:lineRule="auto"/>
        <w:rPr>
          <w:rFonts w:asciiTheme="majorHAnsi" w:hAnsiTheme="majorHAnsi"/>
          <w:b/>
        </w:rPr>
      </w:pPr>
      <w:r w:rsidRPr="000F45BD">
        <w:rPr>
          <w:rFonts w:asciiTheme="majorHAnsi" w:hAnsiTheme="majorHAnsi"/>
          <w:b/>
        </w:rPr>
        <w:t>Table 6</w:t>
      </w:r>
      <w:r w:rsidR="00EB7EC0" w:rsidRPr="000F45BD">
        <w:rPr>
          <w:rFonts w:asciiTheme="majorHAnsi" w:hAnsiTheme="majorHAnsi"/>
          <w:b/>
        </w:rPr>
        <w:t xml:space="preserve">: Country rankings by </w:t>
      </w:r>
      <w:r w:rsidR="00CF669C" w:rsidRPr="000F45BD">
        <w:rPr>
          <w:rFonts w:asciiTheme="majorHAnsi" w:hAnsiTheme="majorHAnsi"/>
          <w:b/>
        </w:rPr>
        <w:t xml:space="preserve">mean of </w:t>
      </w:r>
      <w:r w:rsidR="00EB7EC0" w:rsidRPr="000F45BD">
        <w:rPr>
          <w:rFonts w:asciiTheme="majorHAnsi" w:hAnsiTheme="majorHAnsi"/>
          <w:b/>
        </w:rPr>
        <w:t>material resources, GDP</w:t>
      </w:r>
      <w:r w:rsidR="00CF669C" w:rsidRPr="000F45BD">
        <w:rPr>
          <w:rFonts w:asciiTheme="majorHAnsi" w:hAnsiTheme="majorHAnsi"/>
          <w:b/>
        </w:rPr>
        <w:t>, standard deviation of material resources,</w:t>
      </w:r>
      <w:r w:rsidR="00EB7EC0" w:rsidRPr="000F45BD">
        <w:rPr>
          <w:rFonts w:asciiTheme="majorHAnsi" w:hAnsiTheme="majorHAnsi"/>
          <w:b/>
        </w:rPr>
        <w:t xml:space="preserve"> and Gini coefficient</w:t>
      </w:r>
    </w:p>
    <w:tbl>
      <w:tblPr>
        <w:tblStyle w:val="TableGrid"/>
        <w:tblW w:w="5001" w:type="pct"/>
        <w:tblLayout w:type="fixed"/>
        <w:tblLook w:val="04A0" w:firstRow="1" w:lastRow="0" w:firstColumn="1" w:lastColumn="0" w:noHBand="0" w:noVBand="1"/>
      </w:tblPr>
      <w:tblGrid>
        <w:gridCol w:w="1848"/>
        <w:gridCol w:w="1849"/>
        <w:gridCol w:w="1849"/>
        <w:gridCol w:w="1849"/>
        <w:gridCol w:w="1849"/>
      </w:tblGrid>
      <w:tr w:rsidR="00CF669C" w:rsidRPr="000F45BD" w14:paraId="4F99E6F8" w14:textId="3A3250EC" w:rsidTr="00CF669C">
        <w:trPr>
          <w:trHeight w:val="255"/>
        </w:trPr>
        <w:tc>
          <w:tcPr>
            <w:tcW w:w="1000" w:type="pct"/>
            <w:hideMark/>
          </w:tcPr>
          <w:p w14:paraId="710A5FE1" w14:textId="77777777" w:rsidR="00CF669C" w:rsidRPr="000F45BD" w:rsidRDefault="00CF669C" w:rsidP="00D4634E">
            <w:pPr>
              <w:spacing w:before="100" w:beforeAutospacing="1" w:after="100" w:afterAutospacing="1"/>
              <w:jc w:val="center"/>
              <w:rPr>
                <w:rFonts w:asciiTheme="majorHAnsi" w:eastAsia="Times New Roman" w:hAnsiTheme="majorHAnsi" w:cs="Arial"/>
                <w:b/>
                <w:bCs/>
                <w:color w:val="000000"/>
                <w:sz w:val="20"/>
                <w:lang w:eastAsia="en-GB"/>
              </w:rPr>
            </w:pPr>
            <w:r w:rsidRPr="000F45BD">
              <w:rPr>
                <w:rFonts w:asciiTheme="majorHAnsi" w:eastAsia="Times New Roman" w:hAnsiTheme="majorHAnsi" w:cs="Arial"/>
                <w:b/>
                <w:bCs/>
                <w:color w:val="000000"/>
                <w:sz w:val="20"/>
                <w:lang w:eastAsia="en-GB"/>
              </w:rPr>
              <w:t>Country</w:t>
            </w:r>
          </w:p>
        </w:tc>
        <w:tc>
          <w:tcPr>
            <w:tcW w:w="1000" w:type="pct"/>
            <w:noWrap/>
            <w:hideMark/>
          </w:tcPr>
          <w:p w14:paraId="360D1C25" w14:textId="017A4B77" w:rsidR="00CF669C" w:rsidRPr="000F45BD" w:rsidRDefault="00CF669C" w:rsidP="00D4634E">
            <w:pPr>
              <w:spacing w:before="100" w:beforeAutospacing="1" w:after="100" w:afterAutospacing="1"/>
              <w:jc w:val="center"/>
              <w:rPr>
                <w:rFonts w:asciiTheme="majorHAnsi" w:eastAsia="Times New Roman" w:hAnsiTheme="majorHAnsi" w:cs="Arial"/>
                <w:b/>
                <w:bCs/>
                <w:color w:val="000000"/>
                <w:sz w:val="20"/>
                <w:lang w:eastAsia="en-GB"/>
              </w:rPr>
            </w:pPr>
            <w:r w:rsidRPr="000F45BD">
              <w:rPr>
                <w:rFonts w:asciiTheme="majorHAnsi" w:eastAsia="Times New Roman" w:hAnsiTheme="majorHAnsi" w:cs="Arial"/>
                <w:b/>
                <w:bCs/>
                <w:color w:val="000000"/>
                <w:sz w:val="20"/>
                <w:lang w:eastAsia="en-GB"/>
              </w:rPr>
              <w:t>Mean material resources</w:t>
            </w:r>
          </w:p>
        </w:tc>
        <w:tc>
          <w:tcPr>
            <w:tcW w:w="1000" w:type="pct"/>
            <w:hideMark/>
          </w:tcPr>
          <w:p w14:paraId="2FFD9660" w14:textId="77777777" w:rsidR="00CF669C" w:rsidRPr="000F45BD" w:rsidRDefault="00CF669C" w:rsidP="00D4634E">
            <w:pPr>
              <w:spacing w:before="100" w:beforeAutospacing="1" w:after="100" w:afterAutospacing="1"/>
              <w:jc w:val="center"/>
              <w:rPr>
                <w:rFonts w:asciiTheme="majorHAnsi" w:eastAsia="Times New Roman" w:hAnsiTheme="majorHAnsi" w:cs="Arial"/>
                <w:b/>
                <w:bCs/>
                <w:color w:val="000000"/>
                <w:sz w:val="20"/>
                <w:lang w:eastAsia="en-GB"/>
              </w:rPr>
            </w:pPr>
            <w:r w:rsidRPr="000F45BD">
              <w:rPr>
                <w:rFonts w:asciiTheme="majorHAnsi" w:eastAsia="Times New Roman" w:hAnsiTheme="majorHAnsi" w:cs="Arial"/>
                <w:b/>
                <w:bCs/>
                <w:color w:val="000000"/>
                <w:sz w:val="20"/>
                <w:lang w:eastAsia="en-GB"/>
              </w:rPr>
              <w:t>GDP</w:t>
            </w:r>
          </w:p>
        </w:tc>
        <w:tc>
          <w:tcPr>
            <w:tcW w:w="1000" w:type="pct"/>
          </w:tcPr>
          <w:p w14:paraId="5A5C4952" w14:textId="0B44B3F5" w:rsidR="00CF669C" w:rsidRPr="000F45BD" w:rsidRDefault="00CF669C" w:rsidP="00D4634E">
            <w:pPr>
              <w:spacing w:before="100" w:beforeAutospacing="1" w:after="100" w:afterAutospacing="1"/>
              <w:jc w:val="center"/>
              <w:rPr>
                <w:rFonts w:asciiTheme="majorHAnsi" w:eastAsia="Times New Roman" w:hAnsiTheme="majorHAnsi" w:cs="Arial"/>
                <w:b/>
                <w:bCs/>
                <w:color w:val="000000"/>
                <w:sz w:val="20"/>
                <w:lang w:eastAsia="en-GB"/>
              </w:rPr>
            </w:pPr>
            <w:r w:rsidRPr="000F45BD">
              <w:rPr>
                <w:rFonts w:asciiTheme="majorHAnsi" w:eastAsia="Times New Roman" w:hAnsiTheme="majorHAnsi" w:cs="Arial"/>
                <w:b/>
                <w:bCs/>
                <w:color w:val="000000"/>
                <w:sz w:val="20"/>
                <w:lang w:eastAsia="en-GB"/>
              </w:rPr>
              <w:t>SD material resources</w:t>
            </w:r>
          </w:p>
        </w:tc>
        <w:tc>
          <w:tcPr>
            <w:tcW w:w="1000" w:type="pct"/>
          </w:tcPr>
          <w:p w14:paraId="7EE9F343" w14:textId="7652BF01" w:rsidR="00CF669C" w:rsidRPr="000F45BD" w:rsidRDefault="00CF669C" w:rsidP="00D4634E">
            <w:pPr>
              <w:spacing w:before="100" w:beforeAutospacing="1" w:after="100" w:afterAutospacing="1"/>
              <w:jc w:val="center"/>
              <w:rPr>
                <w:rFonts w:asciiTheme="majorHAnsi" w:eastAsia="Times New Roman" w:hAnsiTheme="majorHAnsi" w:cs="Arial"/>
                <w:b/>
                <w:bCs/>
                <w:color w:val="000000"/>
                <w:sz w:val="20"/>
                <w:lang w:eastAsia="en-GB"/>
              </w:rPr>
            </w:pPr>
            <w:r w:rsidRPr="000F45BD">
              <w:rPr>
                <w:rFonts w:asciiTheme="majorHAnsi" w:eastAsia="Times New Roman" w:hAnsiTheme="majorHAnsi" w:cs="Arial"/>
                <w:b/>
                <w:bCs/>
                <w:color w:val="000000"/>
                <w:sz w:val="20"/>
                <w:lang w:eastAsia="en-GB"/>
              </w:rPr>
              <w:t>Gini</w:t>
            </w:r>
          </w:p>
        </w:tc>
      </w:tr>
      <w:tr w:rsidR="00CF669C" w:rsidRPr="000F45BD" w14:paraId="25BC3F16" w14:textId="2805FF3C" w:rsidTr="00CF669C">
        <w:trPr>
          <w:trHeight w:val="255"/>
        </w:trPr>
        <w:tc>
          <w:tcPr>
            <w:tcW w:w="1000" w:type="pct"/>
            <w:hideMark/>
          </w:tcPr>
          <w:p w14:paraId="5E3E9FCB"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Norway</w:t>
            </w:r>
          </w:p>
        </w:tc>
        <w:tc>
          <w:tcPr>
            <w:tcW w:w="1000" w:type="pct"/>
            <w:noWrap/>
            <w:hideMark/>
          </w:tcPr>
          <w:p w14:paraId="23851793"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w:t>
            </w:r>
          </w:p>
        </w:tc>
        <w:tc>
          <w:tcPr>
            <w:tcW w:w="1000" w:type="pct"/>
            <w:hideMark/>
          </w:tcPr>
          <w:p w14:paraId="43E61A4D"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w:t>
            </w:r>
          </w:p>
        </w:tc>
        <w:tc>
          <w:tcPr>
            <w:tcW w:w="1000" w:type="pct"/>
            <w:vAlign w:val="bottom"/>
          </w:tcPr>
          <w:p w14:paraId="3CDB173E" w14:textId="5DDB180A"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hAnsiTheme="majorHAnsi" w:cs="Arial"/>
                <w:color w:val="000000"/>
                <w:sz w:val="20"/>
                <w:szCs w:val="20"/>
              </w:rPr>
              <w:t>1</w:t>
            </w:r>
          </w:p>
        </w:tc>
        <w:tc>
          <w:tcPr>
            <w:tcW w:w="1000" w:type="pct"/>
          </w:tcPr>
          <w:p w14:paraId="073028F9" w14:textId="5F767FF9"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w:t>
            </w:r>
          </w:p>
        </w:tc>
      </w:tr>
      <w:tr w:rsidR="00CF669C" w:rsidRPr="000F45BD" w14:paraId="32B02233" w14:textId="485BAEE4" w:rsidTr="00CF669C">
        <w:trPr>
          <w:trHeight w:val="255"/>
        </w:trPr>
        <w:tc>
          <w:tcPr>
            <w:tcW w:w="1000" w:type="pct"/>
            <w:hideMark/>
          </w:tcPr>
          <w:p w14:paraId="41CCECF5"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S Korea</w:t>
            </w:r>
          </w:p>
        </w:tc>
        <w:tc>
          <w:tcPr>
            <w:tcW w:w="1000" w:type="pct"/>
            <w:noWrap/>
            <w:hideMark/>
          </w:tcPr>
          <w:p w14:paraId="6DAB5528"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2</w:t>
            </w:r>
          </w:p>
        </w:tc>
        <w:tc>
          <w:tcPr>
            <w:tcW w:w="1000" w:type="pct"/>
            <w:hideMark/>
          </w:tcPr>
          <w:p w14:paraId="60EEDDC9"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6</w:t>
            </w:r>
          </w:p>
        </w:tc>
        <w:tc>
          <w:tcPr>
            <w:tcW w:w="1000" w:type="pct"/>
            <w:vAlign w:val="bottom"/>
          </w:tcPr>
          <w:p w14:paraId="6C66E57D" w14:textId="36EF9F2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6</w:t>
            </w:r>
          </w:p>
        </w:tc>
        <w:tc>
          <w:tcPr>
            <w:tcW w:w="1000" w:type="pct"/>
          </w:tcPr>
          <w:p w14:paraId="74671302" w14:textId="601861FA"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4</w:t>
            </w:r>
          </w:p>
        </w:tc>
      </w:tr>
      <w:tr w:rsidR="00CF669C" w:rsidRPr="000F45BD" w14:paraId="5A10BBFB" w14:textId="46C049BE" w:rsidTr="00CF669C">
        <w:trPr>
          <w:trHeight w:val="255"/>
        </w:trPr>
        <w:tc>
          <w:tcPr>
            <w:tcW w:w="1000" w:type="pct"/>
            <w:hideMark/>
          </w:tcPr>
          <w:p w14:paraId="2A1CBEE4"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Poland</w:t>
            </w:r>
          </w:p>
        </w:tc>
        <w:tc>
          <w:tcPr>
            <w:tcW w:w="1000" w:type="pct"/>
            <w:noWrap/>
            <w:hideMark/>
          </w:tcPr>
          <w:p w14:paraId="2BD40BCB"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3</w:t>
            </w:r>
          </w:p>
        </w:tc>
        <w:tc>
          <w:tcPr>
            <w:tcW w:w="1000" w:type="pct"/>
            <w:hideMark/>
          </w:tcPr>
          <w:p w14:paraId="00D531DB"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8</w:t>
            </w:r>
          </w:p>
        </w:tc>
        <w:tc>
          <w:tcPr>
            <w:tcW w:w="1000" w:type="pct"/>
            <w:vAlign w:val="bottom"/>
          </w:tcPr>
          <w:p w14:paraId="1967DEDF" w14:textId="34BC4D56"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5</w:t>
            </w:r>
          </w:p>
        </w:tc>
        <w:tc>
          <w:tcPr>
            <w:tcW w:w="1000" w:type="pct"/>
          </w:tcPr>
          <w:p w14:paraId="1302C60E" w14:textId="22738A9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8</w:t>
            </w:r>
          </w:p>
        </w:tc>
      </w:tr>
      <w:tr w:rsidR="00CF669C" w:rsidRPr="000F45BD" w14:paraId="771533F9" w14:textId="14D39E00" w:rsidTr="00CF669C">
        <w:trPr>
          <w:trHeight w:val="255"/>
        </w:trPr>
        <w:tc>
          <w:tcPr>
            <w:tcW w:w="1000" w:type="pct"/>
            <w:hideMark/>
          </w:tcPr>
          <w:p w14:paraId="4F087B57"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England</w:t>
            </w:r>
          </w:p>
        </w:tc>
        <w:tc>
          <w:tcPr>
            <w:tcW w:w="1000" w:type="pct"/>
            <w:noWrap/>
            <w:hideMark/>
          </w:tcPr>
          <w:p w14:paraId="13709106"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4</w:t>
            </w:r>
          </w:p>
        </w:tc>
        <w:tc>
          <w:tcPr>
            <w:tcW w:w="1000" w:type="pct"/>
            <w:hideMark/>
          </w:tcPr>
          <w:p w14:paraId="6078538B"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3</w:t>
            </w:r>
          </w:p>
        </w:tc>
        <w:tc>
          <w:tcPr>
            <w:tcW w:w="1000" w:type="pct"/>
            <w:vAlign w:val="bottom"/>
          </w:tcPr>
          <w:p w14:paraId="19EF7CBE" w14:textId="643A4F08"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3</w:t>
            </w:r>
          </w:p>
        </w:tc>
        <w:tc>
          <w:tcPr>
            <w:tcW w:w="1000" w:type="pct"/>
          </w:tcPr>
          <w:p w14:paraId="5836B4AD" w14:textId="4598835E"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5</w:t>
            </w:r>
          </w:p>
        </w:tc>
      </w:tr>
      <w:tr w:rsidR="00CF669C" w:rsidRPr="000F45BD" w14:paraId="03F47E6B" w14:textId="4D4E3EA0" w:rsidTr="00CF669C">
        <w:trPr>
          <w:trHeight w:val="255"/>
        </w:trPr>
        <w:tc>
          <w:tcPr>
            <w:tcW w:w="1000" w:type="pct"/>
            <w:hideMark/>
          </w:tcPr>
          <w:p w14:paraId="0377BFC3"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Estonia</w:t>
            </w:r>
          </w:p>
        </w:tc>
        <w:tc>
          <w:tcPr>
            <w:tcW w:w="1000" w:type="pct"/>
            <w:noWrap/>
            <w:hideMark/>
          </w:tcPr>
          <w:p w14:paraId="24046067"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5</w:t>
            </w:r>
          </w:p>
        </w:tc>
        <w:tc>
          <w:tcPr>
            <w:tcW w:w="1000" w:type="pct"/>
            <w:hideMark/>
          </w:tcPr>
          <w:p w14:paraId="56F30A9C"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7</w:t>
            </w:r>
          </w:p>
        </w:tc>
        <w:tc>
          <w:tcPr>
            <w:tcW w:w="1000" w:type="pct"/>
            <w:vAlign w:val="bottom"/>
          </w:tcPr>
          <w:p w14:paraId="49CEC305" w14:textId="471DFB31"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2</w:t>
            </w:r>
          </w:p>
        </w:tc>
        <w:tc>
          <w:tcPr>
            <w:tcW w:w="1000" w:type="pct"/>
          </w:tcPr>
          <w:p w14:paraId="2F49C7A4" w14:textId="06F4960D"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6</w:t>
            </w:r>
          </w:p>
        </w:tc>
      </w:tr>
      <w:tr w:rsidR="00CF669C" w:rsidRPr="000F45BD" w14:paraId="4C92A845" w14:textId="260536D2" w:rsidTr="00CF669C">
        <w:trPr>
          <w:trHeight w:val="255"/>
        </w:trPr>
        <w:tc>
          <w:tcPr>
            <w:tcW w:w="1000" w:type="pct"/>
            <w:hideMark/>
          </w:tcPr>
          <w:p w14:paraId="55A276F5"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Germany</w:t>
            </w:r>
          </w:p>
        </w:tc>
        <w:tc>
          <w:tcPr>
            <w:tcW w:w="1000" w:type="pct"/>
            <w:noWrap/>
            <w:hideMark/>
          </w:tcPr>
          <w:p w14:paraId="54BA75A9"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6</w:t>
            </w:r>
          </w:p>
        </w:tc>
        <w:tc>
          <w:tcPr>
            <w:tcW w:w="1000" w:type="pct"/>
            <w:hideMark/>
          </w:tcPr>
          <w:p w14:paraId="1040BA60"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2</w:t>
            </w:r>
          </w:p>
        </w:tc>
        <w:tc>
          <w:tcPr>
            <w:tcW w:w="1000" w:type="pct"/>
            <w:vAlign w:val="bottom"/>
          </w:tcPr>
          <w:p w14:paraId="092C1971" w14:textId="2BF6C3A5"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4</w:t>
            </w:r>
          </w:p>
        </w:tc>
        <w:tc>
          <w:tcPr>
            <w:tcW w:w="1000" w:type="pct"/>
          </w:tcPr>
          <w:p w14:paraId="14A815FB" w14:textId="702D2F96"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3</w:t>
            </w:r>
          </w:p>
        </w:tc>
      </w:tr>
      <w:tr w:rsidR="00CF669C" w:rsidRPr="000F45BD" w14:paraId="5EEE69DE" w14:textId="0747E1F6" w:rsidTr="00CF669C">
        <w:trPr>
          <w:trHeight w:val="255"/>
        </w:trPr>
        <w:tc>
          <w:tcPr>
            <w:tcW w:w="1000" w:type="pct"/>
            <w:hideMark/>
          </w:tcPr>
          <w:p w14:paraId="314E439F"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Israel</w:t>
            </w:r>
          </w:p>
        </w:tc>
        <w:tc>
          <w:tcPr>
            <w:tcW w:w="1000" w:type="pct"/>
            <w:noWrap/>
            <w:hideMark/>
          </w:tcPr>
          <w:p w14:paraId="2284FB76"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7</w:t>
            </w:r>
          </w:p>
        </w:tc>
        <w:tc>
          <w:tcPr>
            <w:tcW w:w="1000" w:type="pct"/>
            <w:hideMark/>
          </w:tcPr>
          <w:p w14:paraId="62AFA965"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4</w:t>
            </w:r>
          </w:p>
        </w:tc>
        <w:tc>
          <w:tcPr>
            <w:tcW w:w="1000" w:type="pct"/>
            <w:vAlign w:val="bottom"/>
          </w:tcPr>
          <w:p w14:paraId="4378AE0D" w14:textId="21B97CE0"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8</w:t>
            </w:r>
          </w:p>
        </w:tc>
        <w:tc>
          <w:tcPr>
            <w:tcW w:w="1000" w:type="pct"/>
          </w:tcPr>
          <w:p w14:paraId="71339621" w14:textId="1087768B"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11</w:t>
            </w:r>
          </w:p>
        </w:tc>
      </w:tr>
      <w:tr w:rsidR="00CF669C" w:rsidRPr="000F45BD" w14:paraId="02D915F2" w14:textId="01AA8BA9" w:rsidTr="00CF669C">
        <w:trPr>
          <w:trHeight w:val="255"/>
        </w:trPr>
        <w:tc>
          <w:tcPr>
            <w:tcW w:w="1000" w:type="pct"/>
            <w:hideMark/>
          </w:tcPr>
          <w:p w14:paraId="7B606367"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Spain</w:t>
            </w:r>
          </w:p>
        </w:tc>
        <w:tc>
          <w:tcPr>
            <w:tcW w:w="1000" w:type="pct"/>
            <w:noWrap/>
            <w:hideMark/>
          </w:tcPr>
          <w:p w14:paraId="3BD26CFD"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8</w:t>
            </w:r>
          </w:p>
        </w:tc>
        <w:tc>
          <w:tcPr>
            <w:tcW w:w="1000" w:type="pct"/>
            <w:hideMark/>
          </w:tcPr>
          <w:p w14:paraId="12AC0872"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5</w:t>
            </w:r>
          </w:p>
        </w:tc>
        <w:tc>
          <w:tcPr>
            <w:tcW w:w="1000" w:type="pct"/>
            <w:vAlign w:val="bottom"/>
          </w:tcPr>
          <w:p w14:paraId="0776CF2D" w14:textId="63F871D1"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7</w:t>
            </w:r>
          </w:p>
        </w:tc>
        <w:tc>
          <w:tcPr>
            <w:tcW w:w="1000" w:type="pct"/>
          </w:tcPr>
          <w:p w14:paraId="7A87A7C5" w14:textId="37DB7F4C"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10</w:t>
            </w:r>
          </w:p>
        </w:tc>
      </w:tr>
      <w:tr w:rsidR="00CF669C" w:rsidRPr="000F45BD" w14:paraId="5E2A56C7" w14:textId="0682EF0E" w:rsidTr="00CF669C">
        <w:trPr>
          <w:trHeight w:val="255"/>
        </w:trPr>
        <w:tc>
          <w:tcPr>
            <w:tcW w:w="1000" w:type="pct"/>
            <w:hideMark/>
          </w:tcPr>
          <w:p w14:paraId="5D2B91F2"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Romania</w:t>
            </w:r>
          </w:p>
        </w:tc>
        <w:tc>
          <w:tcPr>
            <w:tcW w:w="1000" w:type="pct"/>
            <w:noWrap/>
            <w:hideMark/>
          </w:tcPr>
          <w:p w14:paraId="6B8AD11F"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9</w:t>
            </w:r>
          </w:p>
        </w:tc>
        <w:tc>
          <w:tcPr>
            <w:tcW w:w="1000" w:type="pct"/>
            <w:hideMark/>
          </w:tcPr>
          <w:p w14:paraId="47858BCC"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10</w:t>
            </w:r>
          </w:p>
        </w:tc>
        <w:tc>
          <w:tcPr>
            <w:tcW w:w="1000" w:type="pct"/>
            <w:vAlign w:val="bottom"/>
          </w:tcPr>
          <w:p w14:paraId="584082C5" w14:textId="4528F9EE"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10</w:t>
            </w:r>
          </w:p>
        </w:tc>
        <w:tc>
          <w:tcPr>
            <w:tcW w:w="1000" w:type="pct"/>
          </w:tcPr>
          <w:p w14:paraId="3D13A825" w14:textId="7AAF676A"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2</w:t>
            </w:r>
          </w:p>
        </w:tc>
      </w:tr>
      <w:tr w:rsidR="00CF669C" w:rsidRPr="000F45BD" w14:paraId="184E4C53" w14:textId="3BC858F5" w:rsidTr="00CF669C">
        <w:trPr>
          <w:trHeight w:val="255"/>
        </w:trPr>
        <w:tc>
          <w:tcPr>
            <w:tcW w:w="1000" w:type="pct"/>
            <w:hideMark/>
          </w:tcPr>
          <w:p w14:paraId="195001AA"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S Africa</w:t>
            </w:r>
          </w:p>
        </w:tc>
        <w:tc>
          <w:tcPr>
            <w:tcW w:w="1000" w:type="pct"/>
            <w:noWrap/>
            <w:hideMark/>
          </w:tcPr>
          <w:p w14:paraId="2D5C836B"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10</w:t>
            </w:r>
          </w:p>
        </w:tc>
        <w:tc>
          <w:tcPr>
            <w:tcW w:w="1000" w:type="pct"/>
            <w:hideMark/>
          </w:tcPr>
          <w:p w14:paraId="512A5D3D"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12</w:t>
            </w:r>
          </w:p>
        </w:tc>
        <w:tc>
          <w:tcPr>
            <w:tcW w:w="1000" w:type="pct"/>
            <w:vAlign w:val="bottom"/>
          </w:tcPr>
          <w:p w14:paraId="30400E28" w14:textId="75B0517F"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14</w:t>
            </w:r>
          </w:p>
        </w:tc>
        <w:tc>
          <w:tcPr>
            <w:tcW w:w="1000" w:type="pct"/>
          </w:tcPr>
          <w:p w14:paraId="79BCE606" w14:textId="361F416C"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14</w:t>
            </w:r>
          </w:p>
        </w:tc>
      </w:tr>
      <w:tr w:rsidR="00CF669C" w:rsidRPr="000F45BD" w14:paraId="33B6A48F" w14:textId="55D13ACD" w:rsidTr="00CF669C">
        <w:trPr>
          <w:trHeight w:val="255"/>
        </w:trPr>
        <w:tc>
          <w:tcPr>
            <w:tcW w:w="1000" w:type="pct"/>
            <w:hideMark/>
          </w:tcPr>
          <w:p w14:paraId="0ED2BF1B"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Turkey</w:t>
            </w:r>
          </w:p>
        </w:tc>
        <w:tc>
          <w:tcPr>
            <w:tcW w:w="1000" w:type="pct"/>
            <w:noWrap/>
            <w:hideMark/>
          </w:tcPr>
          <w:p w14:paraId="45FA3611"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11</w:t>
            </w:r>
          </w:p>
        </w:tc>
        <w:tc>
          <w:tcPr>
            <w:tcW w:w="1000" w:type="pct"/>
            <w:hideMark/>
          </w:tcPr>
          <w:p w14:paraId="2AF8FA0D"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9</w:t>
            </w:r>
          </w:p>
        </w:tc>
        <w:tc>
          <w:tcPr>
            <w:tcW w:w="1000" w:type="pct"/>
            <w:vAlign w:val="bottom"/>
          </w:tcPr>
          <w:p w14:paraId="58F2A338" w14:textId="038DE5AA"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13</w:t>
            </w:r>
          </w:p>
        </w:tc>
        <w:tc>
          <w:tcPr>
            <w:tcW w:w="1000" w:type="pct"/>
          </w:tcPr>
          <w:p w14:paraId="25FFF30A" w14:textId="681DA612"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12</w:t>
            </w:r>
          </w:p>
        </w:tc>
      </w:tr>
      <w:tr w:rsidR="00CF669C" w:rsidRPr="000F45BD" w14:paraId="612DB32C" w14:textId="0F69B17B" w:rsidTr="00CF669C">
        <w:trPr>
          <w:trHeight w:val="255"/>
        </w:trPr>
        <w:tc>
          <w:tcPr>
            <w:tcW w:w="1000" w:type="pct"/>
            <w:hideMark/>
          </w:tcPr>
          <w:p w14:paraId="00D3C4B7"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Colombia</w:t>
            </w:r>
          </w:p>
        </w:tc>
        <w:tc>
          <w:tcPr>
            <w:tcW w:w="1000" w:type="pct"/>
            <w:noWrap/>
            <w:hideMark/>
          </w:tcPr>
          <w:p w14:paraId="572E4DE3"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12</w:t>
            </w:r>
          </w:p>
        </w:tc>
        <w:tc>
          <w:tcPr>
            <w:tcW w:w="1000" w:type="pct"/>
            <w:hideMark/>
          </w:tcPr>
          <w:p w14:paraId="266EDA27"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11</w:t>
            </w:r>
          </w:p>
        </w:tc>
        <w:tc>
          <w:tcPr>
            <w:tcW w:w="1000" w:type="pct"/>
            <w:vAlign w:val="bottom"/>
          </w:tcPr>
          <w:p w14:paraId="3344EACB" w14:textId="03483109"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12</w:t>
            </w:r>
          </w:p>
        </w:tc>
        <w:tc>
          <w:tcPr>
            <w:tcW w:w="1000" w:type="pct"/>
          </w:tcPr>
          <w:p w14:paraId="28FF3E1B" w14:textId="5478F893"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13</w:t>
            </w:r>
          </w:p>
        </w:tc>
      </w:tr>
      <w:tr w:rsidR="00CF669C" w:rsidRPr="000F45BD" w14:paraId="0E364B63" w14:textId="46703A0C" w:rsidTr="00CF669C">
        <w:trPr>
          <w:trHeight w:val="255"/>
        </w:trPr>
        <w:tc>
          <w:tcPr>
            <w:tcW w:w="1000" w:type="pct"/>
            <w:hideMark/>
          </w:tcPr>
          <w:p w14:paraId="313F911A"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Algeria</w:t>
            </w:r>
          </w:p>
        </w:tc>
        <w:tc>
          <w:tcPr>
            <w:tcW w:w="1000" w:type="pct"/>
            <w:noWrap/>
            <w:hideMark/>
          </w:tcPr>
          <w:p w14:paraId="6EAE5E6C"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13</w:t>
            </w:r>
          </w:p>
        </w:tc>
        <w:tc>
          <w:tcPr>
            <w:tcW w:w="1000" w:type="pct"/>
            <w:hideMark/>
          </w:tcPr>
          <w:p w14:paraId="3269361E"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13</w:t>
            </w:r>
          </w:p>
        </w:tc>
        <w:tc>
          <w:tcPr>
            <w:tcW w:w="1000" w:type="pct"/>
            <w:vAlign w:val="bottom"/>
          </w:tcPr>
          <w:p w14:paraId="1C08AD69" w14:textId="08336275" w:rsidR="00CF669C" w:rsidRPr="000F45BD" w:rsidRDefault="00CF669C" w:rsidP="00D4634E">
            <w:pPr>
              <w:spacing w:before="100" w:beforeAutospacing="1" w:after="100" w:afterAutospacing="1"/>
              <w:jc w:val="right"/>
              <w:rPr>
                <w:rFonts w:asciiTheme="majorHAnsi" w:eastAsia="Times New Roman" w:hAnsiTheme="majorHAnsi" w:cs="Arial"/>
                <w:bCs/>
                <w:iCs/>
                <w:color w:val="000000"/>
                <w:sz w:val="20"/>
                <w:lang w:eastAsia="en-GB"/>
              </w:rPr>
            </w:pPr>
            <w:r w:rsidRPr="000F45BD">
              <w:rPr>
                <w:rFonts w:asciiTheme="majorHAnsi" w:eastAsia="Times New Roman" w:hAnsiTheme="majorHAnsi" w:cs="Arial"/>
                <w:bCs/>
                <w:iCs/>
                <w:color w:val="000000"/>
                <w:sz w:val="20"/>
                <w:lang w:eastAsia="en-GB"/>
              </w:rPr>
              <w:t>15</w:t>
            </w:r>
          </w:p>
        </w:tc>
        <w:tc>
          <w:tcPr>
            <w:tcW w:w="1000" w:type="pct"/>
          </w:tcPr>
          <w:p w14:paraId="53AB858A" w14:textId="3FE4F8CB" w:rsidR="00CF669C" w:rsidRPr="000F45BD" w:rsidRDefault="00CF669C" w:rsidP="00D4634E">
            <w:pPr>
              <w:spacing w:before="100" w:beforeAutospacing="1" w:after="100" w:afterAutospacing="1"/>
              <w:jc w:val="right"/>
              <w:rPr>
                <w:rFonts w:asciiTheme="majorHAnsi" w:eastAsia="Times New Roman" w:hAnsiTheme="majorHAnsi" w:cs="Arial"/>
                <w:b/>
                <w:bCs/>
                <w:i/>
                <w:iCs/>
                <w:color w:val="000000"/>
                <w:sz w:val="20"/>
                <w:lang w:eastAsia="en-GB"/>
              </w:rPr>
            </w:pPr>
            <w:r w:rsidRPr="000F45BD">
              <w:rPr>
                <w:rFonts w:asciiTheme="majorHAnsi" w:eastAsia="Times New Roman" w:hAnsiTheme="majorHAnsi" w:cs="Arial"/>
                <w:b/>
                <w:bCs/>
                <w:i/>
                <w:iCs/>
                <w:color w:val="000000"/>
                <w:sz w:val="20"/>
                <w:lang w:eastAsia="en-GB"/>
              </w:rPr>
              <w:t>N/A</w:t>
            </w:r>
          </w:p>
        </w:tc>
      </w:tr>
      <w:tr w:rsidR="00CF669C" w:rsidRPr="000F45BD" w14:paraId="116E25E5" w14:textId="0B8A07BD" w:rsidTr="00CF669C">
        <w:trPr>
          <w:trHeight w:val="255"/>
        </w:trPr>
        <w:tc>
          <w:tcPr>
            <w:tcW w:w="1000" w:type="pct"/>
            <w:hideMark/>
          </w:tcPr>
          <w:p w14:paraId="53F6DBEC"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Nepal</w:t>
            </w:r>
          </w:p>
        </w:tc>
        <w:tc>
          <w:tcPr>
            <w:tcW w:w="1000" w:type="pct"/>
            <w:noWrap/>
            <w:hideMark/>
          </w:tcPr>
          <w:p w14:paraId="405FC719"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14</w:t>
            </w:r>
          </w:p>
        </w:tc>
        <w:tc>
          <w:tcPr>
            <w:tcW w:w="1000" w:type="pct"/>
            <w:hideMark/>
          </w:tcPr>
          <w:p w14:paraId="3565E62B"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14</w:t>
            </w:r>
          </w:p>
        </w:tc>
        <w:tc>
          <w:tcPr>
            <w:tcW w:w="1000" w:type="pct"/>
            <w:vAlign w:val="bottom"/>
          </w:tcPr>
          <w:p w14:paraId="2D27EEA8" w14:textId="5008F913"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11</w:t>
            </w:r>
          </w:p>
        </w:tc>
        <w:tc>
          <w:tcPr>
            <w:tcW w:w="1000" w:type="pct"/>
          </w:tcPr>
          <w:p w14:paraId="7EAB3599" w14:textId="4E2951F8"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7</w:t>
            </w:r>
          </w:p>
        </w:tc>
      </w:tr>
      <w:tr w:rsidR="00CF669C" w:rsidRPr="000F45BD" w14:paraId="3A77F789" w14:textId="3D3456BC" w:rsidTr="00CF669C">
        <w:trPr>
          <w:trHeight w:val="270"/>
        </w:trPr>
        <w:tc>
          <w:tcPr>
            <w:tcW w:w="1000" w:type="pct"/>
            <w:hideMark/>
          </w:tcPr>
          <w:p w14:paraId="49B0754B" w14:textId="77777777" w:rsidR="00CF669C" w:rsidRPr="000F45BD" w:rsidRDefault="00CF669C" w:rsidP="00D4634E">
            <w:pPr>
              <w:spacing w:before="100" w:beforeAutospacing="1" w:after="100" w:afterAutospacing="1"/>
              <w:jc w:val="both"/>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Ethiopia</w:t>
            </w:r>
          </w:p>
        </w:tc>
        <w:tc>
          <w:tcPr>
            <w:tcW w:w="1000" w:type="pct"/>
            <w:noWrap/>
            <w:hideMark/>
          </w:tcPr>
          <w:p w14:paraId="11909371"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15</w:t>
            </w:r>
          </w:p>
        </w:tc>
        <w:tc>
          <w:tcPr>
            <w:tcW w:w="1000" w:type="pct"/>
            <w:hideMark/>
          </w:tcPr>
          <w:p w14:paraId="72751DAE" w14:textId="7777777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15</w:t>
            </w:r>
          </w:p>
        </w:tc>
        <w:tc>
          <w:tcPr>
            <w:tcW w:w="1000" w:type="pct"/>
            <w:vAlign w:val="bottom"/>
          </w:tcPr>
          <w:p w14:paraId="1A9F6EF7" w14:textId="4D3353F7"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9</w:t>
            </w:r>
          </w:p>
        </w:tc>
        <w:tc>
          <w:tcPr>
            <w:tcW w:w="1000" w:type="pct"/>
          </w:tcPr>
          <w:p w14:paraId="3346D782" w14:textId="223A8936" w:rsidR="00CF669C" w:rsidRPr="000F45BD" w:rsidRDefault="00CF669C" w:rsidP="00D4634E">
            <w:pPr>
              <w:spacing w:before="100" w:beforeAutospacing="1" w:after="100" w:afterAutospacing="1"/>
              <w:jc w:val="right"/>
              <w:rPr>
                <w:rFonts w:asciiTheme="majorHAnsi" w:eastAsia="Times New Roman" w:hAnsiTheme="majorHAnsi" w:cs="Arial"/>
                <w:color w:val="000000"/>
                <w:sz w:val="20"/>
                <w:lang w:eastAsia="en-GB"/>
              </w:rPr>
            </w:pPr>
            <w:r w:rsidRPr="000F45BD">
              <w:rPr>
                <w:rFonts w:asciiTheme="majorHAnsi" w:eastAsia="Times New Roman" w:hAnsiTheme="majorHAnsi" w:cs="Arial"/>
                <w:color w:val="000000"/>
                <w:sz w:val="20"/>
                <w:lang w:eastAsia="en-GB"/>
              </w:rPr>
              <w:t>9</w:t>
            </w:r>
          </w:p>
        </w:tc>
      </w:tr>
    </w:tbl>
    <w:p w14:paraId="0B830943" w14:textId="77777777" w:rsidR="00EB7EC0" w:rsidRPr="000F45BD" w:rsidRDefault="00EB7EC0" w:rsidP="00D4634E">
      <w:pPr>
        <w:spacing w:before="100" w:beforeAutospacing="1" w:after="100" w:afterAutospacing="1" w:line="240" w:lineRule="auto"/>
        <w:rPr>
          <w:rFonts w:asciiTheme="majorHAnsi" w:hAnsiTheme="majorHAnsi"/>
        </w:rPr>
      </w:pPr>
    </w:p>
    <w:p w14:paraId="5EDDC51A" w14:textId="7171C362" w:rsidR="00A6437D" w:rsidRPr="000F45BD" w:rsidRDefault="00A6437D" w:rsidP="00D4634E">
      <w:pPr>
        <w:spacing w:before="100" w:beforeAutospacing="1" w:after="100" w:afterAutospacing="1" w:line="240" w:lineRule="auto"/>
        <w:rPr>
          <w:rFonts w:asciiTheme="majorHAnsi" w:hAnsiTheme="majorHAnsi"/>
          <w:b/>
        </w:rPr>
      </w:pPr>
      <w:r w:rsidRPr="000F45BD">
        <w:rPr>
          <w:rFonts w:asciiTheme="majorHAnsi" w:hAnsiTheme="majorHAnsi"/>
          <w:b/>
        </w:rPr>
        <w:t xml:space="preserve">Chart 2: </w:t>
      </w:r>
      <w:r w:rsidR="005C461E" w:rsidRPr="000F45BD">
        <w:rPr>
          <w:rFonts w:asciiTheme="majorHAnsi" w:hAnsiTheme="majorHAnsi"/>
          <w:b/>
        </w:rPr>
        <w:t>Mean material resources and GDP per capita</w:t>
      </w:r>
    </w:p>
    <w:p w14:paraId="4D19CA46" w14:textId="50981B09" w:rsidR="005C461E" w:rsidRPr="000F45BD" w:rsidRDefault="005C461E" w:rsidP="00D4634E">
      <w:pPr>
        <w:spacing w:before="100" w:beforeAutospacing="1" w:after="100" w:afterAutospacing="1" w:line="240" w:lineRule="auto"/>
        <w:rPr>
          <w:rFonts w:asciiTheme="majorHAnsi" w:hAnsiTheme="majorHAnsi"/>
          <w:b/>
        </w:rPr>
      </w:pPr>
      <w:r w:rsidRPr="000F45BD">
        <w:rPr>
          <w:rFonts w:asciiTheme="majorHAnsi" w:hAnsiTheme="majorHAnsi"/>
          <w:noProof/>
          <w:lang w:eastAsia="en-GB"/>
        </w:rPr>
        <w:lastRenderedPageBreak/>
        <w:drawing>
          <wp:inline distT="0" distB="0" distL="0" distR="0" wp14:anchorId="7651F871" wp14:editId="33A11233">
            <wp:extent cx="5731510" cy="2486104"/>
            <wp:effectExtent l="0" t="0" r="2159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616C48" w14:textId="1883CC5E" w:rsidR="005C461E" w:rsidRPr="000F45BD" w:rsidRDefault="005C461E" w:rsidP="00D4634E">
      <w:pPr>
        <w:spacing w:before="100" w:beforeAutospacing="1" w:after="100" w:afterAutospacing="1" w:line="240" w:lineRule="auto"/>
        <w:rPr>
          <w:rFonts w:asciiTheme="majorHAnsi" w:hAnsiTheme="majorHAnsi"/>
          <w:b/>
        </w:rPr>
      </w:pPr>
      <w:r w:rsidRPr="000F45BD">
        <w:rPr>
          <w:rFonts w:asciiTheme="majorHAnsi" w:hAnsiTheme="majorHAnsi"/>
          <w:b/>
        </w:rPr>
        <w:t xml:space="preserve">Chart 3: Standard deviations of material resources and </w:t>
      </w:r>
      <w:proofErr w:type="spellStart"/>
      <w:r w:rsidRPr="000F45BD">
        <w:rPr>
          <w:rFonts w:asciiTheme="majorHAnsi" w:hAnsiTheme="majorHAnsi"/>
          <w:b/>
        </w:rPr>
        <w:t>gini</w:t>
      </w:r>
      <w:proofErr w:type="spellEnd"/>
      <w:r w:rsidRPr="000F45BD">
        <w:rPr>
          <w:rFonts w:asciiTheme="majorHAnsi" w:hAnsiTheme="majorHAnsi"/>
          <w:b/>
        </w:rPr>
        <w:t xml:space="preserve"> coefficients</w:t>
      </w:r>
    </w:p>
    <w:p w14:paraId="25BED994" w14:textId="23D322A1" w:rsidR="001F0353" w:rsidRPr="000F45BD" w:rsidRDefault="005C461E" w:rsidP="00D4634E">
      <w:pPr>
        <w:spacing w:before="100" w:beforeAutospacing="1" w:after="100" w:afterAutospacing="1" w:line="240" w:lineRule="auto"/>
        <w:rPr>
          <w:rFonts w:asciiTheme="majorHAnsi" w:hAnsiTheme="majorHAnsi"/>
        </w:rPr>
      </w:pPr>
      <w:r w:rsidRPr="000F45BD">
        <w:rPr>
          <w:rFonts w:asciiTheme="majorHAnsi" w:hAnsiTheme="majorHAnsi"/>
          <w:noProof/>
          <w:lang w:eastAsia="en-GB"/>
        </w:rPr>
        <w:drawing>
          <wp:inline distT="0" distB="0" distL="0" distR="0" wp14:anchorId="75E44BEF" wp14:editId="28067140">
            <wp:extent cx="5731510" cy="2505086"/>
            <wp:effectExtent l="0" t="0" r="2159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B6786F" w14:textId="21BF59B7" w:rsidR="00BE06CE" w:rsidRPr="000F45BD" w:rsidRDefault="00BE06CE" w:rsidP="003E05E6">
      <w:pPr>
        <w:spacing w:before="100" w:beforeAutospacing="1" w:after="100" w:afterAutospacing="1" w:line="240" w:lineRule="auto"/>
        <w:jc w:val="both"/>
        <w:rPr>
          <w:rFonts w:asciiTheme="majorHAnsi" w:hAnsiTheme="majorHAnsi"/>
        </w:rPr>
      </w:pPr>
      <w:r w:rsidRPr="000F45BD">
        <w:rPr>
          <w:rFonts w:asciiTheme="majorHAnsi" w:hAnsiTheme="majorHAnsi"/>
        </w:rPr>
        <w:t>Sensitivity of the scale to its constituent parts was tested by creating alternative indices of seven items, dropping one item each time, and comparing these to each other and to the eight-item material resources scale.  On the whole the scale was found to be very robust in terms of mean scores and country ordering, with minimal differences to scores on comparable (i.e. seven-item) scales, and minimal changes in the ordering of countries irrespective of the scale used.</w:t>
      </w:r>
      <w:r w:rsidR="002C1D3C" w:rsidRPr="000F45BD">
        <w:rPr>
          <w:rFonts w:asciiTheme="majorHAnsi" w:hAnsiTheme="majorHAnsi"/>
        </w:rPr>
        <w:t xml:space="preserve">  </w:t>
      </w:r>
      <w:r w:rsidR="00A64418" w:rsidRPr="000F45BD">
        <w:rPr>
          <w:rFonts w:asciiTheme="majorHAnsi" w:hAnsiTheme="majorHAnsi"/>
        </w:rPr>
        <w:t xml:space="preserve">Differences between different countries based on these test scales varied between 5.10 points between Ethiopia (the country with lowest access to material resources across all scales) and Norway (the country with highest access) for the scale dropping ‘internet’, to 5.90 points between the same two countries for the scale dropping ‘clothes’.  Looking within the countries, variation between the different test scales was 0.07 points for Norway, and 0.85 points for Nepal.  </w:t>
      </w:r>
      <w:r w:rsidR="002C1D3C" w:rsidRPr="000F45BD">
        <w:rPr>
          <w:rFonts w:asciiTheme="majorHAnsi" w:hAnsiTheme="majorHAnsi"/>
        </w:rPr>
        <w:t>The individual items, then, do not appear to be exerting undue influence over the rankings and extent of material resource access, overall</w:t>
      </w:r>
      <w:r w:rsidR="00A64418" w:rsidRPr="000F45BD">
        <w:rPr>
          <w:rFonts w:asciiTheme="majorHAnsi" w:hAnsiTheme="majorHAnsi"/>
        </w:rPr>
        <w:t xml:space="preserve"> or in any individual country.  </w:t>
      </w:r>
      <w:r w:rsidR="002C1D3C" w:rsidRPr="000F45BD">
        <w:rPr>
          <w:rFonts w:asciiTheme="majorHAnsi" w:hAnsiTheme="majorHAnsi"/>
        </w:rPr>
        <w:t xml:space="preserve">The mean number of items lacked on the original scale and on the test scales, within each country and overall, </w:t>
      </w:r>
      <w:r w:rsidR="00B23510" w:rsidRPr="000F45BD">
        <w:rPr>
          <w:rFonts w:asciiTheme="majorHAnsi" w:hAnsiTheme="majorHAnsi"/>
        </w:rPr>
        <w:t>are presented in table 7</w:t>
      </w:r>
      <w:r w:rsidR="002C1D3C" w:rsidRPr="000F45BD">
        <w:rPr>
          <w:rFonts w:asciiTheme="majorHAnsi" w:hAnsiTheme="majorHAnsi"/>
        </w:rPr>
        <w:t>.</w:t>
      </w:r>
    </w:p>
    <w:p w14:paraId="038C259A" w14:textId="324E0A50" w:rsidR="00BE06CE" w:rsidRPr="000F45BD" w:rsidRDefault="00B23510" w:rsidP="00D4634E">
      <w:pPr>
        <w:spacing w:before="100" w:beforeAutospacing="1" w:after="100" w:afterAutospacing="1" w:line="240" w:lineRule="auto"/>
        <w:rPr>
          <w:rFonts w:asciiTheme="majorHAnsi" w:hAnsiTheme="majorHAnsi"/>
          <w:b/>
        </w:rPr>
      </w:pPr>
      <w:r w:rsidRPr="000F45BD">
        <w:rPr>
          <w:rFonts w:asciiTheme="majorHAnsi" w:hAnsiTheme="majorHAnsi"/>
          <w:b/>
        </w:rPr>
        <w:t>Table 7</w:t>
      </w:r>
      <w:r w:rsidR="00BE06CE" w:rsidRPr="000F45BD">
        <w:rPr>
          <w:rFonts w:asciiTheme="majorHAnsi" w:hAnsiTheme="majorHAnsi"/>
          <w:b/>
        </w:rPr>
        <w:t xml:space="preserve">: Sensitivity testing of different scales </w:t>
      </w:r>
      <w:r w:rsidR="002C1D3C" w:rsidRPr="000F45BD">
        <w:rPr>
          <w:rFonts w:asciiTheme="majorHAnsi" w:hAnsiTheme="majorHAnsi"/>
          <w:b/>
        </w:rPr>
        <w:t>based on dropping each item in turn</w:t>
      </w:r>
    </w:p>
    <w:tbl>
      <w:tblPr>
        <w:tblW w:w="9600" w:type="dxa"/>
        <w:tblInd w:w="93" w:type="dxa"/>
        <w:tblLook w:val="04A0" w:firstRow="1" w:lastRow="0" w:firstColumn="1" w:lastColumn="0" w:noHBand="0" w:noVBand="1"/>
      </w:tblPr>
      <w:tblGrid>
        <w:gridCol w:w="1025"/>
        <w:gridCol w:w="960"/>
        <w:gridCol w:w="960"/>
        <w:gridCol w:w="960"/>
        <w:gridCol w:w="960"/>
        <w:gridCol w:w="960"/>
        <w:gridCol w:w="960"/>
        <w:gridCol w:w="1003"/>
        <w:gridCol w:w="1142"/>
        <w:gridCol w:w="960"/>
      </w:tblGrid>
      <w:tr w:rsidR="00BE06CE" w:rsidRPr="000F45BD" w14:paraId="1C2E424C" w14:textId="77777777" w:rsidTr="00BE06C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6DD03"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C9A7EA" w14:textId="70537EDB" w:rsidR="00BE06CE" w:rsidRPr="000F45BD" w:rsidRDefault="002C1D3C"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 xml:space="preserve">Original 8-item </w:t>
            </w:r>
            <w:r w:rsidRPr="000F45BD">
              <w:rPr>
                <w:rFonts w:asciiTheme="majorHAnsi" w:eastAsia="Times New Roman" w:hAnsiTheme="majorHAnsi" w:cs="Arial"/>
                <w:color w:val="000000"/>
                <w:sz w:val="20"/>
                <w:szCs w:val="20"/>
                <w:lang w:eastAsia="en-GB"/>
              </w:rPr>
              <w:lastRenderedPageBreak/>
              <w:t>scale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C3B7E2B"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lastRenderedPageBreak/>
              <w:t>No 'music'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1642060"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No 'car'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93AB3F4"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No 'books'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167081"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No 'room'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E6EF0A"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No 'mobile'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6D14F2"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No 'internet'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CC9583D"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No 'computer'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4AEB35"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No 'clothes'</w:t>
            </w:r>
          </w:p>
        </w:tc>
      </w:tr>
      <w:tr w:rsidR="00BE06CE" w:rsidRPr="000F45BD" w14:paraId="551B9EB3"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B222C5"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lastRenderedPageBreak/>
              <w:t>Norway</w:t>
            </w:r>
          </w:p>
        </w:tc>
        <w:tc>
          <w:tcPr>
            <w:tcW w:w="960" w:type="dxa"/>
            <w:tcBorders>
              <w:top w:val="single" w:sz="4" w:space="0" w:color="auto"/>
              <w:left w:val="single" w:sz="4" w:space="0" w:color="auto"/>
              <w:bottom w:val="single" w:sz="4" w:space="0" w:color="auto"/>
              <w:right w:val="single" w:sz="4" w:space="0" w:color="auto"/>
            </w:tcBorders>
            <w:shd w:val="clear" w:color="000000" w:fill="6DC17B"/>
            <w:noWrap/>
            <w:vAlign w:val="bottom"/>
            <w:hideMark/>
          </w:tcPr>
          <w:p w14:paraId="0DECAC2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0.20</w:t>
            </w:r>
          </w:p>
        </w:tc>
        <w:tc>
          <w:tcPr>
            <w:tcW w:w="960" w:type="dxa"/>
            <w:tcBorders>
              <w:top w:val="single" w:sz="4" w:space="0" w:color="auto"/>
              <w:left w:val="single" w:sz="4" w:space="0" w:color="auto"/>
              <w:bottom w:val="single" w:sz="4" w:space="0" w:color="auto"/>
              <w:right w:val="single" w:sz="4" w:space="0" w:color="auto"/>
            </w:tcBorders>
            <w:shd w:val="clear" w:color="000000" w:fill="6CC07B"/>
            <w:noWrap/>
            <w:vAlign w:val="bottom"/>
            <w:hideMark/>
          </w:tcPr>
          <w:p w14:paraId="4B94D358"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0.19</w:t>
            </w:r>
          </w:p>
        </w:tc>
        <w:tc>
          <w:tcPr>
            <w:tcW w:w="960" w:type="dxa"/>
            <w:tcBorders>
              <w:top w:val="single" w:sz="4" w:space="0" w:color="auto"/>
              <w:left w:val="single" w:sz="4" w:space="0" w:color="auto"/>
              <w:bottom w:val="single" w:sz="4" w:space="0" w:color="auto"/>
              <w:right w:val="single" w:sz="4" w:space="0" w:color="auto"/>
            </w:tcBorders>
            <w:shd w:val="clear" w:color="000000" w:fill="68BF7B"/>
            <w:noWrap/>
            <w:vAlign w:val="bottom"/>
            <w:hideMark/>
          </w:tcPr>
          <w:p w14:paraId="277CB0E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0.17</w:t>
            </w:r>
          </w:p>
        </w:tc>
        <w:tc>
          <w:tcPr>
            <w:tcW w:w="960" w:type="dxa"/>
            <w:tcBorders>
              <w:top w:val="single" w:sz="4" w:space="0" w:color="auto"/>
              <w:left w:val="single" w:sz="4" w:space="0" w:color="auto"/>
              <w:bottom w:val="single" w:sz="4" w:space="0" w:color="auto"/>
              <w:right w:val="single" w:sz="4" w:space="0" w:color="auto"/>
            </w:tcBorders>
            <w:shd w:val="clear" w:color="000000" w:fill="68BF7B"/>
            <w:noWrap/>
            <w:vAlign w:val="bottom"/>
            <w:hideMark/>
          </w:tcPr>
          <w:p w14:paraId="759AA6B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0.17</w:t>
            </w:r>
          </w:p>
        </w:tc>
        <w:tc>
          <w:tcPr>
            <w:tcW w:w="960" w:type="dxa"/>
            <w:tcBorders>
              <w:top w:val="single" w:sz="4" w:space="0" w:color="auto"/>
              <w:left w:val="single" w:sz="4" w:space="0" w:color="auto"/>
              <w:bottom w:val="single" w:sz="4" w:space="0" w:color="auto"/>
              <w:right w:val="single" w:sz="4" w:space="0" w:color="auto"/>
            </w:tcBorders>
            <w:shd w:val="clear" w:color="000000" w:fill="63BE7B"/>
            <w:noWrap/>
            <w:vAlign w:val="bottom"/>
            <w:hideMark/>
          </w:tcPr>
          <w:p w14:paraId="48FB9C4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0.13</w:t>
            </w:r>
          </w:p>
        </w:tc>
        <w:tc>
          <w:tcPr>
            <w:tcW w:w="960" w:type="dxa"/>
            <w:tcBorders>
              <w:top w:val="single" w:sz="4" w:space="0" w:color="auto"/>
              <w:left w:val="single" w:sz="4" w:space="0" w:color="auto"/>
              <w:bottom w:val="single" w:sz="4" w:space="0" w:color="auto"/>
              <w:right w:val="single" w:sz="4" w:space="0" w:color="auto"/>
            </w:tcBorders>
            <w:shd w:val="clear" w:color="000000" w:fill="6AC07B"/>
            <w:noWrap/>
            <w:vAlign w:val="bottom"/>
            <w:hideMark/>
          </w:tcPr>
          <w:p w14:paraId="77A7B7F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0.18</w:t>
            </w:r>
          </w:p>
        </w:tc>
        <w:tc>
          <w:tcPr>
            <w:tcW w:w="960" w:type="dxa"/>
            <w:tcBorders>
              <w:top w:val="single" w:sz="4" w:space="0" w:color="auto"/>
              <w:left w:val="single" w:sz="4" w:space="0" w:color="auto"/>
              <w:bottom w:val="single" w:sz="4" w:space="0" w:color="auto"/>
              <w:right w:val="single" w:sz="4" w:space="0" w:color="auto"/>
            </w:tcBorders>
            <w:shd w:val="clear" w:color="000000" w:fill="6CC07B"/>
            <w:noWrap/>
            <w:vAlign w:val="bottom"/>
            <w:hideMark/>
          </w:tcPr>
          <w:p w14:paraId="784A87C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0.20</w:t>
            </w:r>
          </w:p>
        </w:tc>
        <w:tc>
          <w:tcPr>
            <w:tcW w:w="960" w:type="dxa"/>
            <w:tcBorders>
              <w:top w:val="single" w:sz="4" w:space="0" w:color="auto"/>
              <w:left w:val="single" w:sz="4" w:space="0" w:color="auto"/>
              <w:bottom w:val="single" w:sz="4" w:space="0" w:color="auto"/>
              <w:right w:val="single" w:sz="4" w:space="0" w:color="auto"/>
            </w:tcBorders>
            <w:shd w:val="clear" w:color="000000" w:fill="6AC07B"/>
            <w:noWrap/>
            <w:vAlign w:val="bottom"/>
            <w:hideMark/>
          </w:tcPr>
          <w:p w14:paraId="5E48BF7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0.18</w:t>
            </w:r>
          </w:p>
        </w:tc>
        <w:tc>
          <w:tcPr>
            <w:tcW w:w="960" w:type="dxa"/>
            <w:tcBorders>
              <w:top w:val="single" w:sz="4" w:space="0" w:color="auto"/>
              <w:left w:val="single" w:sz="4" w:space="0" w:color="auto"/>
              <w:bottom w:val="single" w:sz="4" w:space="0" w:color="auto"/>
              <w:right w:val="single" w:sz="4" w:space="0" w:color="auto"/>
            </w:tcBorders>
            <w:shd w:val="clear" w:color="000000" w:fill="6DC17B"/>
            <w:noWrap/>
            <w:vAlign w:val="bottom"/>
            <w:hideMark/>
          </w:tcPr>
          <w:p w14:paraId="27E69CD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0.20</w:t>
            </w:r>
          </w:p>
        </w:tc>
      </w:tr>
      <w:tr w:rsidR="00BE06CE" w:rsidRPr="000F45BD" w14:paraId="242114F4"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A41484"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S Korea</w:t>
            </w:r>
          </w:p>
        </w:tc>
        <w:tc>
          <w:tcPr>
            <w:tcW w:w="960" w:type="dxa"/>
            <w:tcBorders>
              <w:top w:val="single" w:sz="4" w:space="0" w:color="auto"/>
              <w:left w:val="single" w:sz="4" w:space="0" w:color="auto"/>
              <w:bottom w:val="single" w:sz="4" w:space="0" w:color="auto"/>
              <w:right w:val="single" w:sz="4" w:space="0" w:color="auto"/>
            </w:tcBorders>
            <w:shd w:val="clear" w:color="000000" w:fill="9BCE7E"/>
            <w:noWrap/>
            <w:vAlign w:val="bottom"/>
            <w:hideMark/>
          </w:tcPr>
          <w:p w14:paraId="74B3DD7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0.49</w:t>
            </w:r>
          </w:p>
        </w:tc>
        <w:tc>
          <w:tcPr>
            <w:tcW w:w="960" w:type="dxa"/>
            <w:tcBorders>
              <w:top w:val="single" w:sz="4" w:space="0" w:color="auto"/>
              <w:left w:val="single" w:sz="4" w:space="0" w:color="auto"/>
              <w:bottom w:val="single" w:sz="4" w:space="0" w:color="auto"/>
              <w:right w:val="single" w:sz="4" w:space="0" w:color="auto"/>
            </w:tcBorders>
            <w:shd w:val="clear" w:color="000000" w:fill="8CCA7D"/>
            <w:noWrap/>
            <w:vAlign w:val="bottom"/>
            <w:hideMark/>
          </w:tcPr>
          <w:p w14:paraId="33445CC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0.40</w:t>
            </w:r>
          </w:p>
        </w:tc>
        <w:tc>
          <w:tcPr>
            <w:tcW w:w="960" w:type="dxa"/>
            <w:tcBorders>
              <w:top w:val="single" w:sz="4" w:space="0" w:color="auto"/>
              <w:left w:val="single" w:sz="4" w:space="0" w:color="auto"/>
              <w:bottom w:val="single" w:sz="4" w:space="0" w:color="auto"/>
              <w:right w:val="single" w:sz="4" w:space="0" w:color="auto"/>
            </w:tcBorders>
            <w:shd w:val="clear" w:color="000000" w:fill="90CA7D"/>
            <w:noWrap/>
            <w:vAlign w:val="bottom"/>
            <w:hideMark/>
          </w:tcPr>
          <w:p w14:paraId="60A7EE78"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0.42</w:t>
            </w:r>
          </w:p>
        </w:tc>
        <w:tc>
          <w:tcPr>
            <w:tcW w:w="960" w:type="dxa"/>
            <w:tcBorders>
              <w:top w:val="single" w:sz="4" w:space="0" w:color="auto"/>
              <w:left w:val="single" w:sz="4" w:space="0" w:color="auto"/>
              <w:bottom w:val="single" w:sz="4" w:space="0" w:color="auto"/>
              <w:right w:val="single" w:sz="4" w:space="0" w:color="auto"/>
            </w:tcBorders>
            <w:shd w:val="clear" w:color="000000" w:fill="95CC7D"/>
            <w:noWrap/>
            <w:vAlign w:val="bottom"/>
            <w:hideMark/>
          </w:tcPr>
          <w:p w14:paraId="257469E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0.45</w:t>
            </w:r>
          </w:p>
        </w:tc>
        <w:tc>
          <w:tcPr>
            <w:tcW w:w="960" w:type="dxa"/>
            <w:tcBorders>
              <w:top w:val="single" w:sz="4" w:space="0" w:color="auto"/>
              <w:left w:val="single" w:sz="4" w:space="0" w:color="auto"/>
              <w:bottom w:val="single" w:sz="4" w:space="0" w:color="auto"/>
              <w:right w:val="single" w:sz="4" w:space="0" w:color="auto"/>
            </w:tcBorders>
            <w:shd w:val="clear" w:color="000000" w:fill="8AC97D"/>
            <w:noWrap/>
            <w:vAlign w:val="bottom"/>
            <w:hideMark/>
          </w:tcPr>
          <w:p w14:paraId="7E109E5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0.38</w:t>
            </w:r>
          </w:p>
        </w:tc>
        <w:tc>
          <w:tcPr>
            <w:tcW w:w="960" w:type="dxa"/>
            <w:tcBorders>
              <w:top w:val="single" w:sz="4" w:space="0" w:color="auto"/>
              <w:left w:val="single" w:sz="4" w:space="0" w:color="auto"/>
              <w:bottom w:val="single" w:sz="4" w:space="0" w:color="auto"/>
              <w:right w:val="single" w:sz="4" w:space="0" w:color="auto"/>
            </w:tcBorders>
            <w:shd w:val="clear" w:color="000000" w:fill="8BC97D"/>
            <w:noWrap/>
            <w:vAlign w:val="bottom"/>
            <w:hideMark/>
          </w:tcPr>
          <w:p w14:paraId="5E98138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0.39</w:t>
            </w:r>
          </w:p>
        </w:tc>
        <w:tc>
          <w:tcPr>
            <w:tcW w:w="960" w:type="dxa"/>
            <w:tcBorders>
              <w:top w:val="single" w:sz="4" w:space="0" w:color="auto"/>
              <w:left w:val="single" w:sz="4" w:space="0" w:color="auto"/>
              <w:bottom w:val="single" w:sz="4" w:space="0" w:color="auto"/>
              <w:right w:val="single" w:sz="4" w:space="0" w:color="auto"/>
            </w:tcBorders>
            <w:shd w:val="clear" w:color="000000" w:fill="96CC7D"/>
            <w:noWrap/>
            <w:vAlign w:val="bottom"/>
            <w:hideMark/>
          </w:tcPr>
          <w:p w14:paraId="0B31EF4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0.46</w:t>
            </w:r>
          </w:p>
        </w:tc>
        <w:tc>
          <w:tcPr>
            <w:tcW w:w="960" w:type="dxa"/>
            <w:tcBorders>
              <w:top w:val="single" w:sz="4" w:space="0" w:color="auto"/>
              <w:left w:val="single" w:sz="4" w:space="0" w:color="auto"/>
              <w:bottom w:val="single" w:sz="4" w:space="0" w:color="auto"/>
              <w:right w:val="single" w:sz="4" w:space="0" w:color="auto"/>
            </w:tcBorders>
            <w:shd w:val="clear" w:color="000000" w:fill="95CC7D"/>
            <w:noWrap/>
            <w:vAlign w:val="bottom"/>
            <w:hideMark/>
          </w:tcPr>
          <w:p w14:paraId="15B5F48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0.45</w:t>
            </w:r>
          </w:p>
        </w:tc>
        <w:tc>
          <w:tcPr>
            <w:tcW w:w="960" w:type="dxa"/>
            <w:tcBorders>
              <w:top w:val="single" w:sz="4" w:space="0" w:color="auto"/>
              <w:left w:val="single" w:sz="4" w:space="0" w:color="auto"/>
              <w:bottom w:val="single" w:sz="4" w:space="0" w:color="auto"/>
              <w:right w:val="single" w:sz="4" w:space="0" w:color="auto"/>
            </w:tcBorders>
            <w:shd w:val="clear" w:color="000000" w:fill="9ACD7E"/>
            <w:noWrap/>
            <w:vAlign w:val="bottom"/>
            <w:hideMark/>
          </w:tcPr>
          <w:p w14:paraId="0071ADB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0.48</w:t>
            </w:r>
          </w:p>
        </w:tc>
      </w:tr>
      <w:tr w:rsidR="00BE06CE" w:rsidRPr="000F45BD" w14:paraId="44B6B548"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2D8A38"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Poland</w:t>
            </w:r>
          </w:p>
        </w:tc>
        <w:tc>
          <w:tcPr>
            <w:tcW w:w="960" w:type="dxa"/>
            <w:tcBorders>
              <w:top w:val="single" w:sz="4" w:space="0" w:color="auto"/>
              <w:left w:val="single" w:sz="4" w:space="0" w:color="auto"/>
              <w:bottom w:val="single" w:sz="4" w:space="0" w:color="auto"/>
              <w:right w:val="single" w:sz="4" w:space="0" w:color="auto"/>
            </w:tcBorders>
            <w:shd w:val="clear" w:color="000000" w:fill="A3D07E"/>
            <w:noWrap/>
            <w:vAlign w:val="bottom"/>
            <w:hideMark/>
          </w:tcPr>
          <w:p w14:paraId="021C4074"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0.54</w:t>
            </w:r>
          </w:p>
        </w:tc>
        <w:tc>
          <w:tcPr>
            <w:tcW w:w="960" w:type="dxa"/>
            <w:tcBorders>
              <w:top w:val="single" w:sz="4" w:space="0" w:color="auto"/>
              <w:left w:val="single" w:sz="4" w:space="0" w:color="auto"/>
              <w:bottom w:val="single" w:sz="4" w:space="0" w:color="auto"/>
              <w:right w:val="single" w:sz="4" w:space="0" w:color="auto"/>
            </w:tcBorders>
            <w:shd w:val="clear" w:color="000000" w:fill="94CC7D"/>
            <w:noWrap/>
            <w:vAlign w:val="bottom"/>
            <w:hideMark/>
          </w:tcPr>
          <w:p w14:paraId="10E1638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0.45</w:t>
            </w:r>
          </w:p>
        </w:tc>
        <w:tc>
          <w:tcPr>
            <w:tcW w:w="960" w:type="dxa"/>
            <w:tcBorders>
              <w:top w:val="single" w:sz="4" w:space="0" w:color="auto"/>
              <w:left w:val="single" w:sz="4" w:space="0" w:color="auto"/>
              <w:bottom w:val="single" w:sz="4" w:space="0" w:color="auto"/>
              <w:right w:val="single" w:sz="4" w:space="0" w:color="auto"/>
            </w:tcBorders>
            <w:shd w:val="clear" w:color="000000" w:fill="92CB7D"/>
            <w:noWrap/>
            <w:vAlign w:val="bottom"/>
            <w:hideMark/>
          </w:tcPr>
          <w:p w14:paraId="31B3981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0.43</w:t>
            </w:r>
          </w:p>
        </w:tc>
        <w:tc>
          <w:tcPr>
            <w:tcW w:w="960" w:type="dxa"/>
            <w:tcBorders>
              <w:top w:val="single" w:sz="4" w:space="0" w:color="auto"/>
              <w:left w:val="single" w:sz="4" w:space="0" w:color="auto"/>
              <w:bottom w:val="single" w:sz="4" w:space="0" w:color="auto"/>
              <w:right w:val="single" w:sz="4" w:space="0" w:color="auto"/>
            </w:tcBorders>
            <w:shd w:val="clear" w:color="000000" w:fill="8DCA7D"/>
            <w:noWrap/>
            <w:vAlign w:val="bottom"/>
            <w:hideMark/>
          </w:tcPr>
          <w:p w14:paraId="51DE3DA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0.40</w:t>
            </w:r>
          </w:p>
        </w:tc>
        <w:tc>
          <w:tcPr>
            <w:tcW w:w="960" w:type="dxa"/>
            <w:tcBorders>
              <w:top w:val="single" w:sz="4" w:space="0" w:color="auto"/>
              <w:left w:val="single" w:sz="4" w:space="0" w:color="auto"/>
              <w:bottom w:val="single" w:sz="4" w:space="0" w:color="auto"/>
              <w:right w:val="single" w:sz="4" w:space="0" w:color="auto"/>
            </w:tcBorders>
            <w:shd w:val="clear" w:color="000000" w:fill="96CC7D"/>
            <w:noWrap/>
            <w:vAlign w:val="bottom"/>
            <w:hideMark/>
          </w:tcPr>
          <w:p w14:paraId="55EFED98"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0.46</w:t>
            </w:r>
          </w:p>
        </w:tc>
        <w:tc>
          <w:tcPr>
            <w:tcW w:w="960" w:type="dxa"/>
            <w:tcBorders>
              <w:top w:val="single" w:sz="4" w:space="0" w:color="auto"/>
              <w:left w:val="single" w:sz="4" w:space="0" w:color="auto"/>
              <w:bottom w:val="single" w:sz="4" w:space="0" w:color="auto"/>
              <w:right w:val="single" w:sz="4" w:space="0" w:color="auto"/>
            </w:tcBorders>
            <w:shd w:val="clear" w:color="000000" w:fill="9ACE7E"/>
            <w:noWrap/>
            <w:vAlign w:val="bottom"/>
            <w:hideMark/>
          </w:tcPr>
          <w:p w14:paraId="707AD21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0.49</w:t>
            </w:r>
          </w:p>
        </w:tc>
        <w:tc>
          <w:tcPr>
            <w:tcW w:w="960" w:type="dxa"/>
            <w:tcBorders>
              <w:top w:val="single" w:sz="4" w:space="0" w:color="auto"/>
              <w:left w:val="single" w:sz="4" w:space="0" w:color="auto"/>
              <w:bottom w:val="single" w:sz="4" w:space="0" w:color="auto"/>
              <w:right w:val="single" w:sz="4" w:space="0" w:color="auto"/>
            </w:tcBorders>
            <w:shd w:val="clear" w:color="000000" w:fill="9DCE7E"/>
            <w:noWrap/>
            <w:vAlign w:val="bottom"/>
            <w:hideMark/>
          </w:tcPr>
          <w:p w14:paraId="32DB599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0.50</w:t>
            </w:r>
          </w:p>
        </w:tc>
        <w:tc>
          <w:tcPr>
            <w:tcW w:w="960" w:type="dxa"/>
            <w:tcBorders>
              <w:top w:val="single" w:sz="4" w:space="0" w:color="auto"/>
              <w:left w:val="single" w:sz="4" w:space="0" w:color="auto"/>
              <w:bottom w:val="single" w:sz="4" w:space="0" w:color="auto"/>
              <w:right w:val="single" w:sz="4" w:space="0" w:color="auto"/>
            </w:tcBorders>
            <w:shd w:val="clear" w:color="000000" w:fill="9FCF7E"/>
            <w:noWrap/>
            <w:vAlign w:val="bottom"/>
            <w:hideMark/>
          </w:tcPr>
          <w:p w14:paraId="24097CA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0.52</w:t>
            </w:r>
          </w:p>
        </w:tc>
        <w:tc>
          <w:tcPr>
            <w:tcW w:w="960" w:type="dxa"/>
            <w:tcBorders>
              <w:top w:val="single" w:sz="4" w:space="0" w:color="auto"/>
              <w:left w:val="single" w:sz="4" w:space="0" w:color="auto"/>
              <w:bottom w:val="single" w:sz="4" w:space="0" w:color="auto"/>
              <w:right w:val="single" w:sz="4" w:space="0" w:color="auto"/>
            </w:tcBorders>
            <w:shd w:val="clear" w:color="000000" w:fill="A1D07E"/>
            <w:noWrap/>
            <w:vAlign w:val="bottom"/>
            <w:hideMark/>
          </w:tcPr>
          <w:p w14:paraId="1AFF06D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0.53</w:t>
            </w:r>
          </w:p>
        </w:tc>
      </w:tr>
      <w:tr w:rsidR="00BE06CE" w:rsidRPr="000F45BD" w14:paraId="0CD33652"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556E10"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England</w:t>
            </w:r>
          </w:p>
        </w:tc>
        <w:tc>
          <w:tcPr>
            <w:tcW w:w="960" w:type="dxa"/>
            <w:tcBorders>
              <w:top w:val="single" w:sz="4" w:space="0" w:color="auto"/>
              <w:left w:val="single" w:sz="4" w:space="0" w:color="auto"/>
              <w:bottom w:val="single" w:sz="4" w:space="0" w:color="auto"/>
              <w:right w:val="single" w:sz="4" w:space="0" w:color="auto"/>
            </w:tcBorders>
            <w:shd w:val="clear" w:color="000000" w:fill="B6D67F"/>
            <w:noWrap/>
            <w:vAlign w:val="bottom"/>
            <w:hideMark/>
          </w:tcPr>
          <w:p w14:paraId="586C2CA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0.66</w:t>
            </w:r>
          </w:p>
        </w:tc>
        <w:tc>
          <w:tcPr>
            <w:tcW w:w="960" w:type="dxa"/>
            <w:tcBorders>
              <w:top w:val="single" w:sz="4" w:space="0" w:color="auto"/>
              <w:left w:val="single" w:sz="4" w:space="0" w:color="auto"/>
              <w:bottom w:val="single" w:sz="4" w:space="0" w:color="auto"/>
              <w:right w:val="single" w:sz="4" w:space="0" w:color="auto"/>
            </w:tcBorders>
            <w:shd w:val="clear" w:color="000000" w:fill="AFD37F"/>
            <w:noWrap/>
            <w:vAlign w:val="bottom"/>
            <w:hideMark/>
          </w:tcPr>
          <w:p w14:paraId="48FA28D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0.61</w:t>
            </w:r>
          </w:p>
        </w:tc>
        <w:tc>
          <w:tcPr>
            <w:tcW w:w="960" w:type="dxa"/>
            <w:tcBorders>
              <w:top w:val="single" w:sz="4" w:space="0" w:color="auto"/>
              <w:left w:val="single" w:sz="4" w:space="0" w:color="auto"/>
              <w:bottom w:val="single" w:sz="4" w:space="0" w:color="auto"/>
              <w:right w:val="single" w:sz="4" w:space="0" w:color="auto"/>
            </w:tcBorders>
            <w:shd w:val="clear" w:color="000000" w:fill="A5D17E"/>
            <w:noWrap/>
            <w:vAlign w:val="bottom"/>
            <w:hideMark/>
          </w:tcPr>
          <w:p w14:paraId="3FFE551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0.56</w:t>
            </w:r>
          </w:p>
        </w:tc>
        <w:tc>
          <w:tcPr>
            <w:tcW w:w="960" w:type="dxa"/>
            <w:tcBorders>
              <w:top w:val="single" w:sz="4" w:space="0" w:color="auto"/>
              <w:left w:val="single" w:sz="4" w:space="0" w:color="auto"/>
              <w:bottom w:val="single" w:sz="4" w:space="0" w:color="auto"/>
              <w:right w:val="single" w:sz="4" w:space="0" w:color="auto"/>
            </w:tcBorders>
            <w:shd w:val="clear" w:color="000000" w:fill="A8D27F"/>
            <w:noWrap/>
            <w:vAlign w:val="bottom"/>
            <w:hideMark/>
          </w:tcPr>
          <w:p w14:paraId="1B142788"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0.57</w:t>
            </w:r>
          </w:p>
        </w:tc>
        <w:tc>
          <w:tcPr>
            <w:tcW w:w="960" w:type="dxa"/>
            <w:tcBorders>
              <w:top w:val="single" w:sz="4" w:space="0" w:color="auto"/>
              <w:left w:val="single" w:sz="4" w:space="0" w:color="auto"/>
              <w:bottom w:val="single" w:sz="4" w:space="0" w:color="auto"/>
              <w:right w:val="single" w:sz="4" w:space="0" w:color="auto"/>
            </w:tcBorders>
            <w:shd w:val="clear" w:color="000000" w:fill="9BCE7E"/>
            <w:noWrap/>
            <w:vAlign w:val="bottom"/>
            <w:hideMark/>
          </w:tcPr>
          <w:p w14:paraId="6F3D58C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0.49</w:t>
            </w:r>
          </w:p>
        </w:tc>
        <w:tc>
          <w:tcPr>
            <w:tcW w:w="960" w:type="dxa"/>
            <w:tcBorders>
              <w:top w:val="single" w:sz="4" w:space="0" w:color="auto"/>
              <w:left w:val="single" w:sz="4" w:space="0" w:color="auto"/>
              <w:bottom w:val="single" w:sz="4" w:space="0" w:color="auto"/>
              <w:right w:val="single" w:sz="4" w:space="0" w:color="auto"/>
            </w:tcBorders>
            <w:shd w:val="clear" w:color="000000" w:fill="9ECF7E"/>
            <w:noWrap/>
            <w:vAlign w:val="bottom"/>
            <w:hideMark/>
          </w:tcPr>
          <w:p w14:paraId="1F82E7D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0.51</w:t>
            </w:r>
          </w:p>
        </w:tc>
        <w:tc>
          <w:tcPr>
            <w:tcW w:w="960" w:type="dxa"/>
            <w:tcBorders>
              <w:top w:val="single" w:sz="4" w:space="0" w:color="auto"/>
              <w:left w:val="single" w:sz="4" w:space="0" w:color="auto"/>
              <w:bottom w:val="single" w:sz="4" w:space="0" w:color="auto"/>
              <w:right w:val="single" w:sz="4" w:space="0" w:color="auto"/>
            </w:tcBorders>
            <w:shd w:val="clear" w:color="000000" w:fill="B1D47F"/>
            <w:noWrap/>
            <w:vAlign w:val="bottom"/>
            <w:hideMark/>
          </w:tcPr>
          <w:p w14:paraId="7C04E32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0.63</w:t>
            </w:r>
          </w:p>
        </w:tc>
        <w:tc>
          <w:tcPr>
            <w:tcW w:w="960" w:type="dxa"/>
            <w:tcBorders>
              <w:top w:val="single" w:sz="4" w:space="0" w:color="auto"/>
              <w:left w:val="single" w:sz="4" w:space="0" w:color="auto"/>
              <w:bottom w:val="single" w:sz="4" w:space="0" w:color="auto"/>
              <w:right w:val="single" w:sz="4" w:space="0" w:color="auto"/>
            </w:tcBorders>
            <w:shd w:val="clear" w:color="000000" w:fill="AED37F"/>
            <w:noWrap/>
            <w:vAlign w:val="bottom"/>
            <w:hideMark/>
          </w:tcPr>
          <w:p w14:paraId="628BCE1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0.61</w:t>
            </w:r>
          </w:p>
        </w:tc>
        <w:tc>
          <w:tcPr>
            <w:tcW w:w="960" w:type="dxa"/>
            <w:tcBorders>
              <w:top w:val="single" w:sz="4" w:space="0" w:color="auto"/>
              <w:left w:val="single" w:sz="4" w:space="0" w:color="auto"/>
              <w:bottom w:val="single" w:sz="4" w:space="0" w:color="auto"/>
              <w:right w:val="single" w:sz="4" w:space="0" w:color="auto"/>
            </w:tcBorders>
            <w:shd w:val="clear" w:color="000000" w:fill="B6D67F"/>
            <w:noWrap/>
            <w:vAlign w:val="bottom"/>
            <w:hideMark/>
          </w:tcPr>
          <w:p w14:paraId="286D86A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0.66</w:t>
            </w:r>
          </w:p>
        </w:tc>
      </w:tr>
      <w:tr w:rsidR="00BE06CE" w:rsidRPr="000F45BD" w14:paraId="22E1A6EF"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D79B1E"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Estonia</w:t>
            </w:r>
          </w:p>
        </w:tc>
        <w:tc>
          <w:tcPr>
            <w:tcW w:w="960" w:type="dxa"/>
            <w:tcBorders>
              <w:top w:val="single" w:sz="4" w:space="0" w:color="auto"/>
              <w:left w:val="single" w:sz="4" w:space="0" w:color="auto"/>
              <w:bottom w:val="single" w:sz="4" w:space="0" w:color="auto"/>
              <w:right w:val="single" w:sz="4" w:space="0" w:color="auto"/>
            </w:tcBorders>
            <w:shd w:val="clear" w:color="000000" w:fill="B7D67F"/>
            <w:noWrap/>
            <w:vAlign w:val="bottom"/>
            <w:hideMark/>
          </w:tcPr>
          <w:p w14:paraId="736691A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0.67</w:t>
            </w:r>
          </w:p>
        </w:tc>
        <w:tc>
          <w:tcPr>
            <w:tcW w:w="960" w:type="dxa"/>
            <w:tcBorders>
              <w:top w:val="single" w:sz="4" w:space="0" w:color="auto"/>
              <w:left w:val="single" w:sz="4" w:space="0" w:color="auto"/>
              <w:bottom w:val="single" w:sz="4" w:space="0" w:color="auto"/>
              <w:right w:val="single" w:sz="4" w:space="0" w:color="auto"/>
            </w:tcBorders>
            <w:shd w:val="clear" w:color="000000" w:fill="A4D17E"/>
            <w:noWrap/>
            <w:vAlign w:val="bottom"/>
            <w:hideMark/>
          </w:tcPr>
          <w:p w14:paraId="40EDD57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0.55</w:t>
            </w:r>
          </w:p>
        </w:tc>
        <w:tc>
          <w:tcPr>
            <w:tcW w:w="960" w:type="dxa"/>
            <w:tcBorders>
              <w:top w:val="single" w:sz="4" w:space="0" w:color="auto"/>
              <w:left w:val="single" w:sz="4" w:space="0" w:color="auto"/>
              <w:bottom w:val="single" w:sz="4" w:space="0" w:color="auto"/>
              <w:right w:val="single" w:sz="4" w:space="0" w:color="auto"/>
            </w:tcBorders>
            <w:shd w:val="clear" w:color="000000" w:fill="A1D07E"/>
            <w:noWrap/>
            <w:vAlign w:val="bottom"/>
            <w:hideMark/>
          </w:tcPr>
          <w:p w14:paraId="7F23C398"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0.53</w:t>
            </w:r>
          </w:p>
        </w:tc>
        <w:tc>
          <w:tcPr>
            <w:tcW w:w="960" w:type="dxa"/>
            <w:tcBorders>
              <w:top w:val="single" w:sz="4" w:space="0" w:color="auto"/>
              <w:left w:val="single" w:sz="4" w:space="0" w:color="auto"/>
              <w:bottom w:val="single" w:sz="4" w:space="0" w:color="auto"/>
              <w:right w:val="single" w:sz="4" w:space="0" w:color="auto"/>
            </w:tcBorders>
            <w:shd w:val="clear" w:color="000000" w:fill="B0D47F"/>
            <w:noWrap/>
            <w:vAlign w:val="bottom"/>
            <w:hideMark/>
          </w:tcPr>
          <w:p w14:paraId="1A139E5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0.62</w:t>
            </w:r>
          </w:p>
        </w:tc>
        <w:tc>
          <w:tcPr>
            <w:tcW w:w="960" w:type="dxa"/>
            <w:tcBorders>
              <w:top w:val="single" w:sz="4" w:space="0" w:color="auto"/>
              <w:left w:val="single" w:sz="4" w:space="0" w:color="auto"/>
              <w:bottom w:val="single" w:sz="4" w:space="0" w:color="auto"/>
              <w:right w:val="single" w:sz="4" w:space="0" w:color="auto"/>
            </w:tcBorders>
            <w:shd w:val="clear" w:color="000000" w:fill="8BC97D"/>
            <w:noWrap/>
            <w:vAlign w:val="bottom"/>
            <w:hideMark/>
          </w:tcPr>
          <w:p w14:paraId="7DAE872F"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0.39</w:t>
            </w:r>
          </w:p>
        </w:tc>
        <w:tc>
          <w:tcPr>
            <w:tcW w:w="960" w:type="dxa"/>
            <w:tcBorders>
              <w:top w:val="single" w:sz="4" w:space="0" w:color="auto"/>
              <w:left w:val="single" w:sz="4" w:space="0" w:color="auto"/>
              <w:bottom w:val="single" w:sz="4" w:space="0" w:color="auto"/>
              <w:right w:val="single" w:sz="4" w:space="0" w:color="auto"/>
            </w:tcBorders>
            <w:shd w:val="clear" w:color="000000" w:fill="B0D47F"/>
            <w:noWrap/>
            <w:vAlign w:val="bottom"/>
            <w:hideMark/>
          </w:tcPr>
          <w:p w14:paraId="2B85018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0.62</w:t>
            </w:r>
          </w:p>
        </w:tc>
        <w:tc>
          <w:tcPr>
            <w:tcW w:w="960" w:type="dxa"/>
            <w:tcBorders>
              <w:top w:val="single" w:sz="4" w:space="0" w:color="auto"/>
              <w:left w:val="single" w:sz="4" w:space="0" w:color="auto"/>
              <w:bottom w:val="single" w:sz="4" w:space="0" w:color="auto"/>
              <w:right w:val="single" w:sz="4" w:space="0" w:color="auto"/>
            </w:tcBorders>
            <w:shd w:val="clear" w:color="000000" w:fill="B3D57F"/>
            <w:noWrap/>
            <w:vAlign w:val="bottom"/>
            <w:hideMark/>
          </w:tcPr>
          <w:p w14:paraId="2898377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0.64</w:t>
            </w:r>
          </w:p>
        </w:tc>
        <w:tc>
          <w:tcPr>
            <w:tcW w:w="960" w:type="dxa"/>
            <w:tcBorders>
              <w:top w:val="single" w:sz="4" w:space="0" w:color="auto"/>
              <w:left w:val="single" w:sz="4" w:space="0" w:color="auto"/>
              <w:bottom w:val="single" w:sz="4" w:space="0" w:color="auto"/>
              <w:right w:val="single" w:sz="4" w:space="0" w:color="auto"/>
            </w:tcBorders>
            <w:shd w:val="clear" w:color="000000" w:fill="B2D47F"/>
            <w:noWrap/>
            <w:vAlign w:val="bottom"/>
            <w:hideMark/>
          </w:tcPr>
          <w:p w14:paraId="7293A1A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0.64</w:t>
            </w:r>
          </w:p>
        </w:tc>
        <w:tc>
          <w:tcPr>
            <w:tcW w:w="960" w:type="dxa"/>
            <w:tcBorders>
              <w:top w:val="single" w:sz="4" w:space="0" w:color="auto"/>
              <w:left w:val="single" w:sz="4" w:space="0" w:color="auto"/>
              <w:bottom w:val="single" w:sz="4" w:space="0" w:color="auto"/>
              <w:right w:val="single" w:sz="4" w:space="0" w:color="auto"/>
            </w:tcBorders>
            <w:shd w:val="clear" w:color="000000" w:fill="B6D57F"/>
            <w:noWrap/>
            <w:vAlign w:val="bottom"/>
            <w:hideMark/>
          </w:tcPr>
          <w:p w14:paraId="24AD2E9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0.66</w:t>
            </w:r>
          </w:p>
        </w:tc>
      </w:tr>
      <w:tr w:rsidR="00BE06CE" w:rsidRPr="000F45BD" w14:paraId="631EB1BA"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CDE242"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Germany</w:t>
            </w:r>
          </w:p>
        </w:tc>
        <w:tc>
          <w:tcPr>
            <w:tcW w:w="960" w:type="dxa"/>
            <w:tcBorders>
              <w:top w:val="single" w:sz="4" w:space="0" w:color="auto"/>
              <w:left w:val="single" w:sz="4" w:space="0" w:color="auto"/>
              <w:bottom w:val="single" w:sz="4" w:space="0" w:color="auto"/>
              <w:right w:val="single" w:sz="4" w:space="0" w:color="auto"/>
            </w:tcBorders>
            <w:shd w:val="clear" w:color="000000" w:fill="C7DB80"/>
            <w:noWrap/>
            <w:vAlign w:val="bottom"/>
            <w:hideMark/>
          </w:tcPr>
          <w:p w14:paraId="066DEA1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0.77</w:t>
            </w:r>
          </w:p>
        </w:tc>
        <w:tc>
          <w:tcPr>
            <w:tcW w:w="960" w:type="dxa"/>
            <w:tcBorders>
              <w:top w:val="single" w:sz="4" w:space="0" w:color="auto"/>
              <w:left w:val="single" w:sz="4" w:space="0" w:color="auto"/>
              <w:bottom w:val="single" w:sz="4" w:space="0" w:color="auto"/>
              <w:right w:val="single" w:sz="4" w:space="0" w:color="auto"/>
            </w:tcBorders>
            <w:shd w:val="clear" w:color="000000" w:fill="BFD880"/>
            <w:noWrap/>
            <w:vAlign w:val="bottom"/>
            <w:hideMark/>
          </w:tcPr>
          <w:p w14:paraId="41BA9F0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0.72</w:t>
            </w:r>
          </w:p>
        </w:tc>
        <w:tc>
          <w:tcPr>
            <w:tcW w:w="960" w:type="dxa"/>
            <w:tcBorders>
              <w:top w:val="single" w:sz="4" w:space="0" w:color="auto"/>
              <w:left w:val="single" w:sz="4" w:space="0" w:color="auto"/>
              <w:bottom w:val="single" w:sz="4" w:space="0" w:color="auto"/>
              <w:right w:val="single" w:sz="4" w:space="0" w:color="auto"/>
            </w:tcBorders>
            <w:shd w:val="clear" w:color="000000" w:fill="BDD880"/>
            <w:noWrap/>
            <w:vAlign w:val="bottom"/>
            <w:hideMark/>
          </w:tcPr>
          <w:p w14:paraId="2F743A4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0.71</w:t>
            </w:r>
          </w:p>
        </w:tc>
        <w:tc>
          <w:tcPr>
            <w:tcW w:w="960" w:type="dxa"/>
            <w:tcBorders>
              <w:top w:val="single" w:sz="4" w:space="0" w:color="auto"/>
              <w:left w:val="single" w:sz="4" w:space="0" w:color="auto"/>
              <w:bottom w:val="single" w:sz="4" w:space="0" w:color="auto"/>
              <w:right w:val="single" w:sz="4" w:space="0" w:color="auto"/>
            </w:tcBorders>
            <w:shd w:val="clear" w:color="000000" w:fill="A7D17E"/>
            <w:noWrap/>
            <w:vAlign w:val="bottom"/>
            <w:hideMark/>
          </w:tcPr>
          <w:p w14:paraId="18ED2C2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0.57</w:t>
            </w:r>
          </w:p>
        </w:tc>
        <w:tc>
          <w:tcPr>
            <w:tcW w:w="960" w:type="dxa"/>
            <w:tcBorders>
              <w:top w:val="single" w:sz="4" w:space="0" w:color="auto"/>
              <w:left w:val="single" w:sz="4" w:space="0" w:color="auto"/>
              <w:bottom w:val="single" w:sz="4" w:space="0" w:color="auto"/>
              <w:right w:val="single" w:sz="4" w:space="0" w:color="auto"/>
            </w:tcBorders>
            <w:shd w:val="clear" w:color="000000" w:fill="B6D67F"/>
            <w:noWrap/>
            <w:vAlign w:val="bottom"/>
            <w:hideMark/>
          </w:tcPr>
          <w:p w14:paraId="5DC3DD5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0.66</w:t>
            </w:r>
          </w:p>
        </w:tc>
        <w:tc>
          <w:tcPr>
            <w:tcW w:w="960" w:type="dxa"/>
            <w:tcBorders>
              <w:top w:val="single" w:sz="4" w:space="0" w:color="auto"/>
              <w:left w:val="single" w:sz="4" w:space="0" w:color="auto"/>
              <w:bottom w:val="single" w:sz="4" w:space="0" w:color="auto"/>
              <w:right w:val="single" w:sz="4" w:space="0" w:color="auto"/>
            </w:tcBorders>
            <w:shd w:val="clear" w:color="000000" w:fill="BBD780"/>
            <w:noWrap/>
            <w:vAlign w:val="bottom"/>
            <w:hideMark/>
          </w:tcPr>
          <w:p w14:paraId="3E1002A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0.69</w:t>
            </w:r>
          </w:p>
        </w:tc>
        <w:tc>
          <w:tcPr>
            <w:tcW w:w="960" w:type="dxa"/>
            <w:tcBorders>
              <w:top w:val="single" w:sz="4" w:space="0" w:color="auto"/>
              <w:left w:val="single" w:sz="4" w:space="0" w:color="auto"/>
              <w:bottom w:val="single" w:sz="4" w:space="0" w:color="auto"/>
              <w:right w:val="single" w:sz="4" w:space="0" w:color="auto"/>
            </w:tcBorders>
            <w:shd w:val="clear" w:color="000000" w:fill="B9D780"/>
            <w:noWrap/>
            <w:vAlign w:val="bottom"/>
            <w:hideMark/>
          </w:tcPr>
          <w:p w14:paraId="0743115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0.68</w:t>
            </w:r>
          </w:p>
        </w:tc>
        <w:tc>
          <w:tcPr>
            <w:tcW w:w="960" w:type="dxa"/>
            <w:tcBorders>
              <w:top w:val="single" w:sz="4" w:space="0" w:color="auto"/>
              <w:left w:val="single" w:sz="4" w:space="0" w:color="auto"/>
              <w:bottom w:val="single" w:sz="4" w:space="0" w:color="auto"/>
              <w:right w:val="single" w:sz="4" w:space="0" w:color="auto"/>
            </w:tcBorders>
            <w:shd w:val="clear" w:color="000000" w:fill="AED37F"/>
            <w:noWrap/>
            <w:vAlign w:val="bottom"/>
            <w:hideMark/>
          </w:tcPr>
          <w:p w14:paraId="32FD31C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0.61</w:t>
            </w:r>
          </w:p>
        </w:tc>
        <w:tc>
          <w:tcPr>
            <w:tcW w:w="960" w:type="dxa"/>
            <w:tcBorders>
              <w:top w:val="single" w:sz="4" w:space="0" w:color="auto"/>
              <w:left w:val="single" w:sz="4" w:space="0" w:color="auto"/>
              <w:bottom w:val="single" w:sz="4" w:space="0" w:color="auto"/>
              <w:right w:val="single" w:sz="4" w:space="0" w:color="auto"/>
            </w:tcBorders>
            <w:shd w:val="clear" w:color="000000" w:fill="C4DA80"/>
            <w:noWrap/>
            <w:vAlign w:val="bottom"/>
            <w:hideMark/>
          </w:tcPr>
          <w:p w14:paraId="366BDD8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0.75</w:t>
            </w:r>
          </w:p>
        </w:tc>
      </w:tr>
      <w:tr w:rsidR="00BE06CE" w:rsidRPr="000F45BD" w14:paraId="6D9A3D09"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95080F"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Israel</w:t>
            </w:r>
          </w:p>
        </w:tc>
        <w:tc>
          <w:tcPr>
            <w:tcW w:w="960" w:type="dxa"/>
            <w:tcBorders>
              <w:top w:val="single" w:sz="4" w:space="0" w:color="auto"/>
              <w:left w:val="single" w:sz="4" w:space="0" w:color="auto"/>
              <w:bottom w:val="single" w:sz="4" w:space="0" w:color="auto"/>
              <w:right w:val="single" w:sz="4" w:space="0" w:color="auto"/>
            </w:tcBorders>
            <w:shd w:val="clear" w:color="000000" w:fill="DBE081"/>
            <w:noWrap/>
            <w:vAlign w:val="bottom"/>
            <w:hideMark/>
          </w:tcPr>
          <w:p w14:paraId="0F62F8F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0.90</w:t>
            </w:r>
          </w:p>
        </w:tc>
        <w:tc>
          <w:tcPr>
            <w:tcW w:w="960" w:type="dxa"/>
            <w:tcBorders>
              <w:top w:val="single" w:sz="4" w:space="0" w:color="auto"/>
              <w:left w:val="single" w:sz="4" w:space="0" w:color="auto"/>
              <w:bottom w:val="single" w:sz="4" w:space="0" w:color="auto"/>
              <w:right w:val="single" w:sz="4" w:space="0" w:color="auto"/>
            </w:tcBorders>
            <w:shd w:val="clear" w:color="000000" w:fill="BED880"/>
            <w:noWrap/>
            <w:vAlign w:val="bottom"/>
            <w:hideMark/>
          </w:tcPr>
          <w:p w14:paraId="62F633E8"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0.71</w:t>
            </w:r>
          </w:p>
        </w:tc>
        <w:tc>
          <w:tcPr>
            <w:tcW w:w="960" w:type="dxa"/>
            <w:tcBorders>
              <w:top w:val="single" w:sz="4" w:space="0" w:color="auto"/>
              <w:left w:val="single" w:sz="4" w:space="0" w:color="auto"/>
              <w:bottom w:val="single" w:sz="4" w:space="0" w:color="auto"/>
              <w:right w:val="single" w:sz="4" w:space="0" w:color="auto"/>
            </w:tcBorders>
            <w:shd w:val="clear" w:color="000000" w:fill="CFDD81"/>
            <w:noWrap/>
            <w:vAlign w:val="bottom"/>
            <w:hideMark/>
          </w:tcPr>
          <w:p w14:paraId="1A32481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0.82</w:t>
            </w:r>
          </w:p>
        </w:tc>
        <w:tc>
          <w:tcPr>
            <w:tcW w:w="960" w:type="dxa"/>
            <w:tcBorders>
              <w:top w:val="single" w:sz="4" w:space="0" w:color="auto"/>
              <w:left w:val="single" w:sz="4" w:space="0" w:color="auto"/>
              <w:bottom w:val="single" w:sz="4" w:space="0" w:color="auto"/>
              <w:right w:val="single" w:sz="4" w:space="0" w:color="auto"/>
            </w:tcBorders>
            <w:shd w:val="clear" w:color="000000" w:fill="D0DD81"/>
            <w:noWrap/>
            <w:vAlign w:val="bottom"/>
            <w:hideMark/>
          </w:tcPr>
          <w:p w14:paraId="16054B8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0.83</w:t>
            </w:r>
          </w:p>
        </w:tc>
        <w:tc>
          <w:tcPr>
            <w:tcW w:w="960" w:type="dxa"/>
            <w:tcBorders>
              <w:top w:val="single" w:sz="4" w:space="0" w:color="auto"/>
              <w:left w:val="single" w:sz="4" w:space="0" w:color="auto"/>
              <w:bottom w:val="single" w:sz="4" w:space="0" w:color="auto"/>
              <w:right w:val="single" w:sz="4" w:space="0" w:color="auto"/>
            </w:tcBorders>
            <w:shd w:val="clear" w:color="000000" w:fill="ADD37F"/>
            <w:noWrap/>
            <w:vAlign w:val="bottom"/>
            <w:hideMark/>
          </w:tcPr>
          <w:p w14:paraId="642FC02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0.61</w:t>
            </w:r>
          </w:p>
        </w:tc>
        <w:tc>
          <w:tcPr>
            <w:tcW w:w="960" w:type="dxa"/>
            <w:tcBorders>
              <w:top w:val="single" w:sz="4" w:space="0" w:color="auto"/>
              <w:left w:val="single" w:sz="4" w:space="0" w:color="auto"/>
              <w:bottom w:val="single" w:sz="4" w:space="0" w:color="auto"/>
              <w:right w:val="single" w:sz="4" w:space="0" w:color="auto"/>
            </w:tcBorders>
            <w:shd w:val="clear" w:color="000000" w:fill="C0D880"/>
            <w:noWrap/>
            <w:vAlign w:val="bottom"/>
            <w:hideMark/>
          </w:tcPr>
          <w:p w14:paraId="16EB7BE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0.72</w:t>
            </w:r>
          </w:p>
        </w:tc>
        <w:tc>
          <w:tcPr>
            <w:tcW w:w="960" w:type="dxa"/>
            <w:tcBorders>
              <w:top w:val="single" w:sz="4" w:space="0" w:color="auto"/>
              <w:left w:val="single" w:sz="4" w:space="0" w:color="auto"/>
              <w:bottom w:val="single" w:sz="4" w:space="0" w:color="auto"/>
              <w:right w:val="single" w:sz="4" w:space="0" w:color="auto"/>
            </w:tcBorders>
            <w:shd w:val="clear" w:color="000000" w:fill="D3DE81"/>
            <w:noWrap/>
            <w:vAlign w:val="bottom"/>
            <w:hideMark/>
          </w:tcPr>
          <w:p w14:paraId="62FCF753"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0.84</w:t>
            </w:r>
          </w:p>
        </w:tc>
        <w:tc>
          <w:tcPr>
            <w:tcW w:w="960" w:type="dxa"/>
            <w:tcBorders>
              <w:top w:val="single" w:sz="4" w:space="0" w:color="auto"/>
              <w:left w:val="single" w:sz="4" w:space="0" w:color="auto"/>
              <w:bottom w:val="single" w:sz="4" w:space="0" w:color="auto"/>
              <w:right w:val="single" w:sz="4" w:space="0" w:color="auto"/>
            </w:tcBorders>
            <w:shd w:val="clear" w:color="000000" w:fill="D4DE81"/>
            <w:noWrap/>
            <w:vAlign w:val="bottom"/>
            <w:hideMark/>
          </w:tcPr>
          <w:p w14:paraId="1DA92404"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0.85</w:t>
            </w:r>
          </w:p>
        </w:tc>
        <w:tc>
          <w:tcPr>
            <w:tcW w:w="960" w:type="dxa"/>
            <w:tcBorders>
              <w:top w:val="single" w:sz="4" w:space="0" w:color="auto"/>
              <w:left w:val="single" w:sz="4" w:space="0" w:color="auto"/>
              <w:bottom w:val="single" w:sz="4" w:space="0" w:color="auto"/>
              <w:right w:val="single" w:sz="4" w:space="0" w:color="auto"/>
            </w:tcBorders>
            <w:shd w:val="clear" w:color="000000" w:fill="D9E081"/>
            <w:noWrap/>
            <w:vAlign w:val="bottom"/>
            <w:hideMark/>
          </w:tcPr>
          <w:p w14:paraId="7CD7606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0.88</w:t>
            </w:r>
          </w:p>
        </w:tc>
      </w:tr>
      <w:tr w:rsidR="00BE06CE" w:rsidRPr="000F45BD" w14:paraId="46CEEAFA"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247895"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Spain</w:t>
            </w:r>
          </w:p>
        </w:tc>
        <w:tc>
          <w:tcPr>
            <w:tcW w:w="96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7F32BEC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1.13</w:t>
            </w:r>
          </w:p>
        </w:tc>
        <w:tc>
          <w:tcPr>
            <w:tcW w:w="960" w:type="dxa"/>
            <w:tcBorders>
              <w:top w:val="single" w:sz="4" w:space="0" w:color="auto"/>
              <w:left w:val="single" w:sz="4" w:space="0" w:color="auto"/>
              <w:bottom w:val="single" w:sz="4" w:space="0" w:color="auto"/>
              <w:right w:val="single" w:sz="4" w:space="0" w:color="auto"/>
            </w:tcBorders>
            <w:shd w:val="clear" w:color="000000" w:fill="EAE582"/>
            <w:noWrap/>
            <w:vAlign w:val="bottom"/>
            <w:hideMark/>
          </w:tcPr>
          <w:p w14:paraId="58CD992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0.99</w:t>
            </w:r>
          </w:p>
        </w:tc>
        <w:tc>
          <w:tcPr>
            <w:tcW w:w="960" w:type="dxa"/>
            <w:tcBorders>
              <w:top w:val="single" w:sz="4" w:space="0" w:color="auto"/>
              <w:left w:val="single" w:sz="4" w:space="0" w:color="auto"/>
              <w:bottom w:val="single" w:sz="4" w:space="0" w:color="auto"/>
              <w:right w:val="single" w:sz="4" w:space="0" w:color="auto"/>
            </w:tcBorders>
            <w:shd w:val="clear" w:color="000000" w:fill="EBE582"/>
            <w:noWrap/>
            <w:vAlign w:val="bottom"/>
            <w:hideMark/>
          </w:tcPr>
          <w:p w14:paraId="627A5F3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1.00</w:t>
            </w:r>
          </w:p>
        </w:tc>
        <w:tc>
          <w:tcPr>
            <w:tcW w:w="960" w:type="dxa"/>
            <w:tcBorders>
              <w:top w:val="single" w:sz="4" w:space="0" w:color="auto"/>
              <w:left w:val="single" w:sz="4" w:space="0" w:color="auto"/>
              <w:bottom w:val="single" w:sz="4" w:space="0" w:color="auto"/>
              <w:right w:val="single" w:sz="4" w:space="0" w:color="auto"/>
            </w:tcBorders>
            <w:shd w:val="clear" w:color="000000" w:fill="F1E783"/>
            <w:noWrap/>
            <w:vAlign w:val="bottom"/>
            <w:hideMark/>
          </w:tcPr>
          <w:p w14:paraId="0BA485B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1.04</w:t>
            </w:r>
          </w:p>
        </w:tc>
        <w:tc>
          <w:tcPr>
            <w:tcW w:w="960" w:type="dxa"/>
            <w:tcBorders>
              <w:top w:val="single" w:sz="4" w:space="0" w:color="auto"/>
              <w:left w:val="single" w:sz="4" w:space="0" w:color="auto"/>
              <w:bottom w:val="single" w:sz="4" w:space="0" w:color="auto"/>
              <w:right w:val="single" w:sz="4" w:space="0" w:color="auto"/>
            </w:tcBorders>
            <w:shd w:val="clear" w:color="000000" w:fill="E3E382"/>
            <w:noWrap/>
            <w:vAlign w:val="bottom"/>
            <w:hideMark/>
          </w:tcPr>
          <w:p w14:paraId="41AAC68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0.95</w:t>
            </w:r>
          </w:p>
        </w:tc>
        <w:tc>
          <w:tcPr>
            <w:tcW w:w="960" w:type="dxa"/>
            <w:tcBorders>
              <w:top w:val="single" w:sz="4" w:space="0" w:color="auto"/>
              <w:left w:val="single" w:sz="4" w:space="0" w:color="auto"/>
              <w:bottom w:val="single" w:sz="4" w:space="0" w:color="auto"/>
              <w:right w:val="single" w:sz="4" w:space="0" w:color="auto"/>
            </w:tcBorders>
            <w:shd w:val="clear" w:color="000000" w:fill="BBD780"/>
            <w:noWrap/>
            <w:vAlign w:val="bottom"/>
            <w:hideMark/>
          </w:tcPr>
          <w:p w14:paraId="4F8EE4F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0.69</w:t>
            </w:r>
          </w:p>
        </w:tc>
        <w:tc>
          <w:tcPr>
            <w:tcW w:w="960" w:type="dxa"/>
            <w:tcBorders>
              <w:top w:val="single" w:sz="4" w:space="0" w:color="auto"/>
              <w:left w:val="single" w:sz="4" w:space="0" w:color="auto"/>
              <w:bottom w:val="single" w:sz="4" w:space="0" w:color="auto"/>
              <w:right w:val="single" w:sz="4" w:space="0" w:color="auto"/>
            </w:tcBorders>
            <w:shd w:val="clear" w:color="000000" w:fill="F5E883"/>
            <w:noWrap/>
            <w:vAlign w:val="bottom"/>
            <w:hideMark/>
          </w:tcPr>
          <w:p w14:paraId="37F37D60"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1.06</w:t>
            </w:r>
          </w:p>
        </w:tc>
        <w:tc>
          <w:tcPr>
            <w:tcW w:w="960" w:type="dxa"/>
            <w:tcBorders>
              <w:top w:val="single" w:sz="4" w:space="0" w:color="auto"/>
              <w:left w:val="single" w:sz="4" w:space="0" w:color="auto"/>
              <w:bottom w:val="single" w:sz="4" w:space="0" w:color="auto"/>
              <w:right w:val="single" w:sz="4" w:space="0" w:color="auto"/>
            </w:tcBorders>
            <w:shd w:val="clear" w:color="000000" w:fill="F7E883"/>
            <w:noWrap/>
            <w:vAlign w:val="bottom"/>
            <w:hideMark/>
          </w:tcPr>
          <w:p w14:paraId="131D9FF3"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1.08</w:t>
            </w:r>
          </w:p>
        </w:tc>
        <w:tc>
          <w:tcPr>
            <w:tcW w:w="960" w:type="dxa"/>
            <w:tcBorders>
              <w:top w:val="single" w:sz="4" w:space="0" w:color="auto"/>
              <w:left w:val="single" w:sz="4" w:space="0" w:color="auto"/>
              <w:bottom w:val="single" w:sz="4" w:space="0" w:color="auto"/>
              <w:right w:val="single" w:sz="4" w:space="0" w:color="auto"/>
            </w:tcBorders>
            <w:shd w:val="clear" w:color="000000" w:fill="FDEA83"/>
            <w:noWrap/>
            <w:vAlign w:val="bottom"/>
            <w:hideMark/>
          </w:tcPr>
          <w:p w14:paraId="728DD91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1.11</w:t>
            </w:r>
          </w:p>
        </w:tc>
      </w:tr>
      <w:tr w:rsidR="00BE06CE" w:rsidRPr="000F45BD" w14:paraId="0D36E0FC"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195091"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Romania</w:t>
            </w:r>
          </w:p>
        </w:tc>
        <w:tc>
          <w:tcPr>
            <w:tcW w:w="960" w:type="dxa"/>
            <w:tcBorders>
              <w:top w:val="single" w:sz="4" w:space="0" w:color="auto"/>
              <w:left w:val="single" w:sz="4" w:space="0" w:color="auto"/>
              <w:bottom w:val="single" w:sz="4" w:space="0" w:color="auto"/>
              <w:right w:val="single" w:sz="4" w:space="0" w:color="auto"/>
            </w:tcBorders>
            <w:shd w:val="clear" w:color="000000" w:fill="FFE283"/>
            <w:noWrap/>
            <w:vAlign w:val="bottom"/>
            <w:hideMark/>
          </w:tcPr>
          <w:p w14:paraId="653472B0"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1.51</w:t>
            </w:r>
          </w:p>
        </w:tc>
        <w:tc>
          <w:tcPr>
            <w:tcW w:w="960" w:type="dxa"/>
            <w:tcBorders>
              <w:top w:val="single" w:sz="4" w:space="0" w:color="auto"/>
              <w:left w:val="single" w:sz="4" w:space="0" w:color="auto"/>
              <w:bottom w:val="single" w:sz="4" w:space="0" w:color="auto"/>
              <w:right w:val="single" w:sz="4" w:space="0" w:color="auto"/>
            </w:tcBorders>
            <w:shd w:val="clear" w:color="000000" w:fill="FFE583"/>
            <w:noWrap/>
            <w:vAlign w:val="bottom"/>
            <w:hideMark/>
          </w:tcPr>
          <w:p w14:paraId="2820A3A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1.38</w:t>
            </w:r>
          </w:p>
        </w:tc>
        <w:tc>
          <w:tcPr>
            <w:tcW w:w="960" w:type="dxa"/>
            <w:tcBorders>
              <w:top w:val="single" w:sz="4" w:space="0" w:color="auto"/>
              <w:left w:val="single" w:sz="4" w:space="0" w:color="auto"/>
              <w:bottom w:val="single" w:sz="4" w:space="0" w:color="auto"/>
              <w:right w:val="single" w:sz="4" w:space="0" w:color="auto"/>
            </w:tcBorders>
            <w:shd w:val="clear" w:color="000000" w:fill="FCEA83"/>
            <w:noWrap/>
            <w:vAlign w:val="bottom"/>
            <w:hideMark/>
          </w:tcPr>
          <w:p w14:paraId="07321B3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1.11</w:t>
            </w:r>
          </w:p>
        </w:tc>
        <w:tc>
          <w:tcPr>
            <w:tcW w:w="960" w:type="dxa"/>
            <w:tcBorders>
              <w:top w:val="single" w:sz="4" w:space="0" w:color="auto"/>
              <w:left w:val="single" w:sz="4" w:space="0" w:color="auto"/>
              <w:bottom w:val="single" w:sz="4" w:space="0" w:color="auto"/>
              <w:right w:val="single" w:sz="4" w:space="0" w:color="auto"/>
            </w:tcBorders>
            <w:shd w:val="clear" w:color="000000" w:fill="FFE583"/>
            <w:noWrap/>
            <w:vAlign w:val="bottom"/>
            <w:hideMark/>
          </w:tcPr>
          <w:p w14:paraId="284B3B5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1.39</w:t>
            </w:r>
          </w:p>
        </w:tc>
        <w:tc>
          <w:tcPr>
            <w:tcW w:w="960" w:type="dxa"/>
            <w:tcBorders>
              <w:top w:val="single" w:sz="4" w:space="0" w:color="auto"/>
              <w:left w:val="single" w:sz="4" w:space="0" w:color="auto"/>
              <w:bottom w:val="single" w:sz="4" w:space="0" w:color="auto"/>
              <w:right w:val="single" w:sz="4" w:space="0" w:color="auto"/>
            </w:tcBorders>
            <w:shd w:val="clear" w:color="000000" w:fill="FFEB84"/>
            <w:noWrap/>
            <w:vAlign w:val="bottom"/>
            <w:hideMark/>
          </w:tcPr>
          <w:p w14:paraId="69304614"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1.15</w:t>
            </w:r>
          </w:p>
        </w:tc>
        <w:tc>
          <w:tcPr>
            <w:tcW w:w="960" w:type="dxa"/>
            <w:tcBorders>
              <w:top w:val="single" w:sz="4" w:space="0" w:color="auto"/>
              <w:left w:val="single" w:sz="4" w:space="0" w:color="auto"/>
              <w:bottom w:val="single" w:sz="4" w:space="0" w:color="auto"/>
              <w:right w:val="single" w:sz="4" w:space="0" w:color="auto"/>
            </w:tcBorders>
            <w:shd w:val="clear" w:color="000000" w:fill="FFE683"/>
            <w:noWrap/>
            <w:vAlign w:val="bottom"/>
            <w:hideMark/>
          </w:tcPr>
          <w:p w14:paraId="7BFD666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1.33</w:t>
            </w:r>
          </w:p>
        </w:tc>
        <w:tc>
          <w:tcPr>
            <w:tcW w:w="960" w:type="dxa"/>
            <w:tcBorders>
              <w:top w:val="single" w:sz="4" w:space="0" w:color="auto"/>
              <w:left w:val="single" w:sz="4" w:space="0" w:color="auto"/>
              <w:bottom w:val="single" w:sz="4" w:space="0" w:color="auto"/>
              <w:right w:val="single" w:sz="4" w:space="0" w:color="auto"/>
            </w:tcBorders>
            <w:shd w:val="clear" w:color="000000" w:fill="FFE784"/>
            <w:noWrap/>
            <w:vAlign w:val="bottom"/>
            <w:hideMark/>
          </w:tcPr>
          <w:p w14:paraId="434F326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1.31</w:t>
            </w:r>
          </w:p>
        </w:tc>
        <w:tc>
          <w:tcPr>
            <w:tcW w:w="960" w:type="dxa"/>
            <w:tcBorders>
              <w:top w:val="single" w:sz="4" w:space="0" w:color="auto"/>
              <w:left w:val="single" w:sz="4" w:space="0" w:color="auto"/>
              <w:bottom w:val="single" w:sz="4" w:space="0" w:color="auto"/>
              <w:right w:val="single" w:sz="4" w:space="0" w:color="auto"/>
            </w:tcBorders>
            <w:shd w:val="clear" w:color="000000" w:fill="FFE583"/>
            <w:noWrap/>
            <w:vAlign w:val="bottom"/>
            <w:hideMark/>
          </w:tcPr>
          <w:p w14:paraId="504E365F"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1.38</w:t>
            </w:r>
          </w:p>
        </w:tc>
        <w:tc>
          <w:tcPr>
            <w:tcW w:w="960" w:type="dxa"/>
            <w:tcBorders>
              <w:top w:val="single" w:sz="4" w:space="0" w:color="auto"/>
              <w:left w:val="single" w:sz="4" w:space="0" w:color="auto"/>
              <w:bottom w:val="single" w:sz="4" w:space="0" w:color="auto"/>
              <w:right w:val="single" w:sz="4" w:space="0" w:color="auto"/>
            </w:tcBorders>
            <w:shd w:val="clear" w:color="000000" w:fill="FFE283"/>
            <w:noWrap/>
            <w:vAlign w:val="bottom"/>
            <w:hideMark/>
          </w:tcPr>
          <w:p w14:paraId="6388ABE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1.50</w:t>
            </w:r>
          </w:p>
        </w:tc>
      </w:tr>
      <w:tr w:rsidR="00BE06CE" w:rsidRPr="000F45BD" w14:paraId="3898218B"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61DBE5"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Overall</w:t>
            </w:r>
          </w:p>
        </w:tc>
        <w:tc>
          <w:tcPr>
            <w:tcW w:w="960" w:type="dxa"/>
            <w:tcBorders>
              <w:top w:val="single" w:sz="4" w:space="0" w:color="auto"/>
              <w:left w:val="single" w:sz="4" w:space="0" w:color="auto"/>
              <w:bottom w:val="single" w:sz="4" w:space="0" w:color="auto"/>
              <w:right w:val="single" w:sz="4" w:space="0" w:color="auto"/>
            </w:tcBorders>
            <w:shd w:val="clear" w:color="000000" w:fill="FFDA81"/>
            <w:noWrap/>
            <w:vAlign w:val="bottom"/>
            <w:hideMark/>
          </w:tcPr>
          <w:p w14:paraId="7E3DAA71"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1.83</w:t>
            </w:r>
          </w:p>
        </w:tc>
        <w:tc>
          <w:tcPr>
            <w:tcW w:w="960"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14:paraId="1EC0B17B"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1.58</w:t>
            </w:r>
          </w:p>
        </w:tc>
        <w:tc>
          <w:tcPr>
            <w:tcW w:w="960" w:type="dxa"/>
            <w:tcBorders>
              <w:top w:val="single" w:sz="4" w:space="0" w:color="auto"/>
              <w:left w:val="single" w:sz="4" w:space="0" w:color="auto"/>
              <w:bottom w:val="single" w:sz="4" w:space="0" w:color="auto"/>
              <w:right w:val="single" w:sz="4" w:space="0" w:color="auto"/>
            </w:tcBorders>
            <w:shd w:val="clear" w:color="000000" w:fill="FFE283"/>
            <w:noWrap/>
            <w:vAlign w:val="bottom"/>
            <w:hideMark/>
          </w:tcPr>
          <w:p w14:paraId="61657C0C"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1.52</w:t>
            </w:r>
          </w:p>
        </w:tc>
        <w:tc>
          <w:tcPr>
            <w:tcW w:w="960" w:type="dxa"/>
            <w:tcBorders>
              <w:top w:val="single" w:sz="4" w:space="0" w:color="auto"/>
              <w:left w:val="single" w:sz="4" w:space="0" w:color="auto"/>
              <w:bottom w:val="single" w:sz="4" w:space="0" w:color="auto"/>
              <w:right w:val="single" w:sz="4" w:space="0" w:color="auto"/>
            </w:tcBorders>
            <w:shd w:val="clear" w:color="000000" w:fill="FFDE82"/>
            <w:noWrap/>
            <w:vAlign w:val="bottom"/>
            <w:hideMark/>
          </w:tcPr>
          <w:p w14:paraId="0D54B353"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1.66</w:t>
            </w:r>
          </w:p>
        </w:tc>
        <w:tc>
          <w:tcPr>
            <w:tcW w:w="960" w:type="dxa"/>
            <w:tcBorders>
              <w:top w:val="single" w:sz="4" w:space="0" w:color="auto"/>
              <w:left w:val="single" w:sz="4" w:space="0" w:color="auto"/>
              <w:bottom w:val="single" w:sz="4" w:space="0" w:color="auto"/>
              <w:right w:val="single" w:sz="4" w:space="0" w:color="auto"/>
            </w:tcBorders>
            <w:shd w:val="clear" w:color="000000" w:fill="FFE183"/>
            <w:noWrap/>
            <w:vAlign w:val="bottom"/>
            <w:hideMark/>
          </w:tcPr>
          <w:p w14:paraId="05703E43"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1.52</w:t>
            </w:r>
          </w:p>
        </w:tc>
        <w:tc>
          <w:tcPr>
            <w:tcW w:w="960"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14:paraId="3E115247"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1.56</w:t>
            </w:r>
          </w:p>
        </w:tc>
        <w:tc>
          <w:tcPr>
            <w:tcW w:w="960"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14:paraId="398E41A3"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1.58</w:t>
            </w:r>
          </w:p>
        </w:tc>
        <w:tc>
          <w:tcPr>
            <w:tcW w:w="960" w:type="dxa"/>
            <w:tcBorders>
              <w:top w:val="single" w:sz="4" w:space="0" w:color="auto"/>
              <w:left w:val="single" w:sz="4" w:space="0" w:color="auto"/>
              <w:bottom w:val="single" w:sz="4" w:space="0" w:color="auto"/>
              <w:right w:val="single" w:sz="4" w:space="0" w:color="auto"/>
            </w:tcBorders>
            <w:shd w:val="clear" w:color="000000" w:fill="FFE082"/>
            <w:noWrap/>
            <w:vAlign w:val="bottom"/>
            <w:hideMark/>
          </w:tcPr>
          <w:p w14:paraId="2178EDDF"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1.59</w:t>
            </w:r>
          </w:p>
        </w:tc>
        <w:tc>
          <w:tcPr>
            <w:tcW w:w="960" w:type="dxa"/>
            <w:tcBorders>
              <w:top w:val="single" w:sz="4" w:space="0" w:color="auto"/>
              <w:left w:val="single" w:sz="4" w:space="0" w:color="auto"/>
              <w:bottom w:val="single" w:sz="4" w:space="0" w:color="auto"/>
              <w:right w:val="single" w:sz="4" w:space="0" w:color="auto"/>
            </w:tcBorders>
            <w:shd w:val="clear" w:color="000000" w:fill="FFDA81"/>
            <w:noWrap/>
            <w:vAlign w:val="bottom"/>
            <w:hideMark/>
          </w:tcPr>
          <w:p w14:paraId="374A4DD1" w14:textId="77777777" w:rsidR="00BE06CE" w:rsidRPr="000F45BD" w:rsidRDefault="00BE06CE" w:rsidP="00D4634E">
            <w:pPr>
              <w:spacing w:before="100" w:beforeAutospacing="1" w:after="100" w:afterAutospacing="1" w:line="240" w:lineRule="auto"/>
              <w:jc w:val="center"/>
              <w:rPr>
                <w:rFonts w:asciiTheme="majorHAnsi" w:eastAsia="Times New Roman" w:hAnsiTheme="majorHAnsi" w:cs="Arial"/>
                <w:b/>
                <w:bCs/>
                <w:color w:val="000000"/>
                <w:sz w:val="20"/>
                <w:szCs w:val="20"/>
                <w:lang w:eastAsia="en-GB"/>
              </w:rPr>
            </w:pPr>
            <w:r w:rsidRPr="000F45BD">
              <w:rPr>
                <w:rFonts w:asciiTheme="majorHAnsi" w:eastAsia="Times New Roman" w:hAnsiTheme="majorHAnsi" w:cs="Arial"/>
                <w:b/>
                <w:bCs/>
                <w:color w:val="000000"/>
                <w:sz w:val="20"/>
                <w:szCs w:val="20"/>
                <w:lang w:eastAsia="en-GB"/>
              </w:rPr>
              <w:t>1.80</w:t>
            </w:r>
          </w:p>
        </w:tc>
      </w:tr>
      <w:tr w:rsidR="00BE06CE" w:rsidRPr="000F45BD" w14:paraId="08435751"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4BAA70"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S Africa</w:t>
            </w:r>
          </w:p>
        </w:tc>
        <w:tc>
          <w:tcPr>
            <w:tcW w:w="960" w:type="dxa"/>
            <w:tcBorders>
              <w:top w:val="single" w:sz="4" w:space="0" w:color="auto"/>
              <w:left w:val="single" w:sz="4" w:space="0" w:color="auto"/>
              <w:bottom w:val="single" w:sz="4" w:space="0" w:color="auto"/>
              <w:right w:val="single" w:sz="4" w:space="0" w:color="auto"/>
            </w:tcBorders>
            <w:shd w:val="clear" w:color="000000" w:fill="FECF7F"/>
            <w:noWrap/>
            <w:vAlign w:val="bottom"/>
            <w:hideMark/>
          </w:tcPr>
          <w:p w14:paraId="54D6557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2.24</w:t>
            </w:r>
          </w:p>
        </w:tc>
        <w:tc>
          <w:tcPr>
            <w:tcW w:w="96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3D999AB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1.96</w:t>
            </w:r>
          </w:p>
        </w:tc>
        <w:tc>
          <w:tcPr>
            <w:tcW w:w="96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48D101D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1.96</w:t>
            </w:r>
          </w:p>
        </w:tc>
        <w:tc>
          <w:tcPr>
            <w:tcW w:w="960" w:type="dxa"/>
            <w:tcBorders>
              <w:top w:val="single" w:sz="4" w:space="0" w:color="auto"/>
              <w:left w:val="single" w:sz="4" w:space="0" w:color="auto"/>
              <w:bottom w:val="single" w:sz="4" w:space="0" w:color="auto"/>
              <w:right w:val="single" w:sz="4" w:space="0" w:color="auto"/>
            </w:tcBorders>
            <w:shd w:val="clear" w:color="000000" w:fill="FED480"/>
            <w:noWrap/>
            <w:vAlign w:val="bottom"/>
            <w:hideMark/>
          </w:tcPr>
          <w:p w14:paraId="1540B17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2.07</w:t>
            </w:r>
          </w:p>
        </w:tc>
        <w:tc>
          <w:tcPr>
            <w:tcW w:w="960" w:type="dxa"/>
            <w:tcBorders>
              <w:top w:val="single" w:sz="4" w:space="0" w:color="auto"/>
              <w:left w:val="single" w:sz="4" w:space="0" w:color="auto"/>
              <w:bottom w:val="single" w:sz="4" w:space="0" w:color="auto"/>
              <w:right w:val="single" w:sz="4" w:space="0" w:color="auto"/>
            </w:tcBorders>
            <w:shd w:val="clear" w:color="000000" w:fill="FFDA81"/>
            <w:noWrap/>
            <w:vAlign w:val="bottom"/>
            <w:hideMark/>
          </w:tcPr>
          <w:p w14:paraId="6DE598B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1.82</w:t>
            </w:r>
          </w:p>
        </w:tc>
        <w:tc>
          <w:tcPr>
            <w:tcW w:w="96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1C21A1C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1.97</w:t>
            </w:r>
          </w:p>
        </w:tc>
        <w:tc>
          <w:tcPr>
            <w:tcW w:w="960" w:type="dxa"/>
            <w:tcBorders>
              <w:top w:val="single" w:sz="4" w:space="0" w:color="auto"/>
              <w:left w:val="single" w:sz="4" w:space="0" w:color="auto"/>
              <w:bottom w:val="single" w:sz="4" w:space="0" w:color="auto"/>
              <w:right w:val="single" w:sz="4" w:space="0" w:color="auto"/>
            </w:tcBorders>
            <w:shd w:val="clear" w:color="000000" w:fill="FFD981"/>
            <w:noWrap/>
            <w:vAlign w:val="bottom"/>
            <w:hideMark/>
          </w:tcPr>
          <w:p w14:paraId="5148AA7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1.85</w:t>
            </w:r>
          </w:p>
        </w:tc>
        <w:tc>
          <w:tcPr>
            <w:tcW w:w="960" w:type="dxa"/>
            <w:tcBorders>
              <w:top w:val="single" w:sz="4" w:space="0" w:color="auto"/>
              <w:left w:val="single" w:sz="4" w:space="0" w:color="auto"/>
              <w:bottom w:val="single" w:sz="4" w:space="0" w:color="auto"/>
              <w:right w:val="single" w:sz="4" w:space="0" w:color="auto"/>
            </w:tcBorders>
            <w:shd w:val="clear" w:color="000000" w:fill="FED981"/>
            <w:noWrap/>
            <w:vAlign w:val="bottom"/>
            <w:hideMark/>
          </w:tcPr>
          <w:p w14:paraId="6BC02FC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1.87</w:t>
            </w:r>
          </w:p>
        </w:tc>
        <w:tc>
          <w:tcPr>
            <w:tcW w:w="960" w:type="dxa"/>
            <w:tcBorders>
              <w:top w:val="single" w:sz="4" w:space="0" w:color="auto"/>
              <w:left w:val="single" w:sz="4" w:space="0" w:color="auto"/>
              <w:bottom w:val="single" w:sz="4" w:space="0" w:color="auto"/>
              <w:right w:val="single" w:sz="4" w:space="0" w:color="auto"/>
            </w:tcBorders>
            <w:shd w:val="clear" w:color="000000" w:fill="FED07F"/>
            <w:noWrap/>
            <w:vAlign w:val="bottom"/>
            <w:hideMark/>
          </w:tcPr>
          <w:p w14:paraId="46F6E1D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2.21</w:t>
            </w:r>
          </w:p>
        </w:tc>
      </w:tr>
      <w:tr w:rsidR="00BE06CE" w:rsidRPr="000F45BD" w14:paraId="010E6F80"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798037"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Turkey</w:t>
            </w:r>
          </w:p>
        </w:tc>
        <w:tc>
          <w:tcPr>
            <w:tcW w:w="960" w:type="dxa"/>
            <w:tcBorders>
              <w:top w:val="single" w:sz="4" w:space="0" w:color="auto"/>
              <w:left w:val="single" w:sz="4" w:space="0" w:color="auto"/>
              <w:bottom w:val="single" w:sz="4" w:space="0" w:color="auto"/>
              <w:right w:val="single" w:sz="4" w:space="0" w:color="auto"/>
            </w:tcBorders>
            <w:shd w:val="clear" w:color="000000" w:fill="FECD7F"/>
            <w:noWrap/>
            <w:vAlign w:val="bottom"/>
            <w:hideMark/>
          </w:tcPr>
          <w:p w14:paraId="423883E4"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2.32</w:t>
            </w:r>
          </w:p>
        </w:tc>
        <w:tc>
          <w:tcPr>
            <w:tcW w:w="960" w:type="dxa"/>
            <w:tcBorders>
              <w:top w:val="single" w:sz="4" w:space="0" w:color="auto"/>
              <w:left w:val="single" w:sz="4" w:space="0" w:color="auto"/>
              <w:bottom w:val="single" w:sz="4" w:space="0" w:color="auto"/>
              <w:right w:val="single" w:sz="4" w:space="0" w:color="auto"/>
            </w:tcBorders>
            <w:shd w:val="clear" w:color="000000" w:fill="FED881"/>
            <w:noWrap/>
            <w:vAlign w:val="bottom"/>
            <w:hideMark/>
          </w:tcPr>
          <w:p w14:paraId="0D28875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1.90</w:t>
            </w:r>
          </w:p>
        </w:tc>
        <w:tc>
          <w:tcPr>
            <w:tcW w:w="960" w:type="dxa"/>
            <w:tcBorders>
              <w:top w:val="single" w:sz="4" w:space="0" w:color="auto"/>
              <w:left w:val="single" w:sz="4" w:space="0" w:color="auto"/>
              <w:bottom w:val="single" w:sz="4" w:space="0" w:color="auto"/>
              <w:right w:val="single" w:sz="4" w:space="0" w:color="auto"/>
            </w:tcBorders>
            <w:shd w:val="clear" w:color="000000" w:fill="FED881"/>
            <w:noWrap/>
            <w:vAlign w:val="bottom"/>
            <w:hideMark/>
          </w:tcPr>
          <w:p w14:paraId="66DDC3D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1.90</w:t>
            </w:r>
          </w:p>
        </w:tc>
        <w:tc>
          <w:tcPr>
            <w:tcW w:w="960" w:type="dxa"/>
            <w:tcBorders>
              <w:top w:val="single" w:sz="4" w:space="0" w:color="auto"/>
              <w:left w:val="single" w:sz="4" w:space="0" w:color="auto"/>
              <w:bottom w:val="single" w:sz="4" w:space="0" w:color="auto"/>
              <w:right w:val="single" w:sz="4" w:space="0" w:color="auto"/>
            </w:tcBorders>
            <w:shd w:val="clear" w:color="000000" w:fill="FED07F"/>
            <w:noWrap/>
            <w:vAlign w:val="bottom"/>
            <w:hideMark/>
          </w:tcPr>
          <w:p w14:paraId="64AEECC4"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2.22</w:t>
            </w:r>
          </w:p>
        </w:tc>
        <w:tc>
          <w:tcPr>
            <w:tcW w:w="960" w:type="dxa"/>
            <w:tcBorders>
              <w:top w:val="single" w:sz="4" w:space="0" w:color="auto"/>
              <w:left w:val="single" w:sz="4" w:space="0" w:color="auto"/>
              <w:bottom w:val="single" w:sz="4" w:space="0" w:color="auto"/>
              <w:right w:val="single" w:sz="4" w:space="0" w:color="auto"/>
            </w:tcBorders>
            <w:shd w:val="clear" w:color="000000" w:fill="FED580"/>
            <w:noWrap/>
            <w:vAlign w:val="bottom"/>
            <w:hideMark/>
          </w:tcPr>
          <w:p w14:paraId="25BDF6F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1.99</w:t>
            </w:r>
          </w:p>
        </w:tc>
        <w:tc>
          <w:tcPr>
            <w:tcW w:w="960" w:type="dxa"/>
            <w:tcBorders>
              <w:top w:val="single" w:sz="4" w:space="0" w:color="auto"/>
              <w:left w:val="single" w:sz="4" w:space="0" w:color="auto"/>
              <w:bottom w:val="single" w:sz="4" w:space="0" w:color="auto"/>
              <w:right w:val="single" w:sz="4" w:space="0" w:color="auto"/>
            </w:tcBorders>
            <w:shd w:val="clear" w:color="000000" w:fill="FFDC82"/>
            <w:noWrap/>
            <w:vAlign w:val="bottom"/>
            <w:hideMark/>
          </w:tcPr>
          <w:p w14:paraId="03B9354F"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1.73</w:t>
            </w:r>
          </w:p>
        </w:tc>
        <w:tc>
          <w:tcPr>
            <w:tcW w:w="960" w:type="dxa"/>
            <w:tcBorders>
              <w:top w:val="single" w:sz="4" w:space="0" w:color="auto"/>
              <w:left w:val="single" w:sz="4" w:space="0" w:color="auto"/>
              <w:bottom w:val="single" w:sz="4" w:space="0" w:color="auto"/>
              <w:right w:val="single" w:sz="4" w:space="0" w:color="auto"/>
            </w:tcBorders>
            <w:shd w:val="clear" w:color="000000" w:fill="FED380"/>
            <w:noWrap/>
            <w:vAlign w:val="bottom"/>
            <w:hideMark/>
          </w:tcPr>
          <w:p w14:paraId="733ED2A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2.10</w:t>
            </w:r>
          </w:p>
        </w:tc>
        <w:tc>
          <w:tcPr>
            <w:tcW w:w="960" w:type="dxa"/>
            <w:tcBorders>
              <w:top w:val="single" w:sz="4" w:space="0" w:color="auto"/>
              <w:left w:val="single" w:sz="4" w:space="0" w:color="auto"/>
              <w:bottom w:val="single" w:sz="4" w:space="0" w:color="auto"/>
              <w:right w:val="single" w:sz="4" w:space="0" w:color="auto"/>
            </w:tcBorders>
            <w:shd w:val="clear" w:color="000000" w:fill="FED280"/>
            <w:noWrap/>
            <w:vAlign w:val="bottom"/>
            <w:hideMark/>
          </w:tcPr>
          <w:p w14:paraId="4C24C21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2.14</w:t>
            </w:r>
          </w:p>
        </w:tc>
        <w:tc>
          <w:tcPr>
            <w:tcW w:w="960" w:type="dxa"/>
            <w:tcBorders>
              <w:top w:val="single" w:sz="4" w:space="0" w:color="auto"/>
              <w:left w:val="single" w:sz="4" w:space="0" w:color="auto"/>
              <w:bottom w:val="single" w:sz="4" w:space="0" w:color="auto"/>
              <w:right w:val="single" w:sz="4" w:space="0" w:color="auto"/>
            </w:tcBorders>
            <w:shd w:val="clear" w:color="000000" w:fill="FECE7F"/>
            <w:noWrap/>
            <w:vAlign w:val="bottom"/>
            <w:hideMark/>
          </w:tcPr>
          <w:p w14:paraId="3936A96C"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2.28</w:t>
            </w:r>
          </w:p>
        </w:tc>
      </w:tr>
      <w:tr w:rsidR="00BE06CE" w:rsidRPr="000F45BD" w14:paraId="18E2CBA2"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D83E1F"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Colombia</w:t>
            </w:r>
          </w:p>
        </w:tc>
        <w:tc>
          <w:tcPr>
            <w:tcW w:w="960" w:type="dxa"/>
            <w:tcBorders>
              <w:top w:val="single" w:sz="4" w:space="0" w:color="auto"/>
              <w:left w:val="single" w:sz="4" w:space="0" w:color="auto"/>
              <w:bottom w:val="single" w:sz="4" w:space="0" w:color="auto"/>
              <w:right w:val="single" w:sz="4" w:space="0" w:color="auto"/>
            </w:tcBorders>
            <w:shd w:val="clear" w:color="000000" w:fill="FECC7E"/>
            <w:noWrap/>
            <w:vAlign w:val="bottom"/>
            <w:hideMark/>
          </w:tcPr>
          <w:p w14:paraId="7FD3DCB6"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2.38</w:t>
            </w:r>
          </w:p>
        </w:tc>
        <w:tc>
          <w:tcPr>
            <w:tcW w:w="960" w:type="dxa"/>
            <w:tcBorders>
              <w:top w:val="single" w:sz="4" w:space="0" w:color="auto"/>
              <w:left w:val="single" w:sz="4" w:space="0" w:color="auto"/>
              <w:bottom w:val="single" w:sz="4" w:space="0" w:color="auto"/>
              <w:right w:val="single" w:sz="4" w:space="0" w:color="auto"/>
            </w:tcBorders>
            <w:shd w:val="clear" w:color="000000" w:fill="FED680"/>
            <w:noWrap/>
            <w:vAlign w:val="bottom"/>
            <w:hideMark/>
          </w:tcPr>
          <w:p w14:paraId="7DC7395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1.97</w:t>
            </w:r>
          </w:p>
        </w:tc>
        <w:tc>
          <w:tcPr>
            <w:tcW w:w="960" w:type="dxa"/>
            <w:tcBorders>
              <w:top w:val="single" w:sz="4" w:space="0" w:color="auto"/>
              <w:left w:val="single" w:sz="4" w:space="0" w:color="auto"/>
              <w:bottom w:val="single" w:sz="4" w:space="0" w:color="auto"/>
              <w:right w:val="single" w:sz="4" w:space="0" w:color="auto"/>
            </w:tcBorders>
            <w:shd w:val="clear" w:color="000000" w:fill="FFDB81"/>
            <w:noWrap/>
            <w:vAlign w:val="bottom"/>
            <w:hideMark/>
          </w:tcPr>
          <w:p w14:paraId="5EEF097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1.76</w:t>
            </w:r>
          </w:p>
        </w:tc>
        <w:tc>
          <w:tcPr>
            <w:tcW w:w="960" w:type="dxa"/>
            <w:tcBorders>
              <w:top w:val="single" w:sz="4" w:space="0" w:color="auto"/>
              <w:left w:val="single" w:sz="4" w:space="0" w:color="auto"/>
              <w:bottom w:val="single" w:sz="4" w:space="0" w:color="auto"/>
              <w:right w:val="single" w:sz="4" w:space="0" w:color="auto"/>
            </w:tcBorders>
            <w:shd w:val="clear" w:color="000000" w:fill="FED380"/>
            <w:noWrap/>
            <w:vAlign w:val="bottom"/>
            <w:hideMark/>
          </w:tcPr>
          <w:p w14:paraId="134B95E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2.09</w:t>
            </w:r>
          </w:p>
        </w:tc>
        <w:tc>
          <w:tcPr>
            <w:tcW w:w="960" w:type="dxa"/>
            <w:tcBorders>
              <w:top w:val="single" w:sz="4" w:space="0" w:color="auto"/>
              <w:left w:val="single" w:sz="4" w:space="0" w:color="auto"/>
              <w:bottom w:val="single" w:sz="4" w:space="0" w:color="auto"/>
              <w:right w:val="single" w:sz="4" w:space="0" w:color="auto"/>
            </w:tcBorders>
            <w:shd w:val="clear" w:color="000000" w:fill="FED580"/>
            <w:noWrap/>
            <w:vAlign w:val="bottom"/>
            <w:hideMark/>
          </w:tcPr>
          <w:p w14:paraId="55C310D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1.99</w:t>
            </w:r>
          </w:p>
        </w:tc>
        <w:tc>
          <w:tcPr>
            <w:tcW w:w="960" w:type="dxa"/>
            <w:tcBorders>
              <w:top w:val="single" w:sz="4" w:space="0" w:color="auto"/>
              <w:left w:val="single" w:sz="4" w:space="0" w:color="auto"/>
              <w:bottom w:val="single" w:sz="4" w:space="0" w:color="auto"/>
              <w:right w:val="single" w:sz="4" w:space="0" w:color="auto"/>
            </w:tcBorders>
            <w:shd w:val="clear" w:color="000000" w:fill="FED17F"/>
            <w:noWrap/>
            <w:vAlign w:val="bottom"/>
            <w:hideMark/>
          </w:tcPr>
          <w:p w14:paraId="376AECD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2.15</w:t>
            </w:r>
          </w:p>
        </w:tc>
        <w:tc>
          <w:tcPr>
            <w:tcW w:w="960" w:type="dxa"/>
            <w:tcBorders>
              <w:top w:val="single" w:sz="4" w:space="0" w:color="auto"/>
              <w:left w:val="single" w:sz="4" w:space="0" w:color="auto"/>
              <w:bottom w:val="single" w:sz="4" w:space="0" w:color="auto"/>
              <w:right w:val="single" w:sz="4" w:space="0" w:color="auto"/>
            </w:tcBorders>
            <w:shd w:val="clear" w:color="000000" w:fill="FED280"/>
            <w:noWrap/>
            <w:vAlign w:val="bottom"/>
            <w:hideMark/>
          </w:tcPr>
          <w:p w14:paraId="1C0CC5EE"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2.14</w:t>
            </w:r>
          </w:p>
        </w:tc>
        <w:tc>
          <w:tcPr>
            <w:tcW w:w="960" w:type="dxa"/>
            <w:tcBorders>
              <w:top w:val="single" w:sz="4" w:space="0" w:color="auto"/>
              <w:left w:val="single" w:sz="4" w:space="0" w:color="auto"/>
              <w:bottom w:val="single" w:sz="4" w:space="0" w:color="auto"/>
              <w:right w:val="single" w:sz="4" w:space="0" w:color="auto"/>
            </w:tcBorders>
            <w:shd w:val="clear" w:color="000000" w:fill="FED17F"/>
            <w:noWrap/>
            <w:vAlign w:val="bottom"/>
            <w:hideMark/>
          </w:tcPr>
          <w:p w14:paraId="3111FC6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2.17</w:t>
            </w:r>
          </w:p>
        </w:tc>
        <w:tc>
          <w:tcPr>
            <w:tcW w:w="960" w:type="dxa"/>
            <w:tcBorders>
              <w:top w:val="single" w:sz="4" w:space="0" w:color="auto"/>
              <w:left w:val="single" w:sz="4" w:space="0" w:color="auto"/>
              <w:bottom w:val="single" w:sz="4" w:space="0" w:color="auto"/>
              <w:right w:val="single" w:sz="4" w:space="0" w:color="auto"/>
            </w:tcBorders>
            <w:shd w:val="clear" w:color="000000" w:fill="FECC7E"/>
            <w:noWrap/>
            <w:vAlign w:val="bottom"/>
            <w:hideMark/>
          </w:tcPr>
          <w:p w14:paraId="1A0DA79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2.37</w:t>
            </w:r>
          </w:p>
        </w:tc>
      </w:tr>
      <w:tr w:rsidR="00BE06CE" w:rsidRPr="000F45BD" w14:paraId="5B30182F"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AACAC9"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Algeria</w:t>
            </w:r>
          </w:p>
        </w:tc>
        <w:tc>
          <w:tcPr>
            <w:tcW w:w="960" w:type="dxa"/>
            <w:tcBorders>
              <w:top w:val="single" w:sz="4" w:space="0" w:color="auto"/>
              <w:left w:val="single" w:sz="4" w:space="0" w:color="auto"/>
              <w:bottom w:val="single" w:sz="4" w:space="0" w:color="auto"/>
              <w:right w:val="single" w:sz="4" w:space="0" w:color="auto"/>
            </w:tcBorders>
            <w:shd w:val="clear" w:color="000000" w:fill="FCB179"/>
            <w:noWrap/>
            <w:vAlign w:val="bottom"/>
            <w:hideMark/>
          </w:tcPr>
          <w:p w14:paraId="66325F0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3.43</w:t>
            </w:r>
          </w:p>
        </w:tc>
        <w:tc>
          <w:tcPr>
            <w:tcW w:w="960" w:type="dxa"/>
            <w:tcBorders>
              <w:top w:val="single" w:sz="4" w:space="0" w:color="auto"/>
              <w:left w:val="single" w:sz="4" w:space="0" w:color="auto"/>
              <w:bottom w:val="single" w:sz="4" w:space="0" w:color="auto"/>
              <w:right w:val="single" w:sz="4" w:space="0" w:color="auto"/>
            </w:tcBorders>
            <w:shd w:val="clear" w:color="000000" w:fill="FDBF7C"/>
            <w:noWrap/>
            <w:vAlign w:val="bottom"/>
            <w:hideMark/>
          </w:tcPr>
          <w:p w14:paraId="3575745A"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2.89</w:t>
            </w:r>
          </w:p>
        </w:tc>
        <w:tc>
          <w:tcPr>
            <w:tcW w:w="960" w:type="dxa"/>
            <w:tcBorders>
              <w:top w:val="single" w:sz="4" w:space="0" w:color="auto"/>
              <w:left w:val="single" w:sz="4" w:space="0" w:color="auto"/>
              <w:bottom w:val="single" w:sz="4" w:space="0" w:color="auto"/>
              <w:right w:val="single" w:sz="4" w:space="0" w:color="auto"/>
            </w:tcBorders>
            <w:shd w:val="clear" w:color="000000" w:fill="FDBB7B"/>
            <w:noWrap/>
            <w:vAlign w:val="bottom"/>
            <w:hideMark/>
          </w:tcPr>
          <w:p w14:paraId="75FD797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3.02</w:t>
            </w:r>
          </w:p>
        </w:tc>
        <w:tc>
          <w:tcPr>
            <w:tcW w:w="960" w:type="dxa"/>
            <w:tcBorders>
              <w:top w:val="single" w:sz="4" w:space="0" w:color="auto"/>
              <w:left w:val="single" w:sz="4" w:space="0" w:color="auto"/>
              <w:bottom w:val="single" w:sz="4" w:space="0" w:color="auto"/>
              <w:right w:val="single" w:sz="4" w:space="0" w:color="auto"/>
            </w:tcBorders>
            <w:shd w:val="clear" w:color="000000" w:fill="FDB87B"/>
            <w:noWrap/>
            <w:vAlign w:val="bottom"/>
            <w:hideMark/>
          </w:tcPr>
          <w:p w14:paraId="182A6D4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3.16</w:t>
            </w:r>
          </w:p>
        </w:tc>
        <w:tc>
          <w:tcPr>
            <w:tcW w:w="960" w:type="dxa"/>
            <w:tcBorders>
              <w:top w:val="single" w:sz="4" w:space="0" w:color="auto"/>
              <w:left w:val="single" w:sz="4" w:space="0" w:color="auto"/>
              <w:bottom w:val="single" w:sz="4" w:space="0" w:color="auto"/>
              <w:right w:val="single" w:sz="4" w:space="0" w:color="auto"/>
            </w:tcBorders>
            <w:shd w:val="clear" w:color="000000" w:fill="FDC17C"/>
            <w:noWrap/>
            <w:vAlign w:val="bottom"/>
            <w:hideMark/>
          </w:tcPr>
          <w:p w14:paraId="2EAE1CF9"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2.82</w:t>
            </w:r>
          </w:p>
        </w:tc>
        <w:tc>
          <w:tcPr>
            <w:tcW w:w="960" w:type="dxa"/>
            <w:tcBorders>
              <w:top w:val="single" w:sz="4" w:space="0" w:color="auto"/>
              <w:left w:val="single" w:sz="4" w:space="0" w:color="auto"/>
              <w:bottom w:val="single" w:sz="4" w:space="0" w:color="auto"/>
              <w:right w:val="single" w:sz="4" w:space="0" w:color="auto"/>
            </w:tcBorders>
            <w:shd w:val="clear" w:color="000000" w:fill="FDC07C"/>
            <w:noWrap/>
            <w:vAlign w:val="bottom"/>
            <w:hideMark/>
          </w:tcPr>
          <w:p w14:paraId="689A456F"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2.84</w:t>
            </w:r>
          </w:p>
        </w:tc>
        <w:tc>
          <w:tcPr>
            <w:tcW w:w="960" w:type="dxa"/>
            <w:tcBorders>
              <w:top w:val="single" w:sz="4" w:space="0" w:color="auto"/>
              <w:left w:val="single" w:sz="4" w:space="0" w:color="auto"/>
              <w:bottom w:val="single" w:sz="4" w:space="0" w:color="auto"/>
              <w:right w:val="single" w:sz="4" w:space="0" w:color="auto"/>
            </w:tcBorders>
            <w:shd w:val="clear" w:color="000000" w:fill="FDBF7C"/>
            <w:noWrap/>
            <w:vAlign w:val="bottom"/>
            <w:hideMark/>
          </w:tcPr>
          <w:p w14:paraId="0166B06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2.90</w:t>
            </w:r>
          </w:p>
        </w:tc>
        <w:tc>
          <w:tcPr>
            <w:tcW w:w="960" w:type="dxa"/>
            <w:tcBorders>
              <w:top w:val="single" w:sz="4" w:space="0" w:color="auto"/>
              <w:left w:val="single" w:sz="4" w:space="0" w:color="auto"/>
              <w:bottom w:val="single" w:sz="4" w:space="0" w:color="auto"/>
              <w:right w:val="single" w:sz="4" w:space="0" w:color="auto"/>
            </w:tcBorders>
            <w:shd w:val="clear" w:color="000000" w:fill="FDBD7C"/>
            <w:noWrap/>
            <w:vAlign w:val="bottom"/>
            <w:hideMark/>
          </w:tcPr>
          <w:p w14:paraId="5B89592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2.97</w:t>
            </w:r>
          </w:p>
        </w:tc>
        <w:tc>
          <w:tcPr>
            <w:tcW w:w="960" w:type="dxa"/>
            <w:tcBorders>
              <w:top w:val="single" w:sz="4" w:space="0" w:color="auto"/>
              <w:left w:val="single" w:sz="4" w:space="0" w:color="auto"/>
              <w:bottom w:val="single" w:sz="4" w:space="0" w:color="auto"/>
              <w:right w:val="single" w:sz="4" w:space="0" w:color="auto"/>
            </w:tcBorders>
            <w:shd w:val="clear" w:color="000000" w:fill="FCB279"/>
            <w:noWrap/>
            <w:vAlign w:val="bottom"/>
            <w:hideMark/>
          </w:tcPr>
          <w:p w14:paraId="3F2DCD7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3.41</w:t>
            </w:r>
          </w:p>
        </w:tc>
      </w:tr>
      <w:tr w:rsidR="00BE06CE" w:rsidRPr="000F45BD" w14:paraId="57240E27"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1CA7A0"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Nepal</w:t>
            </w:r>
          </w:p>
        </w:tc>
        <w:tc>
          <w:tcPr>
            <w:tcW w:w="960" w:type="dxa"/>
            <w:tcBorders>
              <w:top w:val="single" w:sz="4" w:space="0" w:color="auto"/>
              <w:left w:val="single" w:sz="4" w:space="0" w:color="auto"/>
              <w:bottom w:val="single" w:sz="4" w:space="0" w:color="auto"/>
              <w:right w:val="single" w:sz="4" w:space="0" w:color="auto"/>
            </w:tcBorders>
            <w:shd w:val="clear" w:color="000000" w:fill="FCA477"/>
            <w:noWrap/>
            <w:vAlign w:val="bottom"/>
            <w:hideMark/>
          </w:tcPr>
          <w:p w14:paraId="69579C2F"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3.96</w:t>
            </w:r>
          </w:p>
        </w:tc>
        <w:tc>
          <w:tcPr>
            <w:tcW w:w="960" w:type="dxa"/>
            <w:tcBorders>
              <w:top w:val="single" w:sz="4" w:space="0" w:color="auto"/>
              <w:left w:val="single" w:sz="4" w:space="0" w:color="auto"/>
              <w:bottom w:val="single" w:sz="4" w:space="0" w:color="auto"/>
              <w:right w:val="single" w:sz="4" w:space="0" w:color="auto"/>
            </w:tcBorders>
            <w:shd w:val="clear" w:color="000000" w:fill="FCAF79"/>
            <w:noWrap/>
            <w:vAlign w:val="bottom"/>
            <w:hideMark/>
          </w:tcPr>
          <w:p w14:paraId="610FA8F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3.51</w:t>
            </w:r>
          </w:p>
        </w:tc>
        <w:tc>
          <w:tcPr>
            <w:tcW w:w="960" w:type="dxa"/>
            <w:tcBorders>
              <w:top w:val="single" w:sz="4" w:space="0" w:color="auto"/>
              <w:left w:val="single" w:sz="4" w:space="0" w:color="auto"/>
              <w:bottom w:val="single" w:sz="4" w:space="0" w:color="auto"/>
              <w:right w:val="single" w:sz="4" w:space="0" w:color="auto"/>
            </w:tcBorders>
            <w:shd w:val="clear" w:color="000000" w:fill="FDBA7B"/>
            <w:noWrap/>
            <w:vAlign w:val="bottom"/>
            <w:hideMark/>
          </w:tcPr>
          <w:p w14:paraId="30D1E92B"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3.08</w:t>
            </w:r>
          </w:p>
        </w:tc>
        <w:tc>
          <w:tcPr>
            <w:tcW w:w="960" w:type="dxa"/>
            <w:tcBorders>
              <w:top w:val="single" w:sz="4" w:space="0" w:color="auto"/>
              <w:left w:val="single" w:sz="4" w:space="0" w:color="auto"/>
              <w:bottom w:val="single" w:sz="4" w:space="0" w:color="auto"/>
              <w:right w:val="single" w:sz="4" w:space="0" w:color="auto"/>
            </w:tcBorders>
            <w:shd w:val="clear" w:color="000000" w:fill="FCAB78"/>
            <w:noWrap/>
            <w:vAlign w:val="bottom"/>
            <w:hideMark/>
          </w:tcPr>
          <w:p w14:paraId="7FEADD80"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3.66</w:t>
            </w:r>
          </w:p>
        </w:tc>
        <w:tc>
          <w:tcPr>
            <w:tcW w:w="960" w:type="dxa"/>
            <w:tcBorders>
              <w:top w:val="single" w:sz="4" w:space="0" w:color="auto"/>
              <w:left w:val="single" w:sz="4" w:space="0" w:color="auto"/>
              <w:bottom w:val="single" w:sz="4" w:space="0" w:color="auto"/>
              <w:right w:val="single" w:sz="4" w:space="0" w:color="auto"/>
            </w:tcBorders>
            <w:shd w:val="clear" w:color="000000" w:fill="FCAE79"/>
            <w:noWrap/>
            <w:vAlign w:val="bottom"/>
            <w:hideMark/>
          </w:tcPr>
          <w:p w14:paraId="7040714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3.55</w:t>
            </w:r>
          </w:p>
        </w:tc>
        <w:tc>
          <w:tcPr>
            <w:tcW w:w="960" w:type="dxa"/>
            <w:tcBorders>
              <w:top w:val="single" w:sz="4" w:space="0" w:color="auto"/>
              <w:left w:val="single" w:sz="4" w:space="0" w:color="auto"/>
              <w:bottom w:val="single" w:sz="4" w:space="0" w:color="auto"/>
              <w:right w:val="single" w:sz="4" w:space="0" w:color="auto"/>
            </w:tcBorders>
            <w:shd w:val="clear" w:color="000000" w:fill="FCAA78"/>
            <w:noWrap/>
            <w:vAlign w:val="bottom"/>
            <w:hideMark/>
          </w:tcPr>
          <w:p w14:paraId="7345D14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3.72</w:t>
            </w:r>
          </w:p>
        </w:tc>
        <w:tc>
          <w:tcPr>
            <w:tcW w:w="960" w:type="dxa"/>
            <w:tcBorders>
              <w:top w:val="single" w:sz="4" w:space="0" w:color="auto"/>
              <w:left w:val="single" w:sz="4" w:space="0" w:color="auto"/>
              <w:bottom w:val="single" w:sz="4" w:space="0" w:color="auto"/>
              <w:right w:val="single" w:sz="4" w:space="0" w:color="auto"/>
            </w:tcBorders>
            <w:shd w:val="clear" w:color="000000" w:fill="FDB97B"/>
            <w:noWrap/>
            <w:vAlign w:val="bottom"/>
            <w:hideMark/>
          </w:tcPr>
          <w:p w14:paraId="5879BA8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3.14</w:t>
            </w:r>
          </w:p>
        </w:tc>
        <w:tc>
          <w:tcPr>
            <w:tcW w:w="960" w:type="dxa"/>
            <w:tcBorders>
              <w:top w:val="single" w:sz="4" w:space="0" w:color="auto"/>
              <w:left w:val="single" w:sz="4" w:space="0" w:color="auto"/>
              <w:bottom w:val="single" w:sz="4" w:space="0" w:color="auto"/>
              <w:right w:val="single" w:sz="4" w:space="0" w:color="auto"/>
            </w:tcBorders>
            <w:shd w:val="clear" w:color="000000" w:fill="FDB97B"/>
            <w:noWrap/>
            <w:vAlign w:val="bottom"/>
            <w:hideMark/>
          </w:tcPr>
          <w:p w14:paraId="50F68A83"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3.12</w:t>
            </w:r>
          </w:p>
        </w:tc>
        <w:tc>
          <w:tcPr>
            <w:tcW w:w="960" w:type="dxa"/>
            <w:tcBorders>
              <w:top w:val="single" w:sz="4" w:space="0" w:color="auto"/>
              <w:left w:val="single" w:sz="4" w:space="0" w:color="auto"/>
              <w:bottom w:val="single" w:sz="4" w:space="0" w:color="auto"/>
              <w:right w:val="single" w:sz="4" w:space="0" w:color="auto"/>
            </w:tcBorders>
            <w:shd w:val="clear" w:color="000000" w:fill="FCA577"/>
            <w:noWrap/>
            <w:vAlign w:val="bottom"/>
            <w:hideMark/>
          </w:tcPr>
          <w:p w14:paraId="1D2CB4E2"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3.93</w:t>
            </w:r>
          </w:p>
        </w:tc>
      </w:tr>
      <w:tr w:rsidR="00BE06CE" w:rsidRPr="000F45BD" w14:paraId="38583DCE" w14:textId="77777777" w:rsidTr="00BE06CE">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3FD605" w14:textId="77777777" w:rsidR="00BE06CE" w:rsidRPr="000F45BD" w:rsidRDefault="00BE06CE" w:rsidP="00D4634E">
            <w:pPr>
              <w:spacing w:before="100" w:beforeAutospacing="1" w:after="100" w:afterAutospacing="1" w:line="240" w:lineRule="auto"/>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Ethiopia</w:t>
            </w:r>
          </w:p>
        </w:tc>
        <w:tc>
          <w:tcPr>
            <w:tcW w:w="960" w:type="dxa"/>
            <w:tcBorders>
              <w:top w:val="single" w:sz="4" w:space="0" w:color="auto"/>
              <w:left w:val="single" w:sz="4" w:space="0" w:color="auto"/>
              <w:bottom w:val="single" w:sz="4" w:space="0" w:color="auto"/>
              <w:right w:val="single" w:sz="4" w:space="0" w:color="auto"/>
            </w:tcBorders>
            <w:shd w:val="clear" w:color="000000" w:fill="F8696B"/>
            <w:noWrap/>
            <w:vAlign w:val="bottom"/>
            <w:hideMark/>
          </w:tcPr>
          <w:p w14:paraId="35024E37"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6.27</w:t>
            </w:r>
          </w:p>
        </w:tc>
        <w:tc>
          <w:tcPr>
            <w:tcW w:w="960" w:type="dxa"/>
            <w:tcBorders>
              <w:top w:val="single" w:sz="4" w:space="0" w:color="auto"/>
              <w:left w:val="single" w:sz="4" w:space="0" w:color="auto"/>
              <w:bottom w:val="single" w:sz="4" w:space="0" w:color="auto"/>
              <w:right w:val="single" w:sz="4" w:space="0" w:color="auto"/>
            </w:tcBorders>
            <w:shd w:val="clear" w:color="000000" w:fill="FA7E6F"/>
            <w:noWrap/>
            <w:vAlign w:val="bottom"/>
            <w:hideMark/>
          </w:tcPr>
          <w:p w14:paraId="347F6A00"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5.45</w:t>
            </w:r>
          </w:p>
        </w:tc>
        <w:tc>
          <w:tcPr>
            <w:tcW w:w="960" w:type="dxa"/>
            <w:tcBorders>
              <w:top w:val="single" w:sz="4" w:space="0" w:color="auto"/>
              <w:left w:val="single" w:sz="4" w:space="0" w:color="auto"/>
              <w:bottom w:val="single" w:sz="4" w:space="0" w:color="auto"/>
              <w:right w:val="single" w:sz="4" w:space="0" w:color="auto"/>
            </w:tcBorders>
            <w:shd w:val="clear" w:color="000000" w:fill="FA8270"/>
            <w:noWrap/>
            <w:vAlign w:val="bottom"/>
            <w:hideMark/>
          </w:tcPr>
          <w:p w14:paraId="1712498F"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5.30</w:t>
            </w:r>
          </w:p>
        </w:tc>
        <w:tc>
          <w:tcPr>
            <w:tcW w:w="960" w:type="dxa"/>
            <w:tcBorders>
              <w:top w:val="single" w:sz="4" w:space="0" w:color="auto"/>
              <w:left w:val="single" w:sz="4" w:space="0" w:color="auto"/>
              <w:bottom w:val="single" w:sz="4" w:space="0" w:color="auto"/>
              <w:right w:val="single" w:sz="4" w:space="0" w:color="auto"/>
            </w:tcBorders>
            <w:shd w:val="clear" w:color="000000" w:fill="F97A6F"/>
            <w:noWrap/>
            <w:vAlign w:val="bottom"/>
            <w:hideMark/>
          </w:tcPr>
          <w:p w14:paraId="339CB855"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5.64</w:t>
            </w:r>
          </w:p>
        </w:tc>
        <w:tc>
          <w:tcPr>
            <w:tcW w:w="960" w:type="dxa"/>
            <w:tcBorders>
              <w:top w:val="single" w:sz="4" w:space="0" w:color="auto"/>
              <w:left w:val="single" w:sz="4" w:space="0" w:color="auto"/>
              <w:bottom w:val="single" w:sz="4" w:space="0" w:color="auto"/>
              <w:right w:val="single" w:sz="4" w:space="0" w:color="auto"/>
            </w:tcBorders>
            <w:shd w:val="clear" w:color="000000" w:fill="FA7F70"/>
            <w:noWrap/>
            <w:vAlign w:val="bottom"/>
            <w:hideMark/>
          </w:tcPr>
          <w:p w14:paraId="1E58765D"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5.42</w:t>
            </w:r>
          </w:p>
        </w:tc>
        <w:tc>
          <w:tcPr>
            <w:tcW w:w="960" w:type="dxa"/>
            <w:tcBorders>
              <w:top w:val="single" w:sz="4" w:space="0" w:color="auto"/>
              <w:left w:val="single" w:sz="4" w:space="0" w:color="auto"/>
              <w:bottom w:val="single" w:sz="4" w:space="0" w:color="auto"/>
              <w:right w:val="single" w:sz="4" w:space="0" w:color="auto"/>
            </w:tcBorders>
            <w:shd w:val="clear" w:color="000000" w:fill="FA7F70"/>
            <w:noWrap/>
            <w:vAlign w:val="bottom"/>
            <w:hideMark/>
          </w:tcPr>
          <w:p w14:paraId="42C18D53"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5.41</w:t>
            </w:r>
          </w:p>
        </w:tc>
        <w:tc>
          <w:tcPr>
            <w:tcW w:w="960" w:type="dxa"/>
            <w:tcBorders>
              <w:top w:val="single" w:sz="4" w:space="0" w:color="auto"/>
              <w:left w:val="single" w:sz="4" w:space="0" w:color="auto"/>
              <w:bottom w:val="single" w:sz="4" w:space="0" w:color="auto"/>
              <w:right w:val="single" w:sz="4" w:space="0" w:color="auto"/>
            </w:tcBorders>
            <w:shd w:val="clear" w:color="000000" w:fill="FA8270"/>
            <w:noWrap/>
            <w:vAlign w:val="bottom"/>
            <w:hideMark/>
          </w:tcPr>
          <w:p w14:paraId="1657843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5.29</w:t>
            </w:r>
          </w:p>
        </w:tc>
        <w:tc>
          <w:tcPr>
            <w:tcW w:w="960" w:type="dxa"/>
            <w:tcBorders>
              <w:top w:val="single" w:sz="4" w:space="0" w:color="auto"/>
              <w:left w:val="single" w:sz="4" w:space="0" w:color="auto"/>
              <w:bottom w:val="single" w:sz="4" w:space="0" w:color="auto"/>
              <w:right w:val="single" w:sz="4" w:space="0" w:color="auto"/>
            </w:tcBorders>
            <w:shd w:val="clear" w:color="000000" w:fill="FA8270"/>
            <w:noWrap/>
            <w:vAlign w:val="bottom"/>
            <w:hideMark/>
          </w:tcPr>
          <w:p w14:paraId="367719E1"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5.30</w:t>
            </w:r>
          </w:p>
        </w:tc>
        <w:tc>
          <w:tcPr>
            <w:tcW w:w="960" w:type="dxa"/>
            <w:tcBorders>
              <w:top w:val="single" w:sz="4" w:space="0" w:color="auto"/>
              <w:left w:val="single" w:sz="4" w:space="0" w:color="auto"/>
              <w:bottom w:val="single" w:sz="4" w:space="0" w:color="auto"/>
              <w:right w:val="single" w:sz="4" w:space="0" w:color="auto"/>
            </w:tcBorders>
            <w:shd w:val="clear" w:color="000000" w:fill="F96E6C"/>
            <w:noWrap/>
            <w:vAlign w:val="bottom"/>
            <w:hideMark/>
          </w:tcPr>
          <w:p w14:paraId="12288A8F" w14:textId="77777777" w:rsidR="00BE06CE" w:rsidRPr="000F45BD" w:rsidRDefault="00BE06CE" w:rsidP="00D4634E">
            <w:pPr>
              <w:spacing w:before="100" w:beforeAutospacing="1" w:after="100" w:afterAutospacing="1" w:line="240" w:lineRule="auto"/>
              <w:jc w:val="right"/>
              <w:rPr>
                <w:rFonts w:asciiTheme="majorHAnsi" w:eastAsia="Times New Roman" w:hAnsiTheme="majorHAnsi" w:cs="Arial"/>
                <w:color w:val="000000"/>
                <w:sz w:val="20"/>
                <w:szCs w:val="20"/>
                <w:lang w:eastAsia="en-GB"/>
              </w:rPr>
            </w:pPr>
            <w:r w:rsidRPr="000F45BD">
              <w:rPr>
                <w:rFonts w:asciiTheme="majorHAnsi" w:eastAsia="Times New Roman" w:hAnsiTheme="majorHAnsi" w:cs="Arial"/>
                <w:color w:val="000000"/>
                <w:sz w:val="20"/>
                <w:szCs w:val="20"/>
                <w:lang w:eastAsia="en-GB"/>
              </w:rPr>
              <w:t>6.10</w:t>
            </w:r>
          </w:p>
        </w:tc>
      </w:tr>
    </w:tbl>
    <w:p w14:paraId="3E37118B" w14:textId="77777777" w:rsidR="00BE06CE" w:rsidRPr="000F45BD" w:rsidRDefault="00BE06CE" w:rsidP="00D4634E">
      <w:pPr>
        <w:spacing w:before="100" w:beforeAutospacing="1" w:after="100" w:afterAutospacing="1" w:line="240" w:lineRule="auto"/>
        <w:rPr>
          <w:rFonts w:asciiTheme="majorHAnsi" w:hAnsiTheme="majorHAnsi"/>
        </w:rPr>
      </w:pPr>
    </w:p>
    <w:p w14:paraId="5ACCF99F" w14:textId="78DBB4BE" w:rsidR="00F30C41" w:rsidRPr="000F45BD" w:rsidRDefault="00E27611" w:rsidP="003E05E6">
      <w:pPr>
        <w:spacing w:before="100" w:beforeAutospacing="1" w:after="100" w:afterAutospacing="1" w:line="240" w:lineRule="auto"/>
        <w:jc w:val="both"/>
        <w:rPr>
          <w:rFonts w:asciiTheme="majorHAnsi" w:hAnsiTheme="majorHAnsi"/>
        </w:rPr>
      </w:pPr>
      <w:r w:rsidRPr="000F45BD">
        <w:rPr>
          <w:rFonts w:asciiTheme="majorHAnsi" w:hAnsiTheme="majorHAnsi"/>
        </w:rPr>
        <w:t>A further consideration is the structure of children’s access to material resources across the participating countries.  Unfortunately</w:t>
      </w:r>
      <w:r w:rsidR="00F067C4" w:rsidRPr="000F45BD">
        <w:rPr>
          <w:rFonts w:asciiTheme="majorHAnsi" w:hAnsiTheme="majorHAnsi"/>
        </w:rPr>
        <w:t>, as noted above,</w:t>
      </w:r>
      <w:r w:rsidRPr="000F45BD">
        <w:rPr>
          <w:rFonts w:asciiTheme="majorHAnsi" w:hAnsiTheme="majorHAnsi"/>
        </w:rPr>
        <w:t xml:space="preserve"> </w:t>
      </w:r>
      <w:r w:rsidR="005C1B39" w:rsidRPr="000F45BD">
        <w:rPr>
          <w:rFonts w:asciiTheme="majorHAnsi" w:hAnsiTheme="majorHAnsi"/>
        </w:rPr>
        <w:t xml:space="preserve">comparatively few questions regarding children’s broader objective living conditions were included in the Children’s Worlds survey; but the control variables outlined above </w:t>
      </w:r>
      <w:r w:rsidR="00F30C41" w:rsidRPr="000F45BD">
        <w:rPr>
          <w:rFonts w:asciiTheme="majorHAnsi" w:hAnsiTheme="majorHAnsi"/>
        </w:rPr>
        <w:t xml:space="preserve">(i.e. age group, gender, number of parents in the child’s home, whether they live with siblings, and whether they live with grandparents) </w:t>
      </w:r>
      <w:r w:rsidR="005C1B39" w:rsidRPr="000F45BD">
        <w:rPr>
          <w:rFonts w:asciiTheme="majorHAnsi" w:hAnsiTheme="majorHAnsi"/>
        </w:rPr>
        <w:t xml:space="preserve">can be used to offer some initial insight into whether the factors associated with children’s access to material resources are broadly similar in the diverse national contexts.  This was tested through </w:t>
      </w:r>
      <w:r w:rsidR="00D17D2D" w:rsidRPr="000F45BD">
        <w:rPr>
          <w:rFonts w:asciiTheme="majorHAnsi" w:hAnsiTheme="majorHAnsi"/>
        </w:rPr>
        <w:t xml:space="preserve">linear </w:t>
      </w:r>
      <w:r w:rsidR="005C1B39" w:rsidRPr="000F45BD">
        <w:rPr>
          <w:rFonts w:asciiTheme="majorHAnsi" w:hAnsiTheme="majorHAnsi"/>
        </w:rPr>
        <w:t>regression analysis</w:t>
      </w:r>
      <w:r w:rsidR="00D17D2D" w:rsidRPr="000F45BD">
        <w:rPr>
          <w:rFonts w:asciiTheme="majorHAnsi" w:hAnsiTheme="majorHAnsi"/>
        </w:rPr>
        <w:t xml:space="preserve"> for each country</w:t>
      </w:r>
      <w:r w:rsidR="005C1B39" w:rsidRPr="000F45BD">
        <w:rPr>
          <w:rFonts w:asciiTheme="majorHAnsi" w:hAnsiTheme="majorHAnsi"/>
        </w:rPr>
        <w:t xml:space="preserve">, examining the </w:t>
      </w:r>
      <w:r w:rsidR="00D17D2D" w:rsidRPr="000F45BD">
        <w:rPr>
          <w:rFonts w:asciiTheme="majorHAnsi" w:hAnsiTheme="majorHAnsi"/>
        </w:rPr>
        <w:t>predictors of scores on the material resources scale.</w:t>
      </w:r>
    </w:p>
    <w:p w14:paraId="5AD7BF1A" w14:textId="7C237893" w:rsidR="0025418D" w:rsidRDefault="00F30C41" w:rsidP="00C26EB1">
      <w:pPr>
        <w:spacing w:before="100" w:beforeAutospacing="1" w:after="100" w:afterAutospacing="1" w:line="240" w:lineRule="auto"/>
        <w:jc w:val="both"/>
        <w:rPr>
          <w:rFonts w:asciiTheme="majorHAnsi" w:hAnsiTheme="majorHAnsi"/>
        </w:rPr>
      </w:pPr>
      <w:r w:rsidRPr="000F45BD">
        <w:rPr>
          <w:rFonts w:asciiTheme="majorHAnsi" w:hAnsiTheme="majorHAnsi"/>
        </w:rPr>
        <w:t>Re</w:t>
      </w:r>
      <w:r w:rsidR="00B23510" w:rsidRPr="000F45BD">
        <w:rPr>
          <w:rFonts w:asciiTheme="majorHAnsi" w:hAnsiTheme="majorHAnsi"/>
        </w:rPr>
        <w:t>sults are presented in table 8</w:t>
      </w:r>
      <w:r w:rsidRPr="000F45BD">
        <w:rPr>
          <w:rFonts w:asciiTheme="majorHAnsi" w:hAnsiTheme="majorHAnsi"/>
        </w:rPr>
        <w:t>.  On the whole, these factors have very limited power to predict variation in children’s access to material resources across all surveyed countries, with the proportion of variance explained by the models ranging from 0% (in Nepal) to 7% (in Romania and Spain).  This indicates the need for a wider range of predictors in future research</w:t>
      </w:r>
      <w:r w:rsidR="0025418D" w:rsidRPr="000F45BD">
        <w:rPr>
          <w:rFonts w:asciiTheme="majorHAnsi" w:hAnsiTheme="majorHAnsi"/>
        </w:rPr>
        <w:t>, including ideally measures relating to the material and financial resources available to children’s households as well as other factors whose relevance may vary in different national and cultural contexts</w:t>
      </w:r>
      <w:r w:rsidRPr="000F45BD">
        <w:rPr>
          <w:rFonts w:asciiTheme="majorHAnsi" w:hAnsiTheme="majorHAnsi"/>
        </w:rPr>
        <w:t>.</w:t>
      </w:r>
      <w:r w:rsidR="0025418D" w:rsidRPr="000F45BD">
        <w:rPr>
          <w:rFonts w:asciiTheme="majorHAnsi" w:hAnsiTheme="majorHAnsi"/>
        </w:rPr>
        <w:t xml:space="preserve">  Turning to the predictors in this model, a negative beta coefficient indicates greater access to material resources (since the scale is a sum of resources lacked), while a positive coefficient indicates lower access.  Age was a significant predictor in nine of the 15 countries, with 12-year-olds having greater access to material resources in eight of these countries, and lower access in only one country – Colombia.  Gender was a significant predictor in five countries, with girls having greater access in three of these (Norway, Poland and South Korea), and lower access in two (Algeria and Nepal).  The number of parents children live with was significant in seven countries, and in almost all cases living with one or two parents was associated with greater access to material resources.  The only exception to this is in South Africa, where those living with one parent have greater access than those living with none, but those living with two parents are not significantly different to those living with no parents.  Of the seven countries where living with siblings is significantly associated with access to material resources, this is associated with lower levels of access in all but one country – Algeria – where those living with siblings have greater access to resources.  Living with grandparents only had a significant association with access to material resources, with those in Estonia having lower access to material resources if they lived with grandparents, and those in Germany having greater access to such resources.</w:t>
      </w:r>
    </w:p>
    <w:p w14:paraId="2FFB734A" w14:textId="77777777" w:rsidR="00C26EB1" w:rsidRPr="000F45BD" w:rsidRDefault="00C26EB1" w:rsidP="00C26EB1">
      <w:pPr>
        <w:spacing w:before="100" w:beforeAutospacing="1" w:after="100" w:afterAutospacing="1" w:line="240" w:lineRule="auto"/>
        <w:rPr>
          <w:rFonts w:asciiTheme="majorHAnsi" w:hAnsiTheme="majorHAnsi"/>
        </w:rPr>
        <w:sectPr w:rsidR="00C26EB1" w:rsidRPr="000F45BD" w:rsidSect="002D76AB">
          <w:pgSz w:w="11906" w:h="16838"/>
          <w:pgMar w:top="1440" w:right="1440" w:bottom="1440" w:left="1440" w:header="708" w:footer="708" w:gutter="0"/>
          <w:cols w:space="708"/>
          <w:docGrid w:linePitch="360"/>
        </w:sectPr>
      </w:pPr>
    </w:p>
    <w:p w14:paraId="4890DBFC" w14:textId="1BF9377E" w:rsidR="00E27611" w:rsidRPr="000F45BD" w:rsidRDefault="00B23510" w:rsidP="00D4634E">
      <w:pPr>
        <w:spacing w:before="100" w:beforeAutospacing="1" w:after="100" w:afterAutospacing="1" w:line="240" w:lineRule="auto"/>
        <w:rPr>
          <w:rFonts w:asciiTheme="majorHAnsi" w:hAnsiTheme="majorHAnsi"/>
          <w:b/>
        </w:rPr>
      </w:pPr>
      <w:r w:rsidRPr="000F45BD">
        <w:rPr>
          <w:rFonts w:asciiTheme="majorHAnsi" w:hAnsiTheme="majorHAnsi"/>
          <w:b/>
        </w:rPr>
        <w:lastRenderedPageBreak/>
        <w:t>Table 8</w:t>
      </w:r>
      <w:r w:rsidR="00D17D2D" w:rsidRPr="000F45BD">
        <w:rPr>
          <w:rFonts w:asciiTheme="majorHAnsi" w:hAnsiTheme="majorHAnsi"/>
          <w:b/>
        </w:rPr>
        <w:t>: Linear regressions examining the predictors of material resources in each country</w:t>
      </w:r>
    </w:p>
    <w:tbl>
      <w:tblPr>
        <w:tblStyle w:val="TableGrid"/>
        <w:tblW w:w="0" w:type="auto"/>
        <w:tblLook w:val="04A0" w:firstRow="1" w:lastRow="0" w:firstColumn="1" w:lastColumn="0" w:noHBand="0" w:noVBand="1"/>
      </w:tblPr>
      <w:tblGrid>
        <w:gridCol w:w="1331"/>
        <w:gridCol w:w="501"/>
        <w:gridCol w:w="780"/>
        <w:gridCol w:w="982"/>
        <w:gridCol w:w="861"/>
        <w:gridCol w:w="808"/>
        <w:gridCol w:w="880"/>
        <w:gridCol w:w="958"/>
        <w:gridCol w:w="767"/>
        <w:gridCol w:w="689"/>
        <w:gridCol w:w="846"/>
        <w:gridCol w:w="774"/>
        <w:gridCol w:w="929"/>
        <w:gridCol w:w="767"/>
        <w:gridCol w:w="767"/>
        <w:gridCol w:w="767"/>
        <w:gridCol w:w="767"/>
      </w:tblGrid>
      <w:tr w:rsidR="00F30C41" w:rsidRPr="000F45BD" w14:paraId="33A7DBF0" w14:textId="1D49713C" w:rsidTr="00F30C41">
        <w:tc>
          <w:tcPr>
            <w:tcW w:w="1331" w:type="dxa"/>
          </w:tcPr>
          <w:p w14:paraId="13546A8A" w14:textId="77777777" w:rsidR="00D17D2D" w:rsidRPr="000F45BD" w:rsidRDefault="00D17D2D" w:rsidP="00D4634E">
            <w:pPr>
              <w:spacing w:before="100" w:beforeAutospacing="1" w:after="100" w:afterAutospacing="1"/>
              <w:rPr>
                <w:rFonts w:asciiTheme="majorHAnsi" w:hAnsiTheme="majorHAnsi"/>
                <w:sz w:val="16"/>
              </w:rPr>
            </w:pPr>
          </w:p>
        </w:tc>
        <w:tc>
          <w:tcPr>
            <w:tcW w:w="501" w:type="dxa"/>
          </w:tcPr>
          <w:p w14:paraId="2887E27D" w14:textId="77777777" w:rsidR="00D17D2D" w:rsidRPr="000F45BD" w:rsidRDefault="00D17D2D" w:rsidP="00D4634E">
            <w:pPr>
              <w:spacing w:before="100" w:beforeAutospacing="1" w:after="100" w:afterAutospacing="1"/>
              <w:rPr>
                <w:rFonts w:asciiTheme="majorHAnsi" w:hAnsiTheme="majorHAnsi"/>
                <w:sz w:val="16"/>
              </w:rPr>
            </w:pPr>
          </w:p>
        </w:tc>
        <w:tc>
          <w:tcPr>
            <w:tcW w:w="780" w:type="dxa"/>
          </w:tcPr>
          <w:p w14:paraId="00088B4A" w14:textId="33E9FFFC"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Algeria</w:t>
            </w:r>
          </w:p>
        </w:tc>
        <w:tc>
          <w:tcPr>
            <w:tcW w:w="982" w:type="dxa"/>
          </w:tcPr>
          <w:p w14:paraId="62D439FF" w14:textId="330E2B7B"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Colombia</w:t>
            </w:r>
          </w:p>
        </w:tc>
        <w:tc>
          <w:tcPr>
            <w:tcW w:w="861" w:type="dxa"/>
          </w:tcPr>
          <w:p w14:paraId="02C1DA9C" w14:textId="152F6CF7"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England</w:t>
            </w:r>
          </w:p>
        </w:tc>
        <w:tc>
          <w:tcPr>
            <w:tcW w:w="808" w:type="dxa"/>
          </w:tcPr>
          <w:p w14:paraId="61EC5428" w14:textId="5773FC92"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Estonia</w:t>
            </w:r>
          </w:p>
        </w:tc>
        <w:tc>
          <w:tcPr>
            <w:tcW w:w="880" w:type="dxa"/>
          </w:tcPr>
          <w:p w14:paraId="4265794C" w14:textId="17AD59C3"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Ethiopia</w:t>
            </w:r>
          </w:p>
        </w:tc>
        <w:tc>
          <w:tcPr>
            <w:tcW w:w="958" w:type="dxa"/>
          </w:tcPr>
          <w:p w14:paraId="49EB1F44" w14:textId="705956D1"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Germany</w:t>
            </w:r>
          </w:p>
        </w:tc>
        <w:tc>
          <w:tcPr>
            <w:tcW w:w="767" w:type="dxa"/>
          </w:tcPr>
          <w:p w14:paraId="5C1B588E" w14:textId="2E648CFC"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Israel</w:t>
            </w:r>
          </w:p>
        </w:tc>
        <w:tc>
          <w:tcPr>
            <w:tcW w:w="689" w:type="dxa"/>
          </w:tcPr>
          <w:p w14:paraId="25490AC5" w14:textId="6281592A"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Nepal</w:t>
            </w:r>
          </w:p>
        </w:tc>
        <w:tc>
          <w:tcPr>
            <w:tcW w:w="846" w:type="dxa"/>
          </w:tcPr>
          <w:p w14:paraId="1AF8EE5E" w14:textId="17469440"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Norway</w:t>
            </w:r>
          </w:p>
        </w:tc>
        <w:tc>
          <w:tcPr>
            <w:tcW w:w="774" w:type="dxa"/>
          </w:tcPr>
          <w:p w14:paraId="57BEDAD4" w14:textId="09B2159F"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Poland</w:t>
            </w:r>
          </w:p>
        </w:tc>
        <w:tc>
          <w:tcPr>
            <w:tcW w:w="929" w:type="dxa"/>
          </w:tcPr>
          <w:p w14:paraId="23E473F7" w14:textId="0FF43B59"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Romania</w:t>
            </w:r>
          </w:p>
        </w:tc>
        <w:tc>
          <w:tcPr>
            <w:tcW w:w="767" w:type="dxa"/>
          </w:tcPr>
          <w:p w14:paraId="6F931299" w14:textId="27957CDB"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S Africa</w:t>
            </w:r>
          </w:p>
        </w:tc>
        <w:tc>
          <w:tcPr>
            <w:tcW w:w="767" w:type="dxa"/>
          </w:tcPr>
          <w:p w14:paraId="1418825A" w14:textId="2CE3A7E4"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S Korea</w:t>
            </w:r>
          </w:p>
        </w:tc>
        <w:tc>
          <w:tcPr>
            <w:tcW w:w="767" w:type="dxa"/>
          </w:tcPr>
          <w:p w14:paraId="20212C29" w14:textId="34AC907F"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Spain</w:t>
            </w:r>
          </w:p>
        </w:tc>
        <w:tc>
          <w:tcPr>
            <w:tcW w:w="767" w:type="dxa"/>
          </w:tcPr>
          <w:p w14:paraId="2589DFB1" w14:textId="393C2BE6" w:rsidR="00D17D2D" w:rsidRPr="000F45BD" w:rsidRDefault="00D17D2D" w:rsidP="00D4634E">
            <w:pPr>
              <w:spacing w:before="100" w:beforeAutospacing="1" w:after="100" w:afterAutospacing="1"/>
              <w:rPr>
                <w:rFonts w:asciiTheme="majorHAnsi" w:hAnsiTheme="majorHAnsi"/>
                <w:sz w:val="16"/>
              </w:rPr>
            </w:pPr>
            <w:r w:rsidRPr="000F45BD">
              <w:rPr>
                <w:rFonts w:asciiTheme="majorHAnsi" w:hAnsiTheme="majorHAnsi"/>
                <w:sz w:val="16"/>
              </w:rPr>
              <w:t>Turkey</w:t>
            </w:r>
          </w:p>
        </w:tc>
      </w:tr>
      <w:tr w:rsidR="00F30C41" w:rsidRPr="000F45BD" w14:paraId="22F685BC" w14:textId="35575B6C" w:rsidTr="00F30C41">
        <w:tc>
          <w:tcPr>
            <w:tcW w:w="1331" w:type="dxa"/>
          </w:tcPr>
          <w:p w14:paraId="49AD651F" w14:textId="6A03B400"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Age group (ref: 10)</w:t>
            </w:r>
          </w:p>
        </w:tc>
        <w:tc>
          <w:tcPr>
            <w:tcW w:w="501" w:type="dxa"/>
          </w:tcPr>
          <w:p w14:paraId="1C0D356C" w14:textId="2B1D42A3"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12</w:t>
            </w:r>
          </w:p>
        </w:tc>
        <w:tc>
          <w:tcPr>
            <w:tcW w:w="780" w:type="dxa"/>
          </w:tcPr>
          <w:p w14:paraId="41C73DEF" w14:textId="78F12EFF"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-0.02 NS</w:t>
            </w:r>
          </w:p>
        </w:tc>
        <w:tc>
          <w:tcPr>
            <w:tcW w:w="982" w:type="dxa"/>
          </w:tcPr>
          <w:p w14:paraId="139FE187" w14:textId="245FC6D2"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0.41**</w:t>
            </w:r>
          </w:p>
        </w:tc>
        <w:tc>
          <w:tcPr>
            <w:tcW w:w="861" w:type="dxa"/>
          </w:tcPr>
          <w:p w14:paraId="779BBA80" w14:textId="35636276"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-0.33**</w:t>
            </w:r>
          </w:p>
        </w:tc>
        <w:tc>
          <w:tcPr>
            <w:tcW w:w="808" w:type="dxa"/>
          </w:tcPr>
          <w:p w14:paraId="2C4EC520" w14:textId="068E280A"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-0.06 NS</w:t>
            </w:r>
          </w:p>
        </w:tc>
        <w:tc>
          <w:tcPr>
            <w:tcW w:w="880" w:type="dxa"/>
          </w:tcPr>
          <w:p w14:paraId="64ED2395" w14:textId="2F9A17A6"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0.04 NS</w:t>
            </w:r>
          </w:p>
        </w:tc>
        <w:tc>
          <w:tcPr>
            <w:tcW w:w="958" w:type="dxa"/>
          </w:tcPr>
          <w:p w14:paraId="787AE57D" w14:textId="0C3461ED"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-0.23**</w:t>
            </w:r>
          </w:p>
        </w:tc>
        <w:tc>
          <w:tcPr>
            <w:tcW w:w="767" w:type="dxa"/>
          </w:tcPr>
          <w:p w14:paraId="1DC2EEDD" w14:textId="6BF8A017"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-0.32**</w:t>
            </w:r>
          </w:p>
        </w:tc>
        <w:tc>
          <w:tcPr>
            <w:tcW w:w="689" w:type="dxa"/>
          </w:tcPr>
          <w:p w14:paraId="69A3E37D" w14:textId="7CE97CA5"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w:t>
            </w:r>
            <w:r w:rsidR="00871F84" w:rsidRPr="000F45BD">
              <w:rPr>
                <w:rFonts w:asciiTheme="majorHAnsi" w:hAnsiTheme="majorHAnsi"/>
                <w:sz w:val="16"/>
              </w:rPr>
              <w:t>04 NS</w:t>
            </w:r>
          </w:p>
        </w:tc>
        <w:tc>
          <w:tcPr>
            <w:tcW w:w="846" w:type="dxa"/>
          </w:tcPr>
          <w:p w14:paraId="741B3797" w14:textId="74870317"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-0.08*</w:t>
            </w:r>
          </w:p>
        </w:tc>
        <w:tc>
          <w:tcPr>
            <w:tcW w:w="774" w:type="dxa"/>
          </w:tcPr>
          <w:p w14:paraId="0B5A5678" w14:textId="23730B6F"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-0.02 NS</w:t>
            </w:r>
          </w:p>
        </w:tc>
        <w:tc>
          <w:tcPr>
            <w:tcW w:w="929" w:type="dxa"/>
          </w:tcPr>
          <w:p w14:paraId="018AE951" w14:textId="5B225B26"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-0.31**</w:t>
            </w:r>
          </w:p>
        </w:tc>
        <w:tc>
          <w:tcPr>
            <w:tcW w:w="767" w:type="dxa"/>
          </w:tcPr>
          <w:p w14:paraId="65047B8F" w14:textId="00DA6F13"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-0.07 NS</w:t>
            </w:r>
          </w:p>
        </w:tc>
        <w:tc>
          <w:tcPr>
            <w:tcW w:w="767" w:type="dxa"/>
          </w:tcPr>
          <w:p w14:paraId="35FA141F" w14:textId="61CC2333"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-0.13**</w:t>
            </w:r>
          </w:p>
        </w:tc>
        <w:tc>
          <w:tcPr>
            <w:tcW w:w="767" w:type="dxa"/>
          </w:tcPr>
          <w:p w14:paraId="5A5250E7" w14:textId="39C59734"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-0.53**</w:t>
            </w:r>
          </w:p>
        </w:tc>
        <w:tc>
          <w:tcPr>
            <w:tcW w:w="767" w:type="dxa"/>
          </w:tcPr>
          <w:p w14:paraId="735B1B11" w14:textId="356AB04B"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-0.29*</w:t>
            </w:r>
          </w:p>
        </w:tc>
      </w:tr>
      <w:tr w:rsidR="00F30C41" w:rsidRPr="000F45BD" w14:paraId="563964D3" w14:textId="092A5D68" w:rsidTr="00F30C41">
        <w:tc>
          <w:tcPr>
            <w:tcW w:w="1331" w:type="dxa"/>
          </w:tcPr>
          <w:p w14:paraId="667552A3" w14:textId="2E754EB0"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Gender (ref: boy)</w:t>
            </w:r>
          </w:p>
        </w:tc>
        <w:tc>
          <w:tcPr>
            <w:tcW w:w="501" w:type="dxa"/>
          </w:tcPr>
          <w:p w14:paraId="3DF03326" w14:textId="655875C6"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Girl</w:t>
            </w:r>
          </w:p>
        </w:tc>
        <w:tc>
          <w:tcPr>
            <w:tcW w:w="780" w:type="dxa"/>
          </w:tcPr>
          <w:p w14:paraId="42E6FCEA" w14:textId="57A4E8B8"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0.44**</w:t>
            </w:r>
          </w:p>
        </w:tc>
        <w:tc>
          <w:tcPr>
            <w:tcW w:w="982" w:type="dxa"/>
          </w:tcPr>
          <w:p w14:paraId="32817B1E" w14:textId="095B29F4"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0.21 NS</w:t>
            </w:r>
          </w:p>
        </w:tc>
        <w:tc>
          <w:tcPr>
            <w:tcW w:w="861" w:type="dxa"/>
          </w:tcPr>
          <w:p w14:paraId="2C5D0D22" w14:textId="40C5125F"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-0.11 NS</w:t>
            </w:r>
          </w:p>
        </w:tc>
        <w:tc>
          <w:tcPr>
            <w:tcW w:w="808" w:type="dxa"/>
          </w:tcPr>
          <w:p w14:paraId="08CDA606" w14:textId="16A2C5E7"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0.02 NS</w:t>
            </w:r>
          </w:p>
        </w:tc>
        <w:tc>
          <w:tcPr>
            <w:tcW w:w="880" w:type="dxa"/>
          </w:tcPr>
          <w:p w14:paraId="5466F165" w14:textId="4589F72C"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0.08 NS</w:t>
            </w:r>
          </w:p>
        </w:tc>
        <w:tc>
          <w:tcPr>
            <w:tcW w:w="958" w:type="dxa"/>
          </w:tcPr>
          <w:p w14:paraId="0C4798E5" w14:textId="509D65F6"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-0.06 NS</w:t>
            </w:r>
          </w:p>
        </w:tc>
        <w:tc>
          <w:tcPr>
            <w:tcW w:w="767" w:type="dxa"/>
          </w:tcPr>
          <w:p w14:paraId="31C13D91" w14:textId="3C228033"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-0.01 NS</w:t>
            </w:r>
          </w:p>
        </w:tc>
        <w:tc>
          <w:tcPr>
            <w:tcW w:w="689" w:type="dxa"/>
          </w:tcPr>
          <w:p w14:paraId="776411B5" w14:textId="5EF5FBCF"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0.15*</w:t>
            </w:r>
          </w:p>
        </w:tc>
        <w:tc>
          <w:tcPr>
            <w:tcW w:w="846" w:type="dxa"/>
          </w:tcPr>
          <w:p w14:paraId="06CF2C04" w14:textId="7A8E9026"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-0.06*</w:t>
            </w:r>
          </w:p>
        </w:tc>
        <w:tc>
          <w:tcPr>
            <w:tcW w:w="774" w:type="dxa"/>
          </w:tcPr>
          <w:p w14:paraId="46BA92CF" w14:textId="0F8A5ACC"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-0.24**</w:t>
            </w:r>
          </w:p>
        </w:tc>
        <w:tc>
          <w:tcPr>
            <w:tcW w:w="929" w:type="dxa"/>
          </w:tcPr>
          <w:p w14:paraId="3FD82A07" w14:textId="500F97A5"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0.08 NS</w:t>
            </w:r>
          </w:p>
        </w:tc>
        <w:tc>
          <w:tcPr>
            <w:tcW w:w="767" w:type="dxa"/>
          </w:tcPr>
          <w:p w14:paraId="7730B35B" w14:textId="56E3E12D"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0.04 NS</w:t>
            </w:r>
          </w:p>
        </w:tc>
        <w:tc>
          <w:tcPr>
            <w:tcW w:w="767" w:type="dxa"/>
          </w:tcPr>
          <w:p w14:paraId="7427B35C" w14:textId="6F6F398F"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-0.17**</w:t>
            </w:r>
          </w:p>
        </w:tc>
        <w:tc>
          <w:tcPr>
            <w:tcW w:w="767" w:type="dxa"/>
          </w:tcPr>
          <w:p w14:paraId="5D63BC3D" w14:textId="6C466E32"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-0.08 NS</w:t>
            </w:r>
          </w:p>
        </w:tc>
        <w:tc>
          <w:tcPr>
            <w:tcW w:w="767" w:type="dxa"/>
          </w:tcPr>
          <w:p w14:paraId="394E0692" w14:textId="58F9FB05"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-0.01 NS</w:t>
            </w:r>
          </w:p>
        </w:tc>
      </w:tr>
      <w:tr w:rsidR="00871F84" w:rsidRPr="000F45BD" w14:paraId="0BD6A2BC" w14:textId="015ED3D4" w:rsidTr="00F30C41">
        <w:tc>
          <w:tcPr>
            <w:tcW w:w="1331" w:type="dxa"/>
            <w:vMerge w:val="restart"/>
          </w:tcPr>
          <w:p w14:paraId="72DDC55F" w14:textId="0DAB23D8"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N parents (ref: 0)</w:t>
            </w:r>
          </w:p>
        </w:tc>
        <w:tc>
          <w:tcPr>
            <w:tcW w:w="501" w:type="dxa"/>
          </w:tcPr>
          <w:p w14:paraId="40E9BBBB" w14:textId="798AD30E"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1</w:t>
            </w:r>
          </w:p>
        </w:tc>
        <w:tc>
          <w:tcPr>
            <w:tcW w:w="780" w:type="dxa"/>
          </w:tcPr>
          <w:p w14:paraId="61D3D644" w14:textId="1F757CB3"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0.54 NS</w:t>
            </w:r>
          </w:p>
        </w:tc>
        <w:tc>
          <w:tcPr>
            <w:tcW w:w="982" w:type="dxa"/>
          </w:tcPr>
          <w:p w14:paraId="16CFC6AC" w14:textId="096529F2"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-0.24 NS</w:t>
            </w:r>
          </w:p>
        </w:tc>
        <w:tc>
          <w:tcPr>
            <w:tcW w:w="861" w:type="dxa"/>
          </w:tcPr>
          <w:p w14:paraId="3C057167" w14:textId="635EA79E"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-0.11 NS</w:t>
            </w:r>
          </w:p>
        </w:tc>
        <w:tc>
          <w:tcPr>
            <w:tcW w:w="808" w:type="dxa"/>
          </w:tcPr>
          <w:p w14:paraId="37DC49BF" w14:textId="7D8EE038"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-0.01 NS</w:t>
            </w:r>
          </w:p>
        </w:tc>
        <w:tc>
          <w:tcPr>
            <w:tcW w:w="880" w:type="dxa"/>
          </w:tcPr>
          <w:p w14:paraId="1905E940" w14:textId="58DC31D8"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-0.10 NS</w:t>
            </w:r>
          </w:p>
        </w:tc>
        <w:tc>
          <w:tcPr>
            <w:tcW w:w="958" w:type="dxa"/>
          </w:tcPr>
          <w:p w14:paraId="12D1ECF5" w14:textId="415D764B"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0.12 NS</w:t>
            </w:r>
          </w:p>
        </w:tc>
        <w:tc>
          <w:tcPr>
            <w:tcW w:w="767" w:type="dxa"/>
          </w:tcPr>
          <w:p w14:paraId="1A7C2908" w14:textId="129D0975"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-1.11*</w:t>
            </w:r>
          </w:p>
        </w:tc>
        <w:tc>
          <w:tcPr>
            <w:tcW w:w="689" w:type="dxa"/>
          </w:tcPr>
          <w:p w14:paraId="37528939" w14:textId="1DCA2D49"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0.33 NS</w:t>
            </w:r>
          </w:p>
        </w:tc>
        <w:tc>
          <w:tcPr>
            <w:tcW w:w="846" w:type="dxa"/>
          </w:tcPr>
          <w:p w14:paraId="08C60063" w14:textId="4A3CF951"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-0.20 NS</w:t>
            </w:r>
          </w:p>
        </w:tc>
        <w:tc>
          <w:tcPr>
            <w:tcW w:w="774" w:type="dxa"/>
          </w:tcPr>
          <w:p w14:paraId="30F49B17" w14:textId="49CA03CC"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-0.71 NS</w:t>
            </w:r>
          </w:p>
        </w:tc>
        <w:tc>
          <w:tcPr>
            <w:tcW w:w="929" w:type="dxa"/>
          </w:tcPr>
          <w:p w14:paraId="0E37BB91" w14:textId="39A59248"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-1.19**</w:t>
            </w:r>
          </w:p>
        </w:tc>
        <w:tc>
          <w:tcPr>
            <w:tcW w:w="767" w:type="dxa"/>
          </w:tcPr>
          <w:p w14:paraId="7B06C45D" w14:textId="7F425ACE"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-0.02 NS</w:t>
            </w:r>
          </w:p>
        </w:tc>
        <w:tc>
          <w:tcPr>
            <w:tcW w:w="767" w:type="dxa"/>
          </w:tcPr>
          <w:p w14:paraId="7C9B20C8" w14:textId="19002195"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-0.07 NS</w:t>
            </w:r>
          </w:p>
        </w:tc>
        <w:tc>
          <w:tcPr>
            <w:tcW w:w="767" w:type="dxa"/>
          </w:tcPr>
          <w:p w14:paraId="283EC9F6" w14:textId="64FE58DE"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-0.97**</w:t>
            </w:r>
          </w:p>
        </w:tc>
        <w:tc>
          <w:tcPr>
            <w:tcW w:w="767" w:type="dxa"/>
          </w:tcPr>
          <w:p w14:paraId="2DF115C1" w14:textId="091FDD7D"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-1.10 NS</w:t>
            </w:r>
          </w:p>
        </w:tc>
      </w:tr>
      <w:tr w:rsidR="00871F84" w:rsidRPr="000F45BD" w14:paraId="5D6095D7" w14:textId="14DC4743" w:rsidTr="00F30C41">
        <w:tc>
          <w:tcPr>
            <w:tcW w:w="1331" w:type="dxa"/>
            <w:vMerge/>
          </w:tcPr>
          <w:p w14:paraId="442DBAE6" w14:textId="12B5006F" w:rsidR="00871F84" w:rsidRPr="000F45BD" w:rsidRDefault="00871F84" w:rsidP="00D4634E">
            <w:pPr>
              <w:spacing w:before="100" w:beforeAutospacing="1" w:after="100" w:afterAutospacing="1"/>
              <w:rPr>
                <w:rFonts w:asciiTheme="majorHAnsi" w:hAnsiTheme="majorHAnsi"/>
                <w:sz w:val="16"/>
              </w:rPr>
            </w:pPr>
          </w:p>
        </w:tc>
        <w:tc>
          <w:tcPr>
            <w:tcW w:w="501" w:type="dxa"/>
          </w:tcPr>
          <w:p w14:paraId="2967D0AA" w14:textId="5DCFCC20"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2</w:t>
            </w:r>
          </w:p>
        </w:tc>
        <w:tc>
          <w:tcPr>
            <w:tcW w:w="780" w:type="dxa"/>
          </w:tcPr>
          <w:p w14:paraId="0EBCCBB3" w14:textId="793D98CB"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0.01 NS</w:t>
            </w:r>
          </w:p>
        </w:tc>
        <w:tc>
          <w:tcPr>
            <w:tcW w:w="982" w:type="dxa"/>
          </w:tcPr>
          <w:p w14:paraId="7BDF3F81" w14:textId="0906D427"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-0.86**</w:t>
            </w:r>
          </w:p>
        </w:tc>
        <w:tc>
          <w:tcPr>
            <w:tcW w:w="861" w:type="dxa"/>
          </w:tcPr>
          <w:p w14:paraId="3E9441E2" w14:textId="415141D3"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-0.36 NS</w:t>
            </w:r>
          </w:p>
        </w:tc>
        <w:tc>
          <w:tcPr>
            <w:tcW w:w="808" w:type="dxa"/>
          </w:tcPr>
          <w:p w14:paraId="58B0450E" w14:textId="6D3CB21C"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-0.39*</w:t>
            </w:r>
          </w:p>
        </w:tc>
        <w:tc>
          <w:tcPr>
            <w:tcW w:w="880" w:type="dxa"/>
          </w:tcPr>
          <w:p w14:paraId="7D560EA3" w14:textId="127103AA"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-0.27 NS</w:t>
            </w:r>
          </w:p>
        </w:tc>
        <w:tc>
          <w:tcPr>
            <w:tcW w:w="958" w:type="dxa"/>
          </w:tcPr>
          <w:p w14:paraId="697C7A46" w14:textId="398FF29D"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-0.15 NS</w:t>
            </w:r>
          </w:p>
        </w:tc>
        <w:tc>
          <w:tcPr>
            <w:tcW w:w="767" w:type="dxa"/>
          </w:tcPr>
          <w:p w14:paraId="676BC165" w14:textId="2D809AAE"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-1.23**</w:t>
            </w:r>
          </w:p>
        </w:tc>
        <w:tc>
          <w:tcPr>
            <w:tcW w:w="689" w:type="dxa"/>
          </w:tcPr>
          <w:p w14:paraId="319B3519" w14:textId="70381160"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0.24 NS</w:t>
            </w:r>
          </w:p>
        </w:tc>
        <w:tc>
          <w:tcPr>
            <w:tcW w:w="846" w:type="dxa"/>
          </w:tcPr>
          <w:p w14:paraId="1B2FAE22" w14:textId="2035677A"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-0.29 NS</w:t>
            </w:r>
          </w:p>
        </w:tc>
        <w:tc>
          <w:tcPr>
            <w:tcW w:w="774" w:type="dxa"/>
          </w:tcPr>
          <w:p w14:paraId="0690E12B" w14:textId="66009215"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-1.11 NS</w:t>
            </w:r>
          </w:p>
        </w:tc>
        <w:tc>
          <w:tcPr>
            <w:tcW w:w="929" w:type="dxa"/>
          </w:tcPr>
          <w:p w14:paraId="6A2ECB01" w14:textId="1FE99B91"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-1.56**</w:t>
            </w:r>
          </w:p>
        </w:tc>
        <w:tc>
          <w:tcPr>
            <w:tcW w:w="767" w:type="dxa"/>
          </w:tcPr>
          <w:p w14:paraId="464894EE" w14:textId="2FA285E0"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0.90**</w:t>
            </w:r>
          </w:p>
        </w:tc>
        <w:tc>
          <w:tcPr>
            <w:tcW w:w="767" w:type="dxa"/>
          </w:tcPr>
          <w:p w14:paraId="1878D0EA" w14:textId="351503B5"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-0.56*</w:t>
            </w:r>
          </w:p>
        </w:tc>
        <w:tc>
          <w:tcPr>
            <w:tcW w:w="767" w:type="dxa"/>
          </w:tcPr>
          <w:p w14:paraId="2BE72419" w14:textId="0CA41B49"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-1.19**</w:t>
            </w:r>
          </w:p>
        </w:tc>
        <w:tc>
          <w:tcPr>
            <w:tcW w:w="767" w:type="dxa"/>
          </w:tcPr>
          <w:p w14:paraId="61A69284" w14:textId="2680C2C1"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-1.03 NS</w:t>
            </w:r>
          </w:p>
        </w:tc>
      </w:tr>
      <w:tr w:rsidR="00F30C41" w:rsidRPr="000F45BD" w14:paraId="3ACC458E" w14:textId="4E4FCAD9" w:rsidTr="00F30C41">
        <w:tc>
          <w:tcPr>
            <w:tcW w:w="1331" w:type="dxa"/>
          </w:tcPr>
          <w:p w14:paraId="5D61533D" w14:textId="3EFFCAC8"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Siblings (ref: no)</w:t>
            </w:r>
          </w:p>
        </w:tc>
        <w:tc>
          <w:tcPr>
            <w:tcW w:w="501" w:type="dxa"/>
          </w:tcPr>
          <w:p w14:paraId="79C327D8" w14:textId="7613437A"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Yes</w:t>
            </w:r>
          </w:p>
        </w:tc>
        <w:tc>
          <w:tcPr>
            <w:tcW w:w="780" w:type="dxa"/>
          </w:tcPr>
          <w:p w14:paraId="4EDC7DC2" w14:textId="4B1BA5AC"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-0.23*</w:t>
            </w:r>
          </w:p>
        </w:tc>
        <w:tc>
          <w:tcPr>
            <w:tcW w:w="982" w:type="dxa"/>
          </w:tcPr>
          <w:p w14:paraId="7BD151B7" w14:textId="66058839"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0.29**</w:t>
            </w:r>
          </w:p>
        </w:tc>
        <w:tc>
          <w:tcPr>
            <w:tcW w:w="861" w:type="dxa"/>
          </w:tcPr>
          <w:p w14:paraId="2838DC4F" w14:textId="655704EE"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0.21**</w:t>
            </w:r>
          </w:p>
        </w:tc>
        <w:tc>
          <w:tcPr>
            <w:tcW w:w="808" w:type="dxa"/>
          </w:tcPr>
          <w:p w14:paraId="28687BDF" w14:textId="4C89E06B"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0.03 NS</w:t>
            </w:r>
          </w:p>
        </w:tc>
        <w:tc>
          <w:tcPr>
            <w:tcW w:w="880" w:type="dxa"/>
          </w:tcPr>
          <w:p w14:paraId="4B64E431" w14:textId="14A63C38"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0.31 NS</w:t>
            </w:r>
          </w:p>
        </w:tc>
        <w:tc>
          <w:tcPr>
            <w:tcW w:w="958" w:type="dxa"/>
          </w:tcPr>
          <w:p w14:paraId="7892FEE5" w14:textId="625B42EE"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0.18**</w:t>
            </w:r>
          </w:p>
        </w:tc>
        <w:tc>
          <w:tcPr>
            <w:tcW w:w="767" w:type="dxa"/>
          </w:tcPr>
          <w:p w14:paraId="3A4981E4" w14:textId="39BAE27F"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-0.03 NS</w:t>
            </w:r>
          </w:p>
        </w:tc>
        <w:tc>
          <w:tcPr>
            <w:tcW w:w="689" w:type="dxa"/>
          </w:tcPr>
          <w:p w14:paraId="78132371" w14:textId="31FF7122"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0.07 NS</w:t>
            </w:r>
          </w:p>
        </w:tc>
        <w:tc>
          <w:tcPr>
            <w:tcW w:w="846" w:type="dxa"/>
          </w:tcPr>
          <w:p w14:paraId="727FD5A0" w14:textId="3BCF7F00"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0.04 NS</w:t>
            </w:r>
          </w:p>
        </w:tc>
        <w:tc>
          <w:tcPr>
            <w:tcW w:w="774" w:type="dxa"/>
          </w:tcPr>
          <w:p w14:paraId="44EDAFED" w14:textId="3EF11BD3"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-0.02 NS</w:t>
            </w:r>
          </w:p>
        </w:tc>
        <w:tc>
          <w:tcPr>
            <w:tcW w:w="929" w:type="dxa"/>
          </w:tcPr>
          <w:p w14:paraId="419A03D0" w14:textId="6001C11F"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0.53**</w:t>
            </w:r>
          </w:p>
        </w:tc>
        <w:tc>
          <w:tcPr>
            <w:tcW w:w="767" w:type="dxa"/>
          </w:tcPr>
          <w:p w14:paraId="609617E0" w14:textId="08F6B1BA"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0.15 NS</w:t>
            </w:r>
          </w:p>
        </w:tc>
        <w:tc>
          <w:tcPr>
            <w:tcW w:w="767" w:type="dxa"/>
          </w:tcPr>
          <w:p w14:paraId="2BBD820E" w14:textId="023C0189"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0.08 NS</w:t>
            </w:r>
          </w:p>
        </w:tc>
        <w:tc>
          <w:tcPr>
            <w:tcW w:w="767" w:type="dxa"/>
          </w:tcPr>
          <w:p w14:paraId="3108D47B" w14:textId="0EB782CF"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0.23**</w:t>
            </w:r>
          </w:p>
        </w:tc>
        <w:tc>
          <w:tcPr>
            <w:tcW w:w="767" w:type="dxa"/>
          </w:tcPr>
          <w:p w14:paraId="6625D6C6" w14:textId="34BC1E63"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0.29*</w:t>
            </w:r>
          </w:p>
        </w:tc>
      </w:tr>
      <w:tr w:rsidR="00F30C41" w:rsidRPr="000F45BD" w14:paraId="0BA55737" w14:textId="54AD5201" w:rsidTr="00F30C41">
        <w:tc>
          <w:tcPr>
            <w:tcW w:w="1331" w:type="dxa"/>
          </w:tcPr>
          <w:p w14:paraId="49952E61" w14:textId="056E41E0"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Grandparents (ref: no)</w:t>
            </w:r>
          </w:p>
        </w:tc>
        <w:tc>
          <w:tcPr>
            <w:tcW w:w="501" w:type="dxa"/>
          </w:tcPr>
          <w:p w14:paraId="7B211840" w14:textId="71E1E25F"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Yes</w:t>
            </w:r>
          </w:p>
        </w:tc>
        <w:tc>
          <w:tcPr>
            <w:tcW w:w="780" w:type="dxa"/>
          </w:tcPr>
          <w:p w14:paraId="3FAC475C" w14:textId="7EAF901F"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-0.02 NS</w:t>
            </w:r>
          </w:p>
        </w:tc>
        <w:tc>
          <w:tcPr>
            <w:tcW w:w="982" w:type="dxa"/>
          </w:tcPr>
          <w:p w14:paraId="4F3A74DB" w14:textId="569C6D9D"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-0.08 NS</w:t>
            </w:r>
          </w:p>
        </w:tc>
        <w:tc>
          <w:tcPr>
            <w:tcW w:w="861" w:type="dxa"/>
          </w:tcPr>
          <w:p w14:paraId="10A1C6A2" w14:textId="56651106"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-0.05 NS</w:t>
            </w:r>
          </w:p>
        </w:tc>
        <w:tc>
          <w:tcPr>
            <w:tcW w:w="808" w:type="dxa"/>
          </w:tcPr>
          <w:p w14:paraId="294DFCDC" w14:textId="607359A3"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0.12*</w:t>
            </w:r>
          </w:p>
        </w:tc>
        <w:tc>
          <w:tcPr>
            <w:tcW w:w="880" w:type="dxa"/>
          </w:tcPr>
          <w:p w14:paraId="2FEA4CC1" w14:textId="4860F14E"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-0.05 NS</w:t>
            </w:r>
          </w:p>
        </w:tc>
        <w:tc>
          <w:tcPr>
            <w:tcW w:w="958" w:type="dxa"/>
          </w:tcPr>
          <w:p w14:paraId="4A8F50DE" w14:textId="622392C1"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-0.17**</w:t>
            </w:r>
          </w:p>
        </w:tc>
        <w:tc>
          <w:tcPr>
            <w:tcW w:w="767" w:type="dxa"/>
          </w:tcPr>
          <w:p w14:paraId="771E3CCC" w14:textId="51900172"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0.16 NS</w:t>
            </w:r>
          </w:p>
        </w:tc>
        <w:tc>
          <w:tcPr>
            <w:tcW w:w="689" w:type="dxa"/>
          </w:tcPr>
          <w:p w14:paraId="69FAAC9E" w14:textId="2FA3F680" w:rsidR="00D17D2D"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-0.05 NS</w:t>
            </w:r>
          </w:p>
        </w:tc>
        <w:tc>
          <w:tcPr>
            <w:tcW w:w="846" w:type="dxa"/>
          </w:tcPr>
          <w:p w14:paraId="23F631DA" w14:textId="2247E803"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0.03 NS</w:t>
            </w:r>
          </w:p>
        </w:tc>
        <w:tc>
          <w:tcPr>
            <w:tcW w:w="774" w:type="dxa"/>
          </w:tcPr>
          <w:p w14:paraId="550B65B8" w14:textId="42C55295"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0.08 NS</w:t>
            </w:r>
          </w:p>
        </w:tc>
        <w:tc>
          <w:tcPr>
            <w:tcW w:w="929" w:type="dxa"/>
          </w:tcPr>
          <w:p w14:paraId="780C554A" w14:textId="3E5AABFC"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0.07 NS</w:t>
            </w:r>
          </w:p>
        </w:tc>
        <w:tc>
          <w:tcPr>
            <w:tcW w:w="767" w:type="dxa"/>
          </w:tcPr>
          <w:p w14:paraId="2DE04F8F" w14:textId="7B0CEDC1" w:rsidR="00D17D2D"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-0.01 NS</w:t>
            </w:r>
          </w:p>
        </w:tc>
        <w:tc>
          <w:tcPr>
            <w:tcW w:w="767" w:type="dxa"/>
          </w:tcPr>
          <w:p w14:paraId="651E9F7A" w14:textId="5313A2E2"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0.04 NS</w:t>
            </w:r>
          </w:p>
        </w:tc>
        <w:tc>
          <w:tcPr>
            <w:tcW w:w="767" w:type="dxa"/>
          </w:tcPr>
          <w:p w14:paraId="5E0F4A61" w14:textId="49EE6337"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-0.02 NS</w:t>
            </w:r>
          </w:p>
        </w:tc>
        <w:tc>
          <w:tcPr>
            <w:tcW w:w="767" w:type="dxa"/>
          </w:tcPr>
          <w:p w14:paraId="182FD5AB" w14:textId="2FE67F40" w:rsidR="00D17D2D"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0.07 NS</w:t>
            </w:r>
          </w:p>
        </w:tc>
      </w:tr>
      <w:tr w:rsidR="00F30C41" w:rsidRPr="000F45BD" w14:paraId="367F58F9" w14:textId="368CBDCA" w:rsidTr="00F30C41">
        <w:tc>
          <w:tcPr>
            <w:tcW w:w="1832" w:type="dxa"/>
            <w:gridSpan w:val="2"/>
          </w:tcPr>
          <w:p w14:paraId="2BAE296F" w14:textId="6FCDA6B7"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Constant</w:t>
            </w:r>
          </w:p>
        </w:tc>
        <w:tc>
          <w:tcPr>
            <w:tcW w:w="780" w:type="dxa"/>
          </w:tcPr>
          <w:p w14:paraId="53784C08" w14:textId="3F81B656"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3.39</w:t>
            </w:r>
          </w:p>
        </w:tc>
        <w:tc>
          <w:tcPr>
            <w:tcW w:w="982" w:type="dxa"/>
          </w:tcPr>
          <w:p w14:paraId="4909BE66" w14:textId="4A2610CD"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2.49</w:t>
            </w:r>
          </w:p>
        </w:tc>
        <w:tc>
          <w:tcPr>
            <w:tcW w:w="861" w:type="dxa"/>
          </w:tcPr>
          <w:p w14:paraId="15DA33B0" w14:textId="7E4B08F7"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0.99</w:t>
            </w:r>
          </w:p>
        </w:tc>
        <w:tc>
          <w:tcPr>
            <w:tcW w:w="808" w:type="dxa"/>
          </w:tcPr>
          <w:p w14:paraId="6EFD983D" w14:textId="4442AA37"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0.93</w:t>
            </w:r>
          </w:p>
        </w:tc>
        <w:tc>
          <w:tcPr>
            <w:tcW w:w="880" w:type="dxa"/>
          </w:tcPr>
          <w:p w14:paraId="11C649EF" w14:textId="4A1629AF"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6.19</w:t>
            </w:r>
          </w:p>
        </w:tc>
        <w:tc>
          <w:tcPr>
            <w:tcW w:w="958" w:type="dxa"/>
          </w:tcPr>
          <w:p w14:paraId="7F0F0D58" w14:textId="09C1DE58"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0.90</w:t>
            </w:r>
          </w:p>
        </w:tc>
        <w:tc>
          <w:tcPr>
            <w:tcW w:w="767" w:type="dxa"/>
          </w:tcPr>
          <w:p w14:paraId="7F7FD9A8" w14:textId="7FC8F315"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2.29</w:t>
            </w:r>
          </w:p>
        </w:tc>
        <w:tc>
          <w:tcPr>
            <w:tcW w:w="689" w:type="dxa"/>
          </w:tcPr>
          <w:p w14:paraId="66CE096D" w14:textId="40345B7A"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3.63</w:t>
            </w:r>
          </w:p>
        </w:tc>
        <w:tc>
          <w:tcPr>
            <w:tcW w:w="846" w:type="dxa"/>
          </w:tcPr>
          <w:p w14:paraId="094C7D22" w14:textId="3B9C79BB"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0.51</w:t>
            </w:r>
          </w:p>
        </w:tc>
        <w:tc>
          <w:tcPr>
            <w:tcW w:w="774" w:type="dxa"/>
          </w:tcPr>
          <w:p w14:paraId="56692F5B" w14:textId="26FDEB4F"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1.70</w:t>
            </w:r>
          </w:p>
        </w:tc>
        <w:tc>
          <w:tcPr>
            <w:tcW w:w="929" w:type="dxa"/>
          </w:tcPr>
          <w:p w14:paraId="1C4AA421" w14:textId="3784C7B3"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2.69</w:t>
            </w:r>
          </w:p>
        </w:tc>
        <w:tc>
          <w:tcPr>
            <w:tcW w:w="767" w:type="dxa"/>
          </w:tcPr>
          <w:p w14:paraId="7687594E" w14:textId="3A0A065E"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2.73</w:t>
            </w:r>
          </w:p>
        </w:tc>
        <w:tc>
          <w:tcPr>
            <w:tcW w:w="767" w:type="dxa"/>
          </w:tcPr>
          <w:p w14:paraId="417A04F0" w14:textId="335CA833"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1.08</w:t>
            </w:r>
          </w:p>
        </w:tc>
        <w:tc>
          <w:tcPr>
            <w:tcW w:w="767" w:type="dxa"/>
          </w:tcPr>
          <w:p w14:paraId="011C51EB" w14:textId="7F28FF56"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2.40</w:t>
            </w:r>
          </w:p>
        </w:tc>
        <w:tc>
          <w:tcPr>
            <w:tcW w:w="767" w:type="dxa"/>
          </w:tcPr>
          <w:p w14:paraId="5059C659" w14:textId="79953F08"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3.25</w:t>
            </w:r>
          </w:p>
        </w:tc>
      </w:tr>
      <w:tr w:rsidR="00871F84" w:rsidRPr="000F45BD" w14:paraId="035C6751" w14:textId="1F1B279D" w:rsidTr="00F30C41">
        <w:tc>
          <w:tcPr>
            <w:tcW w:w="1832" w:type="dxa"/>
            <w:gridSpan w:val="2"/>
          </w:tcPr>
          <w:p w14:paraId="5772314E" w14:textId="3123357D"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R²</w:t>
            </w:r>
          </w:p>
        </w:tc>
        <w:tc>
          <w:tcPr>
            <w:tcW w:w="780" w:type="dxa"/>
          </w:tcPr>
          <w:p w14:paraId="52DA548D" w14:textId="2EC7D726"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0.02</w:t>
            </w:r>
          </w:p>
        </w:tc>
        <w:tc>
          <w:tcPr>
            <w:tcW w:w="982" w:type="dxa"/>
          </w:tcPr>
          <w:p w14:paraId="1CEA8F8C" w14:textId="315F7079"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0.05</w:t>
            </w:r>
          </w:p>
        </w:tc>
        <w:tc>
          <w:tcPr>
            <w:tcW w:w="861" w:type="dxa"/>
          </w:tcPr>
          <w:p w14:paraId="6D91BE08" w14:textId="1FA3DA41"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0.05</w:t>
            </w:r>
          </w:p>
        </w:tc>
        <w:tc>
          <w:tcPr>
            <w:tcW w:w="808" w:type="dxa"/>
          </w:tcPr>
          <w:p w14:paraId="0B342063" w14:textId="4C88DE51"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0.04</w:t>
            </w:r>
          </w:p>
        </w:tc>
        <w:tc>
          <w:tcPr>
            <w:tcW w:w="880" w:type="dxa"/>
          </w:tcPr>
          <w:p w14:paraId="69CB2398" w14:textId="4F49EB13"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0.01</w:t>
            </w:r>
          </w:p>
        </w:tc>
        <w:tc>
          <w:tcPr>
            <w:tcW w:w="958" w:type="dxa"/>
          </w:tcPr>
          <w:p w14:paraId="31216FD0" w14:textId="6D7B7C7B"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0.03</w:t>
            </w:r>
          </w:p>
        </w:tc>
        <w:tc>
          <w:tcPr>
            <w:tcW w:w="767" w:type="dxa"/>
          </w:tcPr>
          <w:p w14:paraId="6ACB401F" w14:textId="756005BC"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0.03</w:t>
            </w:r>
          </w:p>
        </w:tc>
        <w:tc>
          <w:tcPr>
            <w:tcW w:w="689" w:type="dxa"/>
          </w:tcPr>
          <w:p w14:paraId="1267E2FF" w14:textId="33A61C08" w:rsidR="00871F84" w:rsidRPr="000F45BD" w:rsidRDefault="00871F84" w:rsidP="00D4634E">
            <w:pPr>
              <w:spacing w:before="100" w:beforeAutospacing="1" w:after="100" w:afterAutospacing="1"/>
              <w:rPr>
                <w:rFonts w:asciiTheme="majorHAnsi" w:hAnsiTheme="majorHAnsi"/>
                <w:sz w:val="16"/>
              </w:rPr>
            </w:pPr>
            <w:r w:rsidRPr="000F45BD">
              <w:rPr>
                <w:rFonts w:asciiTheme="majorHAnsi" w:hAnsiTheme="majorHAnsi"/>
                <w:sz w:val="16"/>
              </w:rPr>
              <w:t>0.00</w:t>
            </w:r>
          </w:p>
        </w:tc>
        <w:tc>
          <w:tcPr>
            <w:tcW w:w="846" w:type="dxa"/>
          </w:tcPr>
          <w:p w14:paraId="367BFC52" w14:textId="7CF6CF13"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0.02</w:t>
            </w:r>
          </w:p>
        </w:tc>
        <w:tc>
          <w:tcPr>
            <w:tcW w:w="774" w:type="dxa"/>
          </w:tcPr>
          <w:p w14:paraId="4D8BABA8" w14:textId="7638EC9E"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0.05</w:t>
            </w:r>
          </w:p>
        </w:tc>
        <w:tc>
          <w:tcPr>
            <w:tcW w:w="929" w:type="dxa"/>
          </w:tcPr>
          <w:p w14:paraId="02452C05" w14:textId="7BEE001B"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0.07</w:t>
            </w:r>
          </w:p>
        </w:tc>
        <w:tc>
          <w:tcPr>
            <w:tcW w:w="767" w:type="dxa"/>
          </w:tcPr>
          <w:p w14:paraId="32B66314" w14:textId="2DA3045D" w:rsidR="00871F84" w:rsidRPr="000F45BD" w:rsidRDefault="00F30C41" w:rsidP="00D4634E">
            <w:pPr>
              <w:spacing w:before="100" w:beforeAutospacing="1" w:after="100" w:afterAutospacing="1"/>
              <w:rPr>
                <w:rFonts w:asciiTheme="majorHAnsi" w:hAnsiTheme="majorHAnsi"/>
                <w:sz w:val="16"/>
              </w:rPr>
            </w:pPr>
            <w:r w:rsidRPr="000F45BD">
              <w:rPr>
                <w:rFonts w:asciiTheme="majorHAnsi" w:hAnsiTheme="majorHAnsi"/>
                <w:sz w:val="16"/>
              </w:rPr>
              <w:t>0.05</w:t>
            </w:r>
          </w:p>
        </w:tc>
        <w:tc>
          <w:tcPr>
            <w:tcW w:w="767" w:type="dxa"/>
          </w:tcPr>
          <w:p w14:paraId="1A03D701" w14:textId="04AD6CD2"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0.03</w:t>
            </w:r>
          </w:p>
        </w:tc>
        <w:tc>
          <w:tcPr>
            <w:tcW w:w="767" w:type="dxa"/>
          </w:tcPr>
          <w:p w14:paraId="205BF896" w14:textId="62D894D4"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0.07</w:t>
            </w:r>
          </w:p>
        </w:tc>
        <w:tc>
          <w:tcPr>
            <w:tcW w:w="767" w:type="dxa"/>
          </w:tcPr>
          <w:p w14:paraId="6FCB7F5C" w14:textId="6DA00985" w:rsidR="00871F84" w:rsidRPr="000F45BD" w:rsidRDefault="00784A04" w:rsidP="00D4634E">
            <w:pPr>
              <w:spacing w:before="100" w:beforeAutospacing="1" w:after="100" w:afterAutospacing="1"/>
              <w:rPr>
                <w:rFonts w:asciiTheme="majorHAnsi" w:hAnsiTheme="majorHAnsi"/>
                <w:sz w:val="16"/>
              </w:rPr>
            </w:pPr>
            <w:r w:rsidRPr="000F45BD">
              <w:rPr>
                <w:rFonts w:asciiTheme="majorHAnsi" w:hAnsiTheme="majorHAnsi"/>
                <w:sz w:val="16"/>
              </w:rPr>
              <w:t>0.01</w:t>
            </w:r>
          </w:p>
        </w:tc>
      </w:tr>
    </w:tbl>
    <w:p w14:paraId="14BC18EC" w14:textId="6C80ACE3" w:rsidR="00D17D2D" w:rsidRPr="000F45BD" w:rsidRDefault="00871F84" w:rsidP="00D4634E">
      <w:pPr>
        <w:spacing w:before="100" w:beforeAutospacing="1" w:after="100" w:afterAutospacing="1" w:line="240" w:lineRule="auto"/>
        <w:rPr>
          <w:rFonts w:asciiTheme="majorHAnsi" w:hAnsiTheme="majorHAnsi"/>
        </w:rPr>
      </w:pPr>
      <w:r w:rsidRPr="000F45BD">
        <w:rPr>
          <w:rFonts w:asciiTheme="majorHAnsi" w:hAnsiTheme="majorHAnsi"/>
        </w:rPr>
        <w:t>NS not significant * Significant at the 0.05 level ** Significant at the 0.01 level</w:t>
      </w:r>
    </w:p>
    <w:p w14:paraId="2E748BE4" w14:textId="77777777" w:rsidR="00D17D2D" w:rsidRPr="000F45BD" w:rsidRDefault="00D17D2D" w:rsidP="00D4634E">
      <w:pPr>
        <w:spacing w:before="100" w:beforeAutospacing="1" w:after="100" w:afterAutospacing="1" w:line="240" w:lineRule="auto"/>
        <w:rPr>
          <w:rFonts w:asciiTheme="majorHAnsi" w:hAnsiTheme="majorHAnsi"/>
        </w:rPr>
      </w:pPr>
    </w:p>
    <w:p w14:paraId="7603C677" w14:textId="77777777" w:rsidR="00D17D2D" w:rsidRPr="000F45BD" w:rsidRDefault="00D17D2D" w:rsidP="00D4634E">
      <w:pPr>
        <w:spacing w:before="100" w:beforeAutospacing="1" w:after="100" w:afterAutospacing="1" w:line="240" w:lineRule="auto"/>
        <w:jc w:val="both"/>
        <w:rPr>
          <w:rFonts w:asciiTheme="majorHAnsi" w:hAnsiTheme="majorHAnsi"/>
          <w:b/>
          <w:i/>
        </w:rPr>
        <w:sectPr w:rsidR="00D17D2D" w:rsidRPr="000F45BD" w:rsidSect="00D17D2D">
          <w:pgSz w:w="16838" w:h="11906" w:orient="landscape"/>
          <w:pgMar w:top="1440" w:right="1440" w:bottom="1440" w:left="1440" w:header="708" w:footer="708" w:gutter="0"/>
          <w:cols w:space="708"/>
          <w:docGrid w:linePitch="360"/>
        </w:sectPr>
      </w:pPr>
    </w:p>
    <w:p w14:paraId="03C95052" w14:textId="2041B3C5" w:rsidR="00570F2D" w:rsidRPr="000F45BD" w:rsidRDefault="00903712" w:rsidP="00D4634E">
      <w:pPr>
        <w:spacing w:before="100" w:beforeAutospacing="1" w:after="100" w:afterAutospacing="1" w:line="240" w:lineRule="auto"/>
        <w:jc w:val="both"/>
        <w:rPr>
          <w:rFonts w:asciiTheme="majorHAnsi" w:hAnsiTheme="majorHAnsi"/>
          <w:b/>
          <w:i/>
        </w:rPr>
      </w:pPr>
      <w:r>
        <w:rPr>
          <w:rFonts w:asciiTheme="majorHAnsi" w:hAnsiTheme="majorHAnsi"/>
          <w:b/>
          <w:i/>
        </w:rPr>
        <w:lastRenderedPageBreak/>
        <w:t xml:space="preserve">5.2 </w:t>
      </w:r>
      <w:r w:rsidR="00570F2D" w:rsidRPr="000F45BD">
        <w:rPr>
          <w:rFonts w:asciiTheme="majorHAnsi" w:hAnsiTheme="majorHAnsi"/>
          <w:b/>
          <w:i/>
        </w:rPr>
        <w:t>Material resources and subjective well-being</w:t>
      </w:r>
    </w:p>
    <w:p w14:paraId="5120801A" w14:textId="77777777" w:rsidR="00486943" w:rsidRPr="000F45BD" w:rsidRDefault="00B23510"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As noted above, a multilevel modelling approach was selected to examine the impact of material well-being on subjective well-being across the schools and countries included in the Children’s Worlds survey.  However, as a starting point </w:t>
      </w:r>
      <w:r w:rsidR="0032313A" w:rsidRPr="000F45BD">
        <w:rPr>
          <w:rFonts w:asciiTheme="majorHAnsi" w:hAnsiTheme="majorHAnsi"/>
        </w:rPr>
        <w:t xml:space="preserve">single-level linear regression </w:t>
      </w:r>
      <w:r w:rsidRPr="000F45BD">
        <w:rPr>
          <w:rFonts w:asciiTheme="majorHAnsi" w:hAnsiTheme="majorHAnsi"/>
        </w:rPr>
        <w:t>models were run for each country, using Stata’s –</w:t>
      </w:r>
      <w:proofErr w:type="spellStart"/>
      <w:r w:rsidRPr="000F45BD">
        <w:rPr>
          <w:rFonts w:asciiTheme="majorHAnsi" w:hAnsiTheme="majorHAnsi"/>
        </w:rPr>
        <w:t>svy</w:t>
      </w:r>
      <w:proofErr w:type="spellEnd"/>
      <w:r w:rsidRPr="000F45BD">
        <w:rPr>
          <w:rFonts w:asciiTheme="majorHAnsi" w:hAnsiTheme="majorHAnsi"/>
        </w:rPr>
        <w:t xml:space="preserve">- command to compensate for clustering at the school level.  These models offer insight into the power of material resources to explain variation in subjective well-being </w:t>
      </w:r>
      <w:r w:rsidR="0032313A" w:rsidRPr="000F45BD">
        <w:rPr>
          <w:rFonts w:asciiTheme="majorHAnsi" w:hAnsiTheme="majorHAnsi"/>
        </w:rPr>
        <w:t xml:space="preserve">at the country level, and provide a comparison between the various participating countries in terms of the magnitude of associations.  </w:t>
      </w:r>
    </w:p>
    <w:p w14:paraId="1A12FF65" w14:textId="7F34ED87" w:rsidR="00B23510" w:rsidRPr="000F45BD" w:rsidRDefault="0032313A" w:rsidP="00D4634E">
      <w:pPr>
        <w:spacing w:before="100" w:beforeAutospacing="1" w:after="100" w:afterAutospacing="1" w:line="240" w:lineRule="auto"/>
        <w:jc w:val="both"/>
        <w:rPr>
          <w:rFonts w:asciiTheme="majorHAnsi" w:hAnsiTheme="majorHAnsi"/>
        </w:rPr>
      </w:pPr>
      <w:r w:rsidRPr="000F45BD">
        <w:rPr>
          <w:rFonts w:asciiTheme="majorHAnsi" w:hAnsiTheme="majorHAnsi"/>
        </w:rPr>
        <w:t>Results are shown in table 9.</w:t>
      </w:r>
      <w:r w:rsidR="000B3931" w:rsidRPr="000F45BD">
        <w:rPr>
          <w:rFonts w:asciiTheme="majorHAnsi" w:hAnsiTheme="majorHAnsi"/>
        </w:rPr>
        <w:t xml:space="preserve">  Beta coefficients are presented for linear regressions examining the association between material resources and subjective well-being, controlling for age group, gender, number of parents the child lives with, whether they live with siblings or not, and whether they live with grandparents or not.  Only material resources has a significant association with subjective well-being across all the countries.  Whilst the magnitude of this association varies (from a loss of -0.77 points in Colombia and in Nepal, to a loss of 2.85 points in Estonia), the direction of the association – i.e. that increasing levels of lack of material resources is association with decreasing levels of well-being – is consistent.  Looking to the proportion of variation explained by the model, this varies from 4% in Nepal, to 14% in Turkey.  Thus the association of material resources to subjective well-being, while present across the different countries, differs in magnitude.  This supports the need for using multilevel modelling techniques to examine the impact of material resources on subjective well-being across the diverse countries, while taking into account the different levels at which the Children’s Worlds data is clustered (i.e. schools and countries).</w:t>
      </w:r>
    </w:p>
    <w:p w14:paraId="3107449A" w14:textId="375E21E5" w:rsidR="0032313A" w:rsidRPr="000F45BD" w:rsidRDefault="000B3931" w:rsidP="00D4634E">
      <w:pPr>
        <w:spacing w:before="100" w:beforeAutospacing="1" w:after="100" w:afterAutospacing="1" w:line="240" w:lineRule="auto"/>
        <w:jc w:val="both"/>
        <w:rPr>
          <w:rFonts w:asciiTheme="majorHAnsi" w:hAnsiTheme="majorHAnsi"/>
        </w:rPr>
        <w:sectPr w:rsidR="0032313A" w:rsidRPr="000F45BD" w:rsidSect="0032313A">
          <w:pgSz w:w="11906" w:h="16838"/>
          <w:pgMar w:top="1440" w:right="1440" w:bottom="1440" w:left="1440" w:header="708" w:footer="708" w:gutter="0"/>
          <w:cols w:space="708"/>
          <w:docGrid w:linePitch="360"/>
        </w:sectPr>
      </w:pPr>
      <w:r w:rsidRPr="000F45BD">
        <w:rPr>
          <w:rFonts w:asciiTheme="majorHAnsi" w:hAnsiTheme="majorHAnsi"/>
        </w:rPr>
        <w:t xml:space="preserve"> </w:t>
      </w:r>
    </w:p>
    <w:p w14:paraId="01A7447E" w14:textId="77777777" w:rsidR="0032313A" w:rsidRPr="000F45BD" w:rsidRDefault="0032313A"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lastRenderedPageBreak/>
        <w:t>Table 9: Linear regression models showing associations between material resources and subjective well-being in the 15 countries</w:t>
      </w:r>
    </w:p>
    <w:tbl>
      <w:tblPr>
        <w:tblStyle w:val="TableGrid"/>
        <w:tblW w:w="0" w:type="auto"/>
        <w:tblLook w:val="04A0" w:firstRow="1" w:lastRow="0" w:firstColumn="1" w:lastColumn="0" w:noHBand="0" w:noVBand="1"/>
      </w:tblPr>
      <w:tblGrid>
        <w:gridCol w:w="1327"/>
        <w:gridCol w:w="500"/>
        <w:gridCol w:w="779"/>
        <w:gridCol w:w="980"/>
        <w:gridCol w:w="860"/>
        <w:gridCol w:w="807"/>
        <w:gridCol w:w="879"/>
        <w:gridCol w:w="840"/>
        <w:gridCol w:w="804"/>
        <w:gridCol w:w="792"/>
        <w:gridCol w:w="845"/>
        <w:gridCol w:w="773"/>
        <w:gridCol w:w="927"/>
        <w:gridCol w:w="765"/>
        <w:gridCol w:w="765"/>
        <w:gridCol w:w="765"/>
        <w:gridCol w:w="766"/>
      </w:tblGrid>
      <w:tr w:rsidR="007477BB" w:rsidRPr="000F45BD" w14:paraId="33FA6338" w14:textId="77777777" w:rsidTr="00486943">
        <w:tc>
          <w:tcPr>
            <w:tcW w:w="1331" w:type="dxa"/>
          </w:tcPr>
          <w:p w14:paraId="337CDF59" w14:textId="77777777" w:rsidR="0032313A" w:rsidRPr="000F45BD" w:rsidRDefault="0032313A" w:rsidP="00D4634E">
            <w:pPr>
              <w:spacing w:before="100" w:beforeAutospacing="1" w:after="100" w:afterAutospacing="1"/>
              <w:rPr>
                <w:rFonts w:asciiTheme="majorHAnsi" w:hAnsiTheme="majorHAnsi"/>
                <w:sz w:val="16"/>
                <w:szCs w:val="16"/>
              </w:rPr>
            </w:pPr>
          </w:p>
        </w:tc>
        <w:tc>
          <w:tcPr>
            <w:tcW w:w="501" w:type="dxa"/>
          </w:tcPr>
          <w:p w14:paraId="58911DAA" w14:textId="77777777" w:rsidR="0032313A" w:rsidRPr="000F45BD" w:rsidRDefault="0032313A" w:rsidP="00D4634E">
            <w:pPr>
              <w:spacing w:before="100" w:beforeAutospacing="1" w:after="100" w:afterAutospacing="1"/>
              <w:rPr>
                <w:rFonts w:asciiTheme="majorHAnsi" w:hAnsiTheme="majorHAnsi"/>
                <w:sz w:val="16"/>
                <w:szCs w:val="16"/>
              </w:rPr>
            </w:pPr>
          </w:p>
        </w:tc>
        <w:tc>
          <w:tcPr>
            <w:tcW w:w="780" w:type="dxa"/>
          </w:tcPr>
          <w:p w14:paraId="522BF5C6"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Algeria</w:t>
            </w:r>
          </w:p>
        </w:tc>
        <w:tc>
          <w:tcPr>
            <w:tcW w:w="982" w:type="dxa"/>
          </w:tcPr>
          <w:p w14:paraId="7B807FCC"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Colombia</w:t>
            </w:r>
          </w:p>
        </w:tc>
        <w:tc>
          <w:tcPr>
            <w:tcW w:w="861" w:type="dxa"/>
          </w:tcPr>
          <w:p w14:paraId="0BB3B145"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England</w:t>
            </w:r>
          </w:p>
        </w:tc>
        <w:tc>
          <w:tcPr>
            <w:tcW w:w="808" w:type="dxa"/>
          </w:tcPr>
          <w:p w14:paraId="07A456CC"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Estonia</w:t>
            </w:r>
          </w:p>
        </w:tc>
        <w:tc>
          <w:tcPr>
            <w:tcW w:w="880" w:type="dxa"/>
          </w:tcPr>
          <w:p w14:paraId="46A28276"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Ethiopia</w:t>
            </w:r>
          </w:p>
        </w:tc>
        <w:tc>
          <w:tcPr>
            <w:tcW w:w="814" w:type="dxa"/>
          </w:tcPr>
          <w:p w14:paraId="6373C51A"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Germany</w:t>
            </w:r>
          </w:p>
        </w:tc>
        <w:tc>
          <w:tcPr>
            <w:tcW w:w="806" w:type="dxa"/>
          </w:tcPr>
          <w:p w14:paraId="6B5D6749"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Israel</w:t>
            </w:r>
          </w:p>
        </w:tc>
        <w:tc>
          <w:tcPr>
            <w:tcW w:w="794" w:type="dxa"/>
          </w:tcPr>
          <w:p w14:paraId="79504A7C"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Nepal</w:t>
            </w:r>
          </w:p>
        </w:tc>
        <w:tc>
          <w:tcPr>
            <w:tcW w:w="846" w:type="dxa"/>
          </w:tcPr>
          <w:p w14:paraId="184677B4"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Norway</w:t>
            </w:r>
          </w:p>
        </w:tc>
        <w:tc>
          <w:tcPr>
            <w:tcW w:w="774" w:type="dxa"/>
          </w:tcPr>
          <w:p w14:paraId="626AE338"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Poland</w:t>
            </w:r>
          </w:p>
        </w:tc>
        <w:tc>
          <w:tcPr>
            <w:tcW w:w="929" w:type="dxa"/>
          </w:tcPr>
          <w:p w14:paraId="399BC957"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Romania</w:t>
            </w:r>
          </w:p>
        </w:tc>
        <w:tc>
          <w:tcPr>
            <w:tcW w:w="767" w:type="dxa"/>
          </w:tcPr>
          <w:p w14:paraId="2887DAF6"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S Africa</w:t>
            </w:r>
          </w:p>
        </w:tc>
        <w:tc>
          <w:tcPr>
            <w:tcW w:w="767" w:type="dxa"/>
          </w:tcPr>
          <w:p w14:paraId="7EE7C65C"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S Korea</w:t>
            </w:r>
          </w:p>
        </w:tc>
        <w:tc>
          <w:tcPr>
            <w:tcW w:w="767" w:type="dxa"/>
          </w:tcPr>
          <w:p w14:paraId="1CB1C411"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Spain</w:t>
            </w:r>
          </w:p>
        </w:tc>
        <w:tc>
          <w:tcPr>
            <w:tcW w:w="767" w:type="dxa"/>
          </w:tcPr>
          <w:p w14:paraId="6ABB7167"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Turkey</w:t>
            </w:r>
          </w:p>
        </w:tc>
      </w:tr>
      <w:tr w:rsidR="007477BB" w:rsidRPr="000F45BD" w14:paraId="22CEC817" w14:textId="77777777" w:rsidTr="00486943">
        <w:tc>
          <w:tcPr>
            <w:tcW w:w="1331" w:type="dxa"/>
          </w:tcPr>
          <w:p w14:paraId="27BD3D47"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Age group (ref: 10)</w:t>
            </w:r>
          </w:p>
        </w:tc>
        <w:tc>
          <w:tcPr>
            <w:tcW w:w="501" w:type="dxa"/>
          </w:tcPr>
          <w:p w14:paraId="21E48FC8"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12</w:t>
            </w:r>
          </w:p>
        </w:tc>
        <w:tc>
          <w:tcPr>
            <w:tcW w:w="780" w:type="dxa"/>
          </w:tcPr>
          <w:p w14:paraId="586CADF7" w14:textId="3CF52296"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-1.06 NS</w:t>
            </w:r>
          </w:p>
        </w:tc>
        <w:tc>
          <w:tcPr>
            <w:tcW w:w="982" w:type="dxa"/>
          </w:tcPr>
          <w:p w14:paraId="5C5AD36A" w14:textId="22BF64E4"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-1.51**</w:t>
            </w:r>
          </w:p>
        </w:tc>
        <w:tc>
          <w:tcPr>
            <w:tcW w:w="861" w:type="dxa"/>
          </w:tcPr>
          <w:p w14:paraId="236D7EEC" w14:textId="5C9F8F11"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-2.33**</w:t>
            </w:r>
          </w:p>
        </w:tc>
        <w:tc>
          <w:tcPr>
            <w:tcW w:w="808" w:type="dxa"/>
          </w:tcPr>
          <w:p w14:paraId="3AAAEF6A" w14:textId="7053D7E4"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-1.80**</w:t>
            </w:r>
          </w:p>
        </w:tc>
        <w:tc>
          <w:tcPr>
            <w:tcW w:w="880" w:type="dxa"/>
          </w:tcPr>
          <w:p w14:paraId="4AAF7A84" w14:textId="38A3EDEA"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-0.53 NS</w:t>
            </w:r>
          </w:p>
        </w:tc>
        <w:tc>
          <w:tcPr>
            <w:tcW w:w="814" w:type="dxa"/>
          </w:tcPr>
          <w:p w14:paraId="48FBFEF5" w14:textId="467BDB35"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-3.53**</w:t>
            </w:r>
          </w:p>
        </w:tc>
        <w:tc>
          <w:tcPr>
            <w:tcW w:w="806" w:type="dxa"/>
          </w:tcPr>
          <w:p w14:paraId="0670D127" w14:textId="0524F972"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-0.50 NS</w:t>
            </w:r>
          </w:p>
        </w:tc>
        <w:tc>
          <w:tcPr>
            <w:tcW w:w="794" w:type="dxa"/>
          </w:tcPr>
          <w:p w14:paraId="311477F8" w14:textId="68636752"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-1.78*</w:t>
            </w:r>
          </w:p>
        </w:tc>
        <w:tc>
          <w:tcPr>
            <w:tcW w:w="846" w:type="dxa"/>
          </w:tcPr>
          <w:p w14:paraId="794B44C6" w14:textId="4FE8D009"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-1.61**</w:t>
            </w:r>
          </w:p>
        </w:tc>
        <w:tc>
          <w:tcPr>
            <w:tcW w:w="774" w:type="dxa"/>
          </w:tcPr>
          <w:p w14:paraId="579A5E68" w14:textId="7EEE45F2"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-3.34**</w:t>
            </w:r>
          </w:p>
        </w:tc>
        <w:tc>
          <w:tcPr>
            <w:tcW w:w="929" w:type="dxa"/>
          </w:tcPr>
          <w:p w14:paraId="5824ACFF" w14:textId="79F4523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-0.75*</w:t>
            </w:r>
          </w:p>
        </w:tc>
        <w:tc>
          <w:tcPr>
            <w:tcW w:w="767" w:type="dxa"/>
          </w:tcPr>
          <w:p w14:paraId="120D9E16" w14:textId="3A303726"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-0.65 NS</w:t>
            </w:r>
          </w:p>
        </w:tc>
        <w:tc>
          <w:tcPr>
            <w:tcW w:w="767" w:type="dxa"/>
          </w:tcPr>
          <w:p w14:paraId="2F76779A" w14:textId="5356A4A9"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-5.61**</w:t>
            </w:r>
          </w:p>
        </w:tc>
        <w:tc>
          <w:tcPr>
            <w:tcW w:w="767" w:type="dxa"/>
          </w:tcPr>
          <w:p w14:paraId="6ED71EF7" w14:textId="1827E0E6"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-3.10**</w:t>
            </w:r>
          </w:p>
        </w:tc>
        <w:tc>
          <w:tcPr>
            <w:tcW w:w="767" w:type="dxa"/>
          </w:tcPr>
          <w:p w14:paraId="4DCBE9A2" w14:textId="0D0D8647"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-3.73**</w:t>
            </w:r>
          </w:p>
        </w:tc>
      </w:tr>
      <w:tr w:rsidR="007477BB" w:rsidRPr="000F45BD" w14:paraId="574B4998" w14:textId="77777777" w:rsidTr="00486943">
        <w:tc>
          <w:tcPr>
            <w:tcW w:w="1331" w:type="dxa"/>
          </w:tcPr>
          <w:p w14:paraId="71DEE4D5"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Gender (ref: boy)</w:t>
            </w:r>
          </w:p>
        </w:tc>
        <w:tc>
          <w:tcPr>
            <w:tcW w:w="501" w:type="dxa"/>
          </w:tcPr>
          <w:p w14:paraId="0EFDAE5A"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Girl</w:t>
            </w:r>
          </w:p>
        </w:tc>
        <w:tc>
          <w:tcPr>
            <w:tcW w:w="780" w:type="dxa"/>
          </w:tcPr>
          <w:p w14:paraId="3516669F" w14:textId="233CA4BE"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1.29**</w:t>
            </w:r>
          </w:p>
        </w:tc>
        <w:tc>
          <w:tcPr>
            <w:tcW w:w="982" w:type="dxa"/>
          </w:tcPr>
          <w:p w14:paraId="376BB6E2" w14:textId="238E4A95"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1.43**</w:t>
            </w:r>
          </w:p>
        </w:tc>
        <w:tc>
          <w:tcPr>
            <w:tcW w:w="861" w:type="dxa"/>
          </w:tcPr>
          <w:p w14:paraId="3A53BCC4" w14:textId="7040763C"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-1.23*</w:t>
            </w:r>
          </w:p>
        </w:tc>
        <w:tc>
          <w:tcPr>
            <w:tcW w:w="808" w:type="dxa"/>
          </w:tcPr>
          <w:p w14:paraId="397D7BAD" w14:textId="5B8E3120"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1.08*</w:t>
            </w:r>
          </w:p>
        </w:tc>
        <w:tc>
          <w:tcPr>
            <w:tcW w:w="880" w:type="dxa"/>
          </w:tcPr>
          <w:p w14:paraId="1DFE78D6" w14:textId="03EB050D"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0.76 NS</w:t>
            </w:r>
          </w:p>
        </w:tc>
        <w:tc>
          <w:tcPr>
            <w:tcW w:w="814" w:type="dxa"/>
          </w:tcPr>
          <w:p w14:paraId="466E6D2D" w14:textId="189554ED"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-0.90*</w:t>
            </w:r>
          </w:p>
        </w:tc>
        <w:tc>
          <w:tcPr>
            <w:tcW w:w="806" w:type="dxa"/>
          </w:tcPr>
          <w:p w14:paraId="155F4379" w14:textId="76822F80"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0.75 NS</w:t>
            </w:r>
          </w:p>
        </w:tc>
        <w:tc>
          <w:tcPr>
            <w:tcW w:w="794" w:type="dxa"/>
          </w:tcPr>
          <w:p w14:paraId="02AC308F" w14:textId="487FB0A5"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1.78**</w:t>
            </w:r>
          </w:p>
        </w:tc>
        <w:tc>
          <w:tcPr>
            <w:tcW w:w="846" w:type="dxa"/>
          </w:tcPr>
          <w:p w14:paraId="22CF88E3" w14:textId="3181D3D2"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-0.89 NS</w:t>
            </w:r>
          </w:p>
        </w:tc>
        <w:tc>
          <w:tcPr>
            <w:tcW w:w="774" w:type="dxa"/>
          </w:tcPr>
          <w:p w14:paraId="0EC32305" w14:textId="15FE575E"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-0.43 NS</w:t>
            </w:r>
          </w:p>
        </w:tc>
        <w:tc>
          <w:tcPr>
            <w:tcW w:w="929" w:type="dxa"/>
          </w:tcPr>
          <w:p w14:paraId="6F2323EC" w14:textId="648990FE"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0.57*</w:t>
            </w:r>
          </w:p>
        </w:tc>
        <w:tc>
          <w:tcPr>
            <w:tcW w:w="767" w:type="dxa"/>
          </w:tcPr>
          <w:p w14:paraId="3225FBE9" w14:textId="66C09062"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-0.83 NS</w:t>
            </w:r>
          </w:p>
        </w:tc>
        <w:tc>
          <w:tcPr>
            <w:tcW w:w="767" w:type="dxa"/>
          </w:tcPr>
          <w:p w14:paraId="763DF820" w14:textId="3DF7D53D"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-2.31**</w:t>
            </w:r>
          </w:p>
        </w:tc>
        <w:tc>
          <w:tcPr>
            <w:tcW w:w="767" w:type="dxa"/>
          </w:tcPr>
          <w:p w14:paraId="4264E5B3" w14:textId="4CEB85C9"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-0.12 NS</w:t>
            </w:r>
          </w:p>
        </w:tc>
        <w:tc>
          <w:tcPr>
            <w:tcW w:w="767" w:type="dxa"/>
          </w:tcPr>
          <w:p w14:paraId="33CCEA75" w14:textId="5AE4FB3A"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0.13 NS</w:t>
            </w:r>
          </w:p>
        </w:tc>
      </w:tr>
      <w:tr w:rsidR="007477BB" w:rsidRPr="000F45BD" w14:paraId="49D35D3D" w14:textId="77777777" w:rsidTr="00486943">
        <w:tc>
          <w:tcPr>
            <w:tcW w:w="1331" w:type="dxa"/>
            <w:vMerge w:val="restart"/>
          </w:tcPr>
          <w:p w14:paraId="7E5323CE"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N parents (ref: 0)</w:t>
            </w:r>
          </w:p>
        </w:tc>
        <w:tc>
          <w:tcPr>
            <w:tcW w:w="501" w:type="dxa"/>
          </w:tcPr>
          <w:p w14:paraId="5691A300"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w:t>
            </w:r>
          </w:p>
        </w:tc>
        <w:tc>
          <w:tcPr>
            <w:tcW w:w="780" w:type="dxa"/>
          </w:tcPr>
          <w:p w14:paraId="2C2718EF" w14:textId="6888D51A"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1.96 NS</w:t>
            </w:r>
          </w:p>
        </w:tc>
        <w:tc>
          <w:tcPr>
            <w:tcW w:w="982" w:type="dxa"/>
          </w:tcPr>
          <w:p w14:paraId="72F44BCF" w14:textId="24D0021C"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2.18 NS</w:t>
            </w:r>
          </w:p>
        </w:tc>
        <w:tc>
          <w:tcPr>
            <w:tcW w:w="861" w:type="dxa"/>
          </w:tcPr>
          <w:p w14:paraId="210D2CE0" w14:textId="042DB9F6"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1.91 NS</w:t>
            </w:r>
          </w:p>
        </w:tc>
        <w:tc>
          <w:tcPr>
            <w:tcW w:w="808" w:type="dxa"/>
          </w:tcPr>
          <w:p w14:paraId="117F5DC7" w14:textId="33D8298B"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1.32 NS</w:t>
            </w:r>
          </w:p>
        </w:tc>
        <w:tc>
          <w:tcPr>
            <w:tcW w:w="880" w:type="dxa"/>
          </w:tcPr>
          <w:p w14:paraId="5E3D4AF2" w14:textId="6A2D6B6F"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-0.76 NS</w:t>
            </w:r>
          </w:p>
        </w:tc>
        <w:tc>
          <w:tcPr>
            <w:tcW w:w="814" w:type="dxa"/>
          </w:tcPr>
          <w:p w14:paraId="707113D5" w14:textId="5D897743"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-2.56 NS</w:t>
            </w:r>
          </w:p>
        </w:tc>
        <w:tc>
          <w:tcPr>
            <w:tcW w:w="806" w:type="dxa"/>
          </w:tcPr>
          <w:p w14:paraId="3D12BE20" w14:textId="7B653E54"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-0.38 NS</w:t>
            </w:r>
          </w:p>
        </w:tc>
        <w:tc>
          <w:tcPr>
            <w:tcW w:w="794" w:type="dxa"/>
          </w:tcPr>
          <w:p w14:paraId="1314B342" w14:textId="65A88D72"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2.57 NS</w:t>
            </w:r>
          </w:p>
        </w:tc>
        <w:tc>
          <w:tcPr>
            <w:tcW w:w="846" w:type="dxa"/>
          </w:tcPr>
          <w:p w14:paraId="1C2DB874" w14:textId="5CA7DE01"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-0.77 NS</w:t>
            </w:r>
          </w:p>
        </w:tc>
        <w:tc>
          <w:tcPr>
            <w:tcW w:w="774" w:type="dxa"/>
          </w:tcPr>
          <w:p w14:paraId="210A0CF0" w14:textId="596A6DC4"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3.83 NS</w:t>
            </w:r>
          </w:p>
        </w:tc>
        <w:tc>
          <w:tcPr>
            <w:tcW w:w="929" w:type="dxa"/>
          </w:tcPr>
          <w:p w14:paraId="199F2204" w14:textId="0C8C5FCE"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0.51 NS</w:t>
            </w:r>
          </w:p>
        </w:tc>
        <w:tc>
          <w:tcPr>
            <w:tcW w:w="767" w:type="dxa"/>
          </w:tcPr>
          <w:p w14:paraId="08E8AA3B" w14:textId="046FE8CE"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-0.24 NS</w:t>
            </w:r>
          </w:p>
        </w:tc>
        <w:tc>
          <w:tcPr>
            <w:tcW w:w="767" w:type="dxa"/>
          </w:tcPr>
          <w:p w14:paraId="60D74471" w14:textId="05C7D901"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-0.43 NS</w:t>
            </w:r>
          </w:p>
        </w:tc>
        <w:tc>
          <w:tcPr>
            <w:tcW w:w="767" w:type="dxa"/>
          </w:tcPr>
          <w:p w14:paraId="3D6986EE" w14:textId="02784CA3"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2.37 NS</w:t>
            </w:r>
          </w:p>
        </w:tc>
        <w:tc>
          <w:tcPr>
            <w:tcW w:w="767" w:type="dxa"/>
          </w:tcPr>
          <w:p w14:paraId="146A372C" w14:textId="1D86CB12"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0.63 NS</w:t>
            </w:r>
          </w:p>
        </w:tc>
      </w:tr>
      <w:tr w:rsidR="007477BB" w:rsidRPr="000F45BD" w14:paraId="5BB7E19C" w14:textId="77777777" w:rsidTr="00486943">
        <w:tc>
          <w:tcPr>
            <w:tcW w:w="1331" w:type="dxa"/>
            <w:vMerge/>
          </w:tcPr>
          <w:p w14:paraId="4CACC739" w14:textId="77777777" w:rsidR="0032313A" w:rsidRPr="000F45BD" w:rsidRDefault="0032313A" w:rsidP="00D4634E">
            <w:pPr>
              <w:spacing w:before="100" w:beforeAutospacing="1" w:after="100" w:afterAutospacing="1"/>
              <w:rPr>
                <w:rFonts w:asciiTheme="majorHAnsi" w:hAnsiTheme="majorHAnsi"/>
                <w:sz w:val="16"/>
                <w:szCs w:val="16"/>
              </w:rPr>
            </w:pPr>
          </w:p>
        </w:tc>
        <w:tc>
          <w:tcPr>
            <w:tcW w:w="501" w:type="dxa"/>
          </w:tcPr>
          <w:p w14:paraId="1B63BC49"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w:t>
            </w:r>
          </w:p>
        </w:tc>
        <w:tc>
          <w:tcPr>
            <w:tcW w:w="780" w:type="dxa"/>
          </w:tcPr>
          <w:p w14:paraId="5C3B098B" w14:textId="64643C9B"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2.11 NS</w:t>
            </w:r>
          </w:p>
        </w:tc>
        <w:tc>
          <w:tcPr>
            <w:tcW w:w="982" w:type="dxa"/>
          </w:tcPr>
          <w:p w14:paraId="5FEA0F35" w14:textId="5AEDA6B1"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3.24 NS</w:t>
            </w:r>
          </w:p>
        </w:tc>
        <w:tc>
          <w:tcPr>
            <w:tcW w:w="861" w:type="dxa"/>
          </w:tcPr>
          <w:p w14:paraId="31564BCE" w14:textId="6943B5E2"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4.15*</w:t>
            </w:r>
          </w:p>
        </w:tc>
        <w:tc>
          <w:tcPr>
            <w:tcW w:w="808" w:type="dxa"/>
          </w:tcPr>
          <w:p w14:paraId="56A6F8B9" w14:textId="533F060E"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2.41 NS</w:t>
            </w:r>
          </w:p>
        </w:tc>
        <w:tc>
          <w:tcPr>
            <w:tcW w:w="880" w:type="dxa"/>
          </w:tcPr>
          <w:p w14:paraId="5EA0B7B5" w14:textId="6B7F6580"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1.86 NS</w:t>
            </w:r>
          </w:p>
        </w:tc>
        <w:tc>
          <w:tcPr>
            <w:tcW w:w="814" w:type="dxa"/>
          </w:tcPr>
          <w:p w14:paraId="56B4872D" w14:textId="7DB12013"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0.33 NS</w:t>
            </w:r>
          </w:p>
        </w:tc>
        <w:tc>
          <w:tcPr>
            <w:tcW w:w="806" w:type="dxa"/>
          </w:tcPr>
          <w:p w14:paraId="66B29CD1" w14:textId="76150E0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0.03 NS</w:t>
            </w:r>
          </w:p>
        </w:tc>
        <w:tc>
          <w:tcPr>
            <w:tcW w:w="794" w:type="dxa"/>
          </w:tcPr>
          <w:p w14:paraId="6D36E519" w14:textId="0E4730A6"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2.65 NS</w:t>
            </w:r>
          </w:p>
        </w:tc>
        <w:tc>
          <w:tcPr>
            <w:tcW w:w="846" w:type="dxa"/>
          </w:tcPr>
          <w:p w14:paraId="6DFFF4DA" w14:textId="2EFCA77A"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0.56 NS</w:t>
            </w:r>
          </w:p>
        </w:tc>
        <w:tc>
          <w:tcPr>
            <w:tcW w:w="774" w:type="dxa"/>
          </w:tcPr>
          <w:p w14:paraId="0F614A4E" w14:textId="6301D004"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5.14 NS</w:t>
            </w:r>
          </w:p>
        </w:tc>
        <w:tc>
          <w:tcPr>
            <w:tcW w:w="929" w:type="dxa"/>
          </w:tcPr>
          <w:p w14:paraId="226C5699" w14:textId="00441B29"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0.83 NS</w:t>
            </w:r>
          </w:p>
        </w:tc>
        <w:tc>
          <w:tcPr>
            <w:tcW w:w="767" w:type="dxa"/>
          </w:tcPr>
          <w:p w14:paraId="3142F144" w14:textId="5442DB36"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1.19 NS</w:t>
            </w:r>
          </w:p>
        </w:tc>
        <w:tc>
          <w:tcPr>
            <w:tcW w:w="767" w:type="dxa"/>
          </w:tcPr>
          <w:p w14:paraId="702E94B1" w14:textId="5EDC9C98"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2.64 NS</w:t>
            </w:r>
          </w:p>
        </w:tc>
        <w:tc>
          <w:tcPr>
            <w:tcW w:w="767" w:type="dxa"/>
          </w:tcPr>
          <w:p w14:paraId="460B4615" w14:textId="5C20A9CF"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2.86 NS</w:t>
            </w:r>
          </w:p>
        </w:tc>
        <w:tc>
          <w:tcPr>
            <w:tcW w:w="767" w:type="dxa"/>
          </w:tcPr>
          <w:p w14:paraId="398C702B" w14:textId="572933B3"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3.92 NS</w:t>
            </w:r>
          </w:p>
        </w:tc>
      </w:tr>
      <w:tr w:rsidR="007477BB" w:rsidRPr="000F45BD" w14:paraId="61EDFC35" w14:textId="77777777" w:rsidTr="00486943">
        <w:tc>
          <w:tcPr>
            <w:tcW w:w="1331" w:type="dxa"/>
          </w:tcPr>
          <w:p w14:paraId="3856FC28"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Siblings (ref: no)</w:t>
            </w:r>
          </w:p>
        </w:tc>
        <w:tc>
          <w:tcPr>
            <w:tcW w:w="501" w:type="dxa"/>
          </w:tcPr>
          <w:p w14:paraId="7C14663D"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Yes</w:t>
            </w:r>
          </w:p>
        </w:tc>
        <w:tc>
          <w:tcPr>
            <w:tcW w:w="780" w:type="dxa"/>
          </w:tcPr>
          <w:p w14:paraId="35A33EF4" w14:textId="7475F14E"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0.30 NS</w:t>
            </w:r>
          </w:p>
        </w:tc>
        <w:tc>
          <w:tcPr>
            <w:tcW w:w="982" w:type="dxa"/>
          </w:tcPr>
          <w:p w14:paraId="52B2D5CE" w14:textId="6A20A8D1"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1.19 NS</w:t>
            </w:r>
          </w:p>
        </w:tc>
        <w:tc>
          <w:tcPr>
            <w:tcW w:w="861" w:type="dxa"/>
          </w:tcPr>
          <w:p w14:paraId="31C11E66" w14:textId="65A57CAF"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-0.34 NS</w:t>
            </w:r>
          </w:p>
        </w:tc>
        <w:tc>
          <w:tcPr>
            <w:tcW w:w="808" w:type="dxa"/>
          </w:tcPr>
          <w:p w14:paraId="58B7EB5F" w14:textId="06BE86E7"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-0.02 NS</w:t>
            </w:r>
          </w:p>
        </w:tc>
        <w:tc>
          <w:tcPr>
            <w:tcW w:w="880" w:type="dxa"/>
          </w:tcPr>
          <w:p w14:paraId="22CD7DD2" w14:textId="1165DA16"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0.95 NS</w:t>
            </w:r>
          </w:p>
        </w:tc>
        <w:tc>
          <w:tcPr>
            <w:tcW w:w="814" w:type="dxa"/>
          </w:tcPr>
          <w:p w14:paraId="4060A0C1" w14:textId="0F2877D6"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0.12 NS</w:t>
            </w:r>
          </w:p>
        </w:tc>
        <w:tc>
          <w:tcPr>
            <w:tcW w:w="806" w:type="dxa"/>
          </w:tcPr>
          <w:p w14:paraId="5603E02F" w14:textId="20C829F1"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0.77 NS</w:t>
            </w:r>
          </w:p>
        </w:tc>
        <w:tc>
          <w:tcPr>
            <w:tcW w:w="794" w:type="dxa"/>
          </w:tcPr>
          <w:p w14:paraId="6DBC3D45" w14:textId="5C2208CD"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0.96 NS</w:t>
            </w:r>
          </w:p>
        </w:tc>
        <w:tc>
          <w:tcPr>
            <w:tcW w:w="846" w:type="dxa"/>
          </w:tcPr>
          <w:p w14:paraId="698763DE" w14:textId="2DB1C85E"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0.91 NS</w:t>
            </w:r>
          </w:p>
        </w:tc>
        <w:tc>
          <w:tcPr>
            <w:tcW w:w="774" w:type="dxa"/>
          </w:tcPr>
          <w:p w14:paraId="0A0F39C2" w14:textId="57962529"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-0.97 NS</w:t>
            </w:r>
          </w:p>
        </w:tc>
        <w:tc>
          <w:tcPr>
            <w:tcW w:w="929" w:type="dxa"/>
          </w:tcPr>
          <w:p w14:paraId="05276F7E" w14:textId="4FD2A5A5"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-0.05 NS</w:t>
            </w:r>
          </w:p>
        </w:tc>
        <w:tc>
          <w:tcPr>
            <w:tcW w:w="767" w:type="dxa"/>
          </w:tcPr>
          <w:p w14:paraId="54ECE819" w14:textId="23E07F2F"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1.79*</w:t>
            </w:r>
          </w:p>
        </w:tc>
        <w:tc>
          <w:tcPr>
            <w:tcW w:w="767" w:type="dxa"/>
          </w:tcPr>
          <w:p w14:paraId="1F90F12F" w14:textId="50704F44"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-0.64 NS</w:t>
            </w:r>
          </w:p>
        </w:tc>
        <w:tc>
          <w:tcPr>
            <w:tcW w:w="767" w:type="dxa"/>
          </w:tcPr>
          <w:p w14:paraId="16815358" w14:textId="6C1F4490"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0.70*</w:t>
            </w:r>
          </w:p>
        </w:tc>
        <w:tc>
          <w:tcPr>
            <w:tcW w:w="767" w:type="dxa"/>
          </w:tcPr>
          <w:p w14:paraId="7A672471" w14:textId="62B142C6"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-0.44 NS</w:t>
            </w:r>
          </w:p>
        </w:tc>
      </w:tr>
      <w:tr w:rsidR="007477BB" w:rsidRPr="000F45BD" w14:paraId="71124932" w14:textId="77777777" w:rsidTr="00486943">
        <w:tc>
          <w:tcPr>
            <w:tcW w:w="1331" w:type="dxa"/>
          </w:tcPr>
          <w:p w14:paraId="01F17285"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Grandparents (ref: no)</w:t>
            </w:r>
          </w:p>
        </w:tc>
        <w:tc>
          <w:tcPr>
            <w:tcW w:w="501" w:type="dxa"/>
          </w:tcPr>
          <w:p w14:paraId="26C3160F"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Yes</w:t>
            </w:r>
          </w:p>
        </w:tc>
        <w:tc>
          <w:tcPr>
            <w:tcW w:w="780" w:type="dxa"/>
          </w:tcPr>
          <w:p w14:paraId="25320AB4" w14:textId="25A9890F"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-0.53 NS</w:t>
            </w:r>
          </w:p>
        </w:tc>
        <w:tc>
          <w:tcPr>
            <w:tcW w:w="982" w:type="dxa"/>
          </w:tcPr>
          <w:p w14:paraId="0BD1704A" w14:textId="01F955F0"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0.92 NS</w:t>
            </w:r>
          </w:p>
        </w:tc>
        <w:tc>
          <w:tcPr>
            <w:tcW w:w="861" w:type="dxa"/>
          </w:tcPr>
          <w:p w14:paraId="7CCD72A3" w14:textId="18AD40C2"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0.61 NS</w:t>
            </w:r>
          </w:p>
        </w:tc>
        <w:tc>
          <w:tcPr>
            <w:tcW w:w="808" w:type="dxa"/>
          </w:tcPr>
          <w:p w14:paraId="70B3DA69" w14:textId="5649F162"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0.04 NS</w:t>
            </w:r>
          </w:p>
        </w:tc>
        <w:tc>
          <w:tcPr>
            <w:tcW w:w="880" w:type="dxa"/>
          </w:tcPr>
          <w:p w14:paraId="3ECEF072" w14:textId="0B6C37C4"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-0.92 NS</w:t>
            </w:r>
          </w:p>
        </w:tc>
        <w:tc>
          <w:tcPr>
            <w:tcW w:w="814" w:type="dxa"/>
          </w:tcPr>
          <w:p w14:paraId="23EB1A76" w14:textId="1E89F4D5"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-0.31 NS</w:t>
            </w:r>
          </w:p>
        </w:tc>
        <w:tc>
          <w:tcPr>
            <w:tcW w:w="806" w:type="dxa"/>
          </w:tcPr>
          <w:p w14:paraId="0D62DA91" w14:textId="39FDBEB8"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0.48 NS</w:t>
            </w:r>
          </w:p>
        </w:tc>
        <w:tc>
          <w:tcPr>
            <w:tcW w:w="794" w:type="dxa"/>
          </w:tcPr>
          <w:p w14:paraId="24679AE9" w14:textId="20B878AA"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-1.96**</w:t>
            </w:r>
          </w:p>
        </w:tc>
        <w:tc>
          <w:tcPr>
            <w:tcW w:w="846" w:type="dxa"/>
          </w:tcPr>
          <w:p w14:paraId="35AE92E5" w14:textId="186077D9"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-0.89 NS</w:t>
            </w:r>
          </w:p>
        </w:tc>
        <w:tc>
          <w:tcPr>
            <w:tcW w:w="774" w:type="dxa"/>
          </w:tcPr>
          <w:p w14:paraId="05462227" w14:textId="361C6B7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1.21*</w:t>
            </w:r>
          </w:p>
        </w:tc>
        <w:tc>
          <w:tcPr>
            <w:tcW w:w="929" w:type="dxa"/>
          </w:tcPr>
          <w:p w14:paraId="6E98E62A" w14:textId="5F299C28"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0.24 NS</w:t>
            </w:r>
          </w:p>
        </w:tc>
        <w:tc>
          <w:tcPr>
            <w:tcW w:w="767" w:type="dxa"/>
          </w:tcPr>
          <w:p w14:paraId="7AC2DBB4" w14:textId="767BFC5F"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-0.13 NS</w:t>
            </w:r>
          </w:p>
        </w:tc>
        <w:tc>
          <w:tcPr>
            <w:tcW w:w="767" w:type="dxa"/>
          </w:tcPr>
          <w:p w14:paraId="207391BD" w14:textId="7F9DD657"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-0.24 NS</w:t>
            </w:r>
          </w:p>
        </w:tc>
        <w:tc>
          <w:tcPr>
            <w:tcW w:w="767" w:type="dxa"/>
          </w:tcPr>
          <w:p w14:paraId="0CAAB131" w14:textId="06963B68"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0.28 NS</w:t>
            </w:r>
          </w:p>
        </w:tc>
        <w:tc>
          <w:tcPr>
            <w:tcW w:w="767" w:type="dxa"/>
          </w:tcPr>
          <w:p w14:paraId="0B5C5AC1" w14:textId="455BA396"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-0.71 NS</w:t>
            </w:r>
          </w:p>
        </w:tc>
      </w:tr>
      <w:tr w:rsidR="0032313A" w:rsidRPr="000F45BD" w14:paraId="15F813C5" w14:textId="77777777" w:rsidTr="00486943">
        <w:tc>
          <w:tcPr>
            <w:tcW w:w="1832" w:type="dxa"/>
            <w:gridSpan w:val="2"/>
          </w:tcPr>
          <w:p w14:paraId="66F71CDB" w14:textId="7488BE30"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Material resources scale</w:t>
            </w:r>
          </w:p>
        </w:tc>
        <w:tc>
          <w:tcPr>
            <w:tcW w:w="780" w:type="dxa"/>
          </w:tcPr>
          <w:p w14:paraId="311AF4B2" w14:textId="73FBD3B8"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-1.36**</w:t>
            </w:r>
          </w:p>
        </w:tc>
        <w:tc>
          <w:tcPr>
            <w:tcW w:w="982" w:type="dxa"/>
          </w:tcPr>
          <w:p w14:paraId="722A2328" w14:textId="55627CE7"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-0.77**</w:t>
            </w:r>
          </w:p>
        </w:tc>
        <w:tc>
          <w:tcPr>
            <w:tcW w:w="861" w:type="dxa"/>
          </w:tcPr>
          <w:p w14:paraId="5593B535" w14:textId="499A1DA1"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-2.67**</w:t>
            </w:r>
          </w:p>
        </w:tc>
        <w:tc>
          <w:tcPr>
            <w:tcW w:w="808" w:type="dxa"/>
          </w:tcPr>
          <w:p w14:paraId="1E9B9FE0" w14:textId="6DBE0F8B"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-2.85**</w:t>
            </w:r>
          </w:p>
        </w:tc>
        <w:tc>
          <w:tcPr>
            <w:tcW w:w="880" w:type="dxa"/>
          </w:tcPr>
          <w:p w14:paraId="5351243F" w14:textId="51A40F67"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-2.04**</w:t>
            </w:r>
          </w:p>
        </w:tc>
        <w:tc>
          <w:tcPr>
            <w:tcW w:w="814" w:type="dxa"/>
          </w:tcPr>
          <w:p w14:paraId="6AE876DA" w14:textId="2D8249AD"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-2.00**</w:t>
            </w:r>
          </w:p>
        </w:tc>
        <w:tc>
          <w:tcPr>
            <w:tcW w:w="806" w:type="dxa"/>
          </w:tcPr>
          <w:p w14:paraId="73246D99" w14:textId="568A6D36"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-2.45**</w:t>
            </w:r>
          </w:p>
        </w:tc>
        <w:tc>
          <w:tcPr>
            <w:tcW w:w="794" w:type="dxa"/>
          </w:tcPr>
          <w:p w14:paraId="578D6FB5" w14:textId="5FF9E394"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-0.77**</w:t>
            </w:r>
          </w:p>
        </w:tc>
        <w:tc>
          <w:tcPr>
            <w:tcW w:w="846" w:type="dxa"/>
          </w:tcPr>
          <w:p w14:paraId="68034699" w14:textId="47E26E10"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-2.69**</w:t>
            </w:r>
          </w:p>
        </w:tc>
        <w:tc>
          <w:tcPr>
            <w:tcW w:w="774" w:type="dxa"/>
          </w:tcPr>
          <w:p w14:paraId="60B83F3C" w14:textId="7B537856"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-2.49**</w:t>
            </w:r>
          </w:p>
        </w:tc>
        <w:tc>
          <w:tcPr>
            <w:tcW w:w="929" w:type="dxa"/>
          </w:tcPr>
          <w:p w14:paraId="175ED0F8" w14:textId="5A58A45D"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-1.08**</w:t>
            </w:r>
          </w:p>
        </w:tc>
        <w:tc>
          <w:tcPr>
            <w:tcW w:w="767" w:type="dxa"/>
          </w:tcPr>
          <w:p w14:paraId="2B836A59" w14:textId="0D8DC199"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-1.62**</w:t>
            </w:r>
          </w:p>
        </w:tc>
        <w:tc>
          <w:tcPr>
            <w:tcW w:w="767" w:type="dxa"/>
          </w:tcPr>
          <w:p w14:paraId="6B93B145" w14:textId="6534C45C"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-1.58**</w:t>
            </w:r>
          </w:p>
        </w:tc>
        <w:tc>
          <w:tcPr>
            <w:tcW w:w="767" w:type="dxa"/>
          </w:tcPr>
          <w:p w14:paraId="1C049536" w14:textId="4C71B842"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-1.84**</w:t>
            </w:r>
          </w:p>
        </w:tc>
        <w:tc>
          <w:tcPr>
            <w:tcW w:w="767" w:type="dxa"/>
          </w:tcPr>
          <w:p w14:paraId="76DCF6E1" w14:textId="679F7C6B"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-1.44**</w:t>
            </w:r>
          </w:p>
        </w:tc>
      </w:tr>
      <w:tr w:rsidR="007477BB" w:rsidRPr="000F45BD" w14:paraId="613CEED5" w14:textId="77777777" w:rsidTr="00486943">
        <w:tc>
          <w:tcPr>
            <w:tcW w:w="1832" w:type="dxa"/>
            <w:gridSpan w:val="2"/>
          </w:tcPr>
          <w:p w14:paraId="658EEE03"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Constant</w:t>
            </w:r>
          </w:p>
        </w:tc>
        <w:tc>
          <w:tcPr>
            <w:tcW w:w="780" w:type="dxa"/>
          </w:tcPr>
          <w:p w14:paraId="374DC3D4" w14:textId="1EF640CB"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63.19</w:t>
            </w:r>
          </w:p>
        </w:tc>
        <w:tc>
          <w:tcPr>
            <w:tcW w:w="982" w:type="dxa"/>
          </w:tcPr>
          <w:p w14:paraId="3D5E7495" w14:textId="3E5E83E9"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62.66</w:t>
            </w:r>
          </w:p>
        </w:tc>
        <w:tc>
          <w:tcPr>
            <w:tcW w:w="861" w:type="dxa"/>
          </w:tcPr>
          <w:p w14:paraId="6BAB466D" w14:textId="386F8A72"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60.90</w:t>
            </w:r>
          </w:p>
        </w:tc>
        <w:tc>
          <w:tcPr>
            <w:tcW w:w="808" w:type="dxa"/>
          </w:tcPr>
          <w:p w14:paraId="24B9BCAF" w14:textId="2F674A9F"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61.34</w:t>
            </w:r>
          </w:p>
        </w:tc>
        <w:tc>
          <w:tcPr>
            <w:tcW w:w="880" w:type="dxa"/>
          </w:tcPr>
          <w:p w14:paraId="04884D6F" w14:textId="1DEFBAE9"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67.33</w:t>
            </w:r>
          </w:p>
        </w:tc>
        <w:tc>
          <w:tcPr>
            <w:tcW w:w="814" w:type="dxa"/>
          </w:tcPr>
          <w:p w14:paraId="7C0F5637" w14:textId="7A513175"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65.79</w:t>
            </w:r>
          </w:p>
        </w:tc>
        <w:tc>
          <w:tcPr>
            <w:tcW w:w="806" w:type="dxa"/>
          </w:tcPr>
          <w:p w14:paraId="736B7357" w14:textId="178C9EB1"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64.57</w:t>
            </w:r>
          </w:p>
        </w:tc>
        <w:tc>
          <w:tcPr>
            <w:tcW w:w="794" w:type="dxa"/>
          </w:tcPr>
          <w:p w14:paraId="7C34B814" w14:textId="109C8C18"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57.05</w:t>
            </w:r>
          </w:p>
        </w:tc>
        <w:tc>
          <w:tcPr>
            <w:tcW w:w="846" w:type="dxa"/>
          </w:tcPr>
          <w:p w14:paraId="0D86D1A0" w14:textId="54A5386C"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64.28</w:t>
            </w:r>
          </w:p>
        </w:tc>
        <w:tc>
          <w:tcPr>
            <w:tcW w:w="774" w:type="dxa"/>
          </w:tcPr>
          <w:p w14:paraId="0824B26F" w14:textId="4C3C7FB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60.80</w:t>
            </w:r>
          </w:p>
        </w:tc>
        <w:tc>
          <w:tcPr>
            <w:tcW w:w="929" w:type="dxa"/>
          </w:tcPr>
          <w:p w14:paraId="02DDEE7F" w14:textId="15A66AF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66.43</w:t>
            </w:r>
          </w:p>
        </w:tc>
        <w:tc>
          <w:tcPr>
            <w:tcW w:w="767" w:type="dxa"/>
          </w:tcPr>
          <w:p w14:paraId="17132B06" w14:textId="1248D271"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60.47</w:t>
            </w:r>
          </w:p>
        </w:tc>
        <w:tc>
          <w:tcPr>
            <w:tcW w:w="767" w:type="dxa"/>
          </w:tcPr>
          <w:p w14:paraId="55663117" w14:textId="345DE7E5"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60.52</w:t>
            </w:r>
          </w:p>
        </w:tc>
        <w:tc>
          <w:tcPr>
            <w:tcW w:w="767" w:type="dxa"/>
          </w:tcPr>
          <w:p w14:paraId="4C761AC4" w14:textId="41B68DA6"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62.98</w:t>
            </w:r>
          </w:p>
        </w:tc>
        <w:tc>
          <w:tcPr>
            <w:tcW w:w="767" w:type="dxa"/>
          </w:tcPr>
          <w:p w14:paraId="69EDC21E" w14:textId="6C750749"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66.78</w:t>
            </w:r>
          </w:p>
        </w:tc>
      </w:tr>
      <w:tr w:rsidR="007477BB" w:rsidRPr="000F45BD" w14:paraId="5DE629BE" w14:textId="77777777" w:rsidTr="00486943">
        <w:tc>
          <w:tcPr>
            <w:tcW w:w="1832" w:type="dxa"/>
            <w:gridSpan w:val="2"/>
          </w:tcPr>
          <w:p w14:paraId="79A35DD5" w14:textId="777777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R²</w:t>
            </w:r>
          </w:p>
        </w:tc>
        <w:tc>
          <w:tcPr>
            <w:tcW w:w="780" w:type="dxa"/>
          </w:tcPr>
          <w:p w14:paraId="0B53A945" w14:textId="68206477"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0.10</w:t>
            </w:r>
          </w:p>
        </w:tc>
        <w:tc>
          <w:tcPr>
            <w:tcW w:w="982" w:type="dxa"/>
          </w:tcPr>
          <w:p w14:paraId="23917D55" w14:textId="4AF751E4"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0.07</w:t>
            </w:r>
          </w:p>
        </w:tc>
        <w:tc>
          <w:tcPr>
            <w:tcW w:w="861" w:type="dxa"/>
          </w:tcPr>
          <w:p w14:paraId="1F81E160" w14:textId="2A1F12E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0.08</w:t>
            </w:r>
          </w:p>
        </w:tc>
        <w:tc>
          <w:tcPr>
            <w:tcW w:w="808" w:type="dxa"/>
          </w:tcPr>
          <w:p w14:paraId="54AFDBE4" w14:textId="28A68ACF"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0.11</w:t>
            </w:r>
          </w:p>
        </w:tc>
        <w:tc>
          <w:tcPr>
            <w:tcW w:w="880" w:type="dxa"/>
          </w:tcPr>
          <w:p w14:paraId="7993A69F" w14:textId="10E243FB" w:rsidR="0032313A" w:rsidRPr="000F45BD" w:rsidRDefault="00FC3717"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0.08</w:t>
            </w:r>
          </w:p>
        </w:tc>
        <w:tc>
          <w:tcPr>
            <w:tcW w:w="814" w:type="dxa"/>
          </w:tcPr>
          <w:p w14:paraId="306C1813" w14:textId="17E35DE0"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0.12</w:t>
            </w:r>
          </w:p>
        </w:tc>
        <w:tc>
          <w:tcPr>
            <w:tcW w:w="806" w:type="dxa"/>
          </w:tcPr>
          <w:p w14:paraId="3DE4638C" w14:textId="08B09943"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0.10</w:t>
            </w:r>
          </w:p>
        </w:tc>
        <w:tc>
          <w:tcPr>
            <w:tcW w:w="794" w:type="dxa"/>
          </w:tcPr>
          <w:p w14:paraId="7DCBD91B" w14:textId="60B73AB3" w:rsidR="0032313A" w:rsidRPr="000F45BD" w:rsidRDefault="0032313A"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0.04</w:t>
            </w:r>
          </w:p>
        </w:tc>
        <w:tc>
          <w:tcPr>
            <w:tcW w:w="846" w:type="dxa"/>
          </w:tcPr>
          <w:p w14:paraId="1054EC8E" w14:textId="6172748E"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0.07</w:t>
            </w:r>
          </w:p>
        </w:tc>
        <w:tc>
          <w:tcPr>
            <w:tcW w:w="774" w:type="dxa"/>
          </w:tcPr>
          <w:p w14:paraId="2503ADEC" w14:textId="47FC6EB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0.11</w:t>
            </w:r>
          </w:p>
        </w:tc>
        <w:tc>
          <w:tcPr>
            <w:tcW w:w="929" w:type="dxa"/>
          </w:tcPr>
          <w:p w14:paraId="19340244" w14:textId="2C623DC7"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0.09</w:t>
            </w:r>
          </w:p>
        </w:tc>
        <w:tc>
          <w:tcPr>
            <w:tcW w:w="767" w:type="dxa"/>
          </w:tcPr>
          <w:p w14:paraId="7B47A1C6" w14:textId="0EBDF3F3" w:rsidR="0032313A" w:rsidRPr="000F45BD" w:rsidRDefault="00486943"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0.10</w:t>
            </w:r>
          </w:p>
        </w:tc>
        <w:tc>
          <w:tcPr>
            <w:tcW w:w="767" w:type="dxa"/>
          </w:tcPr>
          <w:p w14:paraId="0616162E" w14:textId="11961A4E" w:rsidR="0032313A" w:rsidRPr="000F45BD" w:rsidRDefault="00501216"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0.10</w:t>
            </w:r>
          </w:p>
        </w:tc>
        <w:tc>
          <w:tcPr>
            <w:tcW w:w="767" w:type="dxa"/>
          </w:tcPr>
          <w:p w14:paraId="185D8FE5" w14:textId="1364F2B2"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0.08</w:t>
            </w:r>
          </w:p>
        </w:tc>
        <w:tc>
          <w:tcPr>
            <w:tcW w:w="767" w:type="dxa"/>
          </w:tcPr>
          <w:p w14:paraId="58660BF9" w14:textId="60A5635E" w:rsidR="0032313A" w:rsidRPr="000F45BD" w:rsidRDefault="00C57260" w:rsidP="00D4634E">
            <w:pPr>
              <w:spacing w:before="100" w:beforeAutospacing="1" w:after="100" w:afterAutospacing="1"/>
              <w:rPr>
                <w:rFonts w:asciiTheme="majorHAnsi" w:hAnsiTheme="majorHAnsi"/>
                <w:sz w:val="16"/>
                <w:szCs w:val="16"/>
              </w:rPr>
            </w:pPr>
            <w:r w:rsidRPr="000F45BD">
              <w:rPr>
                <w:rFonts w:asciiTheme="majorHAnsi" w:hAnsiTheme="majorHAnsi"/>
                <w:sz w:val="16"/>
                <w:szCs w:val="16"/>
              </w:rPr>
              <w:t>0.14</w:t>
            </w:r>
          </w:p>
        </w:tc>
      </w:tr>
    </w:tbl>
    <w:p w14:paraId="007F0178" w14:textId="08FB3672" w:rsidR="0032313A" w:rsidRPr="000F45BD" w:rsidRDefault="0032313A" w:rsidP="00D4634E">
      <w:pPr>
        <w:spacing w:before="100" w:beforeAutospacing="1" w:after="100" w:afterAutospacing="1" w:line="240" w:lineRule="auto"/>
        <w:jc w:val="both"/>
        <w:rPr>
          <w:rFonts w:asciiTheme="majorHAnsi" w:hAnsiTheme="majorHAnsi"/>
          <w:b/>
        </w:rPr>
      </w:pPr>
      <w:r w:rsidRPr="000F45BD">
        <w:rPr>
          <w:rFonts w:asciiTheme="majorHAnsi" w:hAnsiTheme="majorHAnsi"/>
        </w:rPr>
        <w:br w:type="page"/>
      </w:r>
    </w:p>
    <w:p w14:paraId="64F8060F" w14:textId="77777777" w:rsidR="0032313A" w:rsidRPr="000F45BD" w:rsidRDefault="0032313A" w:rsidP="00D4634E">
      <w:pPr>
        <w:spacing w:before="100" w:beforeAutospacing="1" w:after="100" w:afterAutospacing="1" w:line="240" w:lineRule="auto"/>
        <w:jc w:val="both"/>
        <w:rPr>
          <w:rFonts w:asciiTheme="majorHAnsi" w:hAnsiTheme="majorHAnsi"/>
        </w:rPr>
        <w:sectPr w:rsidR="0032313A" w:rsidRPr="000F45BD" w:rsidSect="0032313A">
          <w:pgSz w:w="16838" w:h="11906" w:orient="landscape"/>
          <w:pgMar w:top="1440" w:right="1440" w:bottom="1440" w:left="1440" w:header="708" w:footer="708" w:gutter="0"/>
          <w:cols w:space="708"/>
          <w:docGrid w:linePitch="360"/>
        </w:sectPr>
      </w:pPr>
    </w:p>
    <w:p w14:paraId="7908279B" w14:textId="57DD3BA4"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lastRenderedPageBreak/>
        <w:t xml:space="preserve">Table </w:t>
      </w:r>
      <w:r w:rsidR="000B3931" w:rsidRPr="000F45BD">
        <w:rPr>
          <w:rFonts w:asciiTheme="majorHAnsi" w:hAnsiTheme="majorHAnsi"/>
        </w:rPr>
        <w:t>10</w:t>
      </w:r>
      <w:r w:rsidRPr="000F45BD">
        <w:rPr>
          <w:rFonts w:asciiTheme="majorHAnsi" w:hAnsiTheme="majorHAnsi"/>
        </w:rPr>
        <w:t xml:space="preserve"> shows key stages in the process of building the models as described above.  Several variables discussed above are not present in these models as they did not make a significant contribution.  Variables omitted from the models as a result of non-significance include</w:t>
      </w:r>
      <w:r w:rsidRPr="000F45BD">
        <w:rPr>
          <w:rStyle w:val="FootnoteReference"/>
          <w:rFonts w:asciiTheme="majorHAnsi" w:hAnsiTheme="majorHAnsi"/>
        </w:rPr>
        <w:footnoteReference w:id="8"/>
      </w:r>
      <w:r w:rsidRPr="000F45BD">
        <w:rPr>
          <w:rFonts w:asciiTheme="majorHAnsi" w:hAnsiTheme="majorHAnsi"/>
        </w:rPr>
        <w:t>:</w:t>
      </w:r>
    </w:p>
    <w:p w14:paraId="08171981" w14:textId="77777777" w:rsidR="00D4634E" w:rsidRDefault="00B55B66" w:rsidP="00D4634E">
      <w:pPr>
        <w:pStyle w:val="ListParagraph"/>
        <w:numPr>
          <w:ilvl w:val="0"/>
          <w:numId w:val="18"/>
        </w:numPr>
        <w:spacing w:before="100" w:beforeAutospacing="1" w:after="100" w:afterAutospacing="1" w:line="240" w:lineRule="auto"/>
        <w:jc w:val="both"/>
        <w:rPr>
          <w:rFonts w:asciiTheme="majorHAnsi" w:hAnsiTheme="majorHAnsi"/>
        </w:rPr>
      </w:pPr>
      <w:r w:rsidRPr="000F45BD">
        <w:rPr>
          <w:rFonts w:asciiTheme="majorHAnsi" w:hAnsiTheme="majorHAnsi"/>
        </w:rPr>
        <w:t>Gender, siblings and grandparents (controls) as individual-level fixed effects</w:t>
      </w:r>
    </w:p>
    <w:p w14:paraId="22668B44" w14:textId="77777777" w:rsidR="00D4634E" w:rsidRDefault="00B55B66" w:rsidP="00D4634E">
      <w:pPr>
        <w:pStyle w:val="ListParagraph"/>
        <w:numPr>
          <w:ilvl w:val="0"/>
          <w:numId w:val="18"/>
        </w:numPr>
        <w:spacing w:before="100" w:beforeAutospacing="1" w:after="100" w:afterAutospacing="1" w:line="240" w:lineRule="auto"/>
        <w:jc w:val="both"/>
        <w:rPr>
          <w:rFonts w:asciiTheme="majorHAnsi" w:hAnsiTheme="majorHAnsi"/>
        </w:rPr>
      </w:pPr>
      <w:r w:rsidRPr="00D4634E">
        <w:rPr>
          <w:rFonts w:asciiTheme="majorHAnsi" w:hAnsiTheme="majorHAnsi"/>
        </w:rPr>
        <w:t xml:space="preserve">The standard deviation of material resources as </w:t>
      </w:r>
      <w:r w:rsidR="002D76AB" w:rsidRPr="00D4634E">
        <w:rPr>
          <w:rFonts w:asciiTheme="majorHAnsi" w:hAnsiTheme="majorHAnsi"/>
        </w:rPr>
        <w:t xml:space="preserve">a </w:t>
      </w:r>
      <w:r w:rsidRPr="00D4634E">
        <w:rPr>
          <w:rFonts w:asciiTheme="majorHAnsi" w:hAnsiTheme="majorHAnsi"/>
        </w:rPr>
        <w:t>school</w:t>
      </w:r>
      <w:r w:rsidR="002D76AB" w:rsidRPr="00D4634E">
        <w:rPr>
          <w:rFonts w:asciiTheme="majorHAnsi" w:hAnsiTheme="majorHAnsi"/>
        </w:rPr>
        <w:t>- or country-level fixed effect</w:t>
      </w:r>
    </w:p>
    <w:p w14:paraId="3531B961" w14:textId="52F978C2" w:rsidR="00B55B66" w:rsidRPr="00D4634E" w:rsidRDefault="00B55B66" w:rsidP="00D4634E">
      <w:pPr>
        <w:pStyle w:val="ListParagraph"/>
        <w:numPr>
          <w:ilvl w:val="0"/>
          <w:numId w:val="18"/>
        </w:numPr>
        <w:spacing w:before="100" w:beforeAutospacing="1" w:after="100" w:afterAutospacing="1" w:line="240" w:lineRule="auto"/>
        <w:jc w:val="both"/>
        <w:rPr>
          <w:rFonts w:asciiTheme="majorHAnsi" w:hAnsiTheme="majorHAnsi"/>
        </w:rPr>
      </w:pPr>
      <w:r w:rsidRPr="00D4634E">
        <w:rPr>
          <w:rFonts w:asciiTheme="majorHAnsi" w:hAnsiTheme="majorHAnsi"/>
        </w:rPr>
        <w:t>GDP per capita and Gini coefficient as country-level fixed effects</w:t>
      </w:r>
    </w:p>
    <w:p w14:paraId="4FA17F80" w14:textId="5765C0BF"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Model 1 shows that there are reasonably sizeable random effects at both the school and the country level.  Model 2 shows that, as we may expect from previous research, subjective well-being declines with age and is impacted by the number of adults in a child’s household.  However, between them these two control variables only explain about 2% of the variation in subjective well-being.  Model 3 demonstrates that the material resources scale offers a significant improvement to the model, tripling its explanatory power.  However it must be borne in mind that at 6% the model still offers little insight into how subjective well-being varies according to characteristics and experiences.  This corroborates previous findings that individual-level material resources are important to children’s subjective well-being, but also indicates that further work may be needed to develop a scale which is relevant to children in diverse national and cultural settings.</w:t>
      </w:r>
      <w:r w:rsidR="00D05710" w:rsidRPr="000F45BD">
        <w:rPr>
          <w:rFonts w:asciiTheme="majorHAnsi" w:hAnsiTheme="majorHAnsi"/>
        </w:rPr>
        <w:t xml:space="preserve"> </w:t>
      </w:r>
    </w:p>
    <w:p w14:paraId="01A5335C" w14:textId="0DC95172"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Models 4 and 5 introduce fixed effects at first the school then the country level.  At each level, predictors relating to lower-order levels are included (e</w:t>
      </w:r>
      <w:r w:rsidR="00D4634E">
        <w:rPr>
          <w:rFonts w:asciiTheme="majorHAnsi" w:hAnsiTheme="majorHAnsi"/>
        </w:rPr>
        <w:t>.</w:t>
      </w:r>
      <w:r w:rsidRPr="000F45BD">
        <w:rPr>
          <w:rFonts w:asciiTheme="majorHAnsi" w:hAnsiTheme="majorHAnsi"/>
        </w:rPr>
        <w:t>g. individual-level material resources is included at the school and the country level)</w:t>
      </w:r>
      <w:r w:rsidR="002D76AB" w:rsidRPr="000F45BD">
        <w:rPr>
          <w:rFonts w:asciiTheme="majorHAnsi" w:hAnsiTheme="majorHAnsi"/>
        </w:rPr>
        <w:t xml:space="preserve">.  The result of this is that the variables at the individual level show the slope associated with the predictor in the overall sample, and the school and country levels show the standard deviation of this slope between schools and countries.  </w:t>
      </w:r>
      <w:r w:rsidRPr="000F45BD">
        <w:rPr>
          <w:rFonts w:asciiTheme="majorHAnsi" w:hAnsiTheme="majorHAnsi"/>
        </w:rPr>
        <w:t>As noted above, GDP per capita and Gini coefficient were found to make very minimal differences to the slopes at the country level (SD&lt;0.0001), and so are not included in these models.  However, individual level material resources and school mean material resources make a substantial contribution in model 4, and when country effects are added in model 5 these remain substantial</w:t>
      </w:r>
      <w:r w:rsidR="002D76AB" w:rsidRPr="000F45BD">
        <w:rPr>
          <w:rFonts w:asciiTheme="majorHAnsi" w:hAnsiTheme="majorHAnsi"/>
        </w:rPr>
        <w:t>.  On</w:t>
      </w:r>
      <w:r w:rsidRPr="000F45BD">
        <w:rPr>
          <w:rFonts w:asciiTheme="majorHAnsi" w:hAnsiTheme="majorHAnsi"/>
        </w:rPr>
        <w:t xml:space="preserve"> the country level, individual-, school- and country means of material resources make a significant contribution.</w:t>
      </w:r>
    </w:p>
    <w:p w14:paraId="39B00C71" w14:textId="2F6F2521"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In addition to these models, shown in table </w:t>
      </w:r>
      <w:r w:rsidR="000B3931" w:rsidRPr="000F45BD">
        <w:rPr>
          <w:rFonts w:asciiTheme="majorHAnsi" w:hAnsiTheme="majorHAnsi"/>
        </w:rPr>
        <w:t>10</w:t>
      </w:r>
      <w:r w:rsidRPr="000F45BD">
        <w:rPr>
          <w:rFonts w:asciiTheme="majorHAnsi" w:hAnsiTheme="majorHAnsi"/>
        </w:rPr>
        <w:t>, it is possible to produce Best Linear Unbiased Predictions (BLUPs) of fixed-effect variables at school and country levels.  Due to the large number of schools (n=1</w:t>
      </w:r>
      <w:r w:rsidR="002D76AB" w:rsidRPr="000F45BD">
        <w:rPr>
          <w:rFonts w:asciiTheme="majorHAnsi" w:hAnsiTheme="majorHAnsi"/>
        </w:rPr>
        <w:t>,</w:t>
      </w:r>
      <w:r w:rsidRPr="000F45BD">
        <w:rPr>
          <w:rFonts w:asciiTheme="majorHAnsi" w:hAnsiTheme="majorHAnsi"/>
        </w:rPr>
        <w:t xml:space="preserve">087), BLUPs at the school level are not presented.  BLUPs for country-level fixed effects (individual, school, and country-level material resources) are presented in table </w:t>
      </w:r>
      <w:r w:rsidR="000B3931" w:rsidRPr="000F45BD">
        <w:rPr>
          <w:rFonts w:asciiTheme="majorHAnsi" w:hAnsiTheme="majorHAnsi"/>
        </w:rPr>
        <w:t>11</w:t>
      </w:r>
      <w:r w:rsidRPr="000F45BD">
        <w:rPr>
          <w:rFonts w:asciiTheme="majorHAnsi" w:hAnsiTheme="majorHAnsi"/>
        </w:rPr>
        <w:t xml:space="preserve">.  These can be interpreted as the slopes for these variables, at the country level.  The country-level intercept is also presented in table </w:t>
      </w:r>
      <w:r w:rsidR="000B3931" w:rsidRPr="000F45BD">
        <w:rPr>
          <w:rFonts w:asciiTheme="majorHAnsi" w:hAnsiTheme="majorHAnsi"/>
        </w:rPr>
        <w:t>11</w:t>
      </w:r>
      <w:r w:rsidRPr="000F45BD">
        <w:rPr>
          <w:rFonts w:asciiTheme="majorHAnsi" w:hAnsiTheme="majorHAnsi"/>
        </w:rPr>
        <w:t>.  The importance of allowing different intercepts at the country level is revealed in these findings: compared to an overall intercept of 62.90, country-level intercepts vary from</w:t>
      </w:r>
      <w:r w:rsidR="008E6BCD" w:rsidRPr="000F45BD">
        <w:rPr>
          <w:rFonts w:asciiTheme="majorHAnsi" w:hAnsiTheme="majorHAnsi"/>
        </w:rPr>
        <w:t xml:space="preserve"> </w:t>
      </w:r>
      <w:r w:rsidRPr="000F45BD">
        <w:rPr>
          <w:rFonts w:asciiTheme="majorHAnsi" w:hAnsiTheme="majorHAnsi"/>
        </w:rPr>
        <w:t xml:space="preserve">56.92 in South Korea to 66.08 in Turkey – a difference of nearly 10 points on the 70-point scale. An examination of the country-level BLUPs also reveals substantial differences in the slopes for each country based on material resources related variables.  The strongest country-level impact of individual-level material resources can be found in Estonia, where children lose 2.70 points on the scale for each item they lack.  In contrast, children in Nepal lose only 0.72 points for each item lacked.  The impact of school-level material resources on individual-level well-being within countries is also relatively large but varied between countries; children in South Korea lose only 1.42 points based on the level of material resources within their schools, while children in Nepal, in contrast to the limited loss based on individual lack, lose 2.35 points based on school-level material resources.  </w:t>
      </w:r>
      <w:r w:rsidR="008E6BCD" w:rsidRPr="000F45BD">
        <w:rPr>
          <w:rFonts w:asciiTheme="majorHAnsi" w:hAnsiTheme="majorHAnsi"/>
        </w:rPr>
        <w:t>That is, in Nepal, individual access to resources appears to make less of a difference to subjective well-</w:t>
      </w:r>
      <w:r w:rsidR="008E6BCD" w:rsidRPr="000F45BD">
        <w:rPr>
          <w:rFonts w:asciiTheme="majorHAnsi" w:hAnsiTheme="majorHAnsi"/>
        </w:rPr>
        <w:lastRenderedPageBreak/>
        <w:t xml:space="preserve">being than attending a school where the average level of resources is lower does.  </w:t>
      </w:r>
      <w:r w:rsidRPr="000F45BD">
        <w:rPr>
          <w:rFonts w:asciiTheme="majorHAnsi" w:hAnsiTheme="majorHAnsi"/>
        </w:rPr>
        <w:t>Similarly, material resources at the country level make a substantial difference (as for school-level material resources, in all countries more than one point on the subjective well-being scale is lost for each decline of one material resources item on the country average scale).  At the country level, children in Ethiopia are least impacted, losing 1.38 points on the subjective well-being scale compared to children in other countries. Children in Nepal are again the most affected, losing 2.15 points compared to children in other countries.</w:t>
      </w:r>
    </w:p>
    <w:p w14:paraId="31DA117C" w14:textId="77777777" w:rsidR="00B55B66" w:rsidRPr="000F45BD" w:rsidRDefault="00B55B66" w:rsidP="00D4634E">
      <w:pPr>
        <w:spacing w:before="100" w:beforeAutospacing="1" w:after="100" w:afterAutospacing="1" w:line="240" w:lineRule="auto"/>
        <w:jc w:val="both"/>
        <w:rPr>
          <w:rFonts w:asciiTheme="majorHAnsi" w:hAnsiTheme="majorHAnsi"/>
        </w:rPr>
        <w:sectPr w:rsidR="00B55B66" w:rsidRPr="000F45BD" w:rsidSect="0032313A">
          <w:pgSz w:w="11906" w:h="16838"/>
          <w:pgMar w:top="1440" w:right="1440" w:bottom="1440" w:left="1440" w:header="708" w:footer="708" w:gutter="0"/>
          <w:cols w:space="708"/>
          <w:docGrid w:linePitch="360"/>
        </w:sectPr>
      </w:pPr>
    </w:p>
    <w:p w14:paraId="15DD9D76" w14:textId="19AFDC0D" w:rsidR="00B55B66" w:rsidRPr="000F45BD" w:rsidRDefault="00B55B66"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lastRenderedPageBreak/>
        <w:t xml:space="preserve">Table </w:t>
      </w:r>
      <w:r w:rsidR="000B3931" w:rsidRPr="000F45BD">
        <w:rPr>
          <w:rFonts w:asciiTheme="majorHAnsi" w:hAnsiTheme="majorHAnsi"/>
          <w:b/>
        </w:rPr>
        <w:t>10</w:t>
      </w:r>
      <w:r w:rsidRPr="000F45BD">
        <w:rPr>
          <w:rFonts w:asciiTheme="majorHAnsi" w:hAnsiTheme="majorHAnsi"/>
          <w:b/>
        </w:rPr>
        <w:t>: Multi-level Models</w:t>
      </w:r>
    </w:p>
    <w:tbl>
      <w:tblPr>
        <w:tblStyle w:val="TableGrid"/>
        <w:tblW w:w="5000" w:type="pct"/>
        <w:tblLook w:val="04A0" w:firstRow="1" w:lastRow="0" w:firstColumn="1" w:lastColumn="0" w:noHBand="0" w:noVBand="1"/>
      </w:tblPr>
      <w:tblGrid>
        <w:gridCol w:w="1820"/>
        <w:gridCol w:w="204"/>
        <w:gridCol w:w="2030"/>
        <w:gridCol w:w="2024"/>
        <w:gridCol w:w="2024"/>
        <w:gridCol w:w="2024"/>
        <w:gridCol w:w="2024"/>
        <w:gridCol w:w="2024"/>
      </w:tblGrid>
      <w:tr w:rsidR="00B55B66" w:rsidRPr="000F45BD" w14:paraId="6947B5C0" w14:textId="77777777" w:rsidTr="002D76AB">
        <w:tc>
          <w:tcPr>
            <w:tcW w:w="714" w:type="pct"/>
            <w:gridSpan w:val="2"/>
          </w:tcPr>
          <w:p w14:paraId="71EE826B" w14:textId="77777777" w:rsidR="00B55B66" w:rsidRPr="000F45BD" w:rsidRDefault="00B55B66" w:rsidP="00D4634E">
            <w:pPr>
              <w:spacing w:before="100" w:beforeAutospacing="1" w:after="100" w:afterAutospacing="1"/>
              <w:jc w:val="both"/>
              <w:rPr>
                <w:rFonts w:asciiTheme="majorHAnsi" w:hAnsiTheme="majorHAnsi"/>
                <w:b/>
              </w:rPr>
            </w:pPr>
          </w:p>
        </w:tc>
        <w:tc>
          <w:tcPr>
            <w:tcW w:w="716" w:type="pct"/>
          </w:tcPr>
          <w:p w14:paraId="660E38CE" w14:textId="77777777" w:rsidR="00B55B66" w:rsidRPr="000F45BD" w:rsidRDefault="00B55B66" w:rsidP="00D4634E">
            <w:pPr>
              <w:spacing w:before="100" w:beforeAutospacing="1" w:after="100" w:afterAutospacing="1"/>
              <w:jc w:val="both"/>
              <w:rPr>
                <w:rFonts w:asciiTheme="majorHAnsi" w:hAnsiTheme="majorHAnsi"/>
                <w:b/>
              </w:rPr>
            </w:pPr>
          </w:p>
        </w:tc>
        <w:tc>
          <w:tcPr>
            <w:tcW w:w="714" w:type="pct"/>
          </w:tcPr>
          <w:p w14:paraId="4AA63371"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Model 1</w:t>
            </w:r>
          </w:p>
        </w:tc>
        <w:tc>
          <w:tcPr>
            <w:tcW w:w="714" w:type="pct"/>
          </w:tcPr>
          <w:p w14:paraId="65105283"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Model 2</w:t>
            </w:r>
          </w:p>
        </w:tc>
        <w:tc>
          <w:tcPr>
            <w:tcW w:w="714" w:type="pct"/>
          </w:tcPr>
          <w:p w14:paraId="3E3A4AF9"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Model 3</w:t>
            </w:r>
          </w:p>
        </w:tc>
        <w:tc>
          <w:tcPr>
            <w:tcW w:w="714" w:type="pct"/>
          </w:tcPr>
          <w:p w14:paraId="5D5B1510"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Model 4</w:t>
            </w:r>
          </w:p>
        </w:tc>
        <w:tc>
          <w:tcPr>
            <w:tcW w:w="714" w:type="pct"/>
          </w:tcPr>
          <w:p w14:paraId="0A43E227"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Model 5</w:t>
            </w:r>
          </w:p>
        </w:tc>
      </w:tr>
      <w:tr w:rsidR="00B55B66" w:rsidRPr="000F45BD" w14:paraId="509E5AEB" w14:textId="77777777" w:rsidTr="002D76AB">
        <w:tc>
          <w:tcPr>
            <w:tcW w:w="5000" w:type="pct"/>
            <w:gridSpan w:val="8"/>
          </w:tcPr>
          <w:p w14:paraId="7F1480CE"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Individual level</w:t>
            </w:r>
          </w:p>
        </w:tc>
      </w:tr>
      <w:tr w:rsidR="00B55B66" w:rsidRPr="000F45BD" w14:paraId="583038A8" w14:textId="77777777" w:rsidTr="002D76AB">
        <w:tc>
          <w:tcPr>
            <w:tcW w:w="1430" w:type="pct"/>
            <w:gridSpan w:val="3"/>
          </w:tcPr>
          <w:p w14:paraId="6612BB6A"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Age group (Ref: 10)</w:t>
            </w:r>
          </w:p>
        </w:tc>
        <w:tc>
          <w:tcPr>
            <w:tcW w:w="714" w:type="pct"/>
          </w:tcPr>
          <w:p w14:paraId="77ACCDBC"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3B5DABA5"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-1.73**</w:t>
            </w:r>
          </w:p>
        </w:tc>
        <w:tc>
          <w:tcPr>
            <w:tcW w:w="714" w:type="pct"/>
          </w:tcPr>
          <w:p w14:paraId="138EA6A5"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-1.88**</w:t>
            </w:r>
          </w:p>
        </w:tc>
        <w:tc>
          <w:tcPr>
            <w:tcW w:w="714" w:type="pct"/>
          </w:tcPr>
          <w:p w14:paraId="629BC947"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-2.01**</w:t>
            </w:r>
          </w:p>
        </w:tc>
        <w:tc>
          <w:tcPr>
            <w:tcW w:w="714" w:type="pct"/>
          </w:tcPr>
          <w:p w14:paraId="0D85919F"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-2.03**</w:t>
            </w:r>
          </w:p>
        </w:tc>
      </w:tr>
      <w:tr w:rsidR="00B55B66" w:rsidRPr="000F45BD" w14:paraId="3A0D0CDC" w14:textId="77777777" w:rsidTr="002D76AB">
        <w:tc>
          <w:tcPr>
            <w:tcW w:w="714" w:type="pct"/>
            <w:gridSpan w:val="2"/>
            <w:vMerge w:val="restart"/>
          </w:tcPr>
          <w:p w14:paraId="4CFA7234"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N parents (Ref: none)</w:t>
            </w:r>
          </w:p>
        </w:tc>
        <w:tc>
          <w:tcPr>
            <w:tcW w:w="716" w:type="pct"/>
          </w:tcPr>
          <w:p w14:paraId="3EFC0151"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w:t>
            </w:r>
          </w:p>
        </w:tc>
        <w:tc>
          <w:tcPr>
            <w:tcW w:w="714" w:type="pct"/>
          </w:tcPr>
          <w:p w14:paraId="64CB64C1"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69E52244"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1.11**</w:t>
            </w:r>
          </w:p>
        </w:tc>
        <w:tc>
          <w:tcPr>
            <w:tcW w:w="714" w:type="pct"/>
          </w:tcPr>
          <w:p w14:paraId="166088F6"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0.87**</w:t>
            </w:r>
          </w:p>
        </w:tc>
        <w:tc>
          <w:tcPr>
            <w:tcW w:w="714" w:type="pct"/>
          </w:tcPr>
          <w:p w14:paraId="1072FB52"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0.86**</w:t>
            </w:r>
          </w:p>
        </w:tc>
        <w:tc>
          <w:tcPr>
            <w:tcW w:w="714" w:type="pct"/>
          </w:tcPr>
          <w:p w14:paraId="262023E0"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0.90**</w:t>
            </w:r>
          </w:p>
        </w:tc>
      </w:tr>
      <w:tr w:rsidR="00B55B66" w:rsidRPr="000F45BD" w14:paraId="570C87C8" w14:textId="77777777" w:rsidTr="002D76AB">
        <w:tc>
          <w:tcPr>
            <w:tcW w:w="714" w:type="pct"/>
            <w:gridSpan w:val="2"/>
            <w:vMerge/>
          </w:tcPr>
          <w:p w14:paraId="21B32E83" w14:textId="77777777" w:rsidR="00B55B66" w:rsidRPr="000F45BD" w:rsidRDefault="00B55B66" w:rsidP="00D4634E">
            <w:pPr>
              <w:spacing w:before="100" w:beforeAutospacing="1" w:after="100" w:afterAutospacing="1"/>
              <w:jc w:val="both"/>
              <w:rPr>
                <w:rFonts w:asciiTheme="majorHAnsi" w:hAnsiTheme="majorHAnsi"/>
              </w:rPr>
            </w:pPr>
          </w:p>
        </w:tc>
        <w:tc>
          <w:tcPr>
            <w:tcW w:w="716" w:type="pct"/>
          </w:tcPr>
          <w:p w14:paraId="720C2237"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w:t>
            </w:r>
          </w:p>
        </w:tc>
        <w:tc>
          <w:tcPr>
            <w:tcW w:w="714" w:type="pct"/>
          </w:tcPr>
          <w:p w14:paraId="568994E3"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77219A82"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2.95**</w:t>
            </w:r>
          </w:p>
        </w:tc>
        <w:tc>
          <w:tcPr>
            <w:tcW w:w="714" w:type="pct"/>
          </w:tcPr>
          <w:p w14:paraId="5F316975"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2.31**</w:t>
            </w:r>
          </w:p>
        </w:tc>
        <w:tc>
          <w:tcPr>
            <w:tcW w:w="714" w:type="pct"/>
          </w:tcPr>
          <w:p w14:paraId="05A78DA4"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2.28**</w:t>
            </w:r>
          </w:p>
        </w:tc>
        <w:tc>
          <w:tcPr>
            <w:tcW w:w="714" w:type="pct"/>
          </w:tcPr>
          <w:p w14:paraId="07F181C8"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2.28**</w:t>
            </w:r>
          </w:p>
        </w:tc>
      </w:tr>
      <w:tr w:rsidR="00B55B66" w:rsidRPr="000F45BD" w14:paraId="182EC295" w14:textId="77777777" w:rsidTr="002D76AB">
        <w:tc>
          <w:tcPr>
            <w:tcW w:w="1430" w:type="pct"/>
            <w:gridSpan w:val="3"/>
          </w:tcPr>
          <w:p w14:paraId="16C1F15B"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Material resources</w:t>
            </w:r>
          </w:p>
        </w:tc>
        <w:tc>
          <w:tcPr>
            <w:tcW w:w="714" w:type="pct"/>
          </w:tcPr>
          <w:p w14:paraId="2954E08A"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3836D59D"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2AADCCD1"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-1.52**</w:t>
            </w:r>
          </w:p>
        </w:tc>
        <w:tc>
          <w:tcPr>
            <w:tcW w:w="714" w:type="pct"/>
          </w:tcPr>
          <w:p w14:paraId="68972D2A"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-1.58**</w:t>
            </w:r>
          </w:p>
        </w:tc>
        <w:tc>
          <w:tcPr>
            <w:tcW w:w="714" w:type="pct"/>
          </w:tcPr>
          <w:p w14:paraId="0AAC89CA"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-1.77**</w:t>
            </w:r>
          </w:p>
        </w:tc>
      </w:tr>
      <w:tr w:rsidR="00B55B66" w:rsidRPr="000F45BD" w14:paraId="56CAECB3" w14:textId="77777777" w:rsidTr="002D76AB">
        <w:tc>
          <w:tcPr>
            <w:tcW w:w="1430" w:type="pct"/>
            <w:gridSpan w:val="3"/>
          </w:tcPr>
          <w:p w14:paraId="54EB8A72"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Constant</w:t>
            </w:r>
          </w:p>
        </w:tc>
        <w:tc>
          <w:tcPr>
            <w:tcW w:w="714" w:type="pct"/>
          </w:tcPr>
          <w:p w14:paraId="6B2B19B8"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61.32</w:t>
            </w:r>
          </w:p>
        </w:tc>
        <w:tc>
          <w:tcPr>
            <w:tcW w:w="714" w:type="pct"/>
          </w:tcPr>
          <w:p w14:paraId="6F868DAB"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59.63</w:t>
            </w:r>
          </w:p>
        </w:tc>
        <w:tc>
          <w:tcPr>
            <w:tcW w:w="714" w:type="pct"/>
          </w:tcPr>
          <w:p w14:paraId="17F5D3A2"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63.06</w:t>
            </w:r>
          </w:p>
        </w:tc>
        <w:tc>
          <w:tcPr>
            <w:tcW w:w="714" w:type="pct"/>
          </w:tcPr>
          <w:p w14:paraId="4CC4A0BA"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63.10</w:t>
            </w:r>
          </w:p>
        </w:tc>
        <w:tc>
          <w:tcPr>
            <w:tcW w:w="714" w:type="pct"/>
          </w:tcPr>
          <w:p w14:paraId="2E56E639"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62.90</w:t>
            </w:r>
          </w:p>
        </w:tc>
      </w:tr>
      <w:tr w:rsidR="00B55B66" w:rsidRPr="000F45BD" w14:paraId="6CA896E3" w14:textId="77777777" w:rsidTr="002D76AB">
        <w:tc>
          <w:tcPr>
            <w:tcW w:w="1430" w:type="pct"/>
            <w:gridSpan w:val="3"/>
          </w:tcPr>
          <w:p w14:paraId="41E7809E"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Wald χ</w:t>
            </w:r>
            <w:r w:rsidRPr="000F45BD">
              <w:rPr>
                <w:rFonts w:asciiTheme="majorHAnsi" w:hAnsiTheme="majorHAnsi"/>
                <w:color w:val="3F3F3F"/>
                <w:shd w:val="clear" w:color="auto" w:fill="FFFFFF"/>
                <w:vertAlign w:val="superscript"/>
              </w:rPr>
              <w:t>2</w:t>
            </w:r>
          </w:p>
        </w:tc>
        <w:tc>
          <w:tcPr>
            <w:tcW w:w="714" w:type="pct"/>
          </w:tcPr>
          <w:p w14:paraId="693E1552"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w:t>
            </w:r>
          </w:p>
        </w:tc>
        <w:tc>
          <w:tcPr>
            <w:tcW w:w="714" w:type="pct"/>
          </w:tcPr>
          <w:p w14:paraId="0DC4E886"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212.73**</w:t>
            </w:r>
          </w:p>
        </w:tc>
        <w:tc>
          <w:tcPr>
            <w:tcW w:w="714" w:type="pct"/>
          </w:tcPr>
          <w:p w14:paraId="56190836"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155.64**</w:t>
            </w:r>
          </w:p>
        </w:tc>
        <w:tc>
          <w:tcPr>
            <w:tcW w:w="714" w:type="pct"/>
          </w:tcPr>
          <w:p w14:paraId="195CEDEA"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148.80**</w:t>
            </w:r>
          </w:p>
        </w:tc>
        <w:tc>
          <w:tcPr>
            <w:tcW w:w="714" w:type="pct"/>
          </w:tcPr>
          <w:p w14:paraId="1D1FEBDF"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185.40**</w:t>
            </w:r>
          </w:p>
        </w:tc>
      </w:tr>
      <w:tr w:rsidR="00B55B66" w:rsidRPr="000F45BD" w14:paraId="342A0B3E" w14:textId="77777777" w:rsidTr="002D76AB">
        <w:tc>
          <w:tcPr>
            <w:tcW w:w="1430" w:type="pct"/>
            <w:gridSpan w:val="3"/>
          </w:tcPr>
          <w:p w14:paraId="1AB16A3E"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r</w:t>
            </w:r>
            <w:r w:rsidRPr="000F45BD">
              <w:rPr>
                <w:rFonts w:asciiTheme="majorHAnsi" w:hAnsiTheme="majorHAnsi"/>
                <w:iCs/>
                <w:vertAlign w:val="superscript"/>
              </w:rPr>
              <w:t>2</w:t>
            </w:r>
          </w:p>
        </w:tc>
        <w:tc>
          <w:tcPr>
            <w:tcW w:w="714" w:type="pct"/>
          </w:tcPr>
          <w:p w14:paraId="23459608"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w:t>
            </w:r>
          </w:p>
        </w:tc>
        <w:tc>
          <w:tcPr>
            <w:tcW w:w="714" w:type="pct"/>
          </w:tcPr>
          <w:p w14:paraId="3F996BA6"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0.02</w:t>
            </w:r>
          </w:p>
        </w:tc>
        <w:tc>
          <w:tcPr>
            <w:tcW w:w="714" w:type="pct"/>
          </w:tcPr>
          <w:p w14:paraId="7BC3A8BA"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0.06</w:t>
            </w:r>
          </w:p>
        </w:tc>
        <w:tc>
          <w:tcPr>
            <w:tcW w:w="714" w:type="pct"/>
          </w:tcPr>
          <w:p w14:paraId="1C2CD737"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0.06</w:t>
            </w:r>
          </w:p>
        </w:tc>
        <w:tc>
          <w:tcPr>
            <w:tcW w:w="714" w:type="pct"/>
          </w:tcPr>
          <w:p w14:paraId="7F492554"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0.06</w:t>
            </w:r>
          </w:p>
        </w:tc>
      </w:tr>
      <w:tr w:rsidR="00B55B66" w:rsidRPr="000F45BD" w14:paraId="6BC2A4F1" w14:textId="77777777" w:rsidTr="002D76AB">
        <w:tc>
          <w:tcPr>
            <w:tcW w:w="5000" w:type="pct"/>
            <w:gridSpan w:val="8"/>
          </w:tcPr>
          <w:p w14:paraId="4BFE0996"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School level</w:t>
            </w:r>
          </w:p>
        </w:tc>
      </w:tr>
      <w:tr w:rsidR="00B55B66" w:rsidRPr="000F45BD" w14:paraId="39ADCDB3" w14:textId="77777777" w:rsidTr="002D76AB">
        <w:tc>
          <w:tcPr>
            <w:tcW w:w="642" w:type="pct"/>
            <w:vMerge w:val="restart"/>
          </w:tcPr>
          <w:p w14:paraId="253EAF82"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School level: SD (CI)</w:t>
            </w:r>
          </w:p>
        </w:tc>
        <w:tc>
          <w:tcPr>
            <w:tcW w:w="788" w:type="pct"/>
            <w:gridSpan w:val="2"/>
          </w:tcPr>
          <w:p w14:paraId="70DFCEBD"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Mat. res.</w:t>
            </w:r>
          </w:p>
        </w:tc>
        <w:tc>
          <w:tcPr>
            <w:tcW w:w="714" w:type="pct"/>
          </w:tcPr>
          <w:p w14:paraId="550B118F"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24AD802E"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2F1B2766"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3FC340DB"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0.93 (0.64-1.35)</w:t>
            </w:r>
          </w:p>
        </w:tc>
        <w:tc>
          <w:tcPr>
            <w:tcW w:w="714" w:type="pct"/>
          </w:tcPr>
          <w:p w14:paraId="409BF25E"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0.81 (0.57-1.15)</w:t>
            </w:r>
          </w:p>
        </w:tc>
      </w:tr>
      <w:tr w:rsidR="00B55B66" w:rsidRPr="000F45BD" w14:paraId="34C2FD91" w14:textId="77777777" w:rsidTr="002D76AB">
        <w:tc>
          <w:tcPr>
            <w:tcW w:w="642" w:type="pct"/>
            <w:vMerge/>
          </w:tcPr>
          <w:p w14:paraId="5BB925CA" w14:textId="77777777" w:rsidR="00B55B66" w:rsidRPr="000F45BD" w:rsidRDefault="00B55B66" w:rsidP="00D4634E">
            <w:pPr>
              <w:spacing w:before="100" w:beforeAutospacing="1" w:after="100" w:afterAutospacing="1"/>
              <w:jc w:val="both"/>
              <w:rPr>
                <w:rFonts w:asciiTheme="majorHAnsi" w:hAnsiTheme="majorHAnsi"/>
              </w:rPr>
            </w:pPr>
          </w:p>
        </w:tc>
        <w:tc>
          <w:tcPr>
            <w:tcW w:w="788" w:type="pct"/>
            <w:gridSpan w:val="2"/>
          </w:tcPr>
          <w:p w14:paraId="68EBA773"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School mat. res.</w:t>
            </w:r>
          </w:p>
        </w:tc>
        <w:tc>
          <w:tcPr>
            <w:tcW w:w="714" w:type="pct"/>
          </w:tcPr>
          <w:p w14:paraId="3383C44A"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610E18BB"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74D7B391"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1210C8A0"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0.23 (0.03-1.91)</w:t>
            </w:r>
          </w:p>
        </w:tc>
        <w:tc>
          <w:tcPr>
            <w:tcW w:w="714" w:type="pct"/>
          </w:tcPr>
          <w:p w14:paraId="28ED5AD9"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0.25 (0.04-1.45)</w:t>
            </w:r>
          </w:p>
        </w:tc>
      </w:tr>
      <w:tr w:rsidR="00B55B66" w:rsidRPr="000F45BD" w14:paraId="0E0C7A3A" w14:textId="77777777" w:rsidTr="002D76AB">
        <w:tc>
          <w:tcPr>
            <w:tcW w:w="642" w:type="pct"/>
            <w:vMerge/>
          </w:tcPr>
          <w:p w14:paraId="37866923" w14:textId="77777777" w:rsidR="00B55B66" w:rsidRPr="000F45BD" w:rsidRDefault="00B55B66" w:rsidP="00D4634E">
            <w:pPr>
              <w:spacing w:before="100" w:beforeAutospacing="1" w:after="100" w:afterAutospacing="1"/>
              <w:jc w:val="both"/>
              <w:rPr>
                <w:rFonts w:asciiTheme="majorHAnsi" w:hAnsiTheme="majorHAnsi"/>
              </w:rPr>
            </w:pPr>
          </w:p>
        </w:tc>
        <w:tc>
          <w:tcPr>
            <w:tcW w:w="788" w:type="pct"/>
            <w:gridSpan w:val="2"/>
          </w:tcPr>
          <w:p w14:paraId="3A7C25CD"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School level</w:t>
            </w:r>
          </w:p>
        </w:tc>
        <w:tc>
          <w:tcPr>
            <w:tcW w:w="714" w:type="pct"/>
          </w:tcPr>
          <w:p w14:paraId="47C30B41"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2.92 (2.24-3.80)</w:t>
            </w:r>
          </w:p>
        </w:tc>
        <w:tc>
          <w:tcPr>
            <w:tcW w:w="714" w:type="pct"/>
          </w:tcPr>
          <w:p w14:paraId="20939807"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2.93 (2.24-3.85)</w:t>
            </w:r>
          </w:p>
        </w:tc>
        <w:tc>
          <w:tcPr>
            <w:tcW w:w="714" w:type="pct"/>
          </w:tcPr>
          <w:p w14:paraId="593C0F18"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2.78 (1.98-3.90)</w:t>
            </w:r>
          </w:p>
        </w:tc>
        <w:tc>
          <w:tcPr>
            <w:tcW w:w="714" w:type="pct"/>
          </w:tcPr>
          <w:p w14:paraId="701C01A7"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1.15 (0.70-1.88)</w:t>
            </w:r>
          </w:p>
        </w:tc>
        <w:tc>
          <w:tcPr>
            <w:tcW w:w="714" w:type="pct"/>
          </w:tcPr>
          <w:p w14:paraId="7D78601F"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1.17 (0.74-1.87)</w:t>
            </w:r>
          </w:p>
        </w:tc>
      </w:tr>
      <w:tr w:rsidR="00B55B66" w:rsidRPr="000F45BD" w14:paraId="65BC0694" w14:textId="77777777" w:rsidTr="002D76AB">
        <w:tc>
          <w:tcPr>
            <w:tcW w:w="5000" w:type="pct"/>
            <w:gridSpan w:val="8"/>
          </w:tcPr>
          <w:p w14:paraId="0FB9CB61"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Country level</w:t>
            </w:r>
          </w:p>
        </w:tc>
      </w:tr>
      <w:tr w:rsidR="00B55B66" w:rsidRPr="000F45BD" w14:paraId="0EB02904" w14:textId="77777777" w:rsidTr="002D76AB">
        <w:tc>
          <w:tcPr>
            <w:tcW w:w="642" w:type="pct"/>
            <w:vMerge w:val="restart"/>
          </w:tcPr>
          <w:p w14:paraId="79553A66"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Country level: SD (CI)</w:t>
            </w:r>
          </w:p>
        </w:tc>
        <w:tc>
          <w:tcPr>
            <w:tcW w:w="788" w:type="pct"/>
            <w:gridSpan w:val="2"/>
          </w:tcPr>
          <w:p w14:paraId="55AE44B4"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Mat. res.</w:t>
            </w:r>
          </w:p>
        </w:tc>
        <w:tc>
          <w:tcPr>
            <w:tcW w:w="714" w:type="pct"/>
          </w:tcPr>
          <w:p w14:paraId="198E8BBA"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0C932C59"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05191AA4"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2F1FC3EB"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70ABED01"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0.66 (0.51-0.87)</w:t>
            </w:r>
          </w:p>
        </w:tc>
      </w:tr>
      <w:tr w:rsidR="00B55B66" w:rsidRPr="000F45BD" w14:paraId="79D33F50" w14:textId="77777777" w:rsidTr="002D76AB">
        <w:tc>
          <w:tcPr>
            <w:tcW w:w="642" w:type="pct"/>
            <w:vMerge/>
          </w:tcPr>
          <w:p w14:paraId="1722366D" w14:textId="77777777" w:rsidR="00B55B66" w:rsidRPr="000F45BD" w:rsidRDefault="00B55B66" w:rsidP="00D4634E">
            <w:pPr>
              <w:spacing w:before="100" w:beforeAutospacing="1" w:after="100" w:afterAutospacing="1"/>
              <w:jc w:val="both"/>
              <w:rPr>
                <w:rFonts w:asciiTheme="majorHAnsi" w:hAnsiTheme="majorHAnsi"/>
              </w:rPr>
            </w:pPr>
          </w:p>
        </w:tc>
        <w:tc>
          <w:tcPr>
            <w:tcW w:w="788" w:type="pct"/>
            <w:gridSpan w:val="2"/>
          </w:tcPr>
          <w:p w14:paraId="168EC160"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 xml:space="preserve">School mat. </w:t>
            </w:r>
            <w:proofErr w:type="spellStart"/>
            <w:r w:rsidRPr="000F45BD">
              <w:rPr>
                <w:rFonts w:asciiTheme="majorHAnsi" w:hAnsiTheme="majorHAnsi"/>
              </w:rPr>
              <w:t>ress</w:t>
            </w:r>
            <w:proofErr w:type="spellEnd"/>
          </w:p>
        </w:tc>
        <w:tc>
          <w:tcPr>
            <w:tcW w:w="714" w:type="pct"/>
          </w:tcPr>
          <w:p w14:paraId="7D9D482D"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15E6F16B"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57C84E24"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3A6AA4BA"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283E51C2"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0.36 (0.19-0.68)</w:t>
            </w:r>
          </w:p>
        </w:tc>
      </w:tr>
      <w:tr w:rsidR="00B55B66" w:rsidRPr="000F45BD" w14:paraId="30A4A3C1" w14:textId="77777777" w:rsidTr="002D76AB">
        <w:tc>
          <w:tcPr>
            <w:tcW w:w="642" w:type="pct"/>
            <w:vMerge/>
          </w:tcPr>
          <w:p w14:paraId="3830D6F9" w14:textId="77777777" w:rsidR="00B55B66" w:rsidRPr="000F45BD" w:rsidRDefault="00B55B66" w:rsidP="00D4634E">
            <w:pPr>
              <w:spacing w:before="100" w:beforeAutospacing="1" w:after="100" w:afterAutospacing="1"/>
              <w:jc w:val="both"/>
              <w:rPr>
                <w:rFonts w:asciiTheme="majorHAnsi" w:hAnsiTheme="majorHAnsi"/>
              </w:rPr>
            </w:pPr>
          </w:p>
        </w:tc>
        <w:tc>
          <w:tcPr>
            <w:tcW w:w="788" w:type="pct"/>
            <w:gridSpan w:val="2"/>
          </w:tcPr>
          <w:p w14:paraId="44B3F27D"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Country mat. res.</w:t>
            </w:r>
          </w:p>
        </w:tc>
        <w:tc>
          <w:tcPr>
            <w:tcW w:w="714" w:type="pct"/>
          </w:tcPr>
          <w:p w14:paraId="466A6BB1"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7BB24DAC"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025AC0AA"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6E9DF2ED" w14:textId="77777777" w:rsidR="00B55B66" w:rsidRPr="000F45BD" w:rsidRDefault="00B55B66" w:rsidP="00D4634E">
            <w:pPr>
              <w:spacing w:before="100" w:beforeAutospacing="1" w:after="100" w:afterAutospacing="1"/>
              <w:jc w:val="both"/>
              <w:rPr>
                <w:rFonts w:asciiTheme="majorHAnsi" w:hAnsiTheme="majorHAnsi"/>
              </w:rPr>
            </w:pPr>
          </w:p>
        </w:tc>
        <w:tc>
          <w:tcPr>
            <w:tcW w:w="714" w:type="pct"/>
          </w:tcPr>
          <w:p w14:paraId="3C7D5EA5"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0.52 (0.14-1.89)</w:t>
            </w:r>
          </w:p>
        </w:tc>
      </w:tr>
      <w:tr w:rsidR="00B55B66" w:rsidRPr="000F45BD" w14:paraId="563C72A5" w14:textId="77777777" w:rsidTr="002D76AB">
        <w:tc>
          <w:tcPr>
            <w:tcW w:w="642" w:type="pct"/>
            <w:vMerge/>
          </w:tcPr>
          <w:p w14:paraId="372AE55A" w14:textId="77777777" w:rsidR="00B55B66" w:rsidRPr="000F45BD" w:rsidRDefault="00B55B66" w:rsidP="00D4634E">
            <w:pPr>
              <w:spacing w:before="100" w:beforeAutospacing="1" w:after="100" w:afterAutospacing="1"/>
              <w:jc w:val="both"/>
              <w:rPr>
                <w:rFonts w:asciiTheme="majorHAnsi" w:hAnsiTheme="majorHAnsi"/>
              </w:rPr>
            </w:pPr>
          </w:p>
        </w:tc>
        <w:tc>
          <w:tcPr>
            <w:tcW w:w="788" w:type="pct"/>
            <w:gridSpan w:val="2"/>
          </w:tcPr>
          <w:p w14:paraId="03AD770E"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Country level</w:t>
            </w:r>
          </w:p>
        </w:tc>
        <w:tc>
          <w:tcPr>
            <w:tcW w:w="714" w:type="pct"/>
          </w:tcPr>
          <w:p w14:paraId="30BD00E5"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2.58 (1.84-3.61)</w:t>
            </w:r>
          </w:p>
        </w:tc>
        <w:tc>
          <w:tcPr>
            <w:tcW w:w="714" w:type="pct"/>
          </w:tcPr>
          <w:p w14:paraId="5DD81C7E"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2.40 (1.65-3.51)</w:t>
            </w:r>
          </w:p>
        </w:tc>
        <w:tc>
          <w:tcPr>
            <w:tcW w:w="714" w:type="pct"/>
          </w:tcPr>
          <w:p w14:paraId="46C9FCAB"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2.25 (1.54-3.28)</w:t>
            </w:r>
          </w:p>
        </w:tc>
        <w:tc>
          <w:tcPr>
            <w:tcW w:w="714" w:type="pct"/>
          </w:tcPr>
          <w:p w14:paraId="4DEEFF5E"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2.69 (1.91-3.79)</w:t>
            </w:r>
          </w:p>
        </w:tc>
        <w:tc>
          <w:tcPr>
            <w:tcW w:w="714" w:type="pct"/>
          </w:tcPr>
          <w:p w14:paraId="64C78B6B"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2.48 (1.29-4.78)</w:t>
            </w:r>
          </w:p>
        </w:tc>
      </w:tr>
      <w:tr w:rsidR="00B55B66" w:rsidRPr="000F45BD" w14:paraId="5A7AA45C" w14:textId="77777777" w:rsidTr="002D76AB">
        <w:tc>
          <w:tcPr>
            <w:tcW w:w="1430" w:type="pct"/>
            <w:gridSpan w:val="3"/>
          </w:tcPr>
          <w:p w14:paraId="6806F78F"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Log likelihood</w:t>
            </w:r>
          </w:p>
        </w:tc>
        <w:tc>
          <w:tcPr>
            <w:tcW w:w="714" w:type="pct"/>
          </w:tcPr>
          <w:p w14:paraId="6E541E0F"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-105480.04</w:t>
            </w:r>
          </w:p>
        </w:tc>
        <w:tc>
          <w:tcPr>
            <w:tcW w:w="714" w:type="pct"/>
          </w:tcPr>
          <w:p w14:paraId="2C1221FB"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-105249.89</w:t>
            </w:r>
          </w:p>
        </w:tc>
        <w:tc>
          <w:tcPr>
            <w:tcW w:w="714" w:type="pct"/>
          </w:tcPr>
          <w:p w14:paraId="4EAE6FD3"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-104529.30</w:t>
            </w:r>
          </w:p>
        </w:tc>
        <w:tc>
          <w:tcPr>
            <w:tcW w:w="714" w:type="pct"/>
          </w:tcPr>
          <w:p w14:paraId="1504E319"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-104326.99</w:t>
            </w:r>
          </w:p>
        </w:tc>
        <w:tc>
          <w:tcPr>
            <w:tcW w:w="714" w:type="pct"/>
          </w:tcPr>
          <w:p w14:paraId="7788E9B4" w14:textId="77777777" w:rsidR="00B55B66" w:rsidRPr="000F45BD" w:rsidRDefault="00B55B66" w:rsidP="00D4634E">
            <w:pPr>
              <w:spacing w:before="100" w:beforeAutospacing="1" w:after="100" w:afterAutospacing="1"/>
              <w:jc w:val="both"/>
              <w:rPr>
                <w:rFonts w:asciiTheme="majorHAnsi" w:hAnsiTheme="majorHAnsi"/>
              </w:rPr>
            </w:pPr>
            <w:r w:rsidRPr="000F45BD">
              <w:rPr>
                <w:rFonts w:asciiTheme="majorHAnsi" w:hAnsiTheme="majorHAnsi"/>
              </w:rPr>
              <w:t>-104273.56</w:t>
            </w:r>
          </w:p>
        </w:tc>
      </w:tr>
    </w:tbl>
    <w:p w14:paraId="2E0054EF" w14:textId="77777777" w:rsidR="00B55B66" w:rsidRPr="000F45BD" w:rsidRDefault="00B55B66" w:rsidP="00D4634E">
      <w:pPr>
        <w:spacing w:before="100" w:beforeAutospacing="1" w:after="100" w:afterAutospacing="1" w:line="240" w:lineRule="auto"/>
        <w:jc w:val="both"/>
        <w:rPr>
          <w:rFonts w:asciiTheme="majorHAnsi" w:hAnsiTheme="majorHAnsi"/>
        </w:rPr>
      </w:pPr>
      <w:r w:rsidRPr="000F45BD">
        <w:rPr>
          <w:rFonts w:asciiTheme="majorHAnsi" w:hAnsiTheme="majorHAnsi"/>
        </w:rPr>
        <w:t>** denotes significance at the 0.01 level; * denotes significance at the 0.05 level. SD: Standard Deviation; CI: 95% Confidence Interval</w:t>
      </w:r>
    </w:p>
    <w:p w14:paraId="5DC723CC" w14:textId="77777777" w:rsidR="00B55B66" w:rsidRPr="000F45BD" w:rsidRDefault="00B55B66"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br w:type="page"/>
      </w:r>
    </w:p>
    <w:p w14:paraId="3BB5342F" w14:textId="0A99AD07" w:rsidR="00B55B66" w:rsidRPr="000F45BD" w:rsidRDefault="00B55B66"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lastRenderedPageBreak/>
        <w:t xml:space="preserve">Table </w:t>
      </w:r>
      <w:r w:rsidR="000B3931" w:rsidRPr="000F45BD">
        <w:rPr>
          <w:rFonts w:asciiTheme="majorHAnsi" w:hAnsiTheme="majorHAnsi"/>
          <w:b/>
        </w:rPr>
        <w:t>11</w:t>
      </w:r>
      <w:r w:rsidRPr="000F45BD">
        <w:rPr>
          <w:rFonts w:asciiTheme="majorHAnsi" w:hAnsiTheme="majorHAnsi"/>
          <w:b/>
        </w:rPr>
        <w:t>: Country-level intercepts and BLUPs</w:t>
      </w:r>
    </w:p>
    <w:tbl>
      <w:tblPr>
        <w:tblStyle w:val="TableGrid"/>
        <w:tblW w:w="0" w:type="auto"/>
        <w:tblLook w:val="04A0" w:firstRow="1" w:lastRow="0" w:firstColumn="1" w:lastColumn="0" w:noHBand="0" w:noVBand="1"/>
      </w:tblPr>
      <w:tblGrid>
        <w:gridCol w:w="2834"/>
        <w:gridCol w:w="2835"/>
        <w:gridCol w:w="2835"/>
        <w:gridCol w:w="2835"/>
        <w:gridCol w:w="2835"/>
      </w:tblGrid>
      <w:tr w:rsidR="00B55B66" w:rsidRPr="000F45BD" w14:paraId="0DCC8581" w14:textId="77777777" w:rsidTr="002D76AB">
        <w:tc>
          <w:tcPr>
            <w:tcW w:w="2834" w:type="dxa"/>
          </w:tcPr>
          <w:p w14:paraId="319FB835" w14:textId="77777777" w:rsidR="00B55B66" w:rsidRPr="000F45BD" w:rsidRDefault="00B55B66" w:rsidP="00D4634E">
            <w:pPr>
              <w:spacing w:before="100" w:beforeAutospacing="1" w:after="100" w:afterAutospacing="1"/>
              <w:jc w:val="both"/>
              <w:rPr>
                <w:rFonts w:asciiTheme="majorHAnsi" w:hAnsiTheme="majorHAnsi"/>
                <w:b/>
              </w:rPr>
            </w:pPr>
          </w:p>
        </w:tc>
        <w:tc>
          <w:tcPr>
            <w:tcW w:w="2835" w:type="dxa"/>
          </w:tcPr>
          <w:p w14:paraId="576A8785"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Country intercept</w:t>
            </w:r>
          </w:p>
        </w:tc>
        <w:tc>
          <w:tcPr>
            <w:tcW w:w="2835" w:type="dxa"/>
          </w:tcPr>
          <w:p w14:paraId="2CDDD0FC"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Individual mat. res. slope</w:t>
            </w:r>
          </w:p>
        </w:tc>
        <w:tc>
          <w:tcPr>
            <w:tcW w:w="2835" w:type="dxa"/>
          </w:tcPr>
          <w:p w14:paraId="54A71AF4"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School mat. res. slope</w:t>
            </w:r>
          </w:p>
        </w:tc>
        <w:tc>
          <w:tcPr>
            <w:tcW w:w="2835" w:type="dxa"/>
          </w:tcPr>
          <w:p w14:paraId="29C1E074" w14:textId="77777777" w:rsidR="00B55B66" w:rsidRPr="000F45BD" w:rsidRDefault="00B55B66" w:rsidP="00D4634E">
            <w:pPr>
              <w:spacing w:before="100" w:beforeAutospacing="1" w:after="100" w:afterAutospacing="1"/>
              <w:jc w:val="both"/>
              <w:rPr>
                <w:rFonts w:asciiTheme="majorHAnsi" w:hAnsiTheme="majorHAnsi"/>
                <w:b/>
              </w:rPr>
            </w:pPr>
            <w:r w:rsidRPr="000F45BD">
              <w:rPr>
                <w:rFonts w:asciiTheme="majorHAnsi" w:hAnsiTheme="majorHAnsi"/>
                <w:b/>
              </w:rPr>
              <w:t>Country mat. res. Slope</w:t>
            </w:r>
          </w:p>
        </w:tc>
      </w:tr>
      <w:tr w:rsidR="008E6BCD" w:rsidRPr="000F45BD" w14:paraId="17EC55B3" w14:textId="77777777" w:rsidTr="002D76AB">
        <w:tc>
          <w:tcPr>
            <w:tcW w:w="2834" w:type="dxa"/>
          </w:tcPr>
          <w:p w14:paraId="7A2A64A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Algeria</w:t>
            </w:r>
          </w:p>
        </w:tc>
        <w:tc>
          <w:tcPr>
            <w:tcW w:w="2835" w:type="dxa"/>
          </w:tcPr>
          <w:p w14:paraId="47643CC0"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63.65</w:t>
            </w:r>
          </w:p>
        </w:tc>
        <w:tc>
          <w:tcPr>
            <w:tcW w:w="2835" w:type="dxa"/>
          </w:tcPr>
          <w:p w14:paraId="6B7B62BF"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-1.35</w:t>
            </w:r>
          </w:p>
        </w:tc>
        <w:tc>
          <w:tcPr>
            <w:tcW w:w="2835" w:type="dxa"/>
          </w:tcPr>
          <w:p w14:paraId="778820C9"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-1.69</w:t>
            </w:r>
          </w:p>
        </w:tc>
        <w:tc>
          <w:tcPr>
            <w:tcW w:w="2835" w:type="dxa"/>
          </w:tcPr>
          <w:p w14:paraId="3C5EB25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-1.66</w:t>
            </w:r>
          </w:p>
        </w:tc>
      </w:tr>
      <w:tr w:rsidR="008E6BCD" w:rsidRPr="000F45BD" w14:paraId="54C7E555" w14:textId="77777777" w:rsidTr="002D76AB">
        <w:tc>
          <w:tcPr>
            <w:tcW w:w="2834" w:type="dxa"/>
          </w:tcPr>
          <w:p w14:paraId="60A0804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Colombia</w:t>
            </w:r>
          </w:p>
        </w:tc>
        <w:tc>
          <w:tcPr>
            <w:tcW w:w="2835" w:type="dxa"/>
          </w:tcPr>
          <w:p w14:paraId="086706BB"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65.19</w:t>
            </w:r>
          </w:p>
        </w:tc>
        <w:tc>
          <w:tcPr>
            <w:tcW w:w="2835" w:type="dxa"/>
          </w:tcPr>
          <w:p w14:paraId="7379F7F7"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-0.86</w:t>
            </w:r>
          </w:p>
        </w:tc>
        <w:tc>
          <w:tcPr>
            <w:tcW w:w="2835" w:type="dxa"/>
          </w:tcPr>
          <w:p w14:paraId="292ABC3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-1.77</w:t>
            </w:r>
          </w:p>
        </w:tc>
        <w:tc>
          <w:tcPr>
            <w:tcW w:w="2835" w:type="dxa"/>
          </w:tcPr>
          <w:p w14:paraId="67842D3A"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-1.54</w:t>
            </w:r>
          </w:p>
        </w:tc>
      </w:tr>
      <w:tr w:rsidR="008E6BCD" w:rsidRPr="000F45BD" w14:paraId="131CDCF0" w14:textId="77777777" w:rsidTr="002D76AB">
        <w:tc>
          <w:tcPr>
            <w:tcW w:w="2834" w:type="dxa"/>
          </w:tcPr>
          <w:p w14:paraId="13B5D0D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England</w:t>
            </w:r>
          </w:p>
        </w:tc>
        <w:tc>
          <w:tcPr>
            <w:tcW w:w="2835" w:type="dxa"/>
          </w:tcPr>
          <w:p w14:paraId="411A5FB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61.39</w:t>
            </w:r>
          </w:p>
        </w:tc>
        <w:tc>
          <w:tcPr>
            <w:tcW w:w="2835" w:type="dxa"/>
          </w:tcPr>
          <w:p w14:paraId="2BD7AB01"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-2.63</w:t>
            </w:r>
          </w:p>
        </w:tc>
        <w:tc>
          <w:tcPr>
            <w:tcW w:w="2835" w:type="dxa"/>
          </w:tcPr>
          <w:p w14:paraId="0BC81AEF"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-1.73</w:t>
            </w:r>
          </w:p>
        </w:tc>
        <w:tc>
          <w:tcPr>
            <w:tcW w:w="2835" w:type="dxa"/>
          </w:tcPr>
          <w:p w14:paraId="16BE06F0"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-1.81</w:t>
            </w:r>
          </w:p>
        </w:tc>
      </w:tr>
      <w:tr w:rsidR="008E6BCD" w:rsidRPr="000F45BD" w14:paraId="699F19A6" w14:textId="77777777" w:rsidTr="002D76AB">
        <w:tc>
          <w:tcPr>
            <w:tcW w:w="2834" w:type="dxa"/>
          </w:tcPr>
          <w:p w14:paraId="55549C0F"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Estonia</w:t>
            </w:r>
          </w:p>
        </w:tc>
        <w:tc>
          <w:tcPr>
            <w:tcW w:w="2835" w:type="dxa"/>
          </w:tcPr>
          <w:p w14:paraId="29F3C01F"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61.71</w:t>
            </w:r>
          </w:p>
        </w:tc>
        <w:tc>
          <w:tcPr>
            <w:tcW w:w="2835" w:type="dxa"/>
          </w:tcPr>
          <w:p w14:paraId="071E227B"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-2.70</w:t>
            </w:r>
          </w:p>
        </w:tc>
        <w:tc>
          <w:tcPr>
            <w:tcW w:w="2835" w:type="dxa"/>
          </w:tcPr>
          <w:p w14:paraId="2A1D8B85"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-1.50</w:t>
            </w:r>
          </w:p>
        </w:tc>
        <w:tc>
          <w:tcPr>
            <w:tcW w:w="2835" w:type="dxa"/>
          </w:tcPr>
          <w:p w14:paraId="4A7E480E"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-1.80</w:t>
            </w:r>
          </w:p>
        </w:tc>
      </w:tr>
      <w:tr w:rsidR="008E6BCD" w:rsidRPr="000F45BD" w14:paraId="6EFD76D6" w14:textId="77777777" w:rsidTr="002D76AB">
        <w:tc>
          <w:tcPr>
            <w:tcW w:w="2834" w:type="dxa"/>
          </w:tcPr>
          <w:p w14:paraId="17A7E9F9"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Ethiopia</w:t>
            </w:r>
          </w:p>
        </w:tc>
        <w:tc>
          <w:tcPr>
            <w:tcW w:w="2835" w:type="dxa"/>
          </w:tcPr>
          <w:p w14:paraId="1FC7A1D1"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64.35</w:t>
            </w:r>
          </w:p>
        </w:tc>
        <w:tc>
          <w:tcPr>
            <w:tcW w:w="2835" w:type="dxa"/>
          </w:tcPr>
          <w:p w14:paraId="489796C8"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-1.45</w:t>
            </w:r>
          </w:p>
        </w:tc>
        <w:tc>
          <w:tcPr>
            <w:tcW w:w="2835" w:type="dxa"/>
          </w:tcPr>
          <w:p w14:paraId="7A8057E9"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-2.10</w:t>
            </w:r>
          </w:p>
        </w:tc>
        <w:tc>
          <w:tcPr>
            <w:tcW w:w="2835" w:type="dxa"/>
          </w:tcPr>
          <w:p w14:paraId="28B97D02"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-1.38</w:t>
            </w:r>
          </w:p>
        </w:tc>
      </w:tr>
      <w:tr w:rsidR="008E6BCD" w:rsidRPr="000F45BD" w14:paraId="5D60DE16" w14:textId="77777777" w:rsidTr="002D76AB">
        <w:tc>
          <w:tcPr>
            <w:tcW w:w="2834" w:type="dxa"/>
          </w:tcPr>
          <w:p w14:paraId="0CC4EA07"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Germany</w:t>
            </w:r>
          </w:p>
        </w:tc>
        <w:tc>
          <w:tcPr>
            <w:tcW w:w="2835" w:type="dxa"/>
          </w:tcPr>
          <w:p w14:paraId="7952D2C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62.37</w:t>
            </w:r>
          </w:p>
        </w:tc>
        <w:tc>
          <w:tcPr>
            <w:tcW w:w="2835" w:type="dxa"/>
          </w:tcPr>
          <w:p w14:paraId="796DEE84"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-1.90</w:t>
            </w:r>
          </w:p>
        </w:tc>
        <w:tc>
          <w:tcPr>
            <w:tcW w:w="2835" w:type="dxa"/>
          </w:tcPr>
          <w:p w14:paraId="09643B7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-1.63</w:t>
            </w:r>
          </w:p>
        </w:tc>
        <w:tc>
          <w:tcPr>
            <w:tcW w:w="2835" w:type="dxa"/>
          </w:tcPr>
          <w:p w14:paraId="6549DAEF"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-1.79</w:t>
            </w:r>
          </w:p>
        </w:tc>
      </w:tr>
      <w:tr w:rsidR="008E6BCD" w:rsidRPr="000F45BD" w14:paraId="3C74B786" w14:textId="77777777" w:rsidTr="002D76AB">
        <w:tc>
          <w:tcPr>
            <w:tcW w:w="2834" w:type="dxa"/>
          </w:tcPr>
          <w:p w14:paraId="6834D4F8"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Israel</w:t>
            </w:r>
          </w:p>
        </w:tc>
        <w:tc>
          <w:tcPr>
            <w:tcW w:w="2835" w:type="dxa"/>
          </w:tcPr>
          <w:p w14:paraId="4DDB2C4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64.24</w:t>
            </w:r>
          </w:p>
        </w:tc>
        <w:tc>
          <w:tcPr>
            <w:tcW w:w="2835" w:type="dxa"/>
          </w:tcPr>
          <w:p w14:paraId="6C3E4EC5"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-2.60</w:t>
            </w:r>
          </w:p>
        </w:tc>
        <w:tc>
          <w:tcPr>
            <w:tcW w:w="2835" w:type="dxa"/>
          </w:tcPr>
          <w:p w14:paraId="2D60D780"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-1.52</w:t>
            </w:r>
          </w:p>
        </w:tc>
        <w:tc>
          <w:tcPr>
            <w:tcW w:w="2835" w:type="dxa"/>
          </w:tcPr>
          <w:p w14:paraId="77380DC2"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-1.71</w:t>
            </w:r>
          </w:p>
        </w:tc>
      </w:tr>
      <w:tr w:rsidR="008E6BCD" w:rsidRPr="000F45BD" w14:paraId="2E1CE881" w14:textId="77777777" w:rsidTr="002D76AB">
        <w:tc>
          <w:tcPr>
            <w:tcW w:w="2834" w:type="dxa"/>
          </w:tcPr>
          <w:p w14:paraId="64B166D2"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Nepal</w:t>
            </w:r>
          </w:p>
        </w:tc>
        <w:tc>
          <w:tcPr>
            <w:tcW w:w="2835" w:type="dxa"/>
          </w:tcPr>
          <w:p w14:paraId="04C269A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60.68</w:t>
            </w:r>
          </w:p>
        </w:tc>
        <w:tc>
          <w:tcPr>
            <w:tcW w:w="2835" w:type="dxa"/>
          </w:tcPr>
          <w:p w14:paraId="315BB33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-0.72</w:t>
            </w:r>
          </w:p>
        </w:tc>
        <w:tc>
          <w:tcPr>
            <w:tcW w:w="2835" w:type="dxa"/>
          </w:tcPr>
          <w:p w14:paraId="25F7EBE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-2.35</w:t>
            </w:r>
          </w:p>
        </w:tc>
        <w:tc>
          <w:tcPr>
            <w:tcW w:w="2835" w:type="dxa"/>
          </w:tcPr>
          <w:p w14:paraId="3321ADFF"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-2.15</w:t>
            </w:r>
          </w:p>
        </w:tc>
      </w:tr>
      <w:tr w:rsidR="008E6BCD" w:rsidRPr="000F45BD" w14:paraId="6EAD3339" w14:textId="77777777" w:rsidTr="002D76AB">
        <w:tc>
          <w:tcPr>
            <w:tcW w:w="2834" w:type="dxa"/>
          </w:tcPr>
          <w:p w14:paraId="261060A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Norway</w:t>
            </w:r>
          </w:p>
        </w:tc>
        <w:tc>
          <w:tcPr>
            <w:tcW w:w="2835" w:type="dxa"/>
          </w:tcPr>
          <w:p w14:paraId="5D598F15"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63.02</w:t>
            </w:r>
          </w:p>
        </w:tc>
        <w:tc>
          <w:tcPr>
            <w:tcW w:w="2835" w:type="dxa"/>
          </w:tcPr>
          <w:p w14:paraId="4FD30859"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-2.35</w:t>
            </w:r>
          </w:p>
        </w:tc>
        <w:tc>
          <w:tcPr>
            <w:tcW w:w="2835" w:type="dxa"/>
          </w:tcPr>
          <w:p w14:paraId="6DF41180"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-1.83</w:t>
            </w:r>
          </w:p>
        </w:tc>
        <w:tc>
          <w:tcPr>
            <w:tcW w:w="2835" w:type="dxa"/>
          </w:tcPr>
          <w:p w14:paraId="47504D2B"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-1.77</w:t>
            </w:r>
          </w:p>
        </w:tc>
      </w:tr>
      <w:tr w:rsidR="008E6BCD" w:rsidRPr="000F45BD" w14:paraId="2394C807" w14:textId="77777777" w:rsidTr="002D76AB">
        <w:tc>
          <w:tcPr>
            <w:tcW w:w="2834" w:type="dxa"/>
          </w:tcPr>
          <w:p w14:paraId="0593124A"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Poland</w:t>
            </w:r>
          </w:p>
        </w:tc>
        <w:tc>
          <w:tcPr>
            <w:tcW w:w="2835" w:type="dxa"/>
          </w:tcPr>
          <w:p w14:paraId="763148AB"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63.23</w:t>
            </w:r>
          </w:p>
        </w:tc>
        <w:tc>
          <w:tcPr>
            <w:tcW w:w="2835" w:type="dxa"/>
          </w:tcPr>
          <w:p w14:paraId="5BBDB344"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-2.41</w:t>
            </w:r>
          </w:p>
        </w:tc>
        <w:tc>
          <w:tcPr>
            <w:tcW w:w="2835" w:type="dxa"/>
          </w:tcPr>
          <w:p w14:paraId="17932E51"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-1.83</w:t>
            </w:r>
          </w:p>
        </w:tc>
        <w:tc>
          <w:tcPr>
            <w:tcW w:w="2835" w:type="dxa"/>
          </w:tcPr>
          <w:p w14:paraId="0464A183"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-1.76</w:t>
            </w:r>
          </w:p>
        </w:tc>
      </w:tr>
      <w:tr w:rsidR="008E6BCD" w:rsidRPr="000F45BD" w14:paraId="2E8EB212" w14:textId="77777777" w:rsidTr="002D76AB">
        <w:tc>
          <w:tcPr>
            <w:tcW w:w="2834" w:type="dxa"/>
          </w:tcPr>
          <w:p w14:paraId="1DCA792E"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Romania</w:t>
            </w:r>
          </w:p>
        </w:tc>
        <w:tc>
          <w:tcPr>
            <w:tcW w:w="2835" w:type="dxa"/>
          </w:tcPr>
          <w:p w14:paraId="7B979BDF"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66.02</w:t>
            </w:r>
          </w:p>
        </w:tc>
        <w:tc>
          <w:tcPr>
            <w:tcW w:w="2835" w:type="dxa"/>
          </w:tcPr>
          <w:p w14:paraId="0243A2C4"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-1.04</w:t>
            </w:r>
          </w:p>
        </w:tc>
        <w:tc>
          <w:tcPr>
            <w:tcW w:w="2835" w:type="dxa"/>
          </w:tcPr>
          <w:p w14:paraId="77C7EA47"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-1.92</w:t>
            </w:r>
          </w:p>
        </w:tc>
        <w:tc>
          <w:tcPr>
            <w:tcW w:w="2835" w:type="dxa"/>
          </w:tcPr>
          <w:p w14:paraId="4B73A50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-1.57</w:t>
            </w:r>
          </w:p>
        </w:tc>
      </w:tr>
      <w:tr w:rsidR="008E6BCD" w:rsidRPr="000F45BD" w14:paraId="32DEB7AE" w14:textId="77777777" w:rsidTr="002D76AB">
        <w:tc>
          <w:tcPr>
            <w:tcW w:w="2834" w:type="dxa"/>
          </w:tcPr>
          <w:p w14:paraId="33521CAE"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S Africa</w:t>
            </w:r>
          </w:p>
        </w:tc>
        <w:tc>
          <w:tcPr>
            <w:tcW w:w="2835" w:type="dxa"/>
          </w:tcPr>
          <w:p w14:paraId="70230544"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61.77</w:t>
            </w:r>
          </w:p>
        </w:tc>
        <w:tc>
          <w:tcPr>
            <w:tcW w:w="2835" w:type="dxa"/>
          </w:tcPr>
          <w:p w14:paraId="0A8DFB8A"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-1.78</w:t>
            </w:r>
          </w:p>
        </w:tc>
        <w:tc>
          <w:tcPr>
            <w:tcW w:w="2835" w:type="dxa"/>
          </w:tcPr>
          <w:p w14:paraId="03F79E1A"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-1.92</w:t>
            </w:r>
          </w:p>
        </w:tc>
        <w:tc>
          <w:tcPr>
            <w:tcW w:w="2835" w:type="dxa"/>
          </w:tcPr>
          <w:p w14:paraId="4D78EB11"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-1.88</w:t>
            </w:r>
          </w:p>
        </w:tc>
      </w:tr>
      <w:tr w:rsidR="008E6BCD" w:rsidRPr="000F45BD" w14:paraId="1A4DEA25" w14:textId="77777777" w:rsidTr="002D76AB">
        <w:tc>
          <w:tcPr>
            <w:tcW w:w="2834" w:type="dxa"/>
          </w:tcPr>
          <w:p w14:paraId="2539532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S Korea</w:t>
            </w:r>
          </w:p>
        </w:tc>
        <w:tc>
          <w:tcPr>
            <w:tcW w:w="2835" w:type="dxa"/>
          </w:tcPr>
          <w:p w14:paraId="2337907A"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56.92</w:t>
            </w:r>
          </w:p>
        </w:tc>
        <w:tc>
          <w:tcPr>
            <w:tcW w:w="2835" w:type="dxa"/>
          </w:tcPr>
          <w:p w14:paraId="25AE7096"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-1.58</w:t>
            </w:r>
          </w:p>
        </w:tc>
        <w:tc>
          <w:tcPr>
            <w:tcW w:w="2835" w:type="dxa"/>
          </w:tcPr>
          <w:p w14:paraId="30220349"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-1.42</w:t>
            </w:r>
          </w:p>
        </w:tc>
        <w:tc>
          <w:tcPr>
            <w:tcW w:w="2835" w:type="dxa"/>
          </w:tcPr>
          <w:p w14:paraId="23E4C45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-1.90</w:t>
            </w:r>
          </w:p>
        </w:tc>
      </w:tr>
      <w:tr w:rsidR="008E6BCD" w:rsidRPr="000F45BD" w14:paraId="5E928495" w14:textId="77777777" w:rsidTr="002D76AB">
        <w:tc>
          <w:tcPr>
            <w:tcW w:w="2834" w:type="dxa"/>
          </w:tcPr>
          <w:p w14:paraId="3A1C566C"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Spain</w:t>
            </w:r>
          </w:p>
        </w:tc>
        <w:tc>
          <w:tcPr>
            <w:tcW w:w="2835" w:type="dxa"/>
          </w:tcPr>
          <w:p w14:paraId="6C2C43ED"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63.40</w:t>
            </w:r>
          </w:p>
        </w:tc>
        <w:tc>
          <w:tcPr>
            <w:tcW w:w="2835" w:type="dxa"/>
          </w:tcPr>
          <w:p w14:paraId="7936BB01"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-1.72</w:t>
            </w:r>
          </w:p>
        </w:tc>
        <w:tc>
          <w:tcPr>
            <w:tcW w:w="2835" w:type="dxa"/>
          </w:tcPr>
          <w:p w14:paraId="43B10262"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-1.59</w:t>
            </w:r>
          </w:p>
        </w:tc>
        <w:tc>
          <w:tcPr>
            <w:tcW w:w="2835" w:type="dxa"/>
          </w:tcPr>
          <w:p w14:paraId="78B54E87"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-1.75</w:t>
            </w:r>
          </w:p>
        </w:tc>
      </w:tr>
      <w:tr w:rsidR="008E6BCD" w:rsidRPr="000F45BD" w14:paraId="77FB131B" w14:textId="77777777" w:rsidTr="002D76AB">
        <w:tc>
          <w:tcPr>
            <w:tcW w:w="2834" w:type="dxa"/>
          </w:tcPr>
          <w:p w14:paraId="35F52591"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Turkey</w:t>
            </w:r>
          </w:p>
        </w:tc>
        <w:tc>
          <w:tcPr>
            <w:tcW w:w="2835" w:type="dxa"/>
          </w:tcPr>
          <w:p w14:paraId="18AEF290"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66.08</w:t>
            </w:r>
          </w:p>
        </w:tc>
        <w:tc>
          <w:tcPr>
            <w:tcW w:w="2835" w:type="dxa"/>
          </w:tcPr>
          <w:p w14:paraId="0A9C2B59"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-1.45</w:t>
            </w:r>
          </w:p>
        </w:tc>
        <w:tc>
          <w:tcPr>
            <w:tcW w:w="2835" w:type="dxa"/>
          </w:tcPr>
          <w:p w14:paraId="2437AF2E"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-1.69</w:t>
            </w:r>
          </w:p>
        </w:tc>
        <w:tc>
          <w:tcPr>
            <w:tcW w:w="2835" w:type="dxa"/>
          </w:tcPr>
          <w:p w14:paraId="074833E2" w14:textId="77777777" w:rsidR="008E6BCD" w:rsidRPr="000F45BD" w:rsidRDefault="008E6BCD" w:rsidP="00D4634E">
            <w:pPr>
              <w:spacing w:before="100" w:beforeAutospacing="1" w:after="100" w:afterAutospacing="1"/>
              <w:jc w:val="both"/>
              <w:rPr>
                <w:rFonts w:asciiTheme="majorHAnsi" w:hAnsiTheme="majorHAnsi"/>
              </w:rPr>
            </w:pPr>
            <w:r w:rsidRPr="000F45BD">
              <w:rPr>
                <w:rFonts w:asciiTheme="majorHAnsi" w:hAnsiTheme="majorHAnsi"/>
              </w:rPr>
              <w:t>-1.44</w:t>
            </w:r>
          </w:p>
        </w:tc>
      </w:tr>
    </w:tbl>
    <w:p w14:paraId="7618E0E0" w14:textId="77777777" w:rsidR="00B55B66" w:rsidRDefault="00B55B66" w:rsidP="00D4634E">
      <w:pPr>
        <w:spacing w:before="100" w:beforeAutospacing="1" w:after="100" w:afterAutospacing="1" w:line="240" w:lineRule="auto"/>
        <w:jc w:val="both"/>
        <w:rPr>
          <w:rFonts w:asciiTheme="majorHAnsi" w:hAnsiTheme="majorHAnsi"/>
          <w:b/>
        </w:rPr>
      </w:pPr>
    </w:p>
    <w:p w14:paraId="0E658281" w14:textId="77777777" w:rsidR="00D4634E" w:rsidRPr="000F45BD" w:rsidRDefault="00D4634E" w:rsidP="00D4634E">
      <w:pPr>
        <w:spacing w:before="100" w:beforeAutospacing="1" w:after="100" w:afterAutospacing="1" w:line="240" w:lineRule="auto"/>
        <w:jc w:val="both"/>
        <w:rPr>
          <w:rFonts w:asciiTheme="majorHAnsi" w:hAnsiTheme="majorHAnsi"/>
          <w:b/>
        </w:rPr>
        <w:sectPr w:rsidR="00D4634E" w:rsidRPr="000F45BD" w:rsidSect="002D76AB">
          <w:pgSz w:w="16838" w:h="11906" w:orient="landscape"/>
          <w:pgMar w:top="1440" w:right="1440" w:bottom="1440" w:left="1440" w:header="708" w:footer="708" w:gutter="0"/>
          <w:cols w:space="708"/>
          <w:docGrid w:linePitch="360"/>
        </w:sectPr>
      </w:pPr>
    </w:p>
    <w:p w14:paraId="3377EB22" w14:textId="76881385" w:rsidR="00B55B66" w:rsidRPr="00D4634E" w:rsidRDefault="00B55B66" w:rsidP="00D4634E">
      <w:pPr>
        <w:pStyle w:val="ListParagraph"/>
        <w:numPr>
          <w:ilvl w:val="0"/>
          <w:numId w:val="21"/>
        </w:numPr>
        <w:spacing w:before="100" w:beforeAutospacing="1" w:after="100" w:afterAutospacing="1" w:line="240" w:lineRule="auto"/>
        <w:jc w:val="both"/>
        <w:rPr>
          <w:rFonts w:asciiTheme="majorHAnsi" w:hAnsiTheme="majorHAnsi"/>
          <w:b/>
        </w:rPr>
      </w:pPr>
      <w:r w:rsidRPr="00D4634E">
        <w:rPr>
          <w:rFonts w:asciiTheme="majorHAnsi" w:hAnsiTheme="majorHAnsi"/>
          <w:b/>
        </w:rPr>
        <w:lastRenderedPageBreak/>
        <w:t>Discussion</w:t>
      </w:r>
    </w:p>
    <w:p w14:paraId="28B970A6" w14:textId="107FB181" w:rsidR="0036284C" w:rsidRPr="000F45BD" w:rsidRDefault="00DB4942" w:rsidP="00D4634E">
      <w:pPr>
        <w:autoSpaceDE w:val="0"/>
        <w:autoSpaceDN w:val="0"/>
        <w:adjustRightInd w:val="0"/>
        <w:spacing w:before="100" w:beforeAutospacing="1" w:after="100" w:afterAutospacing="1" w:line="240" w:lineRule="auto"/>
        <w:jc w:val="both"/>
        <w:rPr>
          <w:rFonts w:asciiTheme="majorHAnsi" w:hAnsiTheme="majorHAnsi" w:cs="Times New Roman"/>
        </w:rPr>
      </w:pPr>
      <w:r w:rsidRPr="000F45BD">
        <w:rPr>
          <w:rFonts w:asciiTheme="majorHAnsi" w:hAnsiTheme="majorHAnsi" w:cs="Arial"/>
          <w:shd w:val="clear" w:color="auto" w:fill="FFFFFF"/>
        </w:rPr>
        <w:t>This analysis draws on data from the Children’s Worlds survey to explore links between national level indicators of wealth and inequality (GDP</w:t>
      </w:r>
      <w:r w:rsidR="00635C28" w:rsidRPr="000F45BD">
        <w:rPr>
          <w:rFonts w:asciiTheme="majorHAnsi" w:hAnsiTheme="majorHAnsi" w:cs="Arial"/>
          <w:shd w:val="clear" w:color="auto" w:fill="FFFFFF"/>
        </w:rPr>
        <w:t>,</w:t>
      </w:r>
      <w:r w:rsidRPr="000F45BD">
        <w:rPr>
          <w:rFonts w:asciiTheme="majorHAnsi" w:hAnsiTheme="majorHAnsi" w:cs="Arial"/>
          <w:shd w:val="clear" w:color="auto" w:fill="FFFFFF"/>
        </w:rPr>
        <w:t xml:space="preserve"> Gini coefficients</w:t>
      </w:r>
      <w:r w:rsidR="00635C28" w:rsidRPr="000F45BD">
        <w:rPr>
          <w:rFonts w:asciiTheme="majorHAnsi" w:hAnsiTheme="majorHAnsi" w:cs="Arial"/>
          <w:shd w:val="clear" w:color="auto" w:fill="FFFFFF"/>
        </w:rPr>
        <w:t>, and average levels of material resources</w:t>
      </w:r>
      <w:r w:rsidRPr="000F45BD">
        <w:rPr>
          <w:rFonts w:asciiTheme="majorHAnsi" w:hAnsiTheme="majorHAnsi" w:cs="Arial"/>
          <w:shd w:val="clear" w:color="auto" w:fill="FFFFFF"/>
        </w:rPr>
        <w:t xml:space="preserve">), individual indicators of material well-being (the material resources children report having access to), and subjective well-being. With respect to findings from other studies it is still necessary to get data about </w:t>
      </w:r>
      <w:r w:rsidRPr="000F45BD">
        <w:rPr>
          <w:rFonts w:asciiTheme="majorHAnsi" w:hAnsiTheme="majorHAnsi" w:cs="Times New Roman"/>
        </w:rPr>
        <w:t xml:space="preserve">indicators of children’s financial and material living conditions and how they are associated with their subjective well-being. And we need more research on the question </w:t>
      </w:r>
      <w:r w:rsidR="00635C28" w:rsidRPr="000F45BD">
        <w:rPr>
          <w:rFonts w:asciiTheme="majorHAnsi" w:hAnsiTheme="majorHAnsi" w:cs="Times New Roman"/>
        </w:rPr>
        <w:t xml:space="preserve">of </w:t>
      </w:r>
      <w:r w:rsidRPr="000F45BD">
        <w:rPr>
          <w:rFonts w:asciiTheme="majorHAnsi" w:hAnsiTheme="majorHAnsi" w:cs="Times New Roman"/>
        </w:rPr>
        <w:t xml:space="preserve">how such associations vary between different countries and within </w:t>
      </w:r>
      <w:r w:rsidR="00635C28" w:rsidRPr="000F45BD">
        <w:rPr>
          <w:rFonts w:asciiTheme="majorHAnsi" w:hAnsiTheme="majorHAnsi" w:cs="Times New Roman"/>
        </w:rPr>
        <w:t>countries</w:t>
      </w:r>
      <w:r w:rsidRPr="000F45BD">
        <w:rPr>
          <w:rFonts w:asciiTheme="majorHAnsi" w:hAnsiTheme="majorHAnsi" w:cs="Times New Roman"/>
        </w:rPr>
        <w:t>.</w:t>
      </w:r>
    </w:p>
    <w:p w14:paraId="36B3EB65" w14:textId="06BCE351" w:rsidR="00DB4942" w:rsidRPr="000F45BD" w:rsidRDefault="00DB4942" w:rsidP="0018277B">
      <w:pPr>
        <w:spacing w:before="100" w:beforeAutospacing="1" w:after="100" w:afterAutospacing="1" w:line="240" w:lineRule="auto"/>
        <w:jc w:val="both"/>
        <w:rPr>
          <w:rFonts w:asciiTheme="majorHAnsi" w:hAnsiTheme="majorHAnsi"/>
        </w:rPr>
      </w:pPr>
      <w:r w:rsidRPr="000F45BD">
        <w:rPr>
          <w:rFonts w:asciiTheme="majorHAnsi" w:hAnsiTheme="majorHAnsi" w:cs="Arial"/>
          <w:shd w:val="clear" w:color="auto" w:fill="FFFFFF"/>
        </w:rPr>
        <w:t xml:space="preserve">Using the multi-level models we get some important insights on children’s material well-being, and the levels of wealth and inequality in societies within which children live. A main result is that </w:t>
      </w:r>
      <w:r w:rsidR="00635C28" w:rsidRPr="000F45BD">
        <w:rPr>
          <w:rFonts w:asciiTheme="majorHAnsi" w:hAnsiTheme="majorHAnsi" w:cs="Arial"/>
          <w:shd w:val="clear" w:color="auto" w:fill="FFFFFF"/>
        </w:rPr>
        <w:t xml:space="preserve">national-level monetary indicators of </w:t>
      </w:r>
      <w:r w:rsidR="00635C28" w:rsidRPr="000F45BD">
        <w:rPr>
          <w:rFonts w:asciiTheme="majorHAnsi" w:hAnsiTheme="majorHAnsi"/>
        </w:rPr>
        <w:t>material well-being (</w:t>
      </w:r>
      <w:proofErr w:type="spellStart"/>
      <w:r w:rsidR="00635C28" w:rsidRPr="000F45BD">
        <w:rPr>
          <w:rFonts w:asciiTheme="majorHAnsi" w:hAnsiTheme="majorHAnsi"/>
        </w:rPr>
        <w:t>ie</w:t>
      </w:r>
      <w:proofErr w:type="spellEnd"/>
      <w:r w:rsidR="00635C28" w:rsidRPr="000F45BD">
        <w:rPr>
          <w:rFonts w:asciiTheme="majorHAnsi" w:hAnsiTheme="majorHAnsi"/>
        </w:rPr>
        <w:t xml:space="preserve">. GDPPC and Gini coefficients) are </w:t>
      </w:r>
      <w:r w:rsidRPr="000F45BD">
        <w:rPr>
          <w:rFonts w:asciiTheme="majorHAnsi" w:hAnsiTheme="majorHAnsi"/>
        </w:rPr>
        <w:t xml:space="preserve">not related to PWI. </w:t>
      </w:r>
      <w:r w:rsidR="00635C28" w:rsidRPr="000F45BD">
        <w:rPr>
          <w:rFonts w:asciiTheme="majorHAnsi" w:hAnsiTheme="majorHAnsi"/>
        </w:rPr>
        <w:t xml:space="preserve"> However, the material resources index used in the Children’s Worlds study remains important in predicting children’s subjective well-being – both at an individual level, at a school level, and at a country level.  That is, although indirect (monetary) indicators of material well-being do not help to explain variation in subjective well-being within or between countries, a more direct measure based on the resources children have access to (and school- and country-level averages of this) can provide insight into how different levels of material provision impact children’s lives.</w:t>
      </w:r>
    </w:p>
    <w:p w14:paraId="78AAB0E6" w14:textId="2BB2C561" w:rsidR="00DB4942" w:rsidRPr="000F45BD" w:rsidRDefault="00DB4942" w:rsidP="00D4634E">
      <w:pPr>
        <w:spacing w:before="100" w:beforeAutospacing="1" w:after="100" w:afterAutospacing="1" w:line="240" w:lineRule="auto"/>
        <w:jc w:val="both"/>
        <w:rPr>
          <w:rFonts w:asciiTheme="majorHAnsi" w:hAnsiTheme="majorHAnsi"/>
        </w:rPr>
      </w:pPr>
      <w:r w:rsidRPr="000F45BD">
        <w:rPr>
          <w:rFonts w:asciiTheme="majorHAnsi" w:hAnsiTheme="majorHAnsi" w:cs="Arial"/>
          <w:shd w:val="clear" w:color="auto" w:fill="FFFFFF"/>
        </w:rPr>
        <w:t xml:space="preserve">From a child research perspective it is interesting to </w:t>
      </w:r>
      <w:r w:rsidR="00635C28" w:rsidRPr="000F45BD">
        <w:rPr>
          <w:rFonts w:asciiTheme="majorHAnsi" w:hAnsiTheme="majorHAnsi" w:cs="Arial"/>
          <w:shd w:val="clear" w:color="auto" w:fill="FFFFFF"/>
        </w:rPr>
        <w:t>bear</w:t>
      </w:r>
      <w:r w:rsidRPr="000F45BD">
        <w:rPr>
          <w:rFonts w:asciiTheme="majorHAnsi" w:hAnsiTheme="majorHAnsi" w:cs="Arial"/>
          <w:shd w:val="clear" w:color="auto" w:fill="FFFFFF"/>
        </w:rPr>
        <w:t xml:space="preserve"> in mind that some of the v</w:t>
      </w:r>
      <w:r w:rsidRPr="000F45BD">
        <w:rPr>
          <w:rFonts w:asciiTheme="majorHAnsi" w:hAnsiTheme="majorHAnsi"/>
        </w:rPr>
        <w:t>ariables which can be omitted from the models as a result of non-significance include gender, siblings and grandparents as individual-level fixed effects, the standard deviation of material resources as a school- or country-level fixed effect and GDP per capita and Gini coefficient as country-level fixed effects</w:t>
      </w:r>
      <w:r w:rsidR="00BB5FAF" w:rsidRPr="000F45BD">
        <w:rPr>
          <w:rFonts w:asciiTheme="majorHAnsi" w:hAnsiTheme="majorHAnsi"/>
        </w:rPr>
        <w:t xml:space="preserve"> (see above)</w:t>
      </w:r>
      <w:r w:rsidRPr="000F45BD">
        <w:rPr>
          <w:rFonts w:asciiTheme="majorHAnsi" w:hAnsiTheme="majorHAnsi"/>
        </w:rPr>
        <w:t xml:space="preserve">. </w:t>
      </w:r>
      <w:r w:rsidR="008C2CF4" w:rsidRPr="000F45BD">
        <w:rPr>
          <w:rFonts w:asciiTheme="majorHAnsi" w:hAnsiTheme="majorHAnsi"/>
        </w:rPr>
        <w:t>T</w:t>
      </w:r>
      <w:r w:rsidRPr="000F45BD">
        <w:rPr>
          <w:rFonts w:asciiTheme="majorHAnsi" w:hAnsiTheme="majorHAnsi"/>
        </w:rPr>
        <w:t xml:space="preserve">he supportive role of grandparents </w:t>
      </w:r>
      <w:r w:rsidR="0036284C" w:rsidRPr="000F45BD">
        <w:rPr>
          <w:rFonts w:asciiTheme="majorHAnsi" w:hAnsiTheme="majorHAnsi"/>
        </w:rPr>
        <w:t xml:space="preserve">is </w:t>
      </w:r>
      <w:r w:rsidRPr="000F45BD">
        <w:rPr>
          <w:rFonts w:asciiTheme="majorHAnsi" w:hAnsiTheme="majorHAnsi"/>
        </w:rPr>
        <w:t>discussed esp</w:t>
      </w:r>
      <w:r w:rsidR="0036284C" w:rsidRPr="000F45BD">
        <w:rPr>
          <w:rFonts w:asciiTheme="majorHAnsi" w:hAnsiTheme="majorHAnsi"/>
        </w:rPr>
        <w:t>ecially</w:t>
      </w:r>
      <w:r w:rsidRPr="000F45BD">
        <w:rPr>
          <w:rFonts w:asciiTheme="majorHAnsi" w:hAnsiTheme="majorHAnsi"/>
        </w:rPr>
        <w:t xml:space="preserve"> for the subjective well-being of children. But </w:t>
      </w:r>
      <w:r w:rsidR="00635C28" w:rsidRPr="000F45BD">
        <w:rPr>
          <w:rFonts w:asciiTheme="majorHAnsi" w:hAnsiTheme="majorHAnsi"/>
        </w:rPr>
        <w:t xml:space="preserve">in </w:t>
      </w:r>
      <w:r w:rsidRPr="000F45BD">
        <w:rPr>
          <w:rFonts w:asciiTheme="majorHAnsi" w:hAnsiTheme="majorHAnsi"/>
        </w:rPr>
        <w:t>this analysis the effects are not significant</w:t>
      </w:r>
      <w:r w:rsidR="00635C28" w:rsidRPr="000F45BD">
        <w:rPr>
          <w:rFonts w:asciiTheme="majorHAnsi" w:hAnsiTheme="majorHAnsi"/>
        </w:rPr>
        <w:t xml:space="preserve"> </w:t>
      </w:r>
      <w:r w:rsidR="0036284C" w:rsidRPr="000F45BD">
        <w:rPr>
          <w:rFonts w:asciiTheme="majorHAnsi" w:hAnsiTheme="majorHAnsi"/>
        </w:rPr>
        <w:t xml:space="preserve">for the sample as a whole </w:t>
      </w:r>
      <w:r w:rsidR="00635C28" w:rsidRPr="000F45BD">
        <w:rPr>
          <w:rFonts w:asciiTheme="majorHAnsi" w:hAnsiTheme="majorHAnsi"/>
        </w:rPr>
        <w:t>(although it should be borne in mind that such associations were not our primary research question and alternative approaches</w:t>
      </w:r>
      <w:r w:rsidR="0036284C" w:rsidRPr="000F45BD">
        <w:rPr>
          <w:rFonts w:asciiTheme="majorHAnsi" w:hAnsiTheme="majorHAnsi"/>
        </w:rPr>
        <w:t>, including examining differing effects in different countries,</w:t>
      </w:r>
      <w:r w:rsidR="00635C28" w:rsidRPr="000F45BD">
        <w:rPr>
          <w:rFonts w:asciiTheme="majorHAnsi" w:hAnsiTheme="majorHAnsi"/>
        </w:rPr>
        <w:t xml:space="preserve"> may be better suited to exploring these associations)</w:t>
      </w:r>
      <w:r w:rsidRPr="000F45BD">
        <w:rPr>
          <w:rFonts w:asciiTheme="majorHAnsi" w:hAnsiTheme="majorHAnsi"/>
        </w:rPr>
        <w:t xml:space="preserve">. </w:t>
      </w:r>
    </w:p>
    <w:p w14:paraId="475153AD" w14:textId="2D18C61B" w:rsidR="00DB4942" w:rsidRPr="000F45BD" w:rsidRDefault="00DB4942" w:rsidP="0018277B">
      <w:pPr>
        <w:spacing w:before="100" w:beforeAutospacing="1" w:after="100" w:afterAutospacing="1" w:line="240" w:lineRule="auto"/>
        <w:jc w:val="both"/>
        <w:rPr>
          <w:rFonts w:asciiTheme="majorHAnsi" w:hAnsiTheme="majorHAnsi" w:cs="Arial"/>
          <w:shd w:val="clear" w:color="auto" w:fill="FFFFFF"/>
        </w:rPr>
      </w:pPr>
      <w:r w:rsidRPr="000F45BD">
        <w:rPr>
          <w:rFonts w:asciiTheme="majorHAnsi" w:hAnsiTheme="majorHAnsi" w:cs="Arial"/>
          <w:shd w:val="clear" w:color="auto" w:fill="FFFFFF"/>
        </w:rPr>
        <w:t xml:space="preserve">Model 2 has shown that age and number of adults in households have an effect on </w:t>
      </w:r>
      <w:r w:rsidR="00635C28" w:rsidRPr="000F45BD">
        <w:rPr>
          <w:rFonts w:asciiTheme="majorHAnsi" w:hAnsiTheme="majorHAnsi" w:cs="Arial"/>
          <w:shd w:val="clear" w:color="auto" w:fill="FFFFFF"/>
        </w:rPr>
        <w:t xml:space="preserve">levels </w:t>
      </w:r>
      <w:r w:rsidRPr="000F45BD">
        <w:rPr>
          <w:rFonts w:asciiTheme="majorHAnsi" w:hAnsiTheme="majorHAnsi" w:cs="Arial"/>
          <w:shd w:val="clear" w:color="auto" w:fill="FFFFFF"/>
        </w:rPr>
        <w:t>of subjective well-being</w:t>
      </w:r>
      <w:r w:rsidR="00635C28" w:rsidRPr="000F45BD">
        <w:rPr>
          <w:rFonts w:asciiTheme="majorHAnsi" w:hAnsiTheme="majorHAnsi" w:cs="Arial"/>
          <w:shd w:val="clear" w:color="auto" w:fill="FFFFFF"/>
        </w:rPr>
        <w:t>,</w:t>
      </w:r>
      <w:r w:rsidRPr="000F45BD">
        <w:rPr>
          <w:rFonts w:asciiTheme="majorHAnsi" w:hAnsiTheme="majorHAnsi" w:cs="Arial"/>
          <w:shd w:val="clear" w:color="auto" w:fill="FFFFFF"/>
        </w:rPr>
        <w:t xml:space="preserve"> but explain only 2%</w:t>
      </w:r>
      <w:r w:rsidR="00635C28" w:rsidRPr="000F45BD">
        <w:rPr>
          <w:rFonts w:asciiTheme="majorHAnsi" w:hAnsiTheme="majorHAnsi" w:cs="Arial"/>
          <w:shd w:val="clear" w:color="auto" w:fill="FFFFFF"/>
        </w:rPr>
        <w:t xml:space="preserve"> of the variation</w:t>
      </w:r>
      <w:r w:rsidRPr="000F45BD">
        <w:rPr>
          <w:rFonts w:asciiTheme="majorHAnsi" w:hAnsiTheme="majorHAnsi" w:cs="Arial"/>
          <w:shd w:val="clear" w:color="auto" w:fill="FFFFFF"/>
        </w:rPr>
        <w:t xml:space="preserve">. This </w:t>
      </w:r>
      <w:r w:rsidR="00635C28" w:rsidRPr="000F45BD">
        <w:rPr>
          <w:rFonts w:asciiTheme="majorHAnsi" w:hAnsiTheme="majorHAnsi" w:cs="Arial"/>
          <w:shd w:val="clear" w:color="auto" w:fill="FFFFFF"/>
        </w:rPr>
        <w:t xml:space="preserve">is </w:t>
      </w:r>
      <w:r w:rsidRPr="000F45BD">
        <w:rPr>
          <w:rFonts w:asciiTheme="majorHAnsi" w:hAnsiTheme="majorHAnsi" w:cs="Arial"/>
          <w:shd w:val="clear" w:color="auto" w:fill="FFFFFF"/>
        </w:rPr>
        <w:t xml:space="preserve">also interesting because in general we can see that age differences matter a lot. </w:t>
      </w:r>
      <w:r w:rsidR="00635C28" w:rsidRPr="000F45BD">
        <w:rPr>
          <w:rFonts w:asciiTheme="majorHAnsi" w:hAnsiTheme="majorHAnsi" w:cs="Arial"/>
          <w:shd w:val="clear" w:color="auto" w:fill="FFFFFF"/>
        </w:rPr>
        <w:t xml:space="preserve">On average, across all participating countries, subjective well-being declined between the ages of 10 and 12. </w:t>
      </w:r>
      <w:r w:rsidRPr="000F45BD">
        <w:rPr>
          <w:rFonts w:asciiTheme="majorHAnsi" w:hAnsiTheme="majorHAnsi" w:cs="Arial"/>
          <w:shd w:val="clear" w:color="auto" w:fill="FFFFFF"/>
        </w:rPr>
        <w:t xml:space="preserve"> Nevertheless</w:t>
      </w:r>
      <w:r w:rsidR="00635C28" w:rsidRPr="000F45BD">
        <w:rPr>
          <w:rFonts w:asciiTheme="majorHAnsi" w:hAnsiTheme="majorHAnsi" w:cs="Arial"/>
          <w:shd w:val="clear" w:color="auto" w:fill="FFFFFF"/>
        </w:rPr>
        <w:t>, the low explanatory power of age in the model</w:t>
      </w:r>
      <w:r w:rsidRPr="000F45BD">
        <w:rPr>
          <w:rFonts w:asciiTheme="majorHAnsi" w:hAnsiTheme="majorHAnsi" w:cs="Arial"/>
          <w:shd w:val="clear" w:color="auto" w:fill="FFFFFF"/>
        </w:rPr>
        <w:t xml:space="preserve"> </w:t>
      </w:r>
      <w:r w:rsidR="00635C28" w:rsidRPr="000F45BD">
        <w:rPr>
          <w:rFonts w:asciiTheme="majorHAnsi" w:hAnsiTheme="majorHAnsi" w:cs="Arial"/>
          <w:shd w:val="clear" w:color="auto" w:fill="FFFFFF"/>
        </w:rPr>
        <w:t xml:space="preserve">shows </w:t>
      </w:r>
      <w:r w:rsidRPr="000F45BD">
        <w:rPr>
          <w:rFonts w:asciiTheme="majorHAnsi" w:hAnsiTheme="majorHAnsi" w:cs="Arial"/>
          <w:shd w:val="clear" w:color="auto" w:fill="FFFFFF"/>
        </w:rPr>
        <w:t xml:space="preserve">that it would be </w:t>
      </w:r>
      <w:r w:rsidR="00635C28" w:rsidRPr="000F45BD">
        <w:rPr>
          <w:rFonts w:asciiTheme="majorHAnsi" w:hAnsiTheme="majorHAnsi" w:cs="Arial"/>
          <w:shd w:val="clear" w:color="auto" w:fill="FFFFFF"/>
        </w:rPr>
        <w:t xml:space="preserve">an over-simplification </w:t>
      </w:r>
      <w:r w:rsidRPr="000F45BD">
        <w:rPr>
          <w:rFonts w:asciiTheme="majorHAnsi" w:hAnsiTheme="majorHAnsi" w:cs="Arial"/>
          <w:shd w:val="clear" w:color="auto" w:fill="FFFFFF"/>
        </w:rPr>
        <w:t xml:space="preserve">to explain variations only with developmental stages in </w:t>
      </w:r>
      <w:r w:rsidR="00BB5FAF" w:rsidRPr="000F45BD">
        <w:rPr>
          <w:rFonts w:asciiTheme="majorHAnsi" w:hAnsiTheme="majorHAnsi" w:cs="Arial"/>
          <w:shd w:val="clear" w:color="auto" w:fill="FFFFFF"/>
        </w:rPr>
        <w:t xml:space="preserve">childhood and </w:t>
      </w:r>
      <w:r w:rsidRPr="000F45BD">
        <w:rPr>
          <w:rFonts w:asciiTheme="majorHAnsi" w:hAnsiTheme="majorHAnsi" w:cs="Arial"/>
          <w:shd w:val="clear" w:color="auto" w:fill="FFFFFF"/>
        </w:rPr>
        <w:t>adolescen</w:t>
      </w:r>
      <w:r w:rsidR="00635C28" w:rsidRPr="000F45BD">
        <w:rPr>
          <w:rFonts w:asciiTheme="majorHAnsi" w:hAnsiTheme="majorHAnsi" w:cs="Arial"/>
          <w:shd w:val="clear" w:color="auto" w:fill="FFFFFF"/>
        </w:rPr>
        <w:t>ce</w:t>
      </w:r>
      <w:r w:rsidRPr="000F45BD">
        <w:rPr>
          <w:rFonts w:asciiTheme="majorHAnsi" w:hAnsiTheme="majorHAnsi" w:cs="Arial"/>
          <w:shd w:val="clear" w:color="auto" w:fill="FFFFFF"/>
        </w:rPr>
        <w:t xml:space="preserve">. Structural and material aspects </w:t>
      </w:r>
      <w:r w:rsidR="00635C28" w:rsidRPr="000F45BD">
        <w:rPr>
          <w:rFonts w:asciiTheme="majorHAnsi" w:hAnsiTheme="majorHAnsi" w:cs="Arial"/>
          <w:shd w:val="clear" w:color="auto" w:fill="FFFFFF"/>
        </w:rPr>
        <w:t xml:space="preserve">of children’s lives </w:t>
      </w:r>
      <w:r w:rsidRPr="000F45BD">
        <w:rPr>
          <w:rFonts w:asciiTheme="majorHAnsi" w:hAnsiTheme="majorHAnsi" w:cs="Arial"/>
          <w:shd w:val="clear" w:color="auto" w:fill="FFFFFF"/>
        </w:rPr>
        <w:t xml:space="preserve">are more important. </w:t>
      </w:r>
      <w:r w:rsidR="00635C28" w:rsidRPr="000F45BD">
        <w:rPr>
          <w:rFonts w:asciiTheme="majorHAnsi" w:hAnsiTheme="majorHAnsi" w:cs="Arial"/>
          <w:shd w:val="clear" w:color="auto" w:fill="FFFFFF"/>
        </w:rPr>
        <w:t>To this end</w:t>
      </w:r>
      <w:r w:rsidRPr="000F45BD">
        <w:rPr>
          <w:rFonts w:asciiTheme="majorHAnsi" w:hAnsiTheme="majorHAnsi" w:cs="Arial"/>
          <w:shd w:val="clear" w:color="auto" w:fill="FFFFFF"/>
        </w:rPr>
        <w:t xml:space="preserve">, </w:t>
      </w:r>
      <w:r w:rsidRPr="000F45BD">
        <w:rPr>
          <w:rFonts w:asciiTheme="majorHAnsi" w:hAnsiTheme="majorHAnsi"/>
        </w:rPr>
        <w:t>Model 3 demonstrates that the material resources scale offers a significant improvement to the model, tripling its explanatory power</w:t>
      </w:r>
      <w:r w:rsidR="00BB5FAF" w:rsidRPr="000F45BD">
        <w:rPr>
          <w:rFonts w:asciiTheme="majorHAnsi" w:hAnsiTheme="majorHAnsi"/>
        </w:rPr>
        <w:t xml:space="preserve"> (but </w:t>
      </w:r>
      <w:r w:rsidR="00635C28" w:rsidRPr="000F45BD">
        <w:rPr>
          <w:rFonts w:asciiTheme="majorHAnsi" w:hAnsiTheme="majorHAnsi"/>
        </w:rPr>
        <w:t xml:space="preserve">still </w:t>
      </w:r>
      <w:r w:rsidR="00BB5FAF" w:rsidRPr="000F45BD">
        <w:rPr>
          <w:rFonts w:asciiTheme="majorHAnsi" w:hAnsiTheme="majorHAnsi"/>
        </w:rPr>
        <w:t>explain</w:t>
      </w:r>
      <w:r w:rsidR="00635C28" w:rsidRPr="000F45BD">
        <w:rPr>
          <w:rFonts w:asciiTheme="majorHAnsi" w:hAnsiTheme="majorHAnsi"/>
        </w:rPr>
        <w:t>ing</w:t>
      </w:r>
      <w:r w:rsidR="00BB5FAF" w:rsidRPr="000F45BD">
        <w:rPr>
          <w:rFonts w:asciiTheme="majorHAnsi" w:hAnsiTheme="majorHAnsi"/>
        </w:rPr>
        <w:t xml:space="preserve"> </w:t>
      </w:r>
      <w:r w:rsidR="00635C28" w:rsidRPr="000F45BD">
        <w:rPr>
          <w:rFonts w:asciiTheme="majorHAnsi" w:hAnsiTheme="majorHAnsi"/>
        </w:rPr>
        <w:t xml:space="preserve">only </w:t>
      </w:r>
      <w:r w:rsidR="00BB5FAF" w:rsidRPr="000F45BD">
        <w:rPr>
          <w:rFonts w:asciiTheme="majorHAnsi" w:hAnsiTheme="majorHAnsi"/>
        </w:rPr>
        <w:t>around 6%</w:t>
      </w:r>
      <w:r w:rsidR="00635C28" w:rsidRPr="000F45BD">
        <w:rPr>
          <w:rFonts w:asciiTheme="majorHAnsi" w:hAnsiTheme="majorHAnsi"/>
        </w:rPr>
        <w:t xml:space="preserve"> of the variation</w:t>
      </w:r>
      <w:r w:rsidR="00BB5FAF" w:rsidRPr="000F45BD">
        <w:rPr>
          <w:rFonts w:asciiTheme="majorHAnsi" w:hAnsiTheme="majorHAnsi"/>
        </w:rPr>
        <w:t xml:space="preserve">). </w:t>
      </w:r>
    </w:p>
    <w:p w14:paraId="24B96C9E" w14:textId="176F17AC" w:rsidR="005A38E1" w:rsidRPr="000F45BD" w:rsidRDefault="00DB4942" w:rsidP="0018277B">
      <w:pPr>
        <w:spacing w:before="100" w:beforeAutospacing="1" w:after="100" w:afterAutospacing="1" w:line="240" w:lineRule="auto"/>
        <w:jc w:val="both"/>
        <w:rPr>
          <w:rFonts w:asciiTheme="majorHAnsi" w:hAnsiTheme="majorHAnsi"/>
        </w:rPr>
      </w:pPr>
      <w:r w:rsidRPr="000F45BD">
        <w:rPr>
          <w:rFonts w:asciiTheme="majorHAnsi" w:hAnsiTheme="majorHAnsi"/>
        </w:rPr>
        <w:t xml:space="preserve">In general </w:t>
      </w:r>
      <w:r w:rsidR="0036284C" w:rsidRPr="000F45BD">
        <w:rPr>
          <w:rFonts w:asciiTheme="majorHAnsi" w:hAnsiTheme="majorHAnsi"/>
        </w:rPr>
        <w:t>t</w:t>
      </w:r>
      <w:r w:rsidR="002B1BC2" w:rsidRPr="000F45BD">
        <w:rPr>
          <w:rFonts w:asciiTheme="majorHAnsi" w:hAnsiTheme="majorHAnsi"/>
        </w:rPr>
        <w:t xml:space="preserve">herefore, a key finding of our research is that child-level </w:t>
      </w:r>
      <w:r w:rsidRPr="000F45BD">
        <w:rPr>
          <w:rFonts w:asciiTheme="majorHAnsi" w:hAnsiTheme="majorHAnsi"/>
        </w:rPr>
        <w:t>material deprivation as a</w:t>
      </w:r>
      <w:r w:rsidR="002B1BC2" w:rsidRPr="000F45BD">
        <w:rPr>
          <w:rFonts w:asciiTheme="majorHAnsi" w:hAnsiTheme="majorHAnsi"/>
        </w:rPr>
        <w:t>n approach to</w:t>
      </w:r>
      <w:r w:rsidRPr="000F45BD">
        <w:rPr>
          <w:rFonts w:asciiTheme="majorHAnsi" w:hAnsiTheme="majorHAnsi"/>
        </w:rPr>
        <w:t xml:space="preserve"> poverty measurement </w:t>
      </w:r>
      <w:r w:rsidR="002B1BC2" w:rsidRPr="000F45BD">
        <w:rPr>
          <w:rFonts w:asciiTheme="majorHAnsi" w:hAnsiTheme="majorHAnsi"/>
        </w:rPr>
        <w:t xml:space="preserve">can be used </w:t>
      </w:r>
      <w:r w:rsidRPr="000F45BD">
        <w:rPr>
          <w:rFonts w:asciiTheme="majorHAnsi" w:hAnsiTheme="majorHAnsi"/>
        </w:rPr>
        <w:t xml:space="preserve">together with the concept of subjective well-being of children </w:t>
      </w:r>
      <w:r w:rsidR="002B1BC2" w:rsidRPr="000F45BD">
        <w:rPr>
          <w:rFonts w:asciiTheme="majorHAnsi" w:hAnsiTheme="majorHAnsi"/>
        </w:rPr>
        <w:t xml:space="preserve">to provide insight into children’s lives and happiness.  </w:t>
      </w:r>
      <w:r w:rsidRPr="000F45BD">
        <w:rPr>
          <w:rFonts w:asciiTheme="majorHAnsi" w:hAnsiTheme="majorHAnsi"/>
        </w:rPr>
        <w:t xml:space="preserve"> As Main and </w:t>
      </w:r>
      <w:proofErr w:type="spellStart"/>
      <w:r w:rsidRPr="000F45BD">
        <w:rPr>
          <w:rFonts w:asciiTheme="majorHAnsi" w:hAnsiTheme="majorHAnsi"/>
        </w:rPr>
        <w:t>Besemer</w:t>
      </w:r>
      <w:proofErr w:type="spellEnd"/>
      <w:r w:rsidRPr="000F45BD">
        <w:rPr>
          <w:rFonts w:asciiTheme="majorHAnsi" w:hAnsiTheme="majorHAnsi"/>
        </w:rPr>
        <w:t xml:space="preserve"> (2014) </w:t>
      </w:r>
      <w:r w:rsidR="002B1BC2" w:rsidRPr="000F45BD">
        <w:rPr>
          <w:rFonts w:asciiTheme="majorHAnsi" w:hAnsiTheme="majorHAnsi"/>
        </w:rPr>
        <w:t>argued</w:t>
      </w:r>
      <w:r w:rsidRPr="000F45BD">
        <w:rPr>
          <w:rFonts w:asciiTheme="majorHAnsi" w:hAnsiTheme="majorHAnsi"/>
        </w:rPr>
        <w:t xml:space="preserve">, this can facilitate an understanding of what constitutes poverty </w:t>
      </w:r>
      <w:r w:rsidR="007B7B9D" w:rsidRPr="000F45BD">
        <w:rPr>
          <w:rFonts w:asciiTheme="majorHAnsi" w:hAnsiTheme="majorHAnsi"/>
        </w:rPr>
        <w:t>in line with Montserrat, Casas and Moura (2015) where the analysed dimensions of poverty (material conditions, education, satisfaction with home and subjective poverty) were negative predictors for the Domains Satisfaction General Index. However, m</w:t>
      </w:r>
      <w:r w:rsidRPr="000F45BD">
        <w:rPr>
          <w:rFonts w:asciiTheme="majorHAnsi" w:hAnsiTheme="majorHAnsi"/>
        </w:rPr>
        <w:t>ore research has to be done on the question how the indicators used in Children’s Worlds corresponds with children’s individual material resources in all countries</w:t>
      </w:r>
      <w:r w:rsidR="002B1BC2" w:rsidRPr="000F45BD">
        <w:rPr>
          <w:rFonts w:asciiTheme="majorHAnsi" w:hAnsiTheme="majorHAnsi"/>
        </w:rPr>
        <w:t xml:space="preserve"> – here, we have </w:t>
      </w:r>
      <w:r w:rsidR="002B1BC2" w:rsidRPr="000F45BD">
        <w:rPr>
          <w:rFonts w:asciiTheme="majorHAnsi" w:hAnsiTheme="majorHAnsi"/>
        </w:rPr>
        <w:lastRenderedPageBreak/>
        <w:t>avoided referring to the material resources scale as an indicator of deprivation since the meanings and prevalence of items varies widely between the different participating countries</w:t>
      </w:r>
      <w:r w:rsidRPr="000F45BD">
        <w:rPr>
          <w:rFonts w:asciiTheme="majorHAnsi" w:hAnsiTheme="majorHAnsi"/>
        </w:rPr>
        <w:t xml:space="preserve">. </w:t>
      </w:r>
    </w:p>
    <w:p w14:paraId="1F8FD174" w14:textId="078ED06F" w:rsidR="005A38E1" w:rsidRPr="000F45BD" w:rsidRDefault="005A38E1" w:rsidP="0018277B">
      <w:pPr>
        <w:spacing w:before="100" w:beforeAutospacing="1" w:after="100" w:afterAutospacing="1" w:line="240" w:lineRule="auto"/>
        <w:jc w:val="both"/>
        <w:rPr>
          <w:rFonts w:asciiTheme="majorHAnsi" w:hAnsiTheme="majorHAnsi"/>
          <w:lang w:eastAsia="ko-KR"/>
        </w:rPr>
      </w:pPr>
      <w:r w:rsidRPr="000F45BD">
        <w:rPr>
          <w:rFonts w:asciiTheme="majorHAnsi" w:hAnsiTheme="majorHAnsi"/>
          <w:lang w:eastAsia="ko-KR"/>
        </w:rPr>
        <w:t xml:space="preserve">Our analysis results also show that while the level of material resources at individual, school, and country mattered for children’s subjective well-being, the variability in the distribution of material resources did not. All of the measures trying to capture the levels of inequality in material resources (S.D. of material resources at school and country levels and Gini coefficient at country level) were not statistically significant factors affecting children’s subjective well-being at the individual level. The findings suggest that children might be more sensitive towards the ‘absolute’ level of materials resources than </w:t>
      </w:r>
      <w:r w:rsidR="0036284C" w:rsidRPr="000F45BD">
        <w:rPr>
          <w:rFonts w:asciiTheme="majorHAnsi" w:hAnsiTheme="majorHAnsi"/>
          <w:lang w:eastAsia="ko-KR"/>
        </w:rPr>
        <w:t xml:space="preserve">to </w:t>
      </w:r>
      <w:r w:rsidRPr="000F45BD">
        <w:rPr>
          <w:rFonts w:asciiTheme="majorHAnsi" w:hAnsiTheme="majorHAnsi"/>
          <w:lang w:eastAsia="ko-KR"/>
        </w:rPr>
        <w:t xml:space="preserve">comparisons </w:t>
      </w:r>
      <w:r w:rsidR="0036284C" w:rsidRPr="000F45BD">
        <w:rPr>
          <w:rFonts w:asciiTheme="majorHAnsi" w:hAnsiTheme="majorHAnsi"/>
          <w:lang w:eastAsia="ko-KR"/>
        </w:rPr>
        <w:t xml:space="preserve">with </w:t>
      </w:r>
      <w:r w:rsidRPr="000F45BD">
        <w:rPr>
          <w:rFonts w:asciiTheme="majorHAnsi" w:hAnsiTheme="majorHAnsi"/>
          <w:lang w:eastAsia="ko-KR"/>
        </w:rPr>
        <w:t xml:space="preserve">those they </w:t>
      </w:r>
      <w:r w:rsidR="0036284C" w:rsidRPr="000F45BD">
        <w:rPr>
          <w:rFonts w:asciiTheme="majorHAnsi" w:hAnsiTheme="majorHAnsi"/>
          <w:lang w:eastAsia="ko-KR"/>
        </w:rPr>
        <w:t xml:space="preserve">encounter </w:t>
      </w:r>
      <w:r w:rsidRPr="000F45BD">
        <w:rPr>
          <w:rFonts w:asciiTheme="majorHAnsi" w:hAnsiTheme="majorHAnsi"/>
          <w:lang w:eastAsia="ko-KR"/>
        </w:rPr>
        <w:t>in their daily lives.</w:t>
      </w:r>
      <w:r w:rsidR="00C73185">
        <w:rPr>
          <w:rFonts w:asciiTheme="majorHAnsi" w:hAnsiTheme="majorHAnsi"/>
          <w:lang w:eastAsia="ko-KR"/>
        </w:rPr>
        <w:t xml:space="preserve">  However, an alternative interpretation may be that the material resources included in the Children’s Worlds survey require development in order to ensure they are adequately measuring those most important to children in the diverse range of national and cultural contexts included in the study.</w:t>
      </w:r>
    </w:p>
    <w:p w14:paraId="535F16ED" w14:textId="739266E0" w:rsidR="005A38E1" w:rsidRPr="000F45BD" w:rsidRDefault="005A38E1" w:rsidP="0018277B">
      <w:pPr>
        <w:spacing w:before="100" w:beforeAutospacing="1" w:after="100" w:afterAutospacing="1" w:line="240" w:lineRule="auto"/>
        <w:jc w:val="both"/>
        <w:rPr>
          <w:rFonts w:asciiTheme="majorHAnsi" w:hAnsiTheme="majorHAnsi"/>
          <w:lang w:eastAsia="ko-KR"/>
        </w:rPr>
      </w:pPr>
      <w:r w:rsidRPr="000F45BD">
        <w:rPr>
          <w:rFonts w:asciiTheme="majorHAnsi" w:hAnsiTheme="majorHAnsi"/>
          <w:lang w:eastAsia="ko-KR"/>
        </w:rPr>
        <w:t xml:space="preserve">The BLUPs findings presented in Table 4 also show interesting results. </w:t>
      </w:r>
      <w:r w:rsidR="00C81A3D" w:rsidRPr="000F45BD">
        <w:rPr>
          <w:rFonts w:asciiTheme="majorHAnsi" w:hAnsiTheme="majorHAnsi"/>
          <w:lang w:eastAsia="ko-KR"/>
        </w:rPr>
        <w:t>We find that the</w:t>
      </w:r>
      <w:r w:rsidR="00C26961" w:rsidRPr="000F45BD">
        <w:rPr>
          <w:rFonts w:asciiTheme="majorHAnsi" w:hAnsiTheme="majorHAnsi"/>
          <w:lang w:eastAsia="ko-KR"/>
        </w:rPr>
        <w:t xml:space="preserve"> effects of individual material</w:t>
      </w:r>
      <w:r w:rsidR="00C81A3D" w:rsidRPr="000F45BD">
        <w:rPr>
          <w:rFonts w:asciiTheme="majorHAnsi" w:hAnsiTheme="majorHAnsi"/>
          <w:lang w:eastAsia="ko-KR"/>
        </w:rPr>
        <w:t xml:space="preserve"> resources are different across the countries. It seems that the effects are stronger in England, Estonia, Israel, Norway, and Poland than the others. It should be also noted that the magnitude of influences material resources have differ between individual-level and school-level across countries. For example, Ethiopia and Nepal showed lower level of effects at the individual level, but higher level of effects at the school level. While </w:t>
      </w:r>
      <w:r w:rsidR="0036284C" w:rsidRPr="000F45BD">
        <w:rPr>
          <w:rFonts w:asciiTheme="majorHAnsi" w:hAnsiTheme="majorHAnsi"/>
          <w:lang w:eastAsia="ko-KR"/>
        </w:rPr>
        <w:t xml:space="preserve">further study is </w:t>
      </w:r>
      <w:r w:rsidR="00C81A3D" w:rsidRPr="000F45BD">
        <w:rPr>
          <w:rFonts w:asciiTheme="majorHAnsi" w:hAnsiTheme="majorHAnsi"/>
          <w:lang w:eastAsia="ko-KR"/>
        </w:rPr>
        <w:t>need</w:t>
      </w:r>
      <w:r w:rsidR="0036284C" w:rsidRPr="000F45BD">
        <w:rPr>
          <w:rFonts w:asciiTheme="majorHAnsi" w:hAnsiTheme="majorHAnsi"/>
          <w:lang w:eastAsia="ko-KR"/>
        </w:rPr>
        <w:t>ed</w:t>
      </w:r>
      <w:r w:rsidR="00C81A3D" w:rsidRPr="000F45BD">
        <w:rPr>
          <w:rFonts w:asciiTheme="majorHAnsi" w:hAnsiTheme="majorHAnsi"/>
          <w:lang w:eastAsia="ko-KR"/>
        </w:rPr>
        <w:t xml:space="preserve"> </w:t>
      </w:r>
      <w:r w:rsidR="0036284C" w:rsidRPr="000F45BD">
        <w:rPr>
          <w:rFonts w:asciiTheme="majorHAnsi" w:hAnsiTheme="majorHAnsi"/>
          <w:lang w:eastAsia="ko-KR"/>
        </w:rPr>
        <w:t xml:space="preserve">to establish </w:t>
      </w:r>
      <w:r w:rsidR="00C26961" w:rsidRPr="000F45BD">
        <w:rPr>
          <w:rFonts w:asciiTheme="majorHAnsi" w:hAnsiTheme="majorHAnsi"/>
          <w:lang w:eastAsia="ko-KR"/>
        </w:rPr>
        <w:t>what these findings mean</w:t>
      </w:r>
      <w:r w:rsidR="00C81A3D" w:rsidRPr="000F45BD">
        <w:rPr>
          <w:rFonts w:asciiTheme="majorHAnsi" w:hAnsiTheme="majorHAnsi"/>
          <w:lang w:eastAsia="ko-KR"/>
        </w:rPr>
        <w:t xml:space="preserve">, it is clear at this point that the relationship between children’s subjective well-being and material resources should be understood within </w:t>
      </w:r>
      <w:r w:rsidR="0017572A" w:rsidRPr="000F45BD">
        <w:rPr>
          <w:rFonts w:asciiTheme="majorHAnsi" w:hAnsiTheme="majorHAnsi"/>
          <w:lang w:eastAsia="ko-KR"/>
        </w:rPr>
        <w:t>different cultural and socio-economic settings.</w:t>
      </w:r>
    </w:p>
    <w:p w14:paraId="759576FC" w14:textId="795AE537" w:rsidR="002B1BC2" w:rsidRPr="000F45BD" w:rsidRDefault="002B1BC2" w:rsidP="00D4634E">
      <w:pPr>
        <w:spacing w:before="100" w:beforeAutospacing="1" w:after="100" w:afterAutospacing="1" w:line="240" w:lineRule="auto"/>
        <w:jc w:val="both"/>
        <w:rPr>
          <w:rFonts w:asciiTheme="majorHAnsi" w:hAnsiTheme="majorHAnsi"/>
        </w:rPr>
      </w:pPr>
      <w:r w:rsidRPr="000F45BD">
        <w:rPr>
          <w:rFonts w:asciiTheme="majorHAnsi" w:hAnsiTheme="majorHAnsi"/>
        </w:rPr>
        <w:t xml:space="preserve">Finally, it is important to note that </w:t>
      </w:r>
      <w:r w:rsidR="00C32D48" w:rsidRPr="000F45BD">
        <w:rPr>
          <w:rFonts w:asciiTheme="majorHAnsi" w:hAnsiTheme="majorHAnsi"/>
        </w:rPr>
        <w:t xml:space="preserve">the purpose of this paper is to offer a starting point with regards to understanding the associations between children’s material resources and their subjective well-being in internationally comparative work. The limitations of the index of material resources are detailed above; a great deal of work is needed to develop and refine such indices, </w:t>
      </w:r>
      <w:r w:rsidR="0027795B" w:rsidRPr="000F45BD">
        <w:rPr>
          <w:rFonts w:asciiTheme="majorHAnsi" w:hAnsiTheme="majorHAnsi"/>
        </w:rPr>
        <w:t xml:space="preserve">particularly making them </w:t>
      </w:r>
      <w:r w:rsidR="00C32D48" w:rsidRPr="000F45BD">
        <w:rPr>
          <w:rFonts w:asciiTheme="majorHAnsi" w:hAnsiTheme="majorHAnsi"/>
        </w:rPr>
        <w:t>in consultation with children</w:t>
      </w:r>
      <w:r w:rsidR="00D065CD" w:rsidRPr="000F45BD">
        <w:rPr>
          <w:rFonts w:asciiTheme="majorHAnsi" w:hAnsiTheme="majorHAnsi"/>
        </w:rPr>
        <w:t>. Such work may firstly increase the explanatory power of a material resources measure through its increased pertinence to the lives of the children in question; and secondly may help offer insight into how and why associations differ between countries.</w:t>
      </w:r>
    </w:p>
    <w:p w14:paraId="5A05F6CC" w14:textId="77777777" w:rsidR="00F96523" w:rsidRPr="000F45BD" w:rsidRDefault="00F96523" w:rsidP="00D4634E">
      <w:pPr>
        <w:spacing w:before="100" w:beforeAutospacing="1" w:after="100" w:afterAutospacing="1" w:line="240" w:lineRule="auto"/>
        <w:jc w:val="both"/>
        <w:rPr>
          <w:rFonts w:asciiTheme="majorHAnsi" w:hAnsiTheme="majorHAnsi"/>
          <w:b/>
        </w:rPr>
      </w:pPr>
    </w:p>
    <w:p w14:paraId="31D9CB99" w14:textId="77777777" w:rsidR="001974A6" w:rsidRPr="000F45BD" w:rsidRDefault="001974A6"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br w:type="page"/>
      </w:r>
    </w:p>
    <w:p w14:paraId="0B647E1C" w14:textId="77777777" w:rsidR="003D660C" w:rsidRPr="000F45BD" w:rsidRDefault="003D660C" w:rsidP="00D4634E">
      <w:pPr>
        <w:spacing w:before="100" w:beforeAutospacing="1" w:after="100" w:afterAutospacing="1" w:line="240" w:lineRule="auto"/>
        <w:jc w:val="both"/>
        <w:rPr>
          <w:rFonts w:asciiTheme="majorHAnsi" w:hAnsiTheme="majorHAnsi"/>
          <w:b/>
        </w:rPr>
      </w:pPr>
      <w:r w:rsidRPr="000F45BD">
        <w:rPr>
          <w:rFonts w:asciiTheme="majorHAnsi" w:hAnsiTheme="majorHAnsi"/>
          <w:b/>
        </w:rPr>
        <w:lastRenderedPageBreak/>
        <w:t>References</w:t>
      </w:r>
    </w:p>
    <w:p w14:paraId="29469D43" w14:textId="2F186285" w:rsidR="006D4A6A" w:rsidRPr="000F45BD" w:rsidRDefault="006D4A6A"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Abdallah, S., Main, G., </w:t>
      </w:r>
      <w:proofErr w:type="spellStart"/>
      <w:r w:rsidRPr="000F45BD">
        <w:rPr>
          <w:rFonts w:asciiTheme="majorHAnsi" w:hAnsiTheme="majorHAnsi"/>
        </w:rPr>
        <w:t>Pople</w:t>
      </w:r>
      <w:proofErr w:type="spellEnd"/>
      <w:r w:rsidRPr="000F45BD">
        <w:rPr>
          <w:rFonts w:asciiTheme="majorHAnsi" w:hAnsiTheme="majorHAnsi"/>
        </w:rPr>
        <w:t>, L.</w:t>
      </w:r>
      <w:r w:rsidR="00090D72">
        <w:rPr>
          <w:rFonts w:asciiTheme="majorHAnsi" w:hAnsiTheme="majorHAnsi"/>
        </w:rPr>
        <w:t>,</w:t>
      </w:r>
      <w:r w:rsidRPr="000F45BD">
        <w:rPr>
          <w:rFonts w:asciiTheme="majorHAnsi" w:hAnsiTheme="majorHAnsi"/>
        </w:rPr>
        <w:t xml:space="preserve"> </w:t>
      </w:r>
      <w:r w:rsidR="002B77F4">
        <w:rPr>
          <w:rFonts w:asciiTheme="majorHAnsi" w:hAnsiTheme="majorHAnsi"/>
        </w:rPr>
        <w:t>&amp;</w:t>
      </w:r>
      <w:r w:rsidRPr="000F45BD">
        <w:rPr>
          <w:rFonts w:asciiTheme="majorHAnsi" w:hAnsiTheme="majorHAnsi"/>
        </w:rPr>
        <w:t xml:space="preserve"> Rees, G. (2014) </w:t>
      </w:r>
      <w:r w:rsidRPr="000F45BD">
        <w:rPr>
          <w:rFonts w:asciiTheme="majorHAnsi" w:hAnsiTheme="majorHAnsi"/>
          <w:i/>
        </w:rPr>
        <w:t>Ways to well-being: Exploring the links between children’s activities and their subjective well-being</w:t>
      </w:r>
      <w:r w:rsidRPr="000F45BD">
        <w:rPr>
          <w:rFonts w:asciiTheme="majorHAnsi" w:hAnsiTheme="majorHAnsi"/>
        </w:rPr>
        <w:t>. The children society</w:t>
      </w:r>
    </w:p>
    <w:p w14:paraId="05157535" w14:textId="4BDD75C5" w:rsidR="006D4A6A" w:rsidRPr="000F45BD" w:rsidRDefault="006D4A6A" w:rsidP="002B77F4">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Andresen, S., </w:t>
      </w:r>
      <w:proofErr w:type="spellStart"/>
      <w:r w:rsidRPr="000F45BD">
        <w:rPr>
          <w:rFonts w:asciiTheme="majorHAnsi" w:hAnsiTheme="majorHAnsi"/>
        </w:rPr>
        <w:t>Fegter</w:t>
      </w:r>
      <w:proofErr w:type="spellEnd"/>
      <w:r w:rsidRPr="000F45BD">
        <w:rPr>
          <w:rFonts w:asciiTheme="majorHAnsi" w:hAnsiTheme="majorHAnsi"/>
        </w:rPr>
        <w:t xml:space="preserve">, S., </w:t>
      </w:r>
      <w:proofErr w:type="spellStart"/>
      <w:r w:rsidRPr="000F45BD">
        <w:rPr>
          <w:rFonts w:asciiTheme="majorHAnsi" w:hAnsiTheme="majorHAnsi"/>
        </w:rPr>
        <w:t>Hurrelmann</w:t>
      </w:r>
      <w:proofErr w:type="spellEnd"/>
      <w:r w:rsidRPr="000F45BD">
        <w:rPr>
          <w:rFonts w:asciiTheme="majorHAnsi" w:hAnsiTheme="majorHAnsi"/>
        </w:rPr>
        <w:t xml:space="preserve">, K. </w:t>
      </w:r>
      <w:proofErr w:type="spellStart"/>
      <w:r w:rsidRPr="000F45BD">
        <w:rPr>
          <w:rFonts w:asciiTheme="majorHAnsi" w:hAnsiTheme="majorHAnsi"/>
        </w:rPr>
        <w:t>Pupeter</w:t>
      </w:r>
      <w:proofErr w:type="spellEnd"/>
      <w:r w:rsidRPr="000F45BD">
        <w:rPr>
          <w:rFonts w:asciiTheme="majorHAnsi" w:hAnsiTheme="majorHAnsi"/>
        </w:rPr>
        <w:t>, M.</w:t>
      </w:r>
      <w:r w:rsidR="00090D72">
        <w:rPr>
          <w:rFonts w:asciiTheme="majorHAnsi" w:hAnsiTheme="majorHAnsi"/>
        </w:rPr>
        <w:t>,</w:t>
      </w:r>
      <w:r w:rsidRPr="000F45BD">
        <w:rPr>
          <w:rFonts w:asciiTheme="majorHAnsi" w:hAnsiTheme="majorHAnsi"/>
        </w:rPr>
        <w:t xml:space="preserve"> </w:t>
      </w:r>
      <w:r w:rsidR="002B77F4">
        <w:rPr>
          <w:rFonts w:asciiTheme="majorHAnsi" w:hAnsiTheme="majorHAnsi"/>
        </w:rPr>
        <w:t>&amp;</w:t>
      </w:r>
      <w:r w:rsidRPr="000F45BD">
        <w:rPr>
          <w:rFonts w:asciiTheme="majorHAnsi" w:hAnsiTheme="majorHAnsi"/>
        </w:rPr>
        <w:t xml:space="preserve"> </w:t>
      </w:r>
      <w:proofErr w:type="spellStart"/>
      <w:r w:rsidRPr="000F45BD">
        <w:rPr>
          <w:rFonts w:asciiTheme="majorHAnsi" w:hAnsiTheme="majorHAnsi"/>
        </w:rPr>
        <w:t>Schneekloth</w:t>
      </w:r>
      <w:proofErr w:type="spellEnd"/>
      <w:r w:rsidRPr="000F45BD">
        <w:rPr>
          <w:rFonts w:asciiTheme="majorHAnsi" w:hAnsiTheme="majorHAnsi"/>
        </w:rPr>
        <w:t>, U. (2015)</w:t>
      </w:r>
      <w:r w:rsidR="001D6830">
        <w:rPr>
          <w:rFonts w:asciiTheme="majorHAnsi" w:hAnsiTheme="majorHAnsi"/>
        </w:rPr>
        <w:t>.</w:t>
      </w:r>
      <w:r w:rsidRPr="000F45BD">
        <w:rPr>
          <w:rFonts w:asciiTheme="majorHAnsi" w:hAnsiTheme="majorHAnsi"/>
        </w:rPr>
        <w:t xml:space="preserve"> Child Poverty in Germany: Conceptual Aspects and Core Findings. In E. Fernandez</w:t>
      </w:r>
      <w:r w:rsidR="001D6830">
        <w:rPr>
          <w:rFonts w:asciiTheme="majorHAnsi" w:hAnsiTheme="majorHAnsi"/>
        </w:rPr>
        <w:t>,</w:t>
      </w:r>
      <w:r w:rsidRPr="000F45BD">
        <w:rPr>
          <w:rFonts w:asciiTheme="majorHAnsi" w:hAnsiTheme="majorHAnsi"/>
        </w:rPr>
        <w:t xml:space="preserve"> </w:t>
      </w:r>
      <w:r w:rsidR="001D6830" w:rsidRPr="000F45BD">
        <w:rPr>
          <w:rFonts w:asciiTheme="majorHAnsi" w:hAnsiTheme="majorHAnsi"/>
        </w:rPr>
        <w:t xml:space="preserve">A., </w:t>
      </w:r>
      <w:proofErr w:type="spellStart"/>
      <w:r w:rsidR="001D6830">
        <w:rPr>
          <w:rFonts w:asciiTheme="majorHAnsi" w:hAnsiTheme="majorHAnsi"/>
        </w:rPr>
        <w:t>Zeira</w:t>
      </w:r>
      <w:proofErr w:type="spellEnd"/>
      <w:r w:rsidR="001D6830">
        <w:rPr>
          <w:rFonts w:asciiTheme="majorHAnsi" w:hAnsiTheme="majorHAnsi"/>
        </w:rPr>
        <w:t xml:space="preserve">, T. </w:t>
      </w:r>
      <w:proofErr w:type="spellStart"/>
      <w:r w:rsidR="001D6830">
        <w:rPr>
          <w:rFonts w:asciiTheme="majorHAnsi" w:hAnsiTheme="majorHAnsi"/>
        </w:rPr>
        <w:t>Vecchiato</w:t>
      </w:r>
      <w:proofErr w:type="spellEnd"/>
      <w:r w:rsidR="001D6830">
        <w:rPr>
          <w:rFonts w:asciiTheme="majorHAnsi" w:hAnsiTheme="majorHAnsi"/>
        </w:rPr>
        <w:t xml:space="preserve"> </w:t>
      </w:r>
      <w:r w:rsidR="001D6830" w:rsidRPr="000F45BD">
        <w:rPr>
          <w:rFonts w:asciiTheme="majorHAnsi" w:hAnsiTheme="majorHAnsi"/>
        </w:rPr>
        <w:t xml:space="preserve">and </w:t>
      </w:r>
      <w:r w:rsidR="001D6830">
        <w:rPr>
          <w:rFonts w:asciiTheme="majorHAnsi" w:hAnsiTheme="majorHAnsi"/>
        </w:rPr>
        <w:t xml:space="preserve">C. </w:t>
      </w:r>
      <w:proofErr w:type="spellStart"/>
      <w:r w:rsidR="001D6830" w:rsidRPr="000F45BD">
        <w:rPr>
          <w:rFonts w:asciiTheme="majorHAnsi" w:hAnsiTheme="majorHAnsi"/>
        </w:rPr>
        <w:t>Canali</w:t>
      </w:r>
      <w:proofErr w:type="spellEnd"/>
      <w:r w:rsidR="001D6830">
        <w:rPr>
          <w:rFonts w:asciiTheme="majorHAnsi" w:hAnsiTheme="majorHAnsi"/>
        </w:rPr>
        <w:t>. (</w:t>
      </w:r>
      <w:proofErr w:type="spellStart"/>
      <w:r w:rsidR="001D6830">
        <w:rPr>
          <w:rFonts w:asciiTheme="majorHAnsi" w:hAnsiTheme="majorHAnsi"/>
        </w:rPr>
        <w:t>E</w:t>
      </w:r>
      <w:r w:rsidR="001D6830" w:rsidRPr="000F45BD">
        <w:rPr>
          <w:rFonts w:asciiTheme="majorHAnsi" w:hAnsiTheme="majorHAnsi"/>
        </w:rPr>
        <w:t>ds</w:t>
      </w:r>
      <w:proofErr w:type="spellEnd"/>
      <w:r w:rsidR="001D6830" w:rsidRPr="000F45BD">
        <w:rPr>
          <w:rFonts w:asciiTheme="majorHAnsi" w:hAnsiTheme="majorHAnsi"/>
        </w:rPr>
        <w:t>)</w:t>
      </w:r>
      <w:r w:rsidRPr="000F45BD">
        <w:rPr>
          <w:rFonts w:asciiTheme="majorHAnsi" w:hAnsiTheme="majorHAnsi"/>
        </w:rPr>
        <w:t xml:space="preserve">, </w:t>
      </w:r>
      <w:r w:rsidRPr="00C26EB1">
        <w:rPr>
          <w:rFonts w:asciiTheme="majorHAnsi" w:hAnsiTheme="majorHAnsi"/>
          <w:i/>
        </w:rPr>
        <w:t>Theoretical and Empirical Insights into Child and Family Poverty</w:t>
      </w:r>
      <w:r w:rsidR="002B77F4">
        <w:rPr>
          <w:rFonts w:asciiTheme="majorHAnsi" w:hAnsiTheme="majorHAnsi"/>
        </w:rPr>
        <w:t>:</w:t>
      </w:r>
      <w:r w:rsidRPr="000F45BD">
        <w:rPr>
          <w:rFonts w:asciiTheme="majorHAnsi" w:hAnsiTheme="majorHAnsi"/>
        </w:rPr>
        <w:t xml:space="preserve"> </w:t>
      </w:r>
      <w:r w:rsidR="002B77F4" w:rsidRPr="00C26EB1">
        <w:rPr>
          <w:rFonts w:asciiTheme="majorHAnsi" w:hAnsiTheme="majorHAnsi"/>
          <w:i/>
        </w:rPr>
        <w:t>Cross national perspectives</w:t>
      </w:r>
      <w:r w:rsidR="001D6830">
        <w:rPr>
          <w:rFonts w:asciiTheme="majorHAnsi" w:hAnsiTheme="majorHAnsi"/>
          <w:i/>
        </w:rPr>
        <w:t xml:space="preserve"> </w:t>
      </w:r>
      <w:r w:rsidR="001D6830" w:rsidRPr="00C26EB1">
        <w:rPr>
          <w:rFonts w:asciiTheme="majorHAnsi" w:hAnsiTheme="majorHAnsi"/>
        </w:rPr>
        <w:t>(pp. 127-140).</w:t>
      </w:r>
      <w:r w:rsidR="002B77F4">
        <w:rPr>
          <w:rFonts w:asciiTheme="majorHAnsi" w:hAnsiTheme="majorHAnsi"/>
        </w:rPr>
        <w:t xml:space="preserve"> Dordrecht: Springer</w:t>
      </w:r>
      <w:r w:rsidR="001D6830">
        <w:rPr>
          <w:rFonts w:asciiTheme="majorHAnsi" w:hAnsiTheme="majorHAnsi"/>
        </w:rPr>
        <w:t xml:space="preserve">. </w:t>
      </w:r>
    </w:p>
    <w:p w14:paraId="541404D0" w14:textId="6B2FE275" w:rsidR="00523A59" w:rsidRPr="000F45BD" w:rsidRDefault="00523A59"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Bradshaw, J., </w:t>
      </w:r>
      <w:proofErr w:type="spellStart"/>
      <w:r w:rsidRPr="000F45BD">
        <w:rPr>
          <w:rFonts w:asciiTheme="majorHAnsi" w:hAnsiTheme="majorHAnsi"/>
        </w:rPr>
        <w:t>Martorano</w:t>
      </w:r>
      <w:proofErr w:type="spellEnd"/>
      <w:r w:rsidRPr="000F45BD">
        <w:rPr>
          <w:rFonts w:asciiTheme="majorHAnsi" w:hAnsiTheme="majorHAnsi"/>
        </w:rPr>
        <w:t xml:space="preserve">, </w:t>
      </w:r>
      <w:r w:rsidR="001D6830">
        <w:rPr>
          <w:rFonts w:asciiTheme="majorHAnsi" w:hAnsiTheme="majorHAnsi"/>
        </w:rPr>
        <w:t xml:space="preserve">B., </w:t>
      </w:r>
      <w:r w:rsidRPr="000F45BD">
        <w:rPr>
          <w:rFonts w:asciiTheme="majorHAnsi" w:hAnsiTheme="majorHAnsi"/>
        </w:rPr>
        <w:t>Natali</w:t>
      </w:r>
      <w:r w:rsidR="001D6830">
        <w:rPr>
          <w:rFonts w:asciiTheme="majorHAnsi" w:hAnsiTheme="majorHAnsi"/>
        </w:rPr>
        <w:t>, L.</w:t>
      </w:r>
      <w:r w:rsidRPr="000F45BD">
        <w:rPr>
          <w:rFonts w:asciiTheme="majorHAnsi" w:hAnsiTheme="majorHAnsi"/>
        </w:rPr>
        <w:t xml:space="preserve"> </w:t>
      </w:r>
      <w:r w:rsidR="00970FE5">
        <w:rPr>
          <w:rFonts w:asciiTheme="majorHAnsi" w:hAnsiTheme="majorHAnsi"/>
        </w:rPr>
        <w:t xml:space="preserve">&amp; </w:t>
      </w:r>
      <w:r w:rsidRPr="000F45BD">
        <w:rPr>
          <w:rFonts w:asciiTheme="majorHAnsi" w:hAnsiTheme="majorHAnsi"/>
        </w:rPr>
        <w:t xml:space="preserve">de </w:t>
      </w:r>
      <w:proofErr w:type="spellStart"/>
      <w:r w:rsidRPr="000F45BD">
        <w:rPr>
          <w:rFonts w:asciiTheme="majorHAnsi" w:hAnsiTheme="majorHAnsi"/>
        </w:rPr>
        <w:t>Neubourg</w:t>
      </w:r>
      <w:proofErr w:type="spellEnd"/>
      <w:r w:rsidR="001D6830">
        <w:rPr>
          <w:rFonts w:asciiTheme="majorHAnsi" w:hAnsiTheme="majorHAnsi"/>
        </w:rPr>
        <w:t>, C.</w:t>
      </w:r>
      <w:r w:rsidRPr="000F45BD">
        <w:rPr>
          <w:rFonts w:asciiTheme="majorHAnsi" w:hAnsiTheme="majorHAnsi"/>
        </w:rPr>
        <w:t xml:space="preserve"> (2013). Children’s Subjective Well-being in Rich Countries, </w:t>
      </w:r>
      <w:r w:rsidRPr="00C26EB1">
        <w:rPr>
          <w:rFonts w:asciiTheme="majorHAnsi" w:hAnsiTheme="majorHAnsi"/>
          <w:i/>
        </w:rPr>
        <w:t>Child Indicators Research, 6, 4</w:t>
      </w:r>
      <w:r w:rsidRPr="000F45BD">
        <w:rPr>
          <w:rFonts w:asciiTheme="majorHAnsi" w:hAnsiTheme="majorHAnsi"/>
        </w:rPr>
        <w:t>, 619–635.</w:t>
      </w:r>
    </w:p>
    <w:p w14:paraId="2ECD823B" w14:textId="643AB993" w:rsidR="00E5026E" w:rsidRPr="00D4634E" w:rsidRDefault="00E5026E"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Bradshaw, J. (2015) Child poverty and child well-being in international perspective</w:t>
      </w:r>
      <w:r w:rsidR="00090D72">
        <w:rPr>
          <w:rFonts w:asciiTheme="majorHAnsi" w:hAnsiTheme="majorHAnsi"/>
        </w:rPr>
        <w:t>.</w:t>
      </w:r>
      <w:r w:rsidR="00090D72" w:rsidRPr="00090D72">
        <w:rPr>
          <w:rFonts w:asciiTheme="majorHAnsi" w:hAnsiTheme="majorHAnsi"/>
        </w:rPr>
        <w:t xml:space="preserve"> </w:t>
      </w:r>
      <w:r w:rsidR="00090D72" w:rsidRPr="000F45BD">
        <w:rPr>
          <w:rFonts w:asciiTheme="majorHAnsi" w:hAnsiTheme="majorHAnsi"/>
        </w:rPr>
        <w:t>In E. Fernandez</w:t>
      </w:r>
      <w:r w:rsidR="00090D72">
        <w:rPr>
          <w:rFonts w:asciiTheme="majorHAnsi" w:hAnsiTheme="majorHAnsi"/>
        </w:rPr>
        <w:t>,</w:t>
      </w:r>
      <w:r w:rsidR="00090D72" w:rsidRPr="000F45BD">
        <w:rPr>
          <w:rFonts w:asciiTheme="majorHAnsi" w:hAnsiTheme="majorHAnsi"/>
        </w:rPr>
        <w:t xml:space="preserve"> A., </w:t>
      </w:r>
      <w:proofErr w:type="spellStart"/>
      <w:r w:rsidR="00090D72">
        <w:rPr>
          <w:rFonts w:asciiTheme="majorHAnsi" w:hAnsiTheme="majorHAnsi"/>
        </w:rPr>
        <w:t>Zeira</w:t>
      </w:r>
      <w:proofErr w:type="spellEnd"/>
      <w:r w:rsidR="00090D72">
        <w:rPr>
          <w:rFonts w:asciiTheme="majorHAnsi" w:hAnsiTheme="majorHAnsi"/>
        </w:rPr>
        <w:t xml:space="preserve">, T. </w:t>
      </w:r>
      <w:proofErr w:type="spellStart"/>
      <w:r w:rsidR="00090D72">
        <w:rPr>
          <w:rFonts w:asciiTheme="majorHAnsi" w:hAnsiTheme="majorHAnsi"/>
        </w:rPr>
        <w:t>Vecchiato</w:t>
      </w:r>
      <w:proofErr w:type="spellEnd"/>
      <w:r w:rsidR="00090D72">
        <w:rPr>
          <w:rFonts w:asciiTheme="majorHAnsi" w:hAnsiTheme="majorHAnsi"/>
        </w:rPr>
        <w:t xml:space="preserve"> </w:t>
      </w:r>
      <w:r w:rsidR="00090D72" w:rsidRPr="000F45BD">
        <w:rPr>
          <w:rFonts w:asciiTheme="majorHAnsi" w:hAnsiTheme="majorHAnsi"/>
        </w:rPr>
        <w:t xml:space="preserve">and </w:t>
      </w:r>
      <w:r w:rsidR="00090D72">
        <w:rPr>
          <w:rFonts w:asciiTheme="majorHAnsi" w:hAnsiTheme="majorHAnsi"/>
        </w:rPr>
        <w:t xml:space="preserve">C. </w:t>
      </w:r>
      <w:proofErr w:type="spellStart"/>
      <w:r w:rsidR="00090D72" w:rsidRPr="000F45BD">
        <w:rPr>
          <w:rFonts w:asciiTheme="majorHAnsi" w:hAnsiTheme="majorHAnsi"/>
        </w:rPr>
        <w:t>Canali</w:t>
      </w:r>
      <w:proofErr w:type="spellEnd"/>
      <w:r w:rsidR="00090D72">
        <w:rPr>
          <w:rFonts w:asciiTheme="majorHAnsi" w:hAnsiTheme="majorHAnsi"/>
        </w:rPr>
        <w:t>. (</w:t>
      </w:r>
      <w:proofErr w:type="spellStart"/>
      <w:r w:rsidR="00090D72">
        <w:rPr>
          <w:rFonts w:asciiTheme="majorHAnsi" w:hAnsiTheme="majorHAnsi"/>
        </w:rPr>
        <w:t>E</w:t>
      </w:r>
      <w:r w:rsidR="00090D72" w:rsidRPr="000F45BD">
        <w:rPr>
          <w:rFonts w:asciiTheme="majorHAnsi" w:hAnsiTheme="majorHAnsi"/>
        </w:rPr>
        <w:t>ds</w:t>
      </w:r>
      <w:proofErr w:type="spellEnd"/>
      <w:r w:rsidR="00090D72" w:rsidRPr="000F45BD">
        <w:rPr>
          <w:rFonts w:asciiTheme="majorHAnsi" w:hAnsiTheme="majorHAnsi"/>
        </w:rPr>
        <w:t xml:space="preserve">), </w:t>
      </w:r>
      <w:r w:rsidR="00090D72" w:rsidRPr="00317CB7">
        <w:rPr>
          <w:rFonts w:asciiTheme="majorHAnsi" w:hAnsiTheme="majorHAnsi"/>
          <w:i/>
        </w:rPr>
        <w:t>Theoretical and Empirical Insights into Child and Family Poverty</w:t>
      </w:r>
      <w:r w:rsidR="00090D72">
        <w:rPr>
          <w:rFonts w:asciiTheme="majorHAnsi" w:hAnsiTheme="majorHAnsi"/>
        </w:rPr>
        <w:t>:</w:t>
      </w:r>
      <w:r w:rsidR="00090D72" w:rsidRPr="000F45BD">
        <w:rPr>
          <w:rFonts w:asciiTheme="majorHAnsi" w:hAnsiTheme="majorHAnsi"/>
        </w:rPr>
        <w:t xml:space="preserve"> </w:t>
      </w:r>
      <w:r w:rsidR="00090D72" w:rsidRPr="00317CB7">
        <w:rPr>
          <w:rFonts w:asciiTheme="majorHAnsi" w:hAnsiTheme="majorHAnsi"/>
          <w:i/>
        </w:rPr>
        <w:t>Cross national perspectives</w:t>
      </w:r>
      <w:r w:rsidR="00090D72">
        <w:rPr>
          <w:rFonts w:asciiTheme="majorHAnsi" w:hAnsiTheme="majorHAnsi"/>
          <w:i/>
        </w:rPr>
        <w:t xml:space="preserve"> </w:t>
      </w:r>
      <w:r w:rsidR="00090D72" w:rsidRPr="00317CB7">
        <w:rPr>
          <w:rFonts w:asciiTheme="majorHAnsi" w:hAnsiTheme="majorHAnsi"/>
        </w:rPr>
        <w:t xml:space="preserve">(pp. </w:t>
      </w:r>
      <w:r w:rsidR="00090D72">
        <w:rPr>
          <w:rFonts w:asciiTheme="majorHAnsi" w:hAnsiTheme="majorHAnsi"/>
        </w:rPr>
        <w:t>59-7</w:t>
      </w:r>
      <w:r w:rsidR="00090D72" w:rsidRPr="00317CB7">
        <w:rPr>
          <w:rFonts w:asciiTheme="majorHAnsi" w:hAnsiTheme="majorHAnsi"/>
        </w:rPr>
        <w:t>0).</w:t>
      </w:r>
      <w:r w:rsidR="00090D72">
        <w:rPr>
          <w:rFonts w:asciiTheme="majorHAnsi" w:hAnsiTheme="majorHAnsi"/>
        </w:rPr>
        <w:t xml:space="preserve"> Dordrecht: Springer</w:t>
      </w:r>
      <w:r w:rsidRPr="000F45BD">
        <w:rPr>
          <w:rFonts w:asciiTheme="majorHAnsi" w:hAnsiTheme="majorHAnsi"/>
        </w:rPr>
        <w:t xml:space="preserve"> </w:t>
      </w:r>
    </w:p>
    <w:p w14:paraId="233E1EEA" w14:textId="410C72FD" w:rsidR="00B8650E" w:rsidRPr="000F45BD" w:rsidRDefault="00B8650E"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Bradshaw, J., Keung, A., Rees, G.</w:t>
      </w:r>
      <w:r w:rsidR="00090D72">
        <w:rPr>
          <w:rFonts w:asciiTheme="majorHAnsi" w:hAnsiTheme="majorHAnsi"/>
        </w:rPr>
        <w:t>,</w:t>
      </w:r>
      <w:r w:rsidRPr="000F45BD">
        <w:rPr>
          <w:rFonts w:asciiTheme="majorHAnsi" w:hAnsiTheme="majorHAnsi"/>
        </w:rPr>
        <w:t xml:space="preserve"> &amp; </w:t>
      </w:r>
      <w:proofErr w:type="spellStart"/>
      <w:r w:rsidRPr="000F45BD">
        <w:rPr>
          <w:rFonts w:asciiTheme="majorHAnsi" w:hAnsiTheme="majorHAnsi"/>
        </w:rPr>
        <w:t>Goswami</w:t>
      </w:r>
      <w:proofErr w:type="spellEnd"/>
      <w:r w:rsidRPr="000F45BD">
        <w:rPr>
          <w:rFonts w:asciiTheme="majorHAnsi" w:hAnsiTheme="majorHAnsi"/>
        </w:rPr>
        <w:t xml:space="preserve">, H. (2011). Children's subjective well-being: International comparative perspectives. </w:t>
      </w:r>
      <w:r w:rsidRPr="000F45BD">
        <w:rPr>
          <w:rFonts w:asciiTheme="majorHAnsi" w:hAnsiTheme="majorHAnsi"/>
          <w:i/>
        </w:rPr>
        <w:t>Children and Youth Services Review 33</w:t>
      </w:r>
      <w:r w:rsidRPr="000F45BD">
        <w:rPr>
          <w:rFonts w:asciiTheme="majorHAnsi" w:hAnsiTheme="majorHAnsi"/>
        </w:rPr>
        <w:t>, 548–556</w:t>
      </w:r>
    </w:p>
    <w:p w14:paraId="2134B460" w14:textId="77777777" w:rsidR="006A31B9" w:rsidRPr="000F45BD" w:rsidRDefault="006A31B9"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Casas, F., González, M., Navarro, D. &amp; </w:t>
      </w:r>
      <w:proofErr w:type="spellStart"/>
      <w:r w:rsidRPr="000F45BD">
        <w:rPr>
          <w:rFonts w:asciiTheme="majorHAnsi" w:hAnsiTheme="majorHAnsi"/>
        </w:rPr>
        <w:t>Aligué</w:t>
      </w:r>
      <w:proofErr w:type="spellEnd"/>
      <w:r w:rsidRPr="000F45BD">
        <w:rPr>
          <w:rFonts w:asciiTheme="majorHAnsi" w:hAnsiTheme="majorHAnsi"/>
        </w:rPr>
        <w:t xml:space="preserve">, M. (2013). Children as Advisers of Their Researchers: Assuming a Different Status for Children. </w:t>
      </w:r>
      <w:r w:rsidRPr="000F45BD">
        <w:rPr>
          <w:rFonts w:asciiTheme="majorHAnsi" w:hAnsiTheme="majorHAnsi"/>
          <w:i/>
        </w:rPr>
        <w:t>Child Indicators Research, 6,</w:t>
      </w:r>
      <w:r w:rsidRPr="000F45BD">
        <w:rPr>
          <w:rFonts w:asciiTheme="majorHAnsi" w:hAnsiTheme="majorHAnsi"/>
        </w:rPr>
        <w:t xml:space="preserve"> 193-212.</w:t>
      </w:r>
    </w:p>
    <w:p w14:paraId="7DF897A5" w14:textId="654582BA" w:rsidR="00E7359A" w:rsidRPr="000F45BD" w:rsidRDefault="00E7359A"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Cummins, A. R. (2003)</w:t>
      </w:r>
      <w:r w:rsidR="00970FE5">
        <w:rPr>
          <w:rFonts w:asciiTheme="majorHAnsi" w:hAnsiTheme="majorHAnsi"/>
        </w:rPr>
        <w:t xml:space="preserve">. </w:t>
      </w:r>
      <w:r w:rsidRPr="000F45BD">
        <w:rPr>
          <w:rFonts w:asciiTheme="majorHAnsi" w:hAnsiTheme="majorHAnsi"/>
        </w:rPr>
        <w:t xml:space="preserve">Normative life satisfaction: Measurement issues and a homeostatic model.  </w:t>
      </w:r>
      <w:r w:rsidRPr="000F45BD">
        <w:rPr>
          <w:rFonts w:asciiTheme="majorHAnsi" w:hAnsiTheme="majorHAnsi"/>
          <w:i/>
        </w:rPr>
        <w:t>Social Indicators Research</w:t>
      </w:r>
      <w:proofErr w:type="gramStart"/>
      <w:r w:rsidR="00970FE5">
        <w:rPr>
          <w:rFonts w:asciiTheme="majorHAnsi" w:hAnsiTheme="majorHAnsi"/>
          <w:i/>
        </w:rPr>
        <w:t>,</w:t>
      </w:r>
      <w:r w:rsidRPr="00C26EB1">
        <w:rPr>
          <w:rFonts w:asciiTheme="majorHAnsi" w:hAnsiTheme="majorHAnsi"/>
          <w:i/>
        </w:rPr>
        <w:t>64</w:t>
      </w:r>
      <w:r w:rsidR="00970FE5" w:rsidRPr="00C26EB1">
        <w:rPr>
          <w:rFonts w:asciiTheme="majorHAnsi" w:hAnsiTheme="majorHAnsi"/>
          <w:i/>
        </w:rPr>
        <w:t>,</w:t>
      </w:r>
      <w:r w:rsidRPr="00C26EB1">
        <w:rPr>
          <w:rFonts w:asciiTheme="majorHAnsi" w:hAnsiTheme="majorHAnsi"/>
          <w:i/>
        </w:rPr>
        <w:t>2</w:t>
      </w:r>
      <w:proofErr w:type="gramEnd"/>
      <w:r w:rsidR="00970FE5" w:rsidRPr="00C26EB1">
        <w:rPr>
          <w:rFonts w:asciiTheme="majorHAnsi" w:hAnsiTheme="majorHAnsi"/>
          <w:i/>
        </w:rPr>
        <w:t>,</w:t>
      </w:r>
      <w:r w:rsidR="00970FE5">
        <w:rPr>
          <w:rFonts w:asciiTheme="majorHAnsi" w:hAnsiTheme="majorHAnsi"/>
        </w:rPr>
        <w:t xml:space="preserve"> </w:t>
      </w:r>
      <w:r w:rsidRPr="000F45BD">
        <w:rPr>
          <w:rFonts w:asciiTheme="majorHAnsi" w:hAnsiTheme="majorHAnsi"/>
        </w:rPr>
        <w:t>225-240.</w:t>
      </w:r>
    </w:p>
    <w:p w14:paraId="44DE8DCD" w14:textId="36B513B4" w:rsidR="003B25E1" w:rsidRPr="000F45BD" w:rsidRDefault="003B25E1"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Cummins, R. A. </w:t>
      </w:r>
      <w:r w:rsidR="00970FE5">
        <w:rPr>
          <w:rFonts w:asciiTheme="majorHAnsi" w:hAnsiTheme="majorHAnsi"/>
        </w:rPr>
        <w:t>&amp;</w:t>
      </w:r>
      <w:r w:rsidRPr="000F45BD">
        <w:rPr>
          <w:rFonts w:asciiTheme="majorHAnsi" w:hAnsiTheme="majorHAnsi"/>
        </w:rPr>
        <w:t xml:space="preserve"> Lau, A. L. D. (2005) </w:t>
      </w:r>
      <w:r w:rsidRPr="000F45BD">
        <w:rPr>
          <w:rFonts w:asciiTheme="majorHAnsi" w:hAnsiTheme="majorHAnsi"/>
          <w:i/>
        </w:rPr>
        <w:t>Personal Well-being Index-School Children (PWI-SC).  Manual</w:t>
      </w:r>
      <w:r w:rsidRPr="000F45BD">
        <w:rPr>
          <w:rFonts w:asciiTheme="majorHAnsi" w:hAnsiTheme="majorHAnsi"/>
        </w:rPr>
        <w:t>.  Available online at http://www.deakin.edu.au/research/acqol/instruments/wellbeing-index/pwi-school.pdf.</w:t>
      </w:r>
    </w:p>
    <w:p w14:paraId="28F2CADD" w14:textId="62C0A012" w:rsidR="00E7359A" w:rsidRDefault="00E7359A"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Currie, C. E., Elton, R. A., Todd, J.</w:t>
      </w:r>
      <w:r w:rsidR="00ED1E74">
        <w:rPr>
          <w:rFonts w:asciiTheme="majorHAnsi" w:hAnsiTheme="majorHAnsi"/>
        </w:rPr>
        <w:t xml:space="preserve">, &amp; </w:t>
      </w:r>
      <w:r w:rsidRPr="000F45BD">
        <w:rPr>
          <w:rFonts w:asciiTheme="majorHAnsi" w:hAnsiTheme="majorHAnsi"/>
        </w:rPr>
        <w:t>Platt, S. (1997)</w:t>
      </w:r>
      <w:r w:rsidR="00ED1E74">
        <w:rPr>
          <w:rFonts w:asciiTheme="majorHAnsi" w:hAnsiTheme="majorHAnsi"/>
        </w:rPr>
        <w:t>.</w:t>
      </w:r>
      <w:r w:rsidRPr="000F45BD">
        <w:rPr>
          <w:rFonts w:asciiTheme="majorHAnsi" w:hAnsiTheme="majorHAnsi"/>
        </w:rPr>
        <w:t xml:space="preserve"> Indicators of socioeconomic status for adolescents: the WHO Health Behaviour in School-aged Children survey.  </w:t>
      </w:r>
      <w:r w:rsidRPr="000F45BD">
        <w:rPr>
          <w:rFonts w:asciiTheme="majorHAnsi" w:hAnsiTheme="majorHAnsi"/>
          <w:i/>
        </w:rPr>
        <w:t>Health Education Research</w:t>
      </w:r>
      <w:r w:rsidR="00ED1E74" w:rsidRPr="00ED1E74">
        <w:rPr>
          <w:rFonts w:asciiTheme="majorHAnsi" w:hAnsiTheme="majorHAnsi"/>
          <w:i/>
        </w:rPr>
        <w:t xml:space="preserve">, </w:t>
      </w:r>
      <w:r w:rsidRPr="00C26EB1">
        <w:rPr>
          <w:rFonts w:asciiTheme="majorHAnsi" w:hAnsiTheme="majorHAnsi"/>
          <w:i/>
        </w:rPr>
        <w:t>12</w:t>
      </w:r>
      <w:proofErr w:type="gramStart"/>
      <w:r w:rsidR="00ED1E74" w:rsidRPr="00C26EB1">
        <w:rPr>
          <w:rFonts w:asciiTheme="majorHAnsi" w:hAnsiTheme="majorHAnsi"/>
          <w:i/>
        </w:rPr>
        <w:t>,</w:t>
      </w:r>
      <w:r w:rsidRPr="00C26EB1">
        <w:rPr>
          <w:rFonts w:asciiTheme="majorHAnsi" w:hAnsiTheme="majorHAnsi"/>
          <w:i/>
        </w:rPr>
        <w:t>3</w:t>
      </w:r>
      <w:proofErr w:type="gramEnd"/>
      <w:r w:rsidR="00ED1E74" w:rsidRPr="00C26EB1">
        <w:rPr>
          <w:rFonts w:asciiTheme="majorHAnsi" w:hAnsiTheme="majorHAnsi"/>
          <w:i/>
        </w:rPr>
        <w:t>,</w:t>
      </w:r>
      <w:r w:rsidRPr="000F45BD">
        <w:rPr>
          <w:rFonts w:asciiTheme="majorHAnsi" w:hAnsiTheme="majorHAnsi"/>
        </w:rPr>
        <w:t xml:space="preserve"> 385-397.</w:t>
      </w:r>
    </w:p>
    <w:p w14:paraId="00DF8C23" w14:textId="4D959253" w:rsidR="000C1F18" w:rsidRPr="000F45BD" w:rsidRDefault="000264AF" w:rsidP="000264AF">
      <w:pPr>
        <w:pStyle w:val="ListParagraph"/>
        <w:numPr>
          <w:ilvl w:val="0"/>
          <w:numId w:val="2"/>
        </w:numPr>
        <w:spacing w:before="100" w:beforeAutospacing="1" w:after="100" w:afterAutospacing="1" w:line="240" w:lineRule="auto"/>
        <w:jc w:val="both"/>
        <w:rPr>
          <w:rFonts w:asciiTheme="majorHAnsi" w:hAnsiTheme="majorHAnsi"/>
        </w:rPr>
      </w:pPr>
      <w:proofErr w:type="spellStart"/>
      <w:r w:rsidRPr="000264AF">
        <w:rPr>
          <w:rFonts w:asciiTheme="majorHAnsi" w:hAnsiTheme="majorHAnsi"/>
        </w:rPr>
        <w:t>Diener</w:t>
      </w:r>
      <w:proofErr w:type="spellEnd"/>
      <w:r w:rsidRPr="000264AF">
        <w:rPr>
          <w:rFonts w:asciiTheme="majorHAnsi" w:hAnsiTheme="majorHAnsi"/>
        </w:rPr>
        <w:t xml:space="preserve">, E. (1984). Subjective well-being. </w:t>
      </w:r>
      <w:r w:rsidRPr="00C26EB1">
        <w:rPr>
          <w:rFonts w:asciiTheme="majorHAnsi" w:hAnsiTheme="majorHAnsi"/>
          <w:i/>
        </w:rPr>
        <w:t>Psychological Bulletin, 95, 3,</w:t>
      </w:r>
      <w:r w:rsidRPr="000264AF">
        <w:rPr>
          <w:rFonts w:asciiTheme="majorHAnsi" w:hAnsiTheme="majorHAnsi"/>
        </w:rPr>
        <w:t xml:space="preserve"> 542-575.</w:t>
      </w:r>
    </w:p>
    <w:p w14:paraId="055D4E84" w14:textId="12C9ADE1" w:rsidR="00B8650E" w:rsidRPr="000F45BD" w:rsidRDefault="00B8650E" w:rsidP="00D4634E">
      <w:pPr>
        <w:pStyle w:val="ListParagraph"/>
        <w:numPr>
          <w:ilvl w:val="0"/>
          <w:numId w:val="2"/>
        </w:numPr>
        <w:spacing w:before="100" w:beforeAutospacing="1" w:after="100" w:afterAutospacing="1" w:line="240" w:lineRule="auto"/>
        <w:jc w:val="both"/>
        <w:rPr>
          <w:rFonts w:asciiTheme="majorHAnsi" w:hAnsiTheme="majorHAnsi"/>
        </w:rPr>
      </w:pPr>
      <w:proofErr w:type="spellStart"/>
      <w:r w:rsidRPr="000F45BD">
        <w:rPr>
          <w:rFonts w:asciiTheme="majorHAnsi" w:hAnsiTheme="majorHAnsi"/>
        </w:rPr>
        <w:t>Dinisman</w:t>
      </w:r>
      <w:proofErr w:type="spellEnd"/>
      <w:r w:rsidRPr="000F45BD">
        <w:rPr>
          <w:rFonts w:asciiTheme="majorHAnsi" w:hAnsiTheme="majorHAnsi"/>
        </w:rPr>
        <w:t>, T</w:t>
      </w:r>
      <w:r w:rsidR="00ED1E74">
        <w:rPr>
          <w:rFonts w:asciiTheme="majorHAnsi" w:hAnsiTheme="majorHAnsi"/>
        </w:rPr>
        <w:t>.,</w:t>
      </w:r>
      <w:r w:rsidRPr="000F45BD">
        <w:rPr>
          <w:rFonts w:asciiTheme="majorHAnsi" w:hAnsiTheme="majorHAnsi"/>
        </w:rPr>
        <w:t xml:space="preserve"> Montserrat, C. &amp; Casas, F. (2012). The subjective well-being of Spanish adolescents: Variations according to different living arrangements. </w:t>
      </w:r>
      <w:r w:rsidRPr="000F45BD">
        <w:rPr>
          <w:rFonts w:asciiTheme="majorHAnsi" w:hAnsiTheme="majorHAnsi"/>
          <w:i/>
        </w:rPr>
        <w:t xml:space="preserve">Children and Youth Services Review, 34, 12, </w:t>
      </w:r>
      <w:r w:rsidRPr="000F45BD">
        <w:rPr>
          <w:rFonts w:asciiTheme="majorHAnsi" w:hAnsiTheme="majorHAnsi"/>
        </w:rPr>
        <w:t>2374-2380.</w:t>
      </w:r>
    </w:p>
    <w:p w14:paraId="6799C357" w14:textId="4F9300EF" w:rsidR="00B16E82" w:rsidRPr="000F45BD" w:rsidRDefault="00B16E82" w:rsidP="00D4634E">
      <w:pPr>
        <w:pStyle w:val="ListParagraph"/>
        <w:numPr>
          <w:ilvl w:val="0"/>
          <w:numId w:val="2"/>
        </w:numPr>
        <w:spacing w:before="100" w:beforeAutospacing="1" w:after="100" w:afterAutospacing="1" w:line="240" w:lineRule="auto"/>
        <w:jc w:val="both"/>
        <w:rPr>
          <w:rStyle w:val="Hyperlink"/>
          <w:rFonts w:asciiTheme="majorHAnsi" w:hAnsiTheme="majorHAnsi"/>
          <w:color w:val="auto"/>
          <w:u w:val="none"/>
        </w:rPr>
      </w:pPr>
    </w:p>
    <w:p w14:paraId="41FEE438" w14:textId="3E40213F" w:rsidR="00AC0D98" w:rsidRPr="00C26EB1" w:rsidRDefault="00AC0D98" w:rsidP="00C26EB1">
      <w:pPr>
        <w:pStyle w:val="ListParagraph"/>
        <w:numPr>
          <w:ilvl w:val="0"/>
          <w:numId w:val="2"/>
        </w:numPr>
        <w:spacing w:before="100" w:beforeAutospacing="1" w:after="100" w:afterAutospacing="1" w:line="240" w:lineRule="auto"/>
        <w:jc w:val="both"/>
        <w:rPr>
          <w:rFonts w:asciiTheme="majorHAnsi" w:hAnsiTheme="majorHAnsi"/>
        </w:rPr>
      </w:pPr>
      <w:r w:rsidRPr="00C26EB1">
        <w:rPr>
          <w:rFonts w:asciiTheme="majorHAnsi" w:hAnsiTheme="majorHAnsi"/>
        </w:rPr>
        <w:t xml:space="preserve">Gross-Manos, D. (2015). Material deprivation and social exclusion of children: Lessons from measurement attempts among children in Israel. </w:t>
      </w:r>
      <w:r w:rsidRPr="00C26EB1">
        <w:rPr>
          <w:rFonts w:asciiTheme="majorHAnsi" w:hAnsiTheme="majorHAnsi"/>
          <w:i/>
        </w:rPr>
        <w:t>Journal of Social Policy 44, 1,</w:t>
      </w:r>
      <w:r w:rsidRPr="00C26EB1">
        <w:rPr>
          <w:rFonts w:asciiTheme="majorHAnsi" w:hAnsiTheme="majorHAnsi"/>
        </w:rPr>
        <w:t xml:space="preserve"> 105-125</w:t>
      </w:r>
    </w:p>
    <w:p w14:paraId="70EA8782" w14:textId="6733C087" w:rsidR="00523A59" w:rsidRPr="00C26EB1" w:rsidRDefault="00523A59" w:rsidP="00D4634E">
      <w:pPr>
        <w:pStyle w:val="ListParagraph"/>
        <w:numPr>
          <w:ilvl w:val="0"/>
          <w:numId w:val="2"/>
        </w:numPr>
        <w:spacing w:before="100" w:beforeAutospacing="1" w:after="100" w:afterAutospacing="1" w:line="240" w:lineRule="auto"/>
        <w:jc w:val="both"/>
        <w:rPr>
          <w:rFonts w:asciiTheme="majorHAnsi" w:hAnsiTheme="majorHAnsi"/>
        </w:rPr>
      </w:pPr>
      <w:proofErr w:type="spellStart"/>
      <w:r w:rsidRPr="00C26EB1">
        <w:rPr>
          <w:rFonts w:asciiTheme="majorHAnsi" w:hAnsiTheme="majorHAnsi"/>
        </w:rPr>
        <w:t>Klocke</w:t>
      </w:r>
      <w:proofErr w:type="spellEnd"/>
      <w:r w:rsidRPr="00C26EB1">
        <w:rPr>
          <w:rFonts w:asciiTheme="majorHAnsi" w:hAnsiTheme="majorHAnsi"/>
        </w:rPr>
        <w:t>, A., Clair, A.</w:t>
      </w:r>
      <w:r w:rsidR="00AE733D">
        <w:rPr>
          <w:rFonts w:asciiTheme="majorHAnsi" w:hAnsiTheme="majorHAnsi"/>
        </w:rPr>
        <w:t>,</w:t>
      </w:r>
      <w:r w:rsidRPr="00C26EB1">
        <w:rPr>
          <w:rFonts w:asciiTheme="majorHAnsi" w:hAnsiTheme="majorHAnsi"/>
        </w:rPr>
        <w:t xml:space="preserve"> </w:t>
      </w:r>
      <w:r w:rsidR="00970180">
        <w:rPr>
          <w:rFonts w:asciiTheme="majorHAnsi" w:hAnsiTheme="majorHAnsi"/>
        </w:rPr>
        <w:t>&amp;</w:t>
      </w:r>
      <w:r w:rsidRPr="00C26EB1">
        <w:rPr>
          <w:rFonts w:asciiTheme="majorHAnsi" w:hAnsiTheme="majorHAnsi"/>
        </w:rPr>
        <w:t xml:space="preserve"> Bradshaw, J. (2014)</w:t>
      </w:r>
      <w:r w:rsidR="00970180" w:rsidRPr="00970180">
        <w:rPr>
          <w:rFonts w:asciiTheme="majorHAnsi" w:hAnsiTheme="majorHAnsi"/>
        </w:rPr>
        <w:t>.</w:t>
      </w:r>
      <w:r w:rsidRPr="00C26EB1">
        <w:rPr>
          <w:rFonts w:asciiTheme="majorHAnsi" w:hAnsiTheme="majorHAnsi"/>
        </w:rPr>
        <w:t xml:space="preserve"> International Variation in Child Subjective Well-Being</w:t>
      </w:r>
      <w:r w:rsidR="00970180">
        <w:rPr>
          <w:rFonts w:asciiTheme="majorHAnsi" w:hAnsiTheme="majorHAnsi"/>
        </w:rPr>
        <w:t>.</w:t>
      </w:r>
      <w:r w:rsidRPr="000F45BD">
        <w:rPr>
          <w:rFonts w:asciiTheme="majorHAnsi" w:hAnsiTheme="majorHAnsi"/>
          <w:i/>
        </w:rPr>
        <w:t xml:space="preserve"> Child Indicators Research. 7, 1, </w:t>
      </w:r>
      <w:r w:rsidRPr="00C26EB1">
        <w:rPr>
          <w:rFonts w:asciiTheme="majorHAnsi" w:hAnsiTheme="majorHAnsi"/>
        </w:rPr>
        <w:t>1-20.</w:t>
      </w:r>
    </w:p>
    <w:p w14:paraId="28946ECC" w14:textId="26A0DD15" w:rsidR="00E7359A" w:rsidRPr="000F45BD" w:rsidRDefault="00E7359A" w:rsidP="00D4634E">
      <w:pPr>
        <w:pStyle w:val="ListParagraph"/>
        <w:numPr>
          <w:ilvl w:val="0"/>
          <w:numId w:val="2"/>
        </w:numPr>
        <w:spacing w:before="100" w:beforeAutospacing="1" w:after="100" w:afterAutospacing="1" w:line="240" w:lineRule="auto"/>
        <w:jc w:val="both"/>
        <w:rPr>
          <w:rFonts w:asciiTheme="majorHAnsi" w:hAnsiTheme="majorHAnsi"/>
          <w:i/>
        </w:rPr>
      </w:pPr>
      <w:r w:rsidRPr="000F45BD">
        <w:rPr>
          <w:rFonts w:asciiTheme="majorHAnsi" w:hAnsiTheme="majorHAnsi"/>
        </w:rPr>
        <w:t>Lim, H. E. (2008)</w:t>
      </w:r>
      <w:r w:rsidR="00970180">
        <w:rPr>
          <w:rFonts w:asciiTheme="majorHAnsi" w:hAnsiTheme="majorHAnsi"/>
        </w:rPr>
        <w:t xml:space="preserve">. </w:t>
      </w:r>
      <w:r w:rsidRPr="000F45BD">
        <w:rPr>
          <w:rFonts w:asciiTheme="majorHAnsi" w:hAnsiTheme="majorHAnsi"/>
        </w:rPr>
        <w:t xml:space="preserve">The use of different happiness rating scales: Bias and comparison problem?  </w:t>
      </w:r>
      <w:r w:rsidRPr="000F45BD">
        <w:rPr>
          <w:rFonts w:asciiTheme="majorHAnsi" w:hAnsiTheme="majorHAnsi"/>
          <w:i/>
        </w:rPr>
        <w:t>Social Indicators Research</w:t>
      </w:r>
      <w:proofErr w:type="gramStart"/>
      <w:r w:rsidR="00970180">
        <w:rPr>
          <w:rFonts w:asciiTheme="majorHAnsi" w:hAnsiTheme="majorHAnsi"/>
          <w:i/>
        </w:rPr>
        <w:t>,</w:t>
      </w:r>
      <w:r w:rsidRPr="00C26EB1">
        <w:rPr>
          <w:rFonts w:asciiTheme="majorHAnsi" w:hAnsiTheme="majorHAnsi"/>
          <w:i/>
        </w:rPr>
        <w:t>87</w:t>
      </w:r>
      <w:proofErr w:type="gramEnd"/>
      <w:r w:rsidR="00970180" w:rsidRPr="00C26EB1">
        <w:rPr>
          <w:rFonts w:asciiTheme="majorHAnsi" w:hAnsiTheme="majorHAnsi"/>
          <w:i/>
        </w:rPr>
        <w:t>,</w:t>
      </w:r>
      <w:r w:rsidR="00970180">
        <w:rPr>
          <w:rFonts w:asciiTheme="majorHAnsi" w:hAnsiTheme="majorHAnsi"/>
        </w:rPr>
        <w:t xml:space="preserve"> </w:t>
      </w:r>
      <w:r w:rsidRPr="000F45BD">
        <w:rPr>
          <w:rFonts w:asciiTheme="majorHAnsi" w:hAnsiTheme="majorHAnsi"/>
        </w:rPr>
        <w:t>259-267.</w:t>
      </w:r>
    </w:p>
    <w:p w14:paraId="616B5CA0" w14:textId="45C6E8BD" w:rsidR="00B8650E" w:rsidRPr="000F45BD" w:rsidRDefault="00B8650E" w:rsidP="00D4634E">
      <w:pPr>
        <w:pStyle w:val="ListParagraph"/>
        <w:numPr>
          <w:ilvl w:val="0"/>
          <w:numId w:val="2"/>
        </w:numPr>
        <w:spacing w:before="100" w:beforeAutospacing="1" w:after="100" w:afterAutospacing="1" w:line="240" w:lineRule="auto"/>
        <w:jc w:val="both"/>
        <w:rPr>
          <w:rFonts w:asciiTheme="majorHAnsi" w:hAnsiTheme="majorHAnsi"/>
          <w:i/>
        </w:rPr>
      </w:pPr>
      <w:proofErr w:type="spellStart"/>
      <w:r w:rsidRPr="000F45BD">
        <w:rPr>
          <w:rFonts w:asciiTheme="majorHAnsi" w:hAnsiTheme="majorHAnsi"/>
        </w:rPr>
        <w:t>Llosada-Gistau</w:t>
      </w:r>
      <w:proofErr w:type="spellEnd"/>
      <w:r w:rsidRPr="000F45BD">
        <w:rPr>
          <w:rFonts w:asciiTheme="majorHAnsi" w:hAnsiTheme="majorHAnsi"/>
        </w:rPr>
        <w:t>, J., Montserrat, C.</w:t>
      </w:r>
      <w:r w:rsidR="00AE733D">
        <w:rPr>
          <w:rFonts w:asciiTheme="majorHAnsi" w:hAnsiTheme="majorHAnsi"/>
        </w:rPr>
        <w:t>,</w:t>
      </w:r>
      <w:r w:rsidRPr="000F45BD">
        <w:rPr>
          <w:rFonts w:asciiTheme="majorHAnsi" w:hAnsiTheme="majorHAnsi"/>
        </w:rPr>
        <w:t xml:space="preserve"> &amp; Casas, F. (201</w:t>
      </w:r>
      <w:r w:rsidR="00083216">
        <w:rPr>
          <w:rFonts w:asciiTheme="majorHAnsi" w:hAnsiTheme="majorHAnsi"/>
        </w:rPr>
        <w:t>5</w:t>
      </w:r>
      <w:r w:rsidRPr="000F45BD">
        <w:rPr>
          <w:rFonts w:asciiTheme="majorHAnsi" w:hAnsiTheme="majorHAnsi"/>
        </w:rPr>
        <w:t>)</w:t>
      </w:r>
      <w:r w:rsidR="00AE733D">
        <w:rPr>
          <w:rFonts w:asciiTheme="majorHAnsi" w:hAnsiTheme="majorHAnsi"/>
        </w:rPr>
        <w:t>.</w:t>
      </w:r>
      <w:r w:rsidRPr="000F45BD">
        <w:rPr>
          <w:rFonts w:asciiTheme="majorHAnsi" w:hAnsiTheme="majorHAnsi"/>
        </w:rPr>
        <w:t xml:space="preserve"> The subjective well-being of adolescents in residential care compared to that of the general population, </w:t>
      </w:r>
      <w:r w:rsidRPr="000F45BD">
        <w:rPr>
          <w:rFonts w:asciiTheme="majorHAnsi" w:hAnsiTheme="majorHAnsi"/>
          <w:i/>
        </w:rPr>
        <w:t xml:space="preserve">Children and Youth Services Review, </w:t>
      </w:r>
      <w:r w:rsidR="00083216">
        <w:rPr>
          <w:rFonts w:asciiTheme="majorHAnsi" w:hAnsiTheme="majorHAnsi"/>
          <w:i/>
        </w:rPr>
        <w:t xml:space="preserve">52, </w:t>
      </w:r>
      <w:r w:rsidR="00083216" w:rsidRPr="00C26EB1">
        <w:rPr>
          <w:rFonts w:asciiTheme="majorHAnsi" w:hAnsiTheme="majorHAnsi"/>
        </w:rPr>
        <w:t>150-</w:t>
      </w:r>
      <w:proofErr w:type="gramStart"/>
      <w:r w:rsidR="00083216" w:rsidRPr="00C26EB1">
        <w:rPr>
          <w:rFonts w:asciiTheme="majorHAnsi" w:hAnsiTheme="majorHAnsi"/>
        </w:rPr>
        <w:t>157</w:t>
      </w:r>
      <w:r w:rsidR="00083216">
        <w:rPr>
          <w:rFonts w:asciiTheme="majorHAnsi" w:hAnsiTheme="majorHAnsi"/>
          <w:i/>
        </w:rPr>
        <w:t xml:space="preserve"> </w:t>
      </w:r>
      <w:r w:rsidRPr="000F45BD">
        <w:rPr>
          <w:rFonts w:asciiTheme="majorHAnsi" w:hAnsiTheme="majorHAnsi"/>
          <w:i/>
        </w:rPr>
        <w:t>.</w:t>
      </w:r>
      <w:proofErr w:type="gramEnd"/>
    </w:p>
    <w:p w14:paraId="6ECD6221" w14:textId="7ADB6A9B" w:rsidR="008E6BCD" w:rsidRPr="000F45BD" w:rsidRDefault="00E7359A"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Main, G. (2013</w:t>
      </w:r>
      <w:r w:rsidR="008E6BCD" w:rsidRPr="000F45BD">
        <w:rPr>
          <w:rFonts w:asciiTheme="majorHAnsi" w:hAnsiTheme="majorHAnsi"/>
        </w:rPr>
        <w:t>)</w:t>
      </w:r>
      <w:r w:rsidR="00792D99">
        <w:rPr>
          <w:rFonts w:asciiTheme="majorHAnsi" w:hAnsiTheme="majorHAnsi"/>
        </w:rPr>
        <w:t>.</w:t>
      </w:r>
      <w:r w:rsidR="008E6BCD" w:rsidRPr="000F45BD">
        <w:rPr>
          <w:rFonts w:asciiTheme="majorHAnsi" w:hAnsiTheme="majorHAnsi"/>
        </w:rPr>
        <w:t xml:space="preserve"> </w:t>
      </w:r>
      <w:r w:rsidR="008E6BCD" w:rsidRPr="00C26EB1">
        <w:rPr>
          <w:rFonts w:asciiTheme="majorHAnsi" w:hAnsiTheme="majorHAnsi"/>
          <w:i/>
        </w:rPr>
        <w:t>A child-derived material deprivation index</w:t>
      </w:r>
      <w:r w:rsidR="008E6BCD" w:rsidRPr="000F45BD">
        <w:rPr>
          <w:rFonts w:asciiTheme="majorHAnsi" w:hAnsiTheme="majorHAnsi"/>
        </w:rPr>
        <w:t>. Unpublished thesis, available online at http://etheses.whiterose.ac.uk/5516/</w:t>
      </w:r>
    </w:p>
    <w:p w14:paraId="583A7D6E" w14:textId="755FCF42" w:rsidR="00B8650E" w:rsidRPr="000F45BD" w:rsidRDefault="00B8650E"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Main, G.</w:t>
      </w:r>
      <w:r w:rsidR="00792D99">
        <w:rPr>
          <w:rFonts w:asciiTheme="majorHAnsi" w:hAnsiTheme="majorHAnsi"/>
        </w:rPr>
        <w:t>,</w:t>
      </w:r>
      <w:r w:rsidRPr="000F45BD">
        <w:rPr>
          <w:rFonts w:asciiTheme="majorHAnsi" w:hAnsiTheme="majorHAnsi"/>
        </w:rPr>
        <w:t xml:space="preserve"> &amp; Bradshaw, J. (2012)</w:t>
      </w:r>
      <w:r w:rsidR="00792D99">
        <w:rPr>
          <w:rFonts w:asciiTheme="majorHAnsi" w:hAnsiTheme="majorHAnsi"/>
        </w:rPr>
        <w:t>.</w:t>
      </w:r>
      <w:r w:rsidRPr="000F45BD">
        <w:rPr>
          <w:rFonts w:asciiTheme="majorHAnsi" w:hAnsiTheme="majorHAnsi"/>
        </w:rPr>
        <w:t xml:space="preserve"> A child material deprivation index. </w:t>
      </w:r>
      <w:r w:rsidRPr="000F45BD">
        <w:rPr>
          <w:rFonts w:asciiTheme="majorHAnsi" w:hAnsiTheme="majorHAnsi"/>
          <w:i/>
        </w:rPr>
        <w:t>Child Indicators Research, 5(3),</w:t>
      </w:r>
      <w:r w:rsidRPr="000F45BD">
        <w:rPr>
          <w:rFonts w:asciiTheme="majorHAnsi" w:hAnsiTheme="majorHAnsi"/>
        </w:rPr>
        <w:t xml:space="preserve"> 503-521.</w:t>
      </w:r>
    </w:p>
    <w:p w14:paraId="56EABF19" w14:textId="77777777" w:rsidR="00B8650E" w:rsidRPr="000F45BD" w:rsidRDefault="00B8650E"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Main, G., &amp; </w:t>
      </w:r>
      <w:proofErr w:type="spellStart"/>
      <w:r w:rsidRPr="000F45BD">
        <w:rPr>
          <w:rFonts w:asciiTheme="majorHAnsi" w:hAnsiTheme="majorHAnsi"/>
        </w:rPr>
        <w:t>Besemer</w:t>
      </w:r>
      <w:proofErr w:type="spellEnd"/>
      <w:r w:rsidRPr="000F45BD">
        <w:rPr>
          <w:rFonts w:asciiTheme="majorHAnsi" w:hAnsiTheme="majorHAnsi"/>
        </w:rPr>
        <w:t>, K. (2014). Children’s Material Living Standards in Rich Countries. In A. Ben-</w:t>
      </w:r>
      <w:proofErr w:type="spellStart"/>
      <w:r w:rsidRPr="000F45BD">
        <w:rPr>
          <w:rFonts w:asciiTheme="majorHAnsi" w:hAnsiTheme="majorHAnsi"/>
        </w:rPr>
        <w:t>Arieh</w:t>
      </w:r>
      <w:proofErr w:type="spellEnd"/>
      <w:r w:rsidRPr="000F45BD">
        <w:rPr>
          <w:rFonts w:asciiTheme="majorHAnsi" w:hAnsiTheme="majorHAnsi"/>
        </w:rPr>
        <w:t xml:space="preserve">, F. Casas, I. </w:t>
      </w:r>
      <w:proofErr w:type="spellStart"/>
      <w:r w:rsidRPr="000F45BD">
        <w:rPr>
          <w:rFonts w:asciiTheme="majorHAnsi" w:hAnsiTheme="majorHAnsi"/>
        </w:rPr>
        <w:t>Frønes</w:t>
      </w:r>
      <w:proofErr w:type="spellEnd"/>
      <w:r w:rsidRPr="000F45BD">
        <w:rPr>
          <w:rFonts w:asciiTheme="majorHAnsi" w:hAnsiTheme="majorHAnsi"/>
        </w:rPr>
        <w:t>, &amp; J. Korbin (</w:t>
      </w:r>
      <w:proofErr w:type="spellStart"/>
      <w:r w:rsidRPr="000F45BD">
        <w:rPr>
          <w:rFonts w:asciiTheme="majorHAnsi" w:hAnsiTheme="majorHAnsi"/>
        </w:rPr>
        <w:t>Eds</w:t>
      </w:r>
      <w:proofErr w:type="spellEnd"/>
      <w:r w:rsidRPr="000F45BD">
        <w:rPr>
          <w:rFonts w:asciiTheme="majorHAnsi" w:hAnsiTheme="majorHAnsi"/>
        </w:rPr>
        <w:t xml:space="preserve">). </w:t>
      </w:r>
      <w:r w:rsidRPr="000F45BD">
        <w:rPr>
          <w:rFonts w:asciiTheme="majorHAnsi" w:hAnsiTheme="majorHAnsi"/>
          <w:i/>
        </w:rPr>
        <w:t>Handbook of Child Well-Being</w:t>
      </w:r>
      <w:r w:rsidRPr="000F45BD">
        <w:rPr>
          <w:rFonts w:asciiTheme="majorHAnsi" w:hAnsiTheme="majorHAnsi"/>
        </w:rPr>
        <w:t>, (pp. 1445-1477). Springer Reference.</w:t>
      </w:r>
    </w:p>
    <w:p w14:paraId="06B20FA2" w14:textId="77777777" w:rsidR="00B262F2" w:rsidRPr="000F45BD" w:rsidRDefault="00B8650E"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lastRenderedPageBreak/>
        <w:t xml:space="preserve">Montserrat, C., </w:t>
      </w:r>
      <w:proofErr w:type="spellStart"/>
      <w:r w:rsidRPr="000F45BD">
        <w:rPr>
          <w:rFonts w:asciiTheme="majorHAnsi" w:hAnsiTheme="majorHAnsi"/>
        </w:rPr>
        <w:t>Dinisman</w:t>
      </w:r>
      <w:proofErr w:type="spellEnd"/>
      <w:r w:rsidRPr="000F45BD">
        <w:rPr>
          <w:rFonts w:asciiTheme="majorHAnsi" w:hAnsiTheme="majorHAnsi"/>
        </w:rPr>
        <w:t xml:space="preserve">, T., </w:t>
      </w:r>
      <w:proofErr w:type="spellStart"/>
      <w:r w:rsidRPr="000F45BD">
        <w:rPr>
          <w:rFonts w:asciiTheme="majorHAnsi" w:hAnsiTheme="majorHAnsi"/>
        </w:rPr>
        <w:t>Baltatescu</w:t>
      </w:r>
      <w:proofErr w:type="spellEnd"/>
      <w:r w:rsidRPr="000F45BD">
        <w:rPr>
          <w:rFonts w:asciiTheme="majorHAnsi" w:hAnsiTheme="majorHAnsi"/>
        </w:rPr>
        <w:t xml:space="preserve">, S., </w:t>
      </w:r>
      <w:proofErr w:type="spellStart"/>
      <w:r w:rsidRPr="000F45BD">
        <w:rPr>
          <w:rFonts w:asciiTheme="majorHAnsi" w:hAnsiTheme="majorHAnsi"/>
        </w:rPr>
        <w:t>Grigoras</w:t>
      </w:r>
      <w:proofErr w:type="spellEnd"/>
      <w:r w:rsidRPr="000F45BD">
        <w:rPr>
          <w:rFonts w:asciiTheme="majorHAnsi" w:hAnsiTheme="majorHAnsi"/>
        </w:rPr>
        <w:t xml:space="preserve">, B.A. &amp; Casas, F. (2015). The Effect of Critical Changes and Gender on Adolescents’ Subjective Well-Being: Comparisons </w:t>
      </w:r>
      <w:proofErr w:type="gramStart"/>
      <w:r w:rsidRPr="000F45BD">
        <w:rPr>
          <w:rFonts w:asciiTheme="majorHAnsi" w:hAnsiTheme="majorHAnsi"/>
        </w:rPr>
        <w:t>Across</w:t>
      </w:r>
      <w:proofErr w:type="gramEnd"/>
      <w:r w:rsidRPr="000F45BD">
        <w:rPr>
          <w:rFonts w:asciiTheme="majorHAnsi" w:hAnsiTheme="majorHAnsi"/>
        </w:rPr>
        <w:t xml:space="preserve"> 8 Countries. </w:t>
      </w:r>
      <w:r w:rsidRPr="000F45BD">
        <w:rPr>
          <w:rFonts w:asciiTheme="majorHAnsi" w:hAnsiTheme="majorHAnsi"/>
          <w:i/>
        </w:rPr>
        <w:t>Child Indicators Research, 8, 1</w:t>
      </w:r>
      <w:r w:rsidRPr="000F45BD">
        <w:rPr>
          <w:rFonts w:asciiTheme="majorHAnsi" w:hAnsiTheme="majorHAnsi"/>
        </w:rPr>
        <w:t>, 111–131</w:t>
      </w:r>
    </w:p>
    <w:p w14:paraId="780E5C64" w14:textId="24F2F043" w:rsidR="00B262F2" w:rsidRPr="000F45BD" w:rsidRDefault="00B262F2"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Montserrat, C., Casas, F.</w:t>
      </w:r>
      <w:r w:rsidR="00792D99">
        <w:rPr>
          <w:rFonts w:asciiTheme="majorHAnsi" w:hAnsiTheme="majorHAnsi"/>
        </w:rPr>
        <w:t>, &amp;</w:t>
      </w:r>
      <w:r w:rsidRPr="000F45BD">
        <w:rPr>
          <w:rFonts w:asciiTheme="majorHAnsi" w:hAnsiTheme="majorHAnsi"/>
        </w:rPr>
        <w:t xml:space="preserve"> Moura, J</w:t>
      </w:r>
      <w:r w:rsidR="007007FA" w:rsidRPr="000F45BD">
        <w:rPr>
          <w:rFonts w:asciiTheme="majorHAnsi" w:hAnsiTheme="majorHAnsi"/>
        </w:rPr>
        <w:t>.</w:t>
      </w:r>
      <w:r w:rsidRPr="000F45BD">
        <w:rPr>
          <w:rFonts w:asciiTheme="majorHAnsi" w:hAnsiTheme="majorHAnsi"/>
        </w:rPr>
        <w:t xml:space="preserve"> (</w:t>
      </w:r>
      <w:r w:rsidR="0077518B" w:rsidRPr="000F45BD">
        <w:rPr>
          <w:rFonts w:asciiTheme="majorHAnsi" w:hAnsiTheme="majorHAnsi"/>
        </w:rPr>
        <w:t>2015</w:t>
      </w:r>
      <w:r w:rsidRPr="000F45BD">
        <w:rPr>
          <w:rFonts w:asciiTheme="majorHAnsi" w:hAnsiTheme="majorHAnsi"/>
        </w:rPr>
        <w:t xml:space="preserve">). </w:t>
      </w:r>
      <w:r w:rsidRPr="000F45BD">
        <w:rPr>
          <w:rFonts w:asciiTheme="majorHAnsi" w:hAnsiTheme="majorHAnsi" w:cs="Times New Roman"/>
        </w:rPr>
        <w:t xml:space="preserve">Children’s subjective well-being in disadvantaged situations, In E. </w:t>
      </w:r>
      <w:proofErr w:type="spellStart"/>
      <w:r w:rsidRPr="000F45BD">
        <w:rPr>
          <w:rFonts w:asciiTheme="majorHAnsi" w:hAnsiTheme="majorHAnsi" w:cs="Times New Roman"/>
        </w:rPr>
        <w:t>Fernández</w:t>
      </w:r>
      <w:proofErr w:type="spellEnd"/>
      <w:r w:rsidRPr="000F45BD">
        <w:rPr>
          <w:rFonts w:asciiTheme="majorHAnsi" w:hAnsiTheme="majorHAnsi" w:cs="Times New Roman"/>
        </w:rPr>
        <w:t xml:space="preserve">, A. </w:t>
      </w:r>
      <w:proofErr w:type="spellStart"/>
      <w:r w:rsidRPr="000F45BD">
        <w:rPr>
          <w:rFonts w:asciiTheme="majorHAnsi" w:hAnsiTheme="majorHAnsi" w:cs="Times New Roman"/>
        </w:rPr>
        <w:t>Zeira</w:t>
      </w:r>
      <w:proofErr w:type="spellEnd"/>
      <w:r w:rsidRPr="000F45BD">
        <w:rPr>
          <w:rFonts w:asciiTheme="majorHAnsi" w:hAnsiTheme="majorHAnsi" w:cs="Times New Roman"/>
        </w:rPr>
        <w:t xml:space="preserve">, T. </w:t>
      </w:r>
      <w:proofErr w:type="spellStart"/>
      <w:r w:rsidRPr="000F45BD">
        <w:rPr>
          <w:rFonts w:asciiTheme="majorHAnsi" w:hAnsiTheme="majorHAnsi" w:cs="Times New Roman"/>
        </w:rPr>
        <w:t>Vechiatto</w:t>
      </w:r>
      <w:proofErr w:type="spellEnd"/>
      <w:r w:rsidRPr="000F45BD">
        <w:rPr>
          <w:rFonts w:asciiTheme="majorHAnsi" w:hAnsiTheme="majorHAnsi" w:cs="Times New Roman"/>
        </w:rPr>
        <w:t xml:space="preserve">, and C. </w:t>
      </w:r>
      <w:proofErr w:type="spellStart"/>
      <w:r w:rsidRPr="000F45BD">
        <w:rPr>
          <w:rFonts w:asciiTheme="majorHAnsi" w:hAnsiTheme="majorHAnsi" w:cs="Times New Roman"/>
        </w:rPr>
        <w:t>Canali</w:t>
      </w:r>
      <w:proofErr w:type="spellEnd"/>
      <w:r w:rsidR="007007FA" w:rsidRPr="000F45BD">
        <w:rPr>
          <w:rFonts w:asciiTheme="majorHAnsi" w:hAnsiTheme="majorHAnsi" w:cs="Times New Roman"/>
        </w:rPr>
        <w:t xml:space="preserve"> (</w:t>
      </w:r>
      <w:r w:rsidR="005D728E">
        <w:rPr>
          <w:rFonts w:asciiTheme="majorHAnsi" w:hAnsiTheme="majorHAnsi" w:cs="Times New Roman"/>
        </w:rPr>
        <w:t>E</w:t>
      </w:r>
      <w:r w:rsidR="007007FA" w:rsidRPr="000F45BD">
        <w:rPr>
          <w:rFonts w:asciiTheme="majorHAnsi" w:hAnsiTheme="majorHAnsi" w:cs="Times New Roman"/>
        </w:rPr>
        <w:t xml:space="preserve">ds.), </w:t>
      </w:r>
      <w:r w:rsidR="007007FA" w:rsidRPr="000F45BD">
        <w:rPr>
          <w:rFonts w:asciiTheme="majorHAnsi" w:hAnsiTheme="majorHAnsi" w:cs="Times New Roman"/>
          <w:i/>
        </w:rPr>
        <w:t>Theoretical and Empirical Insights into Child and Family Poverty</w:t>
      </w:r>
      <w:r w:rsidR="005D728E">
        <w:rPr>
          <w:rFonts w:asciiTheme="majorHAnsi" w:hAnsiTheme="majorHAnsi" w:cs="Times New Roman"/>
          <w:i/>
        </w:rPr>
        <w:t>:</w:t>
      </w:r>
      <w:r w:rsidR="005D728E" w:rsidRPr="005D728E">
        <w:rPr>
          <w:rFonts w:asciiTheme="majorHAnsi" w:hAnsiTheme="majorHAnsi"/>
          <w:i/>
        </w:rPr>
        <w:t xml:space="preserve"> </w:t>
      </w:r>
      <w:r w:rsidR="005D728E" w:rsidRPr="00317CB7">
        <w:rPr>
          <w:rFonts w:asciiTheme="majorHAnsi" w:hAnsiTheme="majorHAnsi"/>
          <w:i/>
        </w:rPr>
        <w:t>Cross national perspectives</w:t>
      </w:r>
      <w:r w:rsidR="005D728E">
        <w:rPr>
          <w:rFonts w:asciiTheme="majorHAnsi" w:hAnsiTheme="majorHAnsi"/>
          <w:i/>
        </w:rPr>
        <w:t xml:space="preserve"> </w:t>
      </w:r>
      <w:r w:rsidR="005D728E">
        <w:rPr>
          <w:rFonts w:asciiTheme="majorHAnsi" w:hAnsiTheme="majorHAnsi"/>
        </w:rPr>
        <w:t>(pp. 111</w:t>
      </w:r>
      <w:r w:rsidR="005D728E" w:rsidRPr="00317CB7">
        <w:rPr>
          <w:rFonts w:asciiTheme="majorHAnsi" w:hAnsiTheme="majorHAnsi"/>
        </w:rPr>
        <w:t>-1</w:t>
      </w:r>
      <w:r w:rsidR="005D728E">
        <w:rPr>
          <w:rFonts w:asciiTheme="majorHAnsi" w:hAnsiTheme="majorHAnsi"/>
        </w:rPr>
        <w:t>26</w:t>
      </w:r>
      <w:r w:rsidR="005D728E" w:rsidRPr="00317CB7">
        <w:rPr>
          <w:rFonts w:asciiTheme="majorHAnsi" w:hAnsiTheme="majorHAnsi"/>
        </w:rPr>
        <w:t>).</w:t>
      </w:r>
      <w:r w:rsidR="005D728E">
        <w:rPr>
          <w:rFonts w:asciiTheme="majorHAnsi" w:hAnsiTheme="majorHAnsi"/>
        </w:rPr>
        <w:t xml:space="preserve"> Dordrecht: Springer.</w:t>
      </w:r>
      <w:r w:rsidRPr="000F45BD">
        <w:rPr>
          <w:rFonts w:asciiTheme="majorHAnsi" w:hAnsiTheme="majorHAnsi" w:cs="Times New Roman"/>
        </w:rPr>
        <w:t xml:space="preserve"> </w:t>
      </w:r>
    </w:p>
    <w:p w14:paraId="38C446CF" w14:textId="455643F4" w:rsidR="00E5026E" w:rsidRPr="000F45BD" w:rsidRDefault="005D728E" w:rsidP="005D728E">
      <w:pPr>
        <w:pStyle w:val="ListParagraph"/>
        <w:numPr>
          <w:ilvl w:val="0"/>
          <w:numId w:val="2"/>
        </w:numPr>
        <w:spacing w:before="100" w:beforeAutospacing="1" w:after="100" w:afterAutospacing="1" w:line="240" w:lineRule="auto"/>
        <w:jc w:val="both"/>
        <w:rPr>
          <w:rFonts w:asciiTheme="majorHAnsi" w:hAnsiTheme="majorHAnsi"/>
        </w:rPr>
      </w:pPr>
      <w:proofErr w:type="spellStart"/>
      <w:r w:rsidRPr="005D728E">
        <w:rPr>
          <w:rFonts w:asciiTheme="majorHAnsi" w:hAnsiTheme="majorHAnsi"/>
        </w:rPr>
        <w:t>Helliwell</w:t>
      </w:r>
      <w:proofErr w:type="spellEnd"/>
      <w:r w:rsidRPr="005D728E">
        <w:rPr>
          <w:rFonts w:asciiTheme="majorHAnsi" w:hAnsiTheme="majorHAnsi"/>
        </w:rPr>
        <w:t xml:space="preserve">, John F., Layard, R., &amp; Sachs, J. (Eds.) </w:t>
      </w:r>
      <w:r>
        <w:rPr>
          <w:rFonts w:asciiTheme="majorHAnsi" w:hAnsiTheme="majorHAnsi"/>
        </w:rPr>
        <w:t>(</w:t>
      </w:r>
      <w:r w:rsidRPr="005D728E">
        <w:rPr>
          <w:rFonts w:asciiTheme="majorHAnsi" w:hAnsiTheme="majorHAnsi"/>
        </w:rPr>
        <w:t>2015</w:t>
      </w:r>
      <w:r>
        <w:rPr>
          <w:rFonts w:asciiTheme="majorHAnsi" w:hAnsiTheme="majorHAnsi"/>
        </w:rPr>
        <w:t>)</w:t>
      </w:r>
      <w:r w:rsidRPr="005D728E">
        <w:rPr>
          <w:rFonts w:asciiTheme="majorHAnsi" w:hAnsiTheme="majorHAnsi"/>
        </w:rPr>
        <w:t xml:space="preserve">. </w:t>
      </w:r>
      <w:r w:rsidRPr="00C26EB1">
        <w:rPr>
          <w:rFonts w:asciiTheme="majorHAnsi" w:hAnsiTheme="majorHAnsi"/>
          <w:i/>
        </w:rPr>
        <w:t xml:space="preserve">World Happiness Report 2015. </w:t>
      </w:r>
      <w:r w:rsidRPr="005D728E">
        <w:rPr>
          <w:rFonts w:asciiTheme="majorHAnsi" w:hAnsiTheme="majorHAnsi"/>
        </w:rPr>
        <w:t>New York: Sustainable Development Solutions Network</w:t>
      </w:r>
      <w:r>
        <w:rPr>
          <w:rFonts w:asciiTheme="majorHAnsi" w:hAnsiTheme="majorHAnsi"/>
        </w:rPr>
        <w:t xml:space="preserve"> </w:t>
      </w:r>
    </w:p>
    <w:p w14:paraId="4C9A3AE2" w14:textId="77777777" w:rsidR="00C26BA0" w:rsidRPr="000F45BD" w:rsidRDefault="00C26BA0"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Rees, G., </w:t>
      </w:r>
      <w:proofErr w:type="spellStart"/>
      <w:r w:rsidRPr="000F45BD">
        <w:rPr>
          <w:rFonts w:asciiTheme="majorHAnsi" w:hAnsiTheme="majorHAnsi"/>
        </w:rPr>
        <w:t>Goswami</w:t>
      </w:r>
      <w:proofErr w:type="spellEnd"/>
      <w:r w:rsidRPr="000F45BD">
        <w:rPr>
          <w:rFonts w:asciiTheme="majorHAnsi" w:hAnsiTheme="majorHAnsi"/>
        </w:rPr>
        <w:t xml:space="preserve">, H., </w:t>
      </w:r>
      <w:proofErr w:type="spellStart"/>
      <w:r w:rsidRPr="000F45BD">
        <w:rPr>
          <w:rFonts w:asciiTheme="majorHAnsi" w:hAnsiTheme="majorHAnsi"/>
        </w:rPr>
        <w:t>Pople</w:t>
      </w:r>
      <w:proofErr w:type="spellEnd"/>
      <w:r w:rsidRPr="000F45BD">
        <w:rPr>
          <w:rFonts w:asciiTheme="majorHAnsi" w:hAnsiTheme="majorHAnsi"/>
        </w:rPr>
        <w:t xml:space="preserve">, L., Bradshaw, J., Keung, A., &amp; Main, G. (2012). </w:t>
      </w:r>
      <w:r w:rsidRPr="000F45BD">
        <w:rPr>
          <w:rFonts w:asciiTheme="majorHAnsi" w:hAnsiTheme="majorHAnsi"/>
          <w:i/>
        </w:rPr>
        <w:t>The good childhood report.</w:t>
      </w:r>
      <w:r w:rsidRPr="000F45BD">
        <w:rPr>
          <w:rFonts w:asciiTheme="majorHAnsi" w:hAnsiTheme="majorHAnsi"/>
        </w:rPr>
        <w:t xml:space="preserve"> England: The Children's Society and University of York.</w:t>
      </w:r>
    </w:p>
    <w:p w14:paraId="5B62A0A3" w14:textId="1523DA76" w:rsidR="002046F6" w:rsidRPr="000F45BD" w:rsidRDefault="002046F6"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Rees, G.</w:t>
      </w:r>
      <w:r w:rsidR="00153250">
        <w:rPr>
          <w:rFonts w:asciiTheme="majorHAnsi" w:hAnsiTheme="majorHAnsi"/>
        </w:rPr>
        <w:t>,</w:t>
      </w:r>
      <w:r w:rsidRPr="000F45BD">
        <w:rPr>
          <w:rFonts w:asciiTheme="majorHAnsi" w:hAnsiTheme="majorHAnsi"/>
        </w:rPr>
        <w:t xml:space="preserve"> &amp; Main, G. (</w:t>
      </w:r>
      <w:proofErr w:type="spellStart"/>
      <w:r w:rsidR="00153250">
        <w:rPr>
          <w:rFonts w:asciiTheme="majorHAnsi" w:hAnsiTheme="majorHAnsi"/>
        </w:rPr>
        <w:t>E</w:t>
      </w:r>
      <w:r w:rsidRPr="000F45BD">
        <w:rPr>
          <w:rFonts w:asciiTheme="majorHAnsi" w:hAnsiTheme="majorHAnsi"/>
        </w:rPr>
        <w:t>ds</w:t>
      </w:r>
      <w:proofErr w:type="spellEnd"/>
      <w:r w:rsidRPr="000F45BD">
        <w:rPr>
          <w:rFonts w:asciiTheme="majorHAnsi" w:hAnsiTheme="majorHAnsi"/>
        </w:rPr>
        <w:t xml:space="preserve">) (2015) </w:t>
      </w:r>
      <w:r w:rsidRPr="000F45BD">
        <w:rPr>
          <w:rFonts w:asciiTheme="majorHAnsi" w:hAnsiTheme="majorHAnsi"/>
          <w:i/>
          <w:iCs/>
        </w:rPr>
        <w:t>Children’s views on their lives and well-being in 15 countries: An initial report on the Children’s Worlds survey, 2013-14</w:t>
      </w:r>
      <w:r w:rsidRPr="000F45BD">
        <w:rPr>
          <w:rFonts w:asciiTheme="majorHAnsi" w:hAnsiTheme="majorHAnsi"/>
        </w:rPr>
        <w:t>. York, UK: Children’s Worlds Project</w:t>
      </w:r>
      <w:r w:rsidR="00153250">
        <w:rPr>
          <w:rFonts w:asciiTheme="majorHAnsi" w:hAnsiTheme="majorHAnsi"/>
        </w:rPr>
        <w:t xml:space="preserve"> </w:t>
      </w:r>
      <w:r w:rsidRPr="000F45BD">
        <w:rPr>
          <w:rFonts w:asciiTheme="majorHAnsi" w:hAnsiTheme="majorHAnsi"/>
        </w:rPr>
        <w:t>(</w:t>
      </w:r>
      <w:proofErr w:type="spellStart"/>
      <w:r w:rsidRPr="000F45BD">
        <w:rPr>
          <w:rFonts w:asciiTheme="majorHAnsi" w:hAnsiTheme="majorHAnsi"/>
        </w:rPr>
        <w:t>ISCWeB</w:t>
      </w:r>
      <w:proofErr w:type="spellEnd"/>
      <w:r w:rsidRPr="000F45BD">
        <w:rPr>
          <w:rFonts w:asciiTheme="majorHAnsi" w:hAnsiTheme="majorHAnsi"/>
        </w:rPr>
        <w:t>)</w:t>
      </w:r>
    </w:p>
    <w:p w14:paraId="1F0F028E" w14:textId="2A470472" w:rsidR="00F128F4" w:rsidRPr="000F45BD" w:rsidRDefault="00F128F4" w:rsidP="00D4634E">
      <w:pPr>
        <w:pStyle w:val="ListParagraph"/>
        <w:numPr>
          <w:ilvl w:val="0"/>
          <w:numId w:val="2"/>
        </w:numPr>
        <w:autoSpaceDE w:val="0"/>
        <w:autoSpaceDN w:val="0"/>
        <w:adjustRightInd w:val="0"/>
        <w:spacing w:before="100" w:beforeAutospacing="1" w:after="100" w:afterAutospacing="1" w:line="240" w:lineRule="auto"/>
        <w:ind w:left="357" w:hanging="357"/>
        <w:jc w:val="both"/>
        <w:rPr>
          <w:rFonts w:asciiTheme="majorHAnsi" w:hAnsiTheme="majorHAnsi"/>
        </w:rPr>
      </w:pPr>
      <w:r w:rsidRPr="000F45BD">
        <w:rPr>
          <w:rFonts w:asciiTheme="majorHAnsi" w:hAnsiTheme="majorHAnsi"/>
        </w:rPr>
        <w:t>The Children's Society (2014)</w:t>
      </w:r>
      <w:r w:rsidR="00153250">
        <w:rPr>
          <w:rFonts w:asciiTheme="majorHAnsi" w:hAnsiTheme="majorHAnsi"/>
        </w:rPr>
        <w:t>.</w:t>
      </w:r>
      <w:r w:rsidRPr="000F45BD">
        <w:rPr>
          <w:rFonts w:asciiTheme="majorHAnsi" w:hAnsiTheme="majorHAnsi"/>
        </w:rPr>
        <w:t xml:space="preserve"> </w:t>
      </w:r>
      <w:r w:rsidRPr="00C26EB1">
        <w:rPr>
          <w:rFonts w:asciiTheme="majorHAnsi" w:hAnsiTheme="majorHAnsi"/>
          <w:i/>
        </w:rPr>
        <w:t>The Good Childhood Report 2014</w:t>
      </w:r>
      <w:r w:rsidRPr="000F45BD">
        <w:rPr>
          <w:rFonts w:asciiTheme="majorHAnsi" w:hAnsiTheme="majorHAnsi"/>
        </w:rPr>
        <w:t xml:space="preserve">. London: The Children's Society </w:t>
      </w:r>
    </w:p>
    <w:p w14:paraId="3262528B" w14:textId="77777777" w:rsidR="008E141B" w:rsidRPr="000F45BD" w:rsidRDefault="008172C2"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 xml:space="preserve">UNICEF (2007). </w:t>
      </w:r>
      <w:r w:rsidRPr="000F45BD">
        <w:rPr>
          <w:rFonts w:asciiTheme="majorHAnsi" w:hAnsiTheme="majorHAnsi"/>
          <w:i/>
        </w:rPr>
        <w:t>Child poverty in perspective: An overview of child well-being in rich countries,</w:t>
      </w:r>
      <w:r w:rsidRPr="000F45BD">
        <w:rPr>
          <w:rFonts w:asciiTheme="majorHAnsi" w:hAnsiTheme="majorHAnsi"/>
        </w:rPr>
        <w:t xml:space="preserve"> </w:t>
      </w:r>
      <w:proofErr w:type="spellStart"/>
      <w:r w:rsidRPr="000F45BD">
        <w:rPr>
          <w:rFonts w:asciiTheme="majorHAnsi" w:hAnsiTheme="majorHAnsi"/>
        </w:rPr>
        <w:t>Innocenti</w:t>
      </w:r>
      <w:proofErr w:type="spellEnd"/>
      <w:r w:rsidRPr="000F45BD">
        <w:rPr>
          <w:rFonts w:asciiTheme="majorHAnsi" w:hAnsiTheme="majorHAnsi"/>
        </w:rPr>
        <w:t xml:space="preserve"> Report Card 7. Florence, Italy: UNICEF, </w:t>
      </w:r>
      <w:proofErr w:type="spellStart"/>
      <w:r w:rsidRPr="000F45BD">
        <w:rPr>
          <w:rFonts w:asciiTheme="majorHAnsi" w:hAnsiTheme="majorHAnsi"/>
        </w:rPr>
        <w:t>Innocenti</w:t>
      </w:r>
      <w:proofErr w:type="spellEnd"/>
      <w:r w:rsidRPr="000F45BD">
        <w:rPr>
          <w:rFonts w:asciiTheme="majorHAnsi" w:hAnsiTheme="majorHAnsi"/>
        </w:rPr>
        <w:t xml:space="preserve"> Research Centre.</w:t>
      </w:r>
    </w:p>
    <w:p w14:paraId="010568AE" w14:textId="01824C41" w:rsidR="008E141B" w:rsidRPr="000F45BD" w:rsidRDefault="008E141B" w:rsidP="00D4634E">
      <w:pPr>
        <w:pStyle w:val="ListParagraph"/>
        <w:numPr>
          <w:ilvl w:val="0"/>
          <w:numId w:val="2"/>
        </w:numPr>
        <w:spacing w:before="100" w:beforeAutospacing="1" w:after="100" w:afterAutospacing="1" w:line="240" w:lineRule="auto"/>
        <w:jc w:val="both"/>
        <w:rPr>
          <w:rFonts w:asciiTheme="majorHAnsi" w:hAnsiTheme="majorHAnsi"/>
        </w:rPr>
      </w:pPr>
      <w:r w:rsidRPr="000F45BD">
        <w:rPr>
          <w:rFonts w:asciiTheme="majorHAnsi" w:hAnsiTheme="majorHAnsi"/>
        </w:rPr>
        <w:t>UNICEF (2014)</w:t>
      </w:r>
      <w:r w:rsidR="00153250">
        <w:rPr>
          <w:rFonts w:asciiTheme="majorHAnsi" w:hAnsiTheme="majorHAnsi"/>
        </w:rPr>
        <w:t>.</w:t>
      </w:r>
      <w:r w:rsidRPr="000F45BD">
        <w:rPr>
          <w:rFonts w:asciiTheme="majorHAnsi" w:hAnsiTheme="majorHAnsi"/>
        </w:rPr>
        <w:t xml:space="preserve"> </w:t>
      </w:r>
      <w:r w:rsidRPr="000F45BD">
        <w:rPr>
          <w:rFonts w:asciiTheme="majorHAnsi" w:hAnsiTheme="majorHAnsi"/>
          <w:i/>
        </w:rPr>
        <w:t>Children of the Recession: The impact of the economic crisis on child well-being in rich countries</w:t>
      </w:r>
      <w:r w:rsidRPr="000F45BD">
        <w:rPr>
          <w:rFonts w:asciiTheme="majorHAnsi" w:hAnsiTheme="majorHAnsi"/>
        </w:rPr>
        <w:t xml:space="preserve">, </w:t>
      </w:r>
      <w:proofErr w:type="spellStart"/>
      <w:r w:rsidRPr="000F45BD">
        <w:rPr>
          <w:rFonts w:asciiTheme="majorHAnsi" w:hAnsiTheme="majorHAnsi"/>
        </w:rPr>
        <w:t>Innocenti</w:t>
      </w:r>
      <w:proofErr w:type="spellEnd"/>
      <w:r w:rsidRPr="000F45BD">
        <w:rPr>
          <w:rFonts w:asciiTheme="majorHAnsi" w:hAnsiTheme="majorHAnsi"/>
        </w:rPr>
        <w:t xml:space="preserve"> Report Card 12</w:t>
      </w:r>
      <w:r w:rsidR="00357B6D" w:rsidRPr="000F45BD">
        <w:rPr>
          <w:rFonts w:asciiTheme="majorHAnsi" w:hAnsiTheme="majorHAnsi"/>
        </w:rPr>
        <w:t>.</w:t>
      </w:r>
      <w:r w:rsidRPr="000F45BD">
        <w:rPr>
          <w:rFonts w:asciiTheme="majorHAnsi" w:hAnsiTheme="majorHAnsi"/>
        </w:rPr>
        <w:t xml:space="preserve"> </w:t>
      </w:r>
      <w:r w:rsidR="00357B6D" w:rsidRPr="000F45BD">
        <w:rPr>
          <w:rFonts w:asciiTheme="majorHAnsi" w:hAnsiTheme="majorHAnsi"/>
        </w:rPr>
        <w:t xml:space="preserve">Florence, Italy: UNICEF, </w:t>
      </w:r>
      <w:proofErr w:type="spellStart"/>
      <w:r w:rsidR="00357B6D" w:rsidRPr="000F45BD">
        <w:rPr>
          <w:rFonts w:asciiTheme="majorHAnsi" w:hAnsiTheme="majorHAnsi"/>
        </w:rPr>
        <w:t>Innocenti</w:t>
      </w:r>
      <w:proofErr w:type="spellEnd"/>
      <w:r w:rsidR="00357B6D" w:rsidRPr="000F45BD">
        <w:rPr>
          <w:rFonts w:asciiTheme="majorHAnsi" w:hAnsiTheme="majorHAnsi"/>
        </w:rPr>
        <w:t xml:space="preserve"> Research Centre</w:t>
      </w:r>
    </w:p>
    <w:p w14:paraId="613D69B9" w14:textId="1E4A9B81" w:rsidR="007477BB" w:rsidRPr="00EB3EB7" w:rsidRDefault="005F1917" w:rsidP="00D4634E">
      <w:pPr>
        <w:pStyle w:val="ListParagraph"/>
        <w:numPr>
          <w:ilvl w:val="0"/>
          <w:numId w:val="2"/>
        </w:numPr>
        <w:spacing w:before="100" w:beforeAutospacing="1" w:after="100" w:afterAutospacing="1" w:line="240" w:lineRule="auto"/>
        <w:jc w:val="both"/>
        <w:rPr>
          <w:rFonts w:asciiTheme="majorHAnsi" w:hAnsiTheme="majorHAnsi"/>
        </w:rPr>
      </w:pPr>
      <w:r w:rsidRPr="00EB3EB7">
        <w:rPr>
          <w:rFonts w:asciiTheme="majorHAnsi" w:hAnsiTheme="majorHAnsi"/>
        </w:rPr>
        <w:t>World Vision (2013).</w:t>
      </w:r>
      <w:r w:rsidR="00EB3EB7" w:rsidRPr="00EB3EB7">
        <w:rPr>
          <w:rFonts w:asciiTheme="majorHAnsi" w:hAnsiTheme="majorHAnsi"/>
        </w:rPr>
        <w:t xml:space="preserve"> </w:t>
      </w:r>
      <w:proofErr w:type="spellStart"/>
      <w:r w:rsidRPr="00EB3EB7">
        <w:rPr>
          <w:rFonts w:asciiTheme="majorHAnsi" w:hAnsiTheme="majorHAnsi"/>
          <w:i/>
        </w:rPr>
        <w:t>Wie</w:t>
      </w:r>
      <w:proofErr w:type="spellEnd"/>
      <w:r w:rsidRPr="00EB3EB7">
        <w:rPr>
          <w:rFonts w:asciiTheme="majorHAnsi" w:hAnsiTheme="majorHAnsi"/>
          <w:i/>
        </w:rPr>
        <w:t xml:space="preserve"> </w:t>
      </w:r>
      <w:proofErr w:type="spellStart"/>
      <w:r w:rsidRPr="00EB3EB7">
        <w:rPr>
          <w:rFonts w:asciiTheme="majorHAnsi" w:hAnsiTheme="majorHAnsi"/>
          <w:i/>
        </w:rPr>
        <w:t>gerecht</w:t>
      </w:r>
      <w:proofErr w:type="spellEnd"/>
      <w:r w:rsidRPr="00EB3EB7">
        <w:rPr>
          <w:rFonts w:asciiTheme="majorHAnsi" w:hAnsiTheme="majorHAnsi"/>
          <w:i/>
        </w:rPr>
        <w:t xml:space="preserve"> </w:t>
      </w:r>
      <w:proofErr w:type="spellStart"/>
      <w:proofErr w:type="gramStart"/>
      <w:r w:rsidRPr="00EB3EB7">
        <w:rPr>
          <w:rFonts w:asciiTheme="majorHAnsi" w:hAnsiTheme="majorHAnsi"/>
          <w:i/>
        </w:rPr>
        <w:t>ist</w:t>
      </w:r>
      <w:proofErr w:type="spellEnd"/>
      <w:proofErr w:type="gramEnd"/>
      <w:r w:rsidRPr="00EB3EB7">
        <w:rPr>
          <w:rFonts w:asciiTheme="majorHAnsi" w:hAnsiTheme="majorHAnsi"/>
          <w:i/>
        </w:rPr>
        <w:t xml:space="preserve"> </w:t>
      </w:r>
      <w:proofErr w:type="spellStart"/>
      <w:r w:rsidRPr="00EB3EB7">
        <w:rPr>
          <w:rFonts w:asciiTheme="majorHAnsi" w:hAnsiTheme="majorHAnsi"/>
          <w:i/>
        </w:rPr>
        <w:t>unsere</w:t>
      </w:r>
      <w:proofErr w:type="spellEnd"/>
      <w:r w:rsidRPr="00EB3EB7">
        <w:rPr>
          <w:rFonts w:asciiTheme="majorHAnsi" w:hAnsiTheme="majorHAnsi"/>
          <w:i/>
        </w:rPr>
        <w:t xml:space="preserve"> Welt? Kinder in Deutschland 2013</w:t>
      </w:r>
      <w:r w:rsidR="00EB3EB7" w:rsidRPr="00EB3EB7">
        <w:rPr>
          <w:rFonts w:asciiTheme="majorHAnsi" w:hAnsiTheme="majorHAnsi"/>
          <w:i/>
        </w:rPr>
        <w:t xml:space="preserve"> (Vol. </w:t>
      </w:r>
      <w:r w:rsidRPr="00EB3EB7">
        <w:rPr>
          <w:rFonts w:asciiTheme="majorHAnsi" w:hAnsiTheme="majorHAnsi"/>
          <w:i/>
        </w:rPr>
        <w:t>3</w:t>
      </w:r>
      <w:r w:rsidR="00EB3EB7" w:rsidRPr="00EB3EB7">
        <w:rPr>
          <w:rFonts w:asciiTheme="majorHAnsi" w:hAnsiTheme="majorHAnsi"/>
          <w:i/>
        </w:rPr>
        <w:t>)</w:t>
      </w:r>
      <w:r w:rsidRPr="00EB3EB7">
        <w:rPr>
          <w:rFonts w:asciiTheme="majorHAnsi" w:hAnsiTheme="majorHAnsi"/>
          <w:i/>
        </w:rPr>
        <w:t xml:space="preserve">. </w:t>
      </w:r>
      <w:r w:rsidRPr="00EB3EB7">
        <w:rPr>
          <w:rFonts w:asciiTheme="majorHAnsi" w:hAnsiTheme="majorHAnsi"/>
        </w:rPr>
        <w:t xml:space="preserve"> </w:t>
      </w:r>
      <w:proofErr w:type="spellStart"/>
      <w:r w:rsidRPr="00EB3EB7">
        <w:rPr>
          <w:rFonts w:asciiTheme="majorHAnsi" w:hAnsiTheme="majorHAnsi"/>
        </w:rPr>
        <w:t>Weinheim</w:t>
      </w:r>
      <w:proofErr w:type="spellEnd"/>
      <w:r w:rsidR="00EB3EB7" w:rsidRPr="00EB3EB7">
        <w:rPr>
          <w:rFonts w:asciiTheme="majorHAnsi" w:hAnsiTheme="majorHAnsi"/>
        </w:rPr>
        <w:t xml:space="preserve">: </w:t>
      </w:r>
      <w:proofErr w:type="spellStart"/>
      <w:r w:rsidR="00EB3EB7" w:rsidRPr="00EB3EB7">
        <w:rPr>
          <w:rFonts w:asciiTheme="majorHAnsi" w:hAnsiTheme="majorHAnsi"/>
        </w:rPr>
        <w:t>Worl</w:t>
      </w:r>
      <w:proofErr w:type="spellEnd"/>
      <w:r w:rsidR="00EB3EB7" w:rsidRPr="00EB3EB7">
        <w:rPr>
          <w:rFonts w:asciiTheme="majorHAnsi" w:hAnsiTheme="majorHAnsi"/>
        </w:rPr>
        <w:t xml:space="preserve"> Vision </w:t>
      </w:r>
      <w:proofErr w:type="spellStart"/>
      <w:r w:rsidR="00EB3EB7" w:rsidRPr="00EB3EB7">
        <w:rPr>
          <w:rFonts w:asciiTheme="majorHAnsi" w:hAnsiTheme="majorHAnsi"/>
        </w:rPr>
        <w:t>Kinderstudie</w:t>
      </w:r>
      <w:proofErr w:type="spellEnd"/>
      <w:r w:rsidR="00EB3EB7" w:rsidRPr="00EB3EB7">
        <w:rPr>
          <w:rFonts w:asciiTheme="majorHAnsi" w:hAnsiTheme="majorHAnsi"/>
        </w:rPr>
        <w:t>.</w:t>
      </w:r>
    </w:p>
    <w:p w14:paraId="71C2692A" w14:textId="2F3C588A" w:rsidR="007477BB" w:rsidRPr="000F45BD" w:rsidRDefault="007477BB" w:rsidP="00D4634E">
      <w:pPr>
        <w:pStyle w:val="ListParagraph"/>
        <w:numPr>
          <w:ilvl w:val="0"/>
          <w:numId w:val="2"/>
        </w:numPr>
        <w:spacing w:before="100" w:beforeAutospacing="1" w:after="100" w:afterAutospacing="1" w:line="240" w:lineRule="auto"/>
        <w:jc w:val="both"/>
        <w:rPr>
          <w:rFonts w:asciiTheme="majorHAnsi" w:hAnsiTheme="majorHAnsi"/>
        </w:rPr>
      </w:pPr>
      <w:proofErr w:type="spellStart"/>
      <w:r w:rsidRPr="00EB3EB7">
        <w:rPr>
          <w:rFonts w:asciiTheme="majorHAnsi" w:hAnsiTheme="majorHAnsi"/>
        </w:rPr>
        <w:t>Nunnally</w:t>
      </w:r>
      <w:proofErr w:type="spellEnd"/>
      <w:r w:rsidR="00153250" w:rsidRPr="00EB3EB7">
        <w:rPr>
          <w:rFonts w:asciiTheme="majorHAnsi" w:hAnsiTheme="majorHAnsi"/>
        </w:rPr>
        <w:t>,</w:t>
      </w:r>
      <w:r w:rsidRPr="00EB3EB7">
        <w:rPr>
          <w:rFonts w:asciiTheme="majorHAnsi" w:hAnsiTheme="majorHAnsi"/>
        </w:rPr>
        <w:t xml:space="preserve"> J</w:t>
      </w:r>
      <w:r w:rsidR="00153250" w:rsidRPr="00EB3EB7">
        <w:rPr>
          <w:rFonts w:asciiTheme="majorHAnsi" w:hAnsiTheme="majorHAnsi"/>
        </w:rPr>
        <w:t>.</w:t>
      </w:r>
      <w:r w:rsidRPr="00EB3EB7">
        <w:rPr>
          <w:rFonts w:asciiTheme="majorHAnsi" w:hAnsiTheme="majorHAnsi"/>
        </w:rPr>
        <w:t xml:space="preserve">, </w:t>
      </w:r>
      <w:r w:rsidR="00153250" w:rsidRPr="00EB3EB7">
        <w:rPr>
          <w:rFonts w:asciiTheme="majorHAnsi" w:hAnsiTheme="majorHAnsi"/>
        </w:rPr>
        <w:t xml:space="preserve">&amp; </w:t>
      </w:r>
      <w:r w:rsidRPr="00EB3EB7">
        <w:rPr>
          <w:rFonts w:asciiTheme="majorHAnsi" w:hAnsiTheme="majorHAnsi"/>
        </w:rPr>
        <w:t>Bernstein</w:t>
      </w:r>
      <w:r w:rsidR="00153250">
        <w:rPr>
          <w:rFonts w:asciiTheme="majorHAnsi" w:hAnsiTheme="majorHAnsi"/>
        </w:rPr>
        <w:t>,</w:t>
      </w:r>
      <w:r w:rsidRPr="000F45BD">
        <w:rPr>
          <w:rFonts w:asciiTheme="majorHAnsi" w:hAnsiTheme="majorHAnsi"/>
        </w:rPr>
        <w:t xml:space="preserve"> L.</w:t>
      </w:r>
      <w:r w:rsidR="00153250">
        <w:rPr>
          <w:rFonts w:asciiTheme="majorHAnsi" w:hAnsiTheme="majorHAnsi"/>
        </w:rPr>
        <w:t xml:space="preserve"> (1994).</w:t>
      </w:r>
      <w:r w:rsidRPr="000F45BD">
        <w:rPr>
          <w:rFonts w:asciiTheme="majorHAnsi" w:hAnsiTheme="majorHAnsi"/>
        </w:rPr>
        <w:t xml:space="preserve"> </w:t>
      </w:r>
      <w:r w:rsidRPr="00C26EB1">
        <w:rPr>
          <w:rFonts w:asciiTheme="majorHAnsi" w:hAnsiTheme="majorHAnsi"/>
          <w:i/>
        </w:rPr>
        <w:t>Psychometric theory</w:t>
      </w:r>
      <w:r w:rsidRPr="000F45BD">
        <w:rPr>
          <w:rFonts w:asciiTheme="majorHAnsi" w:hAnsiTheme="majorHAnsi"/>
        </w:rPr>
        <w:t>. New York: McGraw-Hill Higher, INC</w:t>
      </w:r>
    </w:p>
    <w:p w14:paraId="63CA4037" w14:textId="62E2E30D" w:rsidR="007477BB" w:rsidRPr="000F45BD" w:rsidRDefault="007477BB" w:rsidP="00D4634E">
      <w:pPr>
        <w:pStyle w:val="ListParagraph"/>
        <w:numPr>
          <w:ilvl w:val="0"/>
          <w:numId w:val="2"/>
        </w:numPr>
        <w:spacing w:before="100" w:beforeAutospacing="1" w:after="100" w:afterAutospacing="1" w:line="240" w:lineRule="auto"/>
        <w:jc w:val="both"/>
        <w:rPr>
          <w:rFonts w:asciiTheme="majorHAnsi" w:hAnsiTheme="majorHAnsi"/>
        </w:rPr>
      </w:pPr>
      <w:proofErr w:type="spellStart"/>
      <w:r w:rsidRPr="000F45BD">
        <w:rPr>
          <w:rFonts w:asciiTheme="majorHAnsi" w:hAnsiTheme="majorHAnsi"/>
        </w:rPr>
        <w:t>Tavakol</w:t>
      </w:r>
      <w:proofErr w:type="spellEnd"/>
      <w:r w:rsidRPr="000F45BD">
        <w:rPr>
          <w:rFonts w:asciiTheme="majorHAnsi" w:hAnsiTheme="majorHAnsi"/>
        </w:rPr>
        <w:t>, M.</w:t>
      </w:r>
      <w:r w:rsidR="00153250">
        <w:rPr>
          <w:rFonts w:asciiTheme="majorHAnsi" w:hAnsiTheme="majorHAnsi"/>
        </w:rPr>
        <w:t>, &amp;</w:t>
      </w:r>
      <w:r w:rsidRPr="000F45BD">
        <w:rPr>
          <w:rFonts w:asciiTheme="majorHAnsi" w:hAnsiTheme="majorHAnsi"/>
        </w:rPr>
        <w:t xml:space="preserve"> </w:t>
      </w:r>
      <w:proofErr w:type="spellStart"/>
      <w:r w:rsidRPr="000F45BD">
        <w:rPr>
          <w:rFonts w:asciiTheme="majorHAnsi" w:hAnsiTheme="majorHAnsi"/>
        </w:rPr>
        <w:t>Dennick</w:t>
      </w:r>
      <w:proofErr w:type="spellEnd"/>
      <w:r w:rsidRPr="000F45BD">
        <w:rPr>
          <w:rFonts w:asciiTheme="majorHAnsi" w:hAnsiTheme="majorHAnsi"/>
        </w:rPr>
        <w:t>, R. (2011)</w:t>
      </w:r>
      <w:r w:rsidR="00153250">
        <w:rPr>
          <w:rFonts w:asciiTheme="majorHAnsi" w:hAnsiTheme="majorHAnsi"/>
        </w:rPr>
        <w:t>.</w:t>
      </w:r>
      <w:r w:rsidRPr="000F45BD">
        <w:rPr>
          <w:rFonts w:asciiTheme="majorHAnsi" w:hAnsiTheme="majorHAnsi"/>
        </w:rPr>
        <w:t xml:space="preserve"> Making sense of Cronbach’s Alpha. </w:t>
      </w:r>
      <w:r w:rsidR="00153250">
        <w:rPr>
          <w:rFonts w:asciiTheme="majorHAnsi" w:hAnsiTheme="majorHAnsi"/>
        </w:rPr>
        <w:t xml:space="preserve"> </w:t>
      </w:r>
      <w:r w:rsidRPr="000F45BD">
        <w:rPr>
          <w:rFonts w:asciiTheme="majorHAnsi" w:hAnsiTheme="majorHAnsi"/>
          <w:i/>
        </w:rPr>
        <w:t>International Journal of Medical Education</w:t>
      </w:r>
      <w:r w:rsidR="00153250">
        <w:rPr>
          <w:rFonts w:asciiTheme="majorHAnsi" w:hAnsiTheme="majorHAnsi"/>
          <w:i/>
        </w:rPr>
        <w:t>, 2</w:t>
      </w:r>
      <w:r w:rsidR="00153250">
        <w:rPr>
          <w:rFonts w:asciiTheme="majorHAnsi" w:hAnsiTheme="majorHAnsi"/>
        </w:rPr>
        <w:t xml:space="preserve">, </w:t>
      </w:r>
      <w:r w:rsidRPr="000F45BD">
        <w:rPr>
          <w:rFonts w:asciiTheme="majorHAnsi" w:hAnsiTheme="majorHAnsi"/>
        </w:rPr>
        <w:t>53-55.</w:t>
      </w:r>
    </w:p>
    <w:p w14:paraId="6E679684" w14:textId="77777777" w:rsidR="007477BB" w:rsidRPr="000F45BD" w:rsidRDefault="007477BB" w:rsidP="00D4634E">
      <w:pPr>
        <w:spacing w:before="100" w:beforeAutospacing="1" w:after="100" w:afterAutospacing="1" w:line="240" w:lineRule="auto"/>
        <w:jc w:val="both"/>
        <w:rPr>
          <w:rFonts w:asciiTheme="majorHAnsi" w:hAnsiTheme="majorHAnsi"/>
        </w:rPr>
      </w:pPr>
    </w:p>
    <w:sectPr w:rsidR="007477BB" w:rsidRPr="000F45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BB4DE" w14:textId="77777777" w:rsidR="00BC43FD" w:rsidRDefault="00BC43FD" w:rsidP="005368E2">
      <w:pPr>
        <w:spacing w:after="0" w:line="240" w:lineRule="auto"/>
      </w:pPr>
      <w:r>
        <w:separator/>
      </w:r>
    </w:p>
  </w:endnote>
  <w:endnote w:type="continuationSeparator" w:id="0">
    <w:p w14:paraId="2BCC8F29" w14:textId="77777777" w:rsidR="00BC43FD" w:rsidRDefault="00BC43FD" w:rsidP="0053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dvP6975">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6AD09" w14:textId="77777777" w:rsidR="00BC43FD" w:rsidRDefault="00BC43FD" w:rsidP="005368E2">
      <w:pPr>
        <w:spacing w:after="0" w:line="240" w:lineRule="auto"/>
      </w:pPr>
      <w:r>
        <w:separator/>
      </w:r>
    </w:p>
  </w:footnote>
  <w:footnote w:type="continuationSeparator" w:id="0">
    <w:p w14:paraId="5F43F016" w14:textId="77777777" w:rsidR="00BC43FD" w:rsidRDefault="00BC43FD" w:rsidP="005368E2">
      <w:pPr>
        <w:spacing w:after="0" w:line="240" w:lineRule="auto"/>
      </w:pPr>
      <w:r>
        <w:continuationSeparator/>
      </w:r>
    </w:p>
  </w:footnote>
  <w:footnote w:id="1">
    <w:p w14:paraId="632D5C00" w14:textId="61424EF1" w:rsidR="00E2496E" w:rsidRPr="00371071" w:rsidRDefault="00E2496E" w:rsidP="00371071">
      <w:pPr>
        <w:pStyle w:val="FootnoteText"/>
      </w:pPr>
      <w:r w:rsidRPr="00371071">
        <w:rPr>
          <w:rStyle w:val="FootnoteReference"/>
          <w:rFonts w:asciiTheme="majorHAnsi" w:hAnsiTheme="majorHAnsi"/>
        </w:rPr>
        <w:footnoteRef/>
      </w:r>
      <w:r w:rsidRPr="00371071">
        <w:rPr>
          <w:rFonts w:asciiTheme="majorHAnsi" w:hAnsiTheme="majorHAnsi"/>
        </w:rPr>
        <w:t xml:space="preserve"> </w:t>
      </w:r>
      <w:r>
        <w:t>School of Education, University of Leeds</w:t>
      </w:r>
    </w:p>
  </w:footnote>
  <w:footnote w:id="2">
    <w:p w14:paraId="5E2F6648" w14:textId="77777777" w:rsidR="00E2496E" w:rsidRPr="00371071" w:rsidRDefault="00E2496E" w:rsidP="00371071">
      <w:pPr>
        <w:pStyle w:val="FootnoteText"/>
      </w:pPr>
      <w:r w:rsidRPr="00371071">
        <w:rPr>
          <w:rStyle w:val="FootnoteReference"/>
        </w:rPr>
        <w:footnoteRef/>
      </w:r>
      <w:r w:rsidRPr="00371071">
        <w:t xml:space="preserve"> Res</w:t>
      </w:r>
      <w:r>
        <w:t>e</w:t>
      </w:r>
      <w:r w:rsidRPr="00371071">
        <w:t>arch Institute on Quality of Life, University of G</w:t>
      </w:r>
      <w:r>
        <w:t>i</w:t>
      </w:r>
      <w:r w:rsidRPr="00371071">
        <w:t>rona</w:t>
      </w:r>
    </w:p>
  </w:footnote>
  <w:footnote w:id="3">
    <w:p w14:paraId="5B73C2C7" w14:textId="77777777" w:rsidR="00E2496E" w:rsidRPr="00371071" w:rsidRDefault="00E2496E" w:rsidP="00371071">
      <w:pPr>
        <w:pStyle w:val="FootnoteText"/>
      </w:pPr>
      <w:r w:rsidRPr="00371071">
        <w:rPr>
          <w:rStyle w:val="FootnoteReference"/>
        </w:rPr>
        <w:footnoteRef/>
      </w:r>
      <w:r w:rsidRPr="00371071">
        <w:t xml:space="preserve"> Goethe University, Frankfurt</w:t>
      </w:r>
    </w:p>
  </w:footnote>
  <w:footnote w:id="4">
    <w:p w14:paraId="03043858" w14:textId="77777777" w:rsidR="00E2496E" w:rsidRPr="00371071" w:rsidRDefault="00E2496E" w:rsidP="00371071">
      <w:pPr>
        <w:pStyle w:val="FootnoteText"/>
      </w:pPr>
      <w:r w:rsidRPr="00371071">
        <w:rPr>
          <w:rStyle w:val="FootnoteReference"/>
        </w:rPr>
        <w:footnoteRef/>
      </w:r>
      <w:r w:rsidRPr="00371071">
        <w:t xml:space="preserve"> Social Policy Research Unit, University of York</w:t>
      </w:r>
    </w:p>
  </w:footnote>
  <w:footnote w:id="5">
    <w:p w14:paraId="53F23899" w14:textId="77777777" w:rsidR="00E2496E" w:rsidRPr="00724787" w:rsidRDefault="00E2496E" w:rsidP="00371071">
      <w:pPr>
        <w:pStyle w:val="FootnoteText"/>
        <w:rPr>
          <w:rFonts w:asciiTheme="majorHAnsi" w:hAnsiTheme="majorHAnsi"/>
        </w:rPr>
      </w:pPr>
      <w:r w:rsidRPr="00371071">
        <w:rPr>
          <w:rStyle w:val="FootnoteReference"/>
        </w:rPr>
        <w:footnoteRef/>
      </w:r>
      <w:r w:rsidRPr="00371071">
        <w:t xml:space="preserve"> Department of Social Welfare, Seoul National University</w:t>
      </w:r>
    </w:p>
  </w:footnote>
  <w:footnote w:id="6">
    <w:p w14:paraId="0E721B02" w14:textId="77777777" w:rsidR="00E2496E" w:rsidRPr="00724787" w:rsidRDefault="00E2496E" w:rsidP="00B55B66">
      <w:pPr>
        <w:pStyle w:val="FootnoteText"/>
        <w:rPr>
          <w:rFonts w:asciiTheme="majorHAnsi" w:hAnsiTheme="majorHAnsi"/>
        </w:rPr>
      </w:pPr>
      <w:r w:rsidRPr="00724787">
        <w:rPr>
          <w:rStyle w:val="FootnoteReference"/>
          <w:rFonts w:asciiTheme="majorHAnsi" w:hAnsiTheme="majorHAnsi"/>
        </w:rPr>
        <w:footnoteRef/>
      </w:r>
      <w:r w:rsidRPr="00724787">
        <w:rPr>
          <w:rFonts w:asciiTheme="majorHAnsi" w:hAnsiTheme="majorHAnsi"/>
        </w:rPr>
        <w:t xml:space="preserve"> This item was included in the Children’s Worlds survey in place of Cummins’ item, ‘getting on with people you know’.</w:t>
      </w:r>
    </w:p>
  </w:footnote>
  <w:footnote w:id="7">
    <w:p w14:paraId="68193E52" w14:textId="01482719" w:rsidR="00E2496E" w:rsidRPr="00D17D2D" w:rsidRDefault="00E2496E">
      <w:pPr>
        <w:pStyle w:val="FootnoteText"/>
      </w:pPr>
      <w:r>
        <w:rPr>
          <w:rStyle w:val="FootnoteReference"/>
        </w:rPr>
        <w:footnoteRef/>
      </w:r>
      <w:r>
        <w:t xml:space="preserve"> </w:t>
      </w:r>
      <w:r w:rsidRPr="0018277B">
        <w:rPr>
          <w:rFonts w:asciiTheme="majorHAnsi" w:hAnsiTheme="majorHAnsi"/>
        </w:rPr>
        <w:t xml:space="preserve">Cronbach’s Alpha does not provide information on the dimensionality of measures; it is beyond the scope of this paper to provide a detailed analysis of the material resources scale, which is detailed further in </w:t>
      </w:r>
      <w:r>
        <w:rPr>
          <w:rFonts w:asciiTheme="majorHAnsi" w:hAnsiTheme="majorHAnsi"/>
        </w:rPr>
        <w:t xml:space="preserve">Rees and </w:t>
      </w:r>
      <w:r w:rsidRPr="0018277B">
        <w:rPr>
          <w:rFonts w:asciiTheme="majorHAnsi" w:hAnsiTheme="majorHAnsi"/>
        </w:rPr>
        <w:t>Main (</w:t>
      </w:r>
      <w:r w:rsidRPr="00E2496E">
        <w:rPr>
          <w:rFonts w:asciiTheme="majorHAnsi" w:hAnsiTheme="majorHAnsi"/>
        </w:rPr>
        <w:t>2015).</w:t>
      </w:r>
    </w:p>
  </w:footnote>
  <w:footnote w:id="8">
    <w:p w14:paraId="4A82C28A" w14:textId="77777777" w:rsidR="00E2496E" w:rsidRPr="00F56495" w:rsidRDefault="00E2496E" w:rsidP="00B55B66">
      <w:pPr>
        <w:pStyle w:val="FootnoteText"/>
        <w:rPr>
          <w:rFonts w:asciiTheme="majorHAnsi" w:hAnsiTheme="majorHAnsi"/>
        </w:rPr>
      </w:pPr>
      <w:r w:rsidRPr="00F56495">
        <w:rPr>
          <w:rStyle w:val="FootnoteReference"/>
          <w:rFonts w:asciiTheme="majorHAnsi" w:hAnsiTheme="majorHAnsi"/>
        </w:rPr>
        <w:footnoteRef/>
      </w:r>
      <w:r w:rsidRPr="00F56495">
        <w:rPr>
          <w:rFonts w:asciiTheme="majorHAnsi" w:hAnsiTheme="majorHAnsi"/>
        </w:rPr>
        <w:t xml:space="preserve"> Models including these variables were </w:t>
      </w:r>
      <w:r w:rsidRPr="002D76AB">
        <w:rPr>
          <w:rFonts w:asciiTheme="majorHAnsi" w:hAnsiTheme="majorHAnsi"/>
        </w:rPr>
        <w:t>constructed</w:t>
      </w:r>
      <w:r w:rsidRPr="00F56495">
        <w:rPr>
          <w:rFonts w:asciiTheme="majorHAnsi" w:hAnsiTheme="majorHAnsi"/>
        </w:rPr>
        <w:t xml:space="preserve"> in the background work for this paper and are available on request.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3933"/>
    <w:multiLevelType w:val="hybridMultilevel"/>
    <w:tmpl w:val="F27E7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D03CE6"/>
    <w:multiLevelType w:val="hybridMultilevel"/>
    <w:tmpl w:val="0DAE2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5E1EFD"/>
    <w:multiLevelType w:val="hybridMultilevel"/>
    <w:tmpl w:val="FC26F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257371"/>
    <w:multiLevelType w:val="hybridMultilevel"/>
    <w:tmpl w:val="1C4E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4315C9"/>
    <w:multiLevelType w:val="hybridMultilevel"/>
    <w:tmpl w:val="017E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2A72C1"/>
    <w:multiLevelType w:val="hybridMultilevel"/>
    <w:tmpl w:val="3742723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nsid w:val="1FBA64B8"/>
    <w:multiLevelType w:val="hybridMultilevel"/>
    <w:tmpl w:val="84C4FA66"/>
    <w:lvl w:ilvl="0" w:tplc="9DBEFC6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F4243B8"/>
    <w:multiLevelType w:val="hybridMultilevel"/>
    <w:tmpl w:val="486E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241618"/>
    <w:multiLevelType w:val="hybridMultilevel"/>
    <w:tmpl w:val="74B8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AF00BD"/>
    <w:multiLevelType w:val="hybridMultilevel"/>
    <w:tmpl w:val="1B44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9548AF"/>
    <w:multiLevelType w:val="hybridMultilevel"/>
    <w:tmpl w:val="48266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BF6F5B"/>
    <w:multiLevelType w:val="hybridMultilevel"/>
    <w:tmpl w:val="AEE63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DE468E"/>
    <w:multiLevelType w:val="hybridMultilevel"/>
    <w:tmpl w:val="84AE824E"/>
    <w:lvl w:ilvl="0" w:tplc="E926E01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F979FE"/>
    <w:multiLevelType w:val="hybridMultilevel"/>
    <w:tmpl w:val="672A35C0"/>
    <w:lvl w:ilvl="0" w:tplc="7BC809A6">
      <w:start w:val="60"/>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73D6ACC"/>
    <w:multiLevelType w:val="hybridMultilevel"/>
    <w:tmpl w:val="DCAA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6F6DD7"/>
    <w:multiLevelType w:val="hybridMultilevel"/>
    <w:tmpl w:val="E3C46AFC"/>
    <w:lvl w:ilvl="0" w:tplc="6C3E02EE">
      <w:start w:val="60"/>
      <w:numFmt w:val="bullet"/>
      <w:lvlText w:val="-"/>
      <w:lvlJc w:val="left"/>
      <w:pPr>
        <w:ind w:left="720" w:hanging="360"/>
      </w:pPr>
      <w:rPr>
        <w:rFonts w:ascii="Calibri" w:eastAsiaTheme="minorEastAsia"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EE9372D"/>
    <w:multiLevelType w:val="multilevel"/>
    <w:tmpl w:val="2A10FF6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72C12072"/>
    <w:multiLevelType w:val="hybridMultilevel"/>
    <w:tmpl w:val="F2FA0F6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775706D1"/>
    <w:multiLevelType w:val="hybridMultilevel"/>
    <w:tmpl w:val="96025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53C30A6">
      <w:start w:val="33"/>
      <w:numFmt w:val="bullet"/>
      <w:lvlText w:val="-"/>
      <w:lvlJc w:val="left"/>
      <w:pPr>
        <w:ind w:left="2160" w:hanging="360"/>
      </w:pPr>
      <w:rPr>
        <w:rFonts w:ascii="Cambria" w:eastAsiaTheme="minorHAnsi" w:hAnsi="Cambria"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07414A"/>
    <w:multiLevelType w:val="hybridMultilevel"/>
    <w:tmpl w:val="05FA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2F240B"/>
    <w:multiLevelType w:val="hybridMultilevel"/>
    <w:tmpl w:val="E66A3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EC51951"/>
    <w:multiLevelType w:val="hybridMultilevel"/>
    <w:tmpl w:val="3E386DBA"/>
    <w:lvl w:ilvl="0" w:tplc="943AF1C8">
      <w:start w:val="7"/>
      <w:numFmt w:val="bullet"/>
      <w:lvlText w:val="-"/>
      <w:lvlJc w:val="left"/>
      <w:pPr>
        <w:ind w:left="720" w:hanging="360"/>
      </w:pPr>
      <w:rPr>
        <w:rFonts w:ascii="Calibri" w:eastAsiaTheme="minorEastAsia"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8"/>
  </w:num>
  <w:num w:numId="4">
    <w:abstractNumId w:val="20"/>
  </w:num>
  <w:num w:numId="5">
    <w:abstractNumId w:val="0"/>
  </w:num>
  <w:num w:numId="6">
    <w:abstractNumId w:val="7"/>
  </w:num>
  <w:num w:numId="7">
    <w:abstractNumId w:val="4"/>
  </w:num>
  <w:num w:numId="8">
    <w:abstractNumId w:val="11"/>
  </w:num>
  <w:num w:numId="9">
    <w:abstractNumId w:val="10"/>
  </w:num>
  <w:num w:numId="10">
    <w:abstractNumId w:val="14"/>
  </w:num>
  <w:num w:numId="11">
    <w:abstractNumId w:val="5"/>
  </w:num>
  <w:num w:numId="12">
    <w:abstractNumId w:val="9"/>
  </w:num>
  <w:num w:numId="13">
    <w:abstractNumId w:val="2"/>
  </w:num>
  <w:num w:numId="14">
    <w:abstractNumId w:val="1"/>
  </w:num>
  <w:num w:numId="15">
    <w:abstractNumId w:val="3"/>
  </w:num>
  <w:num w:numId="16">
    <w:abstractNumId w:val="8"/>
  </w:num>
  <w:num w:numId="17">
    <w:abstractNumId w:val="12"/>
  </w:num>
  <w:num w:numId="18">
    <w:abstractNumId w:val="21"/>
  </w:num>
  <w:num w:numId="19">
    <w:abstractNumId w:val="13"/>
  </w:num>
  <w:num w:numId="20">
    <w:abstractNumId w:val="15"/>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A0"/>
    <w:rsid w:val="00002FF3"/>
    <w:rsid w:val="00004193"/>
    <w:rsid w:val="00005816"/>
    <w:rsid w:val="00005CC9"/>
    <w:rsid w:val="000064BF"/>
    <w:rsid w:val="0001121A"/>
    <w:rsid w:val="00012F2D"/>
    <w:rsid w:val="0001477A"/>
    <w:rsid w:val="00020443"/>
    <w:rsid w:val="00020BFA"/>
    <w:rsid w:val="000237EF"/>
    <w:rsid w:val="00023AD9"/>
    <w:rsid w:val="000242E8"/>
    <w:rsid w:val="000254C7"/>
    <w:rsid w:val="0002589B"/>
    <w:rsid w:val="00025D03"/>
    <w:rsid w:val="000264AF"/>
    <w:rsid w:val="00027EE7"/>
    <w:rsid w:val="00032EAD"/>
    <w:rsid w:val="00033154"/>
    <w:rsid w:val="0004369A"/>
    <w:rsid w:val="00043735"/>
    <w:rsid w:val="000465C0"/>
    <w:rsid w:val="00046961"/>
    <w:rsid w:val="00047B82"/>
    <w:rsid w:val="000515AE"/>
    <w:rsid w:val="0005192E"/>
    <w:rsid w:val="000549DD"/>
    <w:rsid w:val="000549FF"/>
    <w:rsid w:val="0005768B"/>
    <w:rsid w:val="00060266"/>
    <w:rsid w:val="0006630A"/>
    <w:rsid w:val="00066F3F"/>
    <w:rsid w:val="00071A66"/>
    <w:rsid w:val="000728BD"/>
    <w:rsid w:val="00073104"/>
    <w:rsid w:val="00074DCF"/>
    <w:rsid w:val="00075DD8"/>
    <w:rsid w:val="00075DE8"/>
    <w:rsid w:val="00077E0C"/>
    <w:rsid w:val="00083216"/>
    <w:rsid w:val="00083F2C"/>
    <w:rsid w:val="00085C09"/>
    <w:rsid w:val="00090D72"/>
    <w:rsid w:val="00091B40"/>
    <w:rsid w:val="00092134"/>
    <w:rsid w:val="00095E69"/>
    <w:rsid w:val="00097E37"/>
    <w:rsid w:val="00097F63"/>
    <w:rsid w:val="000A0E2D"/>
    <w:rsid w:val="000A570A"/>
    <w:rsid w:val="000B1171"/>
    <w:rsid w:val="000B3931"/>
    <w:rsid w:val="000B6752"/>
    <w:rsid w:val="000B69D6"/>
    <w:rsid w:val="000B75B8"/>
    <w:rsid w:val="000C0C4D"/>
    <w:rsid w:val="000C1E85"/>
    <w:rsid w:val="000C1F18"/>
    <w:rsid w:val="000C4299"/>
    <w:rsid w:val="000C5814"/>
    <w:rsid w:val="000D15BA"/>
    <w:rsid w:val="000D5B57"/>
    <w:rsid w:val="000D6860"/>
    <w:rsid w:val="000D7426"/>
    <w:rsid w:val="000E0069"/>
    <w:rsid w:val="000E283F"/>
    <w:rsid w:val="000E7053"/>
    <w:rsid w:val="000F33A0"/>
    <w:rsid w:val="000F45BD"/>
    <w:rsid w:val="000F56B4"/>
    <w:rsid w:val="000F5EDF"/>
    <w:rsid w:val="000F71AF"/>
    <w:rsid w:val="000F7694"/>
    <w:rsid w:val="00100A4B"/>
    <w:rsid w:val="00100D0B"/>
    <w:rsid w:val="00101989"/>
    <w:rsid w:val="0010198D"/>
    <w:rsid w:val="00103752"/>
    <w:rsid w:val="00104723"/>
    <w:rsid w:val="00106483"/>
    <w:rsid w:val="00116899"/>
    <w:rsid w:val="001178AC"/>
    <w:rsid w:val="00120042"/>
    <w:rsid w:val="001202BF"/>
    <w:rsid w:val="00123CCD"/>
    <w:rsid w:val="00123D3F"/>
    <w:rsid w:val="00124BAA"/>
    <w:rsid w:val="0013073B"/>
    <w:rsid w:val="00132082"/>
    <w:rsid w:val="001360EA"/>
    <w:rsid w:val="00142BD2"/>
    <w:rsid w:val="00143E02"/>
    <w:rsid w:val="0014644E"/>
    <w:rsid w:val="001473EC"/>
    <w:rsid w:val="001516D7"/>
    <w:rsid w:val="001524CB"/>
    <w:rsid w:val="00153250"/>
    <w:rsid w:val="00154CD0"/>
    <w:rsid w:val="00154F5D"/>
    <w:rsid w:val="00155932"/>
    <w:rsid w:val="00157FC3"/>
    <w:rsid w:val="001621EB"/>
    <w:rsid w:val="001629F4"/>
    <w:rsid w:val="00164AFA"/>
    <w:rsid w:val="001700BE"/>
    <w:rsid w:val="00171CEB"/>
    <w:rsid w:val="001725E9"/>
    <w:rsid w:val="00173A92"/>
    <w:rsid w:val="00173C9F"/>
    <w:rsid w:val="0017572A"/>
    <w:rsid w:val="0018277B"/>
    <w:rsid w:val="001856F8"/>
    <w:rsid w:val="00187D4A"/>
    <w:rsid w:val="001902A9"/>
    <w:rsid w:val="00190563"/>
    <w:rsid w:val="0019073B"/>
    <w:rsid w:val="001974A6"/>
    <w:rsid w:val="00197F32"/>
    <w:rsid w:val="001A3A37"/>
    <w:rsid w:val="001A5766"/>
    <w:rsid w:val="001A7F72"/>
    <w:rsid w:val="001B3165"/>
    <w:rsid w:val="001C0DEC"/>
    <w:rsid w:val="001C34CB"/>
    <w:rsid w:val="001C39E8"/>
    <w:rsid w:val="001C433F"/>
    <w:rsid w:val="001C51EF"/>
    <w:rsid w:val="001D24C0"/>
    <w:rsid w:val="001D3721"/>
    <w:rsid w:val="001D6830"/>
    <w:rsid w:val="001D7C21"/>
    <w:rsid w:val="001E1190"/>
    <w:rsid w:val="001E1F86"/>
    <w:rsid w:val="001E2A51"/>
    <w:rsid w:val="001E2EF9"/>
    <w:rsid w:val="001E2F66"/>
    <w:rsid w:val="001E362A"/>
    <w:rsid w:val="001E5D5E"/>
    <w:rsid w:val="001E72E2"/>
    <w:rsid w:val="001F0353"/>
    <w:rsid w:val="001F1443"/>
    <w:rsid w:val="001F248A"/>
    <w:rsid w:val="001F3875"/>
    <w:rsid w:val="001F4F41"/>
    <w:rsid w:val="001F703C"/>
    <w:rsid w:val="002046F6"/>
    <w:rsid w:val="00206F8A"/>
    <w:rsid w:val="002073C3"/>
    <w:rsid w:val="00207F99"/>
    <w:rsid w:val="0021067F"/>
    <w:rsid w:val="00210848"/>
    <w:rsid w:val="00216D66"/>
    <w:rsid w:val="00217055"/>
    <w:rsid w:val="00220588"/>
    <w:rsid w:val="00220D4E"/>
    <w:rsid w:val="002219EA"/>
    <w:rsid w:val="002277DF"/>
    <w:rsid w:val="002306CA"/>
    <w:rsid w:val="00230B07"/>
    <w:rsid w:val="00235336"/>
    <w:rsid w:val="002353F4"/>
    <w:rsid w:val="0023632B"/>
    <w:rsid w:val="002414AF"/>
    <w:rsid w:val="00241774"/>
    <w:rsid w:val="00242C96"/>
    <w:rsid w:val="0024305D"/>
    <w:rsid w:val="00243F13"/>
    <w:rsid w:val="00244054"/>
    <w:rsid w:val="0024594E"/>
    <w:rsid w:val="002472A9"/>
    <w:rsid w:val="00247A33"/>
    <w:rsid w:val="002504C7"/>
    <w:rsid w:val="00250819"/>
    <w:rsid w:val="002508A3"/>
    <w:rsid w:val="002514F2"/>
    <w:rsid w:val="0025418D"/>
    <w:rsid w:val="002541E9"/>
    <w:rsid w:val="00254F06"/>
    <w:rsid w:val="0026542A"/>
    <w:rsid w:val="00267495"/>
    <w:rsid w:val="002703F9"/>
    <w:rsid w:val="00270634"/>
    <w:rsid w:val="002709F4"/>
    <w:rsid w:val="00272A87"/>
    <w:rsid w:val="00273107"/>
    <w:rsid w:val="002749A5"/>
    <w:rsid w:val="0027659A"/>
    <w:rsid w:val="0027795B"/>
    <w:rsid w:val="00277A6F"/>
    <w:rsid w:val="0028020B"/>
    <w:rsid w:val="0028276F"/>
    <w:rsid w:val="00286F3D"/>
    <w:rsid w:val="00290D28"/>
    <w:rsid w:val="0029228D"/>
    <w:rsid w:val="00294F1C"/>
    <w:rsid w:val="00295018"/>
    <w:rsid w:val="002976CB"/>
    <w:rsid w:val="002A295A"/>
    <w:rsid w:val="002A5C02"/>
    <w:rsid w:val="002B1BC2"/>
    <w:rsid w:val="002B2F6B"/>
    <w:rsid w:val="002B44C3"/>
    <w:rsid w:val="002B458A"/>
    <w:rsid w:val="002B77F4"/>
    <w:rsid w:val="002C104D"/>
    <w:rsid w:val="002C1D3C"/>
    <w:rsid w:val="002C2EDC"/>
    <w:rsid w:val="002C5781"/>
    <w:rsid w:val="002C6EAA"/>
    <w:rsid w:val="002D168F"/>
    <w:rsid w:val="002D49C5"/>
    <w:rsid w:val="002D76AB"/>
    <w:rsid w:val="002E14D9"/>
    <w:rsid w:val="002E1E5F"/>
    <w:rsid w:val="002E5F79"/>
    <w:rsid w:val="002E7BC5"/>
    <w:rsid w:val="002F0E5D"/>
    <w:rsid w:val="002F1E19"/>
    <w:rsid w:val="002F6899"/>
    <w:rsid w:val="0030498F"/>
    <w:rsid w:val="00306925"/>
    <w:rsid w:val="0030692A"/>
    <w:rsid w:val="00311A6D"/>
    <w:rsid w:val="00316A10"/>
    <w:rsid w:val="0031784F"/>
    <w:rsid w:val="00321B4C"/>
    <w:rsid w:val="00321BA1"/>
    <w:rsid w:val="00323119"/>
    <w:rsid w:val="0032313A"/>
    <w:rsid w:val="00323BC7"/>
    <w:rsid w:val="00326C2D"/>
    <w:rsid w:val="003279C6"/>
    <w:rsid w:val="00332351"/>
    <w:rsid w:val="00340868"/>
    <w:rsid w:val="003414AF"/>
    <w:rsid w:val="00344415"/>
    <w:rsid w:val="003477B1"/>
    <w:rsid w:val="00351AF8"/>
    <w:rsid w:val="00352425"/>
    <w:rsid w:val="00352B30"/>
    <w:rsid w:val="00353AEB"/>
    <w:rsid w:val="0035439E"/>
    <w:rsid w:val="003579F1"/>
    <w:rsid w:val="00357B3A"/>
    <w:rsid w:val="00357B6D"/>
    <w:rsid w:val="00360FB8"/>
    <w:rsid w:val="0036284C"/>
    <w:rsid w:val="00363199"/>
    <w:rsid w:val="0036381B"/>
    <w:rsid w:val="00364BE2"/>
    <w:rsid w:val="003652A6"/>
    <w:rsid w:val="00366CEA"/>
    <w:rsid w:val="0036754A"/>
    <w:rsid w:val="00371071"/>
    <w:rsid w:val="003733B1"/>
    <w:rsid w:val="00377020"/>
    <w:rsid w:val="00381D0F"/>
    <w:rsid w:val="00383E25"/>
    <w:rsid w:val="00387577"/>
    <w:rsid w:val="00390EA9"/>
    <w:rsid w:val="00392440"/>
    <w:rsid w:val="00394025"/>
    <w:rsid w:val="00394B45"/>
    <w:rsid w:val="0039502D"/>
    <w:rsid w:val="003A1BE0"/>
    <w:rsid w:val="003A3848"/>
    <w:rsid w:val="003A613A"/>
    <w:rsid w:val="003A6515"/>
    <w:rsid w:val="003A7812"/>
    <w:rsid w:val="003B1938"/>
    <w:rsid w:val="003B25E1"/>
    <w:rsid w:val="003B6AF6"/>
    <w:rsid w:val="003B707A"/>
    <w:rsid w:val="003C11CE"/>
    <w:rsid w:val="003C1415"/>
    <w:rsid w:val="003C21D2"/>
    <w:rsid w:val="003C362C"/>
    <w:rsid w:val="003C479F"/>
    <w:rsid w:val="003C4C9E"/>
    <w:rsid w:val="003C4EA6"/>
    <w:rsid w:val="003D5B08"/>
    <w:rsid w:val="003D660C"/>
    <w:rsid w:val="003D73AE"/>
    <w:rsid w:val="003E0276"/>
    <w:rsid w:val="003E04F8"/>
    <w:rsid w:val="003E05E6"/>
    <w:rsid w:val="003E08C7"/>
    <w:rsid w:val="003E3742"/>
    <w:rsid w:val="003E5185"/>
    <w:rsid w:val="003F5187"/>
    <w:rsid w:val="003F7BFD"/>
    <w:rsid w:val="003F7EA6"/>
    <w:rsid w:val="00402282"/>
    <w:rsid w:val="0040738B"/>
    <w:rsid w:val="004145FD"/>
    <w:rsid w:val="004170D4"/>
    <w:rsid w:val="00421049"/>
    <w:rsid w:val="0042154E"/>
    <w:rsid w:val="00423A5C"/>
    <w:rsid w:val="004263E3"/>
    <w:rsid w:val="00427E5E"/>
    <w:rsid w:val="00430B2F"/>
    <w:rsid w:val="00436B47"/>
    <w:rsid w:val="00440E76"/>
    <w:rsid w:val="00446335"/>
    <w:rsid w:val="00446542"/>
    <w:rsid w:val="00446F46"/>
    <w:rsid w:val="00446F97"/>
    <w:rsid w:val="00447F68"/>
    <w:rsid w:val="00451115"/>
    <w:rsid w:val="00454447"/>
    <w:rsid w:val="00454A64"/>
    <w:rsid w:val="00454C1F"/>
    <w:rsid w:val="00456CAA"/>
    <w:rsid w:val="004618D3"/>
    <w:rsid w:val="0046541D"/>
    <w:rsid w:val="0047107F"/>
    <w:rsid w:val="004712AA"/>
    <w:rsid w:val="00472288"/>
    <w:rsid w:val="00472692"/>
    <w:rsid w:val="00472B48"/>
    <w:rsid w:val="00473498"/>
    <w:rsid w:val="0047560F"/>
    <w:rsid w:val="00476AB4"/>
    <w:rsid w:val="00476EAF"/>
    <w:rsid w:val="004771D8"/>
    <w:rsid w:val="0048096A"/>
    <w:rsid w:val="004832E6"/>
    <w:rsid w:val="004838A2"/>
    <w:rsid w:val="00483DBA"/>
    <w:rsid w:val="004844B6"/>
    <w:rsid w:val="00485CCC"/>
    <w:rsid w:val="00486943"/>
    <w:rsid w:val="00491BB4"/>
    <w:rsid w:val="004A24BE"/>
    <w:rsid w:val="004A3556"/>
    <w:rsid w:val="004B0764"/>
    <w:rsid w:val="004B4390"/>
    <w:rsid w:val="004B4C46"/>
    <w:rsid w:val="004B50E7"/>
    <w:rsid w:val="004B633C"/>
    <w:rsid w:val="004B6E47"/>
    <w:rsid w:val="004B7758"/>
    <w:rsid w:val="004B7C20"/>
    <w:rsid w:val="004B7E50"/>
    <w:rsid w:val="004C08D3"/>
    <w:rsid w:val="004C0E84"/>
    <w:rsid w:val="004C1AB7"/>
    <w:rsid w:val="004C20E9"/>
    <w:rsid w:val="004C215D"/>
    <w:rsid w:val="004C2DC2"/>
    <w:rsid w:val="004C361A"/>
    <w:rsid w:val="004C54EE"/>
    <w:rsid w:val="004C629B"/>
    <w:rsid w:val="004D165E"/>
    <w:rsid w:val="004D1B02"/>
    <w:rsid w:val="004D1F61"/>
    <w:rsid w:val="004D367A"/>
    <w:rsid w:val="004D6124"/>
    <w:rsid w:val="004D6153"/>
    <w:rsid w:val="004D6748"/>
    <w:rsid w:val="004D6C46"/>
    <w:rsid w:val="004E0515"/>
    <w:rsid w:val="004E5B2D"/>
    <w:rsid w:val="004E6559"/>
    <w:rsid w:val="004E6D5D"/>
    <w:rsid w:val="004E7158"/>
    <w:rsid w:val="004F1156"/>
    <w:rsid w:val="004F1486"/>
    <w:rsid w:val="004F210C"/>
    <w:rsid w:val="004F4D53"/>
    <w:rsid w:val="004F630D"/>
    <w:rsid w:val="004F7CC3"/>
    <w:rsid w:val="00500B6B"/>
    <w:rsid w:val="00501216"/>
    <w:rsid w:val="00501994"/>
    <w:rsid w:val="00502D68"/>
    <w:rsid w:val="0050330B"/>
    <w:rsid w:val="005049A7"/>
    <w:rsid w:val="005068E6"/>
    <w:rsid w:val="005075F1"/>
    <w:rsid w:val="005079A3"/>
    <w:rsid w:val="0051044F"/>
    <w:rsid w:val="00520CD5"/>
    <w:rsid w:val="00522E62"/>
    <w:rsid w:val="00523A59"/>
    <w:rsid w:val="00523E01"/>
    <w:rsid w:val="00525668"/>
    <w:rsid w:val="00525790"/>
    <w:rsid w:val="0052648C"/>
    <w:rsid w:val="00531897"/>
    <w:rsid w:val="005368E2"/>
    <w:rsid w:val="00536DA0"/>
    <w:rsid w:val="00537317"/>
    <w:rsid w:val="00540AF3"/>
    <w:rsid w:val="0054316D"/>
    <w:rsid w:val="0054366A"/>
    <w:rsid w:val="00545644"/>
    <w:rsid w:val="00545D2D"/>
    <w:rsid w:val="00547409"/>
    <w:rsid w:val="00552542"/>
    <w:rsid w:val="00552607"/>
    <w:rsid w:val="00553321"/>
    <w:rsid w:val="005544C5"/>
    <w:rsid w:val="0056087D"/>
    <w:rsid w:val="00563A5B"/>
    <w:rsid w:val="005706CB"/>
    <w:rsid w:val="00570B3F"/>
    <w:rsid w:val="00570F2D"/>
    <w:rsid w:val="00573094"/>
    <w:rsid w:val="005736A5"/>
    <w:rsid w:val="00574B6F"/>
    <w:rsid w:val="00575FFA"/>
    <w:rsid w:val="00583D67"/>
    <w:rsid w:val="00585CE7"/>
    <w:rsid w:val="00585ED6"/>
    <w:rsid w:val="0058611A"/>
    <w:rsid w:val="00593AF5"/>
    <w:rsid w:val="00593D12"/>
    <w:rsid w:val="00594673"/>
    <w:rsid w:val="00594FC7"/>
    <w:rsid w:val="005975EB"/>
    <w:rsid w:val="00597F98"/>
    <w:rsid w:val="005A08EC"/>
    <w:rsid w:val="005A38E1"/>
    <w:rsid w:val="005A4278"/>
    <w:rsid w:val="005A6089"/>
    <w:rsid w:val="005A72FB"/>
    <w:rsid w:val="005B1A18"/>
    <w:rsid w:val="005B2EDD"/>
    <w:rsid w:val="005B58B9"/>
    <w:rsid w:val="005B698D"/>
    <w:rsid w:val="005B7529"/>
    <w:rsid w:val="005B7B45"/>
    <w:rsid w:val="005B7E41"/>
    <w:rsid w:val="005C09CD"/>
    <w:rsid w:val="005C1B39"/>
    <w:rsid w:val="005C1E94"/>
    <w:rsid w:val="005C3573"/>
    <w:rsid w:val="005C461E"/>
    <w:rsid w:val="005C5F2B"/>
    <w:rsid w:val="005C6519"/>
    <w:rsid w:val="005C73A9"/>
    <w:rsid w:val="005D04C7"/>
    <w:rsid w:val="005D114C"/>
    <w:rsid w:val="005D1D11"/>
    <w:rsid w:val="005D398F"/>
    <w:rsid w:val="005D3FF2"/>
    <w:rsid w:val="005D728E"/>
    <w:rsid w:val="005E4B69"/>
    <w:rsid w:val="005E4F11"/>
    <w:rsid w:val="005E6046"/>
    <w:rsid w:val="005E7824"/>
    <w:rsid w:val="005F1528"/>
    <w:rsid w:val="005F1917"/>
    <w:rsid w:val="005F2297"/>
    <w:rsid w:val="005F383C"/>
    <w:rsid w:val="005F6CBD"/>
    <w:rsid w:val="005F7B18"/>
    <w:rsid w:val="005F7C3D"/>
    <w:rsid w:val="00600ECD"/>
    <w:rsid w:val="00601078"/>
    <w:rsid w:val="0060376E"/>
    <w:rsid w:val="0060432E"/>
    <w:rsid w:val="006055AE"/>
    <w:rsid w:val="006126D2"/>
    <w:rsid w:val="006159D1"/>
    <w:rsid w:val="0061765E"/>
    <w:rsid w:val="006209B9"/>
    <w:rsid w:val="0062135B"/>
    <w:rsid w:val="00624A7E"/>
    <w:rsid w:val="00626C98"/>
    <w:rsid w:val="00627F7F"/>
    <w:rsid w:val="006314AD"/>
    <w:rsid w:val="00631578"/>
    <w:rsid w:val="00632844"/>
    <w:rsid w:val="00632BC6"/>
    <w:rsid w:val="0063313E"/>
    <w:rsid w:val="006338E9"/>
    <w:rsid w:val="00635158"/>
    <w:rsid w:val="00635C28"/>
    <w:rsid w:val="0063711A"/>
    <w:rsid w:val="006422A8"/>
    <w:rsid w:val="00642AE3"/>
    <w:rsid w:val="00643BC0"/>
    <w:rsid w:val="006455FB"/>
    <w:rsid w:val="00652C3E"/>
    <w:rsid w:val="006537C3"/>
    <w:rsid w:val="00653F56"/>
    <w:rsid w:val="006554A1"/>
    <w:rsid w:val="006566C9"/>
    <w:rsid w:val="00656DDD"/>
    <w:rsid w:val="0065758A"/>
    <w:rsid w:val="00657DD0"/>
    <w:rsid w:val="006608B8"/>
    <w:rsid w:val="006629FC"/>
    <w:rsid w:val="00662F08"/>
    <w:rsid w:val="00665711"/>
    <w:rsid w:val="0067038A"/>
    <w:rsid w:val="00670521"/>
    <w:rsid w:val="00674063"/>
    <w:rsid w:val="006742CC"/>
    <w:rsid w:val="0067699D"/>
    <w:rsid w:val="00681E88"/>
    <w:rsid w:val="00682CCF"/>
    <w:rsid w:val="006866DF"/>
    <w:rsid w:val="00690A93"/>
    <w:rsid w:val="00693CFF"/>
    <w:rsid w:val="00693D18"/>
    <w:rsid w:val="0069542E"/>
    <w:rsid w:val="00695D3E"/>
    <w:rsid w:val="0069670C"/>
    <w:rsid w:val="00696FFF"/>
    <w:rsid w:val="00697BDD"/>
    <w:rsid w:val="006A31B9"/>
    <w:rsid w:val="006B2E1E"/>
    <w:rsid w:val="006B59D5"/>
    <w:rsid w:val="006C1D68"/>
    <w:rsid w:val="006C2E39"/>
    <w:rsid w:val="006C6F7B"/>
    <w:rsid w:val="006D0768"/>
    <w:rsid w:val="006D08F2"/>
    <w:rsid w:val="006D0BB9"/>
    <w:rsid w:val="006D420C"/>
    <w:rsid w:val="006D460B"/>
    <w:rsid w:val="006D4A6A"/>
    <w:rsid w:val="006D7460"/>
    <w:rsid w:val="006E0D64"/>
    <w:rsid w:val="006E1F68"/>
    <w:rsid w:val="006E2107"/>
    <w:rsid w:val="006F06C2"/>
    <w:rsid w:val="006F1823"/>
    <w:rsid w:val="006F57AF"/>
    <w:rsid w:val="006F7768"/>
    <w:rsid w:val="007004A0"/>
    <w:rsid w:val="007007FA"/>
    <w:rsid w:val="00703D4A"/>
    <w:rsid w:val="00705D01"/>
    <w:rsid w:val="007074D4"/>
    <w:rsid w:val="007139D6"/>
    <w:rsid w:val="00714018"/>
    <w:rsid w:val="00716D9F"/>
    <w:rsid w:val="00717D83"/>
    <w:rsid w:val="00720CD5"/>
    <w:rsid w:val="00722127"/>
    <w:rsid w:val="00722AA6"/>
    <w:rsid w:val="0072488C"/>
    <w:rsid w:val="00725F9D"/>
    <w:rsid w:val="00731217"/>
    <w:rsid w:val="00734D7F"/>
    <w:rsid w:val="007373A3"/>
    <w:rsid w:val="00743CA0"/>
    <w:rsid w:val="00744AFA"/>
    <w:rsid w:val="00746155"/>
    <w:rsid w:val="00746986"/>
    <w:rsid w:val="00746ACE"/>
    <w:rsid w:val="007477BB"/>
    <w:rsid w:val="0075514C"/>
    <w:rsid w:val="00755985"/>
    <w:rsid w:val="00761A9C"/>
    <w:rsid w:val="00762A09"/>
    <w:rsid w:val="0076467B"/>
    <w:rsid w:val="0076494E"/>
    <w:rsid w:val="00765315"/>
    <w:rsid w:val="00765F32"/>
    <w:rsid w:val="007664AF"/>
    <w:rsid w:val="007677E6"/>
    <w:rsid w:val="00767B3E"/>
    <w:rsid w:val="00771117"/>
    <w:rsid w:val="007717DB"/>
    <w:rsid w:val="00771DD9"/>
    <w:rsid w:val="0077518B"/>
    <w:rsid w:val="00775B5B"/>
    <w:rsid w:val="00781D3A"/>
    <w:rsid w:val="007823CD"/>
    <w:rsid w:val="00782474"/>
    <w:rsid w:val="00784A04"/>
    <w:rsid w:val="00791E6C"/>
    <w:rsid w:val="00792D99"/>
    <w:rsid w:val="007930AC"/>
    <w:rsid w:val="00795879"/>
    <w:rsid w:val="00796891"/>
    <w:rsid w:val="007A1C06"/>
    <w:rsid w:val="007A3D52"/>
    <w:rsid w:val="007A4852"/>
    <w:rsid w:val="007A4C4A"/>
    <w:rsid w:val="007B5B9B"/>
    <w:rsid w:val="007B7B9D"/>
    <w:rsid w:val="007C2315"/>
    <w:rsid w:val="007C2AAA"/>
    <w:rsid w:val="007C3DAB"/>
    <w:rsid w:val="007C6058"/>
    <w:rsid w:val="007C7A7A"/>
    <w:rsid w:val="007D3050"/>
    <w:rsid w:val="007D3594"/>
    <w:rsid w:val="007D6877"/>
    <w:rsid w:val="007D734B"/>
    <w:rsid w:val="007D749B"/>
    <w:rsid w:val="007D7D4B"/>
    <w:rsid w:val="007D7D70"/>
    <w:rsid w:val="007E00E9"/>
    <w:rsid w:val="007E33BC"/>
    <w:rsid w:val="007E5C60"/>
    <w:rsid w:val="007E7E05"/>
    <w:rsid w:val="007F1D92"/>
    <w:rsid w:val="007F289A"/>
    <w:rsid w:val="007F4A4B"/>
    <w:rsid w:val="007F51DF"/>
    <w:rsid w:val="007F65DC"/>
    <w:rsid w:val="007F6BB5"/>
    <w:rsid w:val="00800065"/>
    <w:rsid w:val="0080056D"/>
    <w:rsid w:val="008007AB"/>
    <w:rsid w:val="00801AA0"/>
    <w:rsid w:val="00803F4D"/>
    <w:rsid w:val="00806320"/>
    <w:rsid w:val="00806F5F"/>
    <w:rsid w:val="008143E7"/>
    <w:rsid w:val="0081485D"/>
    <w:rsid w:val="00814DF4"/>
    <w:rsid w:val="008152ED"/>
    <w:rsid w:val="008153DE"/>
    <w:rsid w:val="00816246"/>
    <w:rsid w:val="00816A04"/>
    <w:rsid w:val="008172C2"/>
    <w:rsid w:val="00817502"/>
    <w:rsid w:val="008177FC"/>
    <w:rsid w:val="00821676"/>
    <w:rsid w:val="008241F5"/>
    <w:rsid w:val="00825794"/>
    <w:rsid w:val="00836BB0"/>
    <w:rsid w:val="0084584F"/>
    <w:rsid w:val="00850544"/>
    <w:rsid w:val="0085580F"/>
    <w:rsid w:val="008558F5"/>
    <w:rsid w:val="00856144"/>
    <w:rsid w:val="0085741E"/>
    <w:rsid w:val="0086362E"/>
    <w:rsid w:val="00864081"/>
    <w:rsid w:val="0086694B"/>
    <w:rsid w:val="0086695F"/>
    <w:rsid w:val="00866F18"/>
    <w:rsid w:val="008707DA"/>
    <w:rsid w:val="00871D83"/>
    <w:rsid w:val="00871F84"/>
    <w:rsid w:val="00871FBC"/>
    <w:rsid w:val="00872FD4"/>
    <w:rsid w:val="0087530B"/>
    <w:rsid w:val="008817B8"/>
    <w:rsid w:val="00885617"/>
    <w:rsid w:val="0089069D"/>
    <w:rsid w:val="00890EF1"/>
    <w:rsid w:val="00892EDA"/>
    <w:rsid w:val="008A14B9"/>
    <w:rsid w:val="008A1996"/>
    <w:rsid w:val="008A1C4D"/>
    <w:rsid w:val="008A3B73"/>
    <w:rsid w:val="008A499F"/>
    <w:rsid w:val="008A71A1"/>
    <w:rsid w:val="008B1891"/>
    <w:rsid w:val="008B309E"/>
    <w:rsid w:val="008B3CE6"/>
    <w:rsid w:val="008B4513"/>
    <w:rsid w:val="008B488C"/>
    <w:rsid w:val="008B55F7"/>
    <w:rsid w:val="008B66E8"/>
    <w:rsid w:val="008B6D77"/>
    <w:rsid w:val="008C150B"/>
    <w:rsid w:val="008C2CF4"/>
    <w:rsid w:val="008C38C1"/>
    <w:rsid w:val="008C5A4F"/>
    <w:rsid w:val="008D0ACD"/>
    <w:rsid w:val="008D0B06"/>
    <w:rsid w:val="008D2F64"/>
    <w:rsid w:val="008D4DCA"/>
    <w:rsid w:val="008D5130"/>
    <w:rsid w:val="008D65CF"/>
    <w:rsid w:val="008D6F4D"/>
    <w:rsid w:val="008D7C9A"/>
    <w:rsid w:val="008E085A"/>
    <w:rsid w:val="008E141B"/>
    <w:rsid w:val="008E2365"/>
    <w:rsid w:val="008E4B0B"/>
    <w:rsid w:val="008E6BCD"/>
    <w:rsid w:val="008F1E3A"/>
    <w:rsid w:val="008F25D3"/>
    <w:rsid w:val="008F3657"/>
    <w:rsid w:val="008F46D0"/>
    <w:rsid w:val="008F4EB6"/>
    <w:rsid w:val="008F4FC4"/>
    <w:rsid w:val="008F56C2"/>
    <w:rsid w:val="008F68A3"/>
    <w:rsid w:val="00900DC3"/>
    <w:rsid w:val="009023B5"/>
    <w:rsid w:val="009035BD"/>
    <w:rsid w:val="00903712"/>
    <w:rsid w:val="00903900"/>
    <w:rsid w:val="00904783"/>
    <w:rsid w:val="00904E47"/>
    <w:rsid w:val="00906719"/>
    <w:rsid w:val="00907346"/>
    <w:rsid w:val="009107FD"/>
    <w:rsid w:val="009113A7"/>
    <w:rsid w:val="009127D7"/>
    <w:rsid w:val="00913FF2"/>
    <w:rsid w:val="00920EC0"/>
    <w:rsid w:val="00921A43"/>
    <w:rsid w:val="0092330F"/>
    <w:rsid w:val="00923F47"/>
    <w:rsid w:val="00924F58"/>
    <w:rsid w:val="009260BC"/>
    <w:rsid w:val="00926A92"/>
    <w:rsid w:val="0093005E"/>
    <w:rsid w:val="009321B5"/>
    <w:rsid w:val="00932226"/>
    <w:rsid w:val="00937B1B"/>
    <w:rsid w:val="00937C61"/>
    <w:rsid w:val="00943185"/>
    <w:rsid w:val="0094360F"/>
    <w:rsid w:val="0094788E"/>
    <w:rsid w:val="00952412"/>
    <w:rsid w:val="0095299A"/>
    <w:rsid w:val="00953C38"/>
    <w:rsid w:val="00955796"/>
    <w:rsid w:val="009672DE"/>
    <w:rsid w:val="00970180"/>
    <w:rsid w:val="009703AD"/>
    <w:rsid w:val="00970D5A"/>
    <w:rsid w:val="00970FE5"/>
    <w:rsid w:val="00977BA6"/>
    <w:rsid w:val="0098290B"/>
    <w:rsid w:val="009854E8"/>
    <w:rsid w:val="009871F8"/>
    <w:rsid w:val="00990815"/>
    <w:rsid w:val="00990E76"/>
    <w:rsid w:val="009927A8"/>
    <w:rsid w:val="009939BB"/>
    <w:rsid w:val="00994FBE"/>
    <w:rsid w:val="00996CCF"/>
    <w:rsid w:val="009A2ECF"/>
    <w:rsid w:val="009A4081"/>
    <w:rsid w:val="009A656F"/>
    <w:rsid w:val="009A6CC9"/>
    <w:rsid w:val="009B0F42"/>
    <w:rsid w:val="009B15B3"/>
    <w:rsid w:val="009B425A"/>
    <w:rsid w:val="009B547A"/>
    <w:rsid w:val="009B5CAC"/>
    <w:rsid w:val="009B7DD8"/>
    <w:rsid w:val="009B7EAC"/>
    <w:rsid w:val="009C2656"/>
    <w:rsid w:val="009C26D0"/>
    <w:rsid w:val="009D2B1C"/>
    <w:rsid w:val="009D3DBD"/>
    <w:rsid w:val="009D57C3"/>
    <w:rsid w:val="009E02EF"/>
    <w:rsid w:val="009E0797"/>
    <w:rsid w:val="009E1C3D"/>
    <w:rsid w:val="009E2011"/>
    <w:rsid w:val="009E2DB0"/>
    <w:rsid w:val="009E34AE"/>
    <w:rsid w:val="009E67B7"/>
    <w:rsid w:val="009F1600"/>
    <w:rsid w:val="009F2086"/>
    <w:rsid w:val="009F3C10"/>
    <w:rsid w:val="009F56C1"/>
    <w:rsid w:val="009F7570"/>
    <w:rsid w:val="00A00B51"/>
    <w:rsid w:val="00A02E3B"/>
    <w:rsid w:val="00A03087"/>
    <w:rsid w:val="00A0662A"/>
    <w:rsid w:val="00A1167C"/>
    <w:rsid w:val="00A139D8"/>
    <w:rsid w:val="00A15CE5"/>
    <w:rsid w:val="00A16BAC"/>
    <w:rsid w:val="00A23403"/>
    <w:rsid w:val="00A23838"/>
    <w:rsid w:val="00A244B3"/>
    <w:rsid w:val="00A24AE9"/>
    <w:rsid w:val="00A317D3"/>
    <w:rsid w:val="00A32339"/>
    <w:rsid w:val="00A324F1"/>
    <w:rsid w:val="00A32C60"/>
    <w:rsid w:val="00A32F49"/>
    <w:rsid w:val="00A332DD"/>
    <w:rsid w:val="00A335CF"/>
    <w:rsid w:val="00A3559B"/>
    <w:rsid w:val="00A400FF"/>
    <w:rsid w:val="00A40FCB"/>
    <w:rsid w:val="00A44035"/>
    <w:rsid w:val="00A44638"/>
    <w:rsid w:val="00A46CA4"/>
    <w:rsid w:val="00A46D88"/>
    <w:rsid w:val="00A4760A"/>
    <w:rsid w:val="00A525C9"/>
    <w:rsid w:val="00A566DE"/>
    <w:rsid w:val="00A57425"/>
    <w:rsid w:val="00A60420"/>
    <w:rsid w:val="00A619A0"/>
    <w:rsid w:val="00A62BD3"/>
    <w:rsid w:val="00A6437D"/>
    <w:rsid w:val="00A64418"/>
    <w:rsid w:val="00A71835"/>
    <w:rsid w:val="00A72BC1"/>
    <w:rsid w:val="00A759CA"/>
    <w:rsid w:val="00A76156"/>
    <w:rsid w:val="00A77181"/>
    <w:rsid w:val="00A805FC"/>
    <w:rsid w:val="00A875C4"/>
    <w:rsid w:val="00A91C5C"/>
    <w:rsid w:val="00A92525"/>
    <w:rsid w:val="00A9482B"/>
    <w:rsid w:val="00A95245"/>
    <w:rsid w:val="00A969B3"/>
    <w:rsid w:val="00A96AA7"/>
    <w:rsid w:val="00AA1289"/>
    <w:rsid w:val="00AA1851"/>
    <w:rsid w:val="00AA2302"/>
    <w:rsid w:val="00AA662F"/>
    <w:rsid w:val="00AA7C30"/>
    <w:rsid w:val="00AB03C9"/>
    <w:rsid w:val="00AB6EAC"/>
    <w:rsid w:val="00AC0728"/>
    <w:rsid w:val="00AC08B9"/>
    <w:rsid w:val="00AC0C39"/>
    <w:rsid w:val="00AC0D98"/>
    <w:rsid w:val="00AC3EC7"/>
    <w:rsid w:val="00AC3FE7"/>
    <w:rsid w:val="00AC7F57"/>
    <w:rsid w:val="00AD0927"/>
    <w:rsid w:val="00AD599F"/>
    <w:rsid w:val="00AE3AF3"/>
    <w:rsid w:val="00AE733D"/>
    <w:rsid w:val="00AF1E8C"/>
    <w:rsid w:val="00AF2DB7"/>
    <w:rsid w:val="00AF7CEB"/>
    <w:rsid w:val="00B02D1F"/>
    <w:rsid w:val="00B03AF7"/>
    <w:rsid w:val="00B03BA4"/>
    <w:rsid w:val="00B056C7"/>
    <w:rsid w:val="00B10F7D"/>
    <w:rsid w:val="00B145B2"/>
    <w:rsid w:val="00B16E82"/>
    <w:rsid w:val="00B1728F"/>
    <w:rsid w:val="00B2054C"/>
    <w:rsid w:val="00B20D58"/>
    <w:rsid w:val="00B21D0D"/>
    <w:rsid w:val="00B22B54"/>
    <w:rsid w:val="00B23510"/>
    <w:rsid w:val="00B262F2"/>
    <w:rsid w:val="00B27156"/>
    <w:rsid w:val="00B32C14"/>
    <w:rsid w:val="00B340E8"/>
    <w:rsid w:val="00B4240A"/>
    <w:rsid w:val="00B44167"/>
    <w:rsid w:val="00B46BBB"/>
    <w:rsid w:val="00B51FAF"/>
    <w:rsid w:val="00B523AC"/>
    <w:rsid w:val="00B5475F"/>
    <w:rsid w:val="00B55B66"/>
    <w:rsid w:val="00B55F37"/>
    <w:rsid w:val="00B56206"/>
    <w:rsid w:val="00B5639D"/>
    <w:rsid w:val="00B56BC3"/>
    <w:rsid w:val="00B578AC"/>
    <w:rsid w:val="00B57DF9"/>
    <w:rsid w:val="00B6196E"/>
    <w:rsid w:val="00B61E1E"/>
    <w:rsid w:val="00B62067"/>
    <w:rsid w:val="00B64DE1"/>
    <w:rsid w:val="00B66BE4"/>
    <w:rsid w:val="00B670F5"/>
    <w:rsid w:val="00B75073"/>
    <w:rsid w:val="00B7516F"/>
    <w:rsid w:val="00B7531F"/>
    <w:rsid w:val="00B770C1"/>
    <w:rsid w:val="00B77D89"/>
    <w:rsid w:val="00B8596D"/>
    <w:rsid w:val="00B8650E"/>
    <w:rsid w:val="00B91E8E"/>
    <w:rsid w:val="00B93530"/>
    <w:rsid w:val="00B93F8E"/>
    <w:rsid w:val="00B95274"/>
    <w:rsid w:val="00B95656"/>
    <w:rsid w:val="00B95873"/>
    <w:rsid w:val="00B95FE9"/>
    <w:rsid w:val="00B9644A"/>
    <w:rsid w:val="00B96BB4"/>
    <w:rsid w:val="00B975CE"/>
    <w:rsid w:val="00B97721"/>
    <w:rsid w:val="00BA1397"/>
    <w:rsid w:val="00BA24DF"/>
    <w:rsid w:val="00BA53F8"/>
    <w:rsid w:val="00BA563F"/>
    <w:rsid w:val="00BA711F"/>
    <w:rsid w:val="00BA755D"/>
    <w:rsid w:val="00BA7A87"/>
    <w:rsid w:val="00BB08D5"/>
    <w:rsid w:val="00BB262A"/>
    <w:rsid w:val="00BB288C"/>
    <w:rsid w:val="00BB2E1E"/>
    <w:rsid w:val="00BB497F"/>
    <w:rsid w:val="00BB5D86"/>
    <w:rsid w:val="00BB5EA4"/>
    <w:rsid w:val="00BB5FAF"/>
    <w:rsid w:val="00BC0778"/>
    <w:rsid w:val="00BC318D"/>
    <w:rsid w:val="00BC3F41"/>
    <w:rsid w:val="00BC43FD"/>
    <w:rsid w:val="00BC6AFA"/>
    <w:rsid w:val="00BD0E1D"/>
    <w:rsid w:val="00BD4F4D"/>
    <w:rsid w:val="00BE06CE"/>
    <w:rsid w:val="00BE0E1E"/>
    <w:rsid w:val="00BE14E9"/>
    <w:rsid w:val="00BE1740"/>
    <w:rsid w:val="00BE1DBA"/>
    <w:rsid w:val="00BE358B"/>
    <w:rsid w:val="00BE3886"/>
    <w:rsid w:val="00BE62DF"/>
    <w:rsid w:val="00BE7F93"/>
    <w:rsid w:val="00BF0E58"/>
    <w:rsid w:val="00BF2C7B"/>
    <w:rsid w:val="00BF354C"/>
    <w:rsid w:val="00BF6B67"/>
    <w:rsid w:val="00C00235"/>
    <w:rsid w:val="00C009A2"/>
    <w:rsid w:val="00C00F87"/>
    <w:rsid w:val="00C10EE1"/>
    <w:rsid w:val="00C16354"/>
    <w:rsid w:val="00C16855"/>
    <w:rsid w:val="00C168C4"/>
    <w:rsid w:val="00C1732F"/>
    <w:rsid w:val="00C2106D"/>
    <w:rsid w:val="00C24841"/>
    <w:rsid w:val="00C254B2"/>
    <w:rsid w:val="00C25BB1"/>
    <w:rsid w:val="00C26961"/>
    <w:rsid w:val="00C26BA0"/>
    <w:rsid w:val="00C26EB1"/>
    <w:rsid w:val="00C30076"/>
    <w:rsid w:val="00C3139B"/>
    <w:rsid w:val="00C32D48"/>
    <w:rsid w:val="00C33DFE"/>
    <w:rsid w:val="00C34DFE"/>
    <w:rsid w:val="00C36304"/>
    <w:rsid w:val="00C36893"/>
    <w:rsid w:val="00C37202"/>
    <w:rsid w:val="00C429E6"/>
    <w:rsid w:val="00C44D5F"/>
    <w:rsid w:val="00C44F1B"/>
    <w:rsid w:val="00C50D73"/>
    <w:rsid w:val="00C54D02"/>
    <w:rsid w:val="00C54ED5"/>
    <w:rsid w:val="00C5647D"/>
    <w:rsid w:val="00C56B75"/>
    <w:rsid w:val="00C57260"/>
    <w:rsid w:val="00C60BBC"/>
    <w:rsid w:val="00C61FFB"/>
    <w:rsid w:val="00C644F7"/>
    <w:rsid w:val="00C651AB"/>
    <w:rsid w:val="00C65E4D"/>
    <w:rsid w:val="00C66672"/>
    <w:rsid w:val="00C66873"/>
    <w:rsid w:val="00C66F60"/>
    <w:rsid w:val="00C71B2C"/>
    <w:rsid w:val="00C71DB2"/>
    <w:rsid w:val="00C72590"/>
    <w:rsid w:val="00C73185"/>
    <w:rsid w:val="00C81A3D"/>
    <w:rsid w:val="00C84762"/>
    <w:rsid w:val="00C8583C"/>
    <w:rsid w:val="00C87449"/>
    <w:rsid w:val="00C91AB4"/>
    <w:rsid w:val="00C91F43"/>
    <w:rsid w:val="00C93F30"/>
    <w:rsid w:val="00C944BD"/>
    <w:rsid w:val="00C9551C"/>
    <w:rsid w:val="00C97A51"/>
    <w:rsid w:val="00CA05DA"/>
    <w:rsid w:val="00CA3B85"/>
    <w:rsid w:val="00CA43C0"/>
    <w:rsid w:val="00CA5E67"/>
    <w:rsid w:val="00CA6100"/>
    <w:rsid w:val="00CB5C21"/>
    <w:rsid w:val="00CB6ABA"/>
    <w:rsid w:val="00CC4879"/>
    <w:rsid w:val="00CC59A5"/>
    <w:rsid w:val="00CC6BBE"/>
    <w:rsid w:val="00CD0D0D"/>
    <w:rsid w:val="00CD277D"/>
    <w:rsid w:val="00CD4B35"/>
    <w:rsid w:val="00CE1611"/>
    <w:rsid w:val="00CE1A16"/>
    <w:rsid w:val="00CE25EE"/>
    <w:rsid w:val="00CE2EA1"/>
    <w:rsid w:val="00CE3A82"/>
    <w:rsid w:val="00CE48AF"/>
    <w:rsid w:val="00CE53F1"/>
    <w:rsid w:val="00CE586B"/>
    <w:rsid w:val="00CE595C"/>
    <w:rsid w:val="00CE60AF"/>
    <w:rsid w:val="00CE6A61"/>
    <w:rsid w:val="00CF0A9B"/>
    <w:rsid w:val="00CF3871"/>
    <w:rsid w:val="00CF42E4"/>
    <w:rsid w:val="00CF669C"/>
    <w:rsid w:val="00CF7596"/>
    <w:rsid w:val="00D011BF"/>
    <w:rsid w:val="00D022F9"/>
    <w:rsid w:val="00D03E13"/>
    <w:rsid w:val="00D041AD"/>
    <w:rsid w:val="00D0464D"/>
    <w:rsid w:val="00D0496A"/>
    <w:rsid w:val="00D05710"/>
    <w:rsid w:val="00D065CD"/>
    <w:rsid w:val="00D070B4"/>
    <w:rsid w:val="00D10659"/>
    <w:rsid w:val="00D1302B"/>
    <w:rsid w:val="00D14AE7"/>
    <w:rsid w:val="00D16597"/>
    <w:rsid w:val="00D16916"/>
    <w:rsid w:val="00D1729A"/>
    <w:rsid w:val="00D17D2D"/>
    <w:rsid w:val="00D205F2"/>
    <w:rsid w:val="00D20A56"/>
    <w:rsid w:val="00D25770"/>
    <w:rsid w:val="00D26BE6"/>
    <w:rsid w:val="00D272B7"/>
    <w:rsid w:val="00D31192"/>
    <w:rsid w:val="00D3596E"/>
    <w:rsid w:val="00D36893"/>
    <w:rsid w:val="00D37308"/>
    <w:rsid w:val="00D3769B"/>
    <w:rsid w:val="00D40BD9"/>
    <w:rsid w:val="00D4117D"/>
    <w:rsid w:val="00D4248A"/>
    <w:rsid w:val="00D44175"/>
    <w:rsid w:val="00D44823"/>
    <w:rsid w:val="00D44B53"/>
    <w:rsid w:val="00D4634E"/>
    <w:rsid w:val="00D46DE2"/>
    <w:rsid w:val="00D501A2"/>
    <w:rsid w:val="00D5137C"/>
    <w:rsid w:val="00D51921"/>
    <w:rsid w:val="00D52B79"/>
    <w:rsid w:val="00D53859"/>
    <w:rsid w:val="00D549AD"/>
    <w:rsid w:val="00D56161"/>
    <w:rsid w:val="00D571CC"/>
    <w:rsid w:val="00D60109"/>
    <w:rsid w:val="00D6081A"/>
    <w:rsid w:val="00D60853"/>
    <w:rsid w:val="00D611DF"/>
    <w:rsid w:val="00D613B8"/>
    <w:rsid w:val="00D616F2"/>
    <w:rsid w:val="00D63B28"/>
    <w:rsid w:val="00D6455B"/>
    <w:rsid w:val="00D67EBA"/>
    <w:rsid w:val="00D80EFA"/>
    <w:rsid w:val="00D81F0A"/>
    <w:rsid w:val="00D82D29"/>
    <w:rsid w:val="00D8503B"/>
    <w:rsid w:val="00D92681"/>
    <w:rsid w:val="00D928BE"/>
    <w:rsid w:val="00D9376F"/>
    <w:rsid w:val="00D963DB"/>
    <w:rsid w:val="00D97B7C"/>
    <w:rsid w:val="00DA0DE0"/>
    <w:rsid w:val="00DA336F"/>
    <w:rsid w:val="00DA57BE"/>
    <w:rsid w:val="00DB03C5"/>
    <w:rsid w:val="00DB4942"/>
    <w:rsid w:val="00DB79FF"/>
    <w:rsid w:val="00DC16B3"/>
    <w:rsid w:val="00DC3EFE"/>
    <w:rsid w:val="00DC743F"/>
    <w:rsid w:val="00DD12F3"/>
    <w:rsid w:val="00DD464D"/>
    <w:rsid w:val="00DD49B4"/>
    <w:rsid w:val="00DD60D4"/>
    <w:rsid w:val="00DD74D5"/>
    <w:rsid w:val="00DD7FFC"/>
    <w:rsid w:val="00DE0C7F"/>
    <w:rsid w:val="00DE15FF"/>
    <w:rsid w:val="00DF0794"/>
    <w:rsid w:val="00DF0C83"/>
    <w:rsid w:val="00DF2037"/>
    <w:rsid w:val="00DF5AD9"/>
    <w:rsid w:val="00DF5FBD"/>
    <w:rsid w:val="00DF60B9"/>
    <w:rsid w:val="00E052CE"/>
    <w:rsid w:val="00E0540D"/>
    <w:rsid w:val="00E05E47"/>
    <w:rsid w:val="00E06396"/>
    <w:rsid w:val="00E07EF4"/>
    <w:rsid w:val="00E10A1D"/>
    <w:rsid w:val="00E14D2F"/>
    <w:rsid w:val="00E171DE"/>
    <w:rsid w:val="00E17AAC"/>
    <w:rsid w:val="00E23298"/>
    <w:rsid w:val="00E24365"/>
    <w:rsid w:val="00E2493C"/>
    <w:rsid w:val="00E2496E"/>
    <w:rsid w:val="00E24AA5"/>
    <w:rsid w:val="00E27611"/>
    <w:rsid w:val="00E334DC"/>
    <w:rsid w:val="00E33964"/>
    <w:rsid w:val="00E33E9B"/>
    <w:rsid w:val="00E33FC7"/>
    <w:rsid w:val="00E35CB5"/>
    <w:rsid w:val="00E3642B"/>
    <w:rsid w:val="00E369C0"/>
    <w:rsid w:val="00E3722E"/>
    <w:rsid w:val="00E4057D"/>
    <w:rsid w:val="00E406F7"/>
    <w:rsid w:val="00E4692D"/>
    <w:rsid w:val="00E477AF"/>
    <w:rsid w:val="00E5026E"/>
    <w:rsid w:val="00E52D4A"/>
    <w:rsid w:val="00E53692"/>
    <w:rsid w:val="00E60C9A"/>
    <w:rsid w:val="00E63BF2"/>
    <w:rsid w:val="00E63D35"/>
    <w:rsid w:val="00E70329"/>
    <w:rsid w:val="00E718D0"/>
    <w:rsid w:val="00E7359A"/>
    <w:rsid w:val="00E73BD9"/>
    <w:rsid w:val="00E7505C"/>
    <w:rsid w:val="00E76C2A"/>
    <w:rsid w:val="00E76E51"/>
    <w:rsid w:val="00E81DFB"/>
    <w:rsid w:val="00E82F94"/>
    <w:rsid w:val="00E8350C"/>
    <w:rsid w:val="00E8467C"/>
    <w:rsid w:val="00E853CB"/>
    <w:rsid w:val="00E8589E"/>
    <w:rsid w:val="00E85BD5"/>
    <w:rsid w:val="00E90F23"/>
    <w:rsid w:val="00E90F28"/>
    <w:rsid w:val="00E95860"/>
    <w:rsid w:val="00E966BD"/>
    <w:rsid w:val="00E9775F"/>
    <w:rsid w:val="00EA361C"/>
    <w:rsid w:val="00EA38E0"/>
    <w:rsid w:val="00EA3D99"/>
    <w:rsid w:val="00EA4407"/>
    <w:rsid w:val="00EA782A"/>
    <w:rsid w:val="00EB0DDF"/>
    <w:rsid w:val="00EB3EB7"/>
    <w:rsid w:val="00EB4142"/>
    <w:rsid w:val="00EB5D7F"/>
    <w:rsid w:val="00EB7EC0"/>
    <w:rsid w:val="00EC15D1"/>
    <w:rsid w:val="00EC161E"/>
    <w:rsid w:val="00EC7E53"/>
    <w:rsid w:val="00EC7F98"/>
    <w:rsid w:val="00ED1DDE"/>
    <w:rsid w:val="00ED1E74"/>
    <w:rsid w:val="00ED2FE2"/>
    <w:rsid w:val="00ED5462"/>
    <w:rsid w:val="00ED7074"/>
    <w:rsid w:val="00ED72D9"/>
    <w:rsid w:val="00ED733C"/>
    <w:rsid w:val="00ED7810"/>
    <w:rsid w:val="00EE3360"/>
    <w:rsid w:val="00EE486E"/>
    <w:rsid w:val="00EE7318"/>
    <w:rsid w:val="00EF1364"/>
    <w:rsid w:val="00EF2E18"/>
    <w:rsid w:val="00EF7CC7"/>
    <w:rsid w:val="00F00883"/>
    <w:rsid w:val="00F02BE3"/>
    <w:rsid w:val="00F03651"/>
    <w:rsid w:val="00F05C95"/>
    <w:rsid w:val="00F067C4"/>
    <w:rsid w:val="00F103FB"/>
    <w:rsid w:val="00F128F4"/>
    <w:rsid w:val="00F14A45"/>
    <w:rsid w:val="00F15710"/>
    <w:rsid w:val="00F20302"/>
    <w:rsid w:val="00F20A90"/>
    <w:rsid w:val="00F21A1F"/>
    <w:rsid w:val="00F2336F"/>
    <w:rsid w:val="00F24506"/>
    <w:rsid w:val="00F2612F"/>
    <w:rsid w:val="00F27CEC"/>
    <w:rsid w:val="00F30C41"/>
    <w:rsid w:val="00F31ED3"/>
    <w:rsid w:val="00F32D15"/>
    <w:rsid w:val="00F34F8A"/>
    <w:rsid w:val="00F3567E"/>
    <w:rsid w:val="00F3594D"/>
    <w:rsid w:val="00F360A2"/>
    <w:rsid w:val="00F40AA4"/>
    <w:rsid w:val="00F415CF"/>
    <w:rsid w:val="00F42FE6"/>
    <w:rsid w:val="00F4665A"/>
    <w:rsid w:val="00F47114"/>
    <w:rsid w:val="00F50984"/>
    <w:rsid w:val="00F5139B"/>
    <w:rsid w:val="00F51E8C"/>
    <w:rsid w:val="00F53E40"/>
    <w:rsid w:val="00F560B1"/>
    <w:rsid w:val="00F60360"/>
    <w:rsid w:val="00F63E2E"/>
    <w:rsid w:val="00F643A5"/>
    <w:rsid w:val="00F70AFC"/>
    <w:rsid w:val="00F71C07"/>
    <w:rsid w:val="00F74B21"/>
    <w:rsid w:val="00F830B5"/>
    <w:rsid w:val="00F8465C"/>
    <w:rsid w:val="00F846E0"/>
    <w:rsid w:val="00F8476C"/>
    <w:rsid w:val="00F87884"/>
    <w:rsid w:val="00F905BF"/>
    <w:rsid w:val="00F91178"/>
    <w:rsid w:val="00F92F7D"/>
    <w:rsid w:val="00F93D3B"/>
    <w:rsid w:val="00F961C3"/>
    <w:rsid w:val="00F96523"/>
    <w:rsid w:val="00FA081D"/>
    <w:rsid w:val="00FA187B"/>
    <w:rsid w:val="00FA1E4A"/>
    <w:rsid w:val="00FA1F0E"/>
    <w:rsid w:val="00FA5EAB"/>
    <w:rsid w:val="00FA6F11"/>
    <w:rsid w:val="00FB2A86"/>
    <w:rsid w:val="00FC0926"/>
    <w:rsid w:val="00FC3717"/>
    <w:rsid w:val="00FC3C0C"/>
    <w:rsid w:val="00FC5816"/>
    <w:rsid w:val="00FC590C"/>
    <w:rsid w:val="00FC5AD8"/>
    <w:rsid w:val="00FC6AE8"/>
    <w:rsid w:val="00FC7E47"/>
    <w:rsid w:val="00FD08EB"/>
    <w:rsid w:val="00FD0D0C"/>
    <w:rsid w:val="00FD5AD4"/>
    <w:rsid w:val="00FD5B2F"/>
    <w:rsid w:val="00FD64F3"/>
    <w:rsid w:val="00FD6765"/>
    <w:rsid w:val="00FD6B9B"/>
    <w:rsid w:val="00FE09A8"/>
    <w:rsid w:val="00FE3492"/>
    <w:rsid w:val="00FE43B9"/>
    <w:rsid w:val="00FE607C"/>
    <w:rsid w:val="00FE7416"/>
  </w:rsids>
  <m:mathPr>
    <m:mathFont m:val="Cambria Math"/>
    <m:brkBin m:val="before"/>
    <m:brkBinSub m:val="--"/>
    <m:smallFrac m:val="0"/>
    <m:dispDef/>
    <m:lMargin m:val="0"/>
    <m:rMargin m:val="0"/>
    <m:defJc m:val="centerGroup"/>
    <m:wrapIndent m:val="1440"/>
    <m:intLim m:val="subSup"/>
    <m:naryLim m:val="undOvr"/>
  </m:mathPr>
  <w:themeFontLang w:val="es-E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CE7"/>
    <w:rPr>
      <w:color w:val="0000FF"/>
      <w:u w:val="single"/>
    </w:rPr>
  </w:style>
  <w:style w:type="character" w:styleId="FollowedHyperlink">
    <w:name w:val="FollowedHyperlink"/>
    <w:basedOn w:val="DefaultParagraphFont"/>
    <w:uiPriority w:val="99"/>
    <w:semiHidden/>
    <w:unhideWhenUsed/>
    <w:rsid w:val="00FE3492"/>
    <w:rPr>
      <w:color w:val="800080" w:themeColor="followedHyperlink"/>
      <w:u w:val="single"/>
    </w:rPr>
  </w:style>
  <w:style w:type="paragraph" w:customStyle="1" w:styleId="Default">
    <w:name w:val="Default"/>
    <w:rsid w:val="00FE34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7318"/>
    <w:pPr>
      <w:ind w:left="720"/>
      <w:contextualSpacing/>
    </w:pPr>
  </w:style>
  <w:style w:type="paragraph" w:styleId="BalloonText">
    <w:name w:val="Balloon Text"/>
    <w:basedOn w:val="Normal"/>
    <w:link w:val="BalloonTextChar"/>
    <w:uiPriority w:val="99"/>
    <w:semiHidden/>
    <w:unhideWhenUsed/>
    <w:rsid w:val="006E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F68"/>
    <w:rPr>
      <w:rFonts w:ascii="Segoe UI" w:hAnsi="Segoe UI" w:cs="Segoe UI"/>
      <w:sz w:val="18"/>
      <w:szCs w:val="18"/>
    </w:rPr>
  </w:style>
  <w:style w:type="paragraph" w:styleId="FootnoteText">
    <w:name w:val="footnote text"/>
    <w:basedOn w:val="Normal"/>
    <w:link w:val="FootnoteTextChar"/>
    <w:uiPriority w:val="99"/>
    <w:semiHidden/>
    <w:unhideWhenUsed/>
    <w:rsid w:val="00371071"/>
    <w:pPr>
      <w:spacing w:after="0" w:line="240" w:lineRule="auto"/>
    </w:pPr>
    <w:rPr>
      <w:sz w:val="20"/>
      <w:szCs w:val="20"/>
      <w:lang w:eastAsia="es-ES"/>
    </w:rPr>
  </w:style>
  <w:style w:type="character" w:customStyle="1" w:styleId="FootnoteTextChar">
    <w:name w:val="Footnote Text Char"/>
    <w:basedOn w:val="DefaultParagraphFont"/>
    <w:link w:val="FootnoteText"/>
    <w:uiPriority w:val="99"/>
    <w:semiHidden/>
    <w:rsid w:val="00371071"/>
    <w:rPr>
      <w:sz w:val="20"/>
      <w:szCs w:val="20"/>
      <w:lang w:eastAsia="es-ES"/>
    </w:rPr>
  </w:style>
  <w:style w:type="character" w:styleId="FootnoteReference">
    <w:name w:val="footnote reference"/>
    <w:basedOn w:val="DefaultParagraphFont"/>
    <w:uiPriority w:val="99"/>
    <w:semiHidden/>
    <w:unhideWhenUsed/>
    <w:rsid w:val="00371071"/>
    <w:rPr>
      <w:vertAlign w:val="superscript"/>
    </w:rPr>
  </w:style>
  <w:style w:type="character" w:styleId="CommentReference">
    <w:name w:val="annotation reference"/>
    <w:basedOn w:val="DefaultParagraphFont"/>
    <w:uiPriority w:val="99"/>
    <w:semiHidden/>
    <w:unhideWhenUsed/>
    <w:rsid w:val="006D4A6A"/>
    <w:rPr>
      <w:sz w:val="16"/>
      <w:szCs w:val="16"/>
    </w:rPr>
  </w:style>
  <w:style w:type="paragraph" w:styleId="CommentText">
    <w:name w:val="annotation text"/>
    <w:basedOn w:val="Normal"/>
    <w:link w:val="CommentTextChar"/>
    <w:uiPriority w:val="99"/>
    <w:semiHidden/>
    <w:unhideWhenUsed/>
    <w:rsid w:val="006D4A6A"/>
    <w:pPr>
      <w:spacing w:line="240" w:lineRule="auto"/>
    </w:pPr>
    <w:rPr>
      <w:sz w:val="20"/>
      <w:szCs w:val="20"/>
    </w:rPr>
  </w:style>
  <w:style w:type="character" w:customStyle="1" w:styleId="CommentTextChar">
    <w:name w:val="Comment Text Char"/>
    <w:basedOn w:val="DefaultParagraphFont"/>
    <w:link w:val="CommentText"/>
    <w:uiPriority w:val="99"/>
    <w:semiHidden/>
    <w:rsid w:val="006D4A6A"/>
    <w:rPr>
      <w:sz w:val="20"/>
      <w:szCs w:val="20"/>
    </w:rPr>
  </w:style>
  <w:style w:type="paragraph" w:styleId="CommentSubject">
    <w:name w:val="annotation subject"/>
    <w:basedOn w:val="CommentText"/>
    <w:next w:val="CommentText"/>
    <w:link w:val="CommentSubjectChar"/>
    <w:uiPriority w:val="99"/>
    <w:semiHidden/>
    <w:unhideWhenUsed/>
    <w:rsid w:val="006D4A6A"/>
    <w:rPr>
      <w:b/>
      <w:bCs/>
    </w:rPr>
  </w:style>
  <w:style w:type="character" w:customStyle="1" w:styleId="CommentSubjectChar">
    <w:name w:val="Comment Subject Char"/>
    <w:basedOn w:val="CommentTextChar"/>
    <w:link w:val="CommentSubject"/>
    <w:uiPriority w:val="99"/>
    <w:semiHidden/>
    <w:rsid w:val="006D4A6A"/>
    <w:rPr>
      <w:b/>
      <w:bCs/>
      <w:sz w:val="20"/>
      <w:szCs w:val="20"/>
    </w:rPr>
  </w:style>
  <w:style w:type="table" w:styleId="TableGrid">
    <w:name w:val="Table Grid"/>
    <w:basedOn w:val="TableNormal"/>
    <w:uiPriority w:val="59"/>
    <w:rsid w:val="00B55B6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5B66"/>
  </w:style>
  <w:style w:type="paragraph" w:styleId="Revision">
    <w:name w:val="Revision"/>
    <w:hidden/>
    <w:uiPriority w:val="99"/>
    <w:semiHidden/>
    <w:rsid w:val="0036284C"/>
    <w:pPr>
      <w:spacing w:after="0" w:line="240" w:lineRule="auto"/>
    </w:pPr>
  </w:style>
  <w:style w:type="character" w:customStyle="1" w:styleId="bibauth">
    <w:name w:val="bib_auth"/>
    <w:basedOn w:val="DefaultParagraphFont"/>
    <w:rsid w:val="007477BB"/>
  </w:style>
  <w:style w:type="character" w:customStyle="1" w:styleId="bibyear">
    <w:name w:val="bib_year"/>
    <w:basedOn w:val="DefaultParagraphFont"/>
    <w:rsid w:val="007477BB"/>
  </w:style>
  <w:style w:type="character" w:customStyle="1" w:styleId="bibbookchtitle">
    <w:name w:val="bib_bookch_title"/>
    <w:basedOn w:val="DefaultParagraphFont"/>
    <w:rsid w:val="007477BB"/>
  </w:style>
  <w:style w:type="character" w:customStyle="1" w:styleId="bibeds">
    <w:name w:val="bib_eds"/>
    <w:basedOn w:val="DefaultParagraphFont"/>
    <w:rsid w:val="007477BB"/>
  </w:style>
  <w:style w:type="character" w:customStyle="1" w:styleId="bibbktitlechap">
    <w:name w:val="bib_bktitle_chap"/>
    <w:basedOn w:val="DefaultParagraphFont"/>
    <w:rsid w:val="007477BB"/>
  </w:style>
  <w:style w:type="character" w:customStyle="1" w:styleId="bibpub">
    <w:name w:val="bib_pub"/>
    <w:basedOn w:val="DefaultParagraphFont"/>
    <w:rsid w:val="007477BB"/>
  </w:style>
  <w:style w:type="character" w:customStyle="1" w:styleId="bibpubloc">
    <w:name w:val="bib_publoc"/>
    <w:basedOn w:val="DefaultParagraphFont"/>
    <w:rsid w:val="007477BB"/>
  </w:style>
  <w:style w:type="character" w:customStyle="1" w:styleId="bibpage">
    <w:name w:val="bib_page"/>
    <w:basedOn w:val="DefaultParagraphFont"/>
    <w:rsid w:val="007477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CE7"/>
    <w:rPr>
      <w:color w:val="0000FF"/>
      <w:u w:val="single"/>
    </w:rPr>
  </w:style>
  <w:style w:type="character" w:styleId="FollowedHyperlink">
    <w:name w:val="FollowedHyperlink"/>
    <w:basedOn w:val="DefaultParagraphFont"/>
    <w:uiPriority w:val="99"/>
    <w:semiHidden/>
    <w:unhideWhenUsed/>
    <w:rsid w:val="00FE3492"/>
    <w:rPr>
      <w:color w:val="800080" w:themeColor="followedHyperlink"/>
      <w:u w:val="single"/>
    </w:rPr>
  </w:style>
  <w:style w:type="paragraph" w:customStyle="1" w:styleId="Default">
    <w:name w:val="Default"/>
    <w:rsid w:val="00FE349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7318"/>
    <w:pPr>
      <w:ind w:left="720"/>
      <w:contextualSpacing/>
    </w:pPr>
  </w:style>
  <w:style w:type="paragraph" w:styleId="BalloonText">
    <w:name w:val="Balloon Text"/>
    <w:basedOn w:val="Normal"/>
    <w:link w:val="BalloonTextChar"/>
    <w:uiPriority w:val="99"/>
    <w:semiHidden/>
    <w:unhideWhenUsed/>
    <w:rsid w:val="006E1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F68"/>
    <w:rPr>
      <w:rFonts w:ascii="Segoe UI" w:hAnsi="Segoe UI" w:cs="Segoe UI"/>
      <w:sz w:val="18"/>
      <w:szCs w:val="18"/>
    </w:rPr>
  </w:style>
  <w:style w:type="paragraph" w:styleId="FootnoteText">
    <w:name w:val="footnote text"/>
    <w:basedOn w:val="Normal"/>
    <w:link w:val="FootnoteTextChar"/>
    <w:uiPriority w:val="99"/>
    <w:semiHidden/>
    <w:unhideWhenUsed/>
    <w:rsid w:val="00371071"/>
    <w:pPr>
      <w:spacing w:after="0" w:line="240" w:lineRule="auto"/>
    </w:pPr>
    <w:rPr>
      <w:sz w:val="20"/>
      <w:szCs w:val="20"/>
      <w:lang w:eastAsia="es-ES"/>
    </w:rPr>
  </w:style>
  <w:style w:type="character" w:customStyle="1" w:styleId="FootnoteTextChar">
    <w:name w:val="Footnote Text Char"/>
    <w:basedOn w:val="DefaultParagraphFont"/>
    <w:link w:val="FootnoteText"/>
    <w:uiPriority w:val="99"/>
    <w:semiHidden/>
    <w:rsid w:val="00371071"/>
    <w:rPr>
      <w:sz w:val="20"/>
      <w:szCs w:val="20"/>
      <w:lang w:eastAsia="es-ES"/>
    </w:rPr>
  </w:style>
  <w:style w:type="character" w:styleId="FootnoteReference">
    <w:name w:val="footnote reference"/>
    <w:basedOn w:val="DefaultParagraphFont"/>
    <w:uiPriority w:val="99"/>
    <w:semiHidden/>
    <w:unhideWhenUsed/>
    <w:rsid w:val="00371071"/>
    <w:rPr>
      <w:vertAlign w:val="superscript"/>
    </w:rPr>
  </w:style>
  <w:style w:type="character" w:styleId="CommentReference">
    <w:name w:val="annotation reference"/>
    <w:basedOn w:val="DefaultParagraphFont"/>
    <w:uiPriority w:val="99"/>
    <w:semiHidden/>
    <w:unhideWhenUsed/>
    <w:rsid w:val="006D4A6A"/>
    <w:rPr>
      <w:sz w:val="16"/>
      <w:szCs w:val="16"/>
    </w:rPr>
  </w:style>
  <w:style w:type="paragraph" w:styleId="CommentText">
    <w:name w:val="annotation text"/>
    <w:basedOn w:val="Normal"/>
    <w:link w:val="CommentTextChar"/>
    <w:uiPriority w:val="99"/>
    <w:semiHidden/>
    <w:unhideWhenUsed/>
    <w:rsid w:val="006D4A6A"/>
    <w:pPr>
      <w:spacing w:line="240" w:lineRule="auto"/>
    </w:pPr>
    <w:rPr>
      <w:sz w:val="20"/>
      <w:szCs w:val="20"/>
    </w:rPr>
  </w:style>
  <w:style w:type="character" w:customStyle="1" w:styleId="CommentTextChar">
    <w:name w:val="Comment Text Char"/>
    <w:basedOn w:val="DefaultParagraphFont"/>
    <w:link w:val="CommentText"/>
    <w:uiPriority w:val="99"/>
    <w:semiHidden/>
    <w:rsid w:val="006D4A6A"/>
    <w:rPr>
      <w:sz w:val="20"/>
      <w:szCs w:val="20"/>
    </w:rPr>
  </w:style>
  <w:style w:type="paragraph" w:styleId="CommentSubject">
    <w:name w:val="annotation subject"/>
    <w:basedOn w:val="CommentText"/>
    <w:next w:val="CommentText"/>
    <w:link w:val="CommentSubjectChar"/>
    <w:uiPriority w:val="99"/>
    <w:semiHidden/>
    <w:unhideWhenUsed/>
    <w:rsid w:val="006D4A6A"/>
    <w:rPr>
      <w:b/>
      <w:bCs/>
    </w:rPr>
  </w:style>
  <w:style w:type="character" w:customStyle="1" w:styleId="CommentSubjectChar">
    <w:name w:val="Comment Subject Char"/>
    <w:basedOn w:val="CommentTextChar"/>
    <w:link w:val="CommentSubject"/>
    <w:uiPriority w:val="99"/>
    <w:semiHidden/>
    <w:rsid w:val="006D4A6A"/>
    <w:rPr>
      <w:b/>
      <w:bCs/>
      <w:sz w:val="20"/>
      <w:szCs w:val="20"/>
    </w:rPr>
  </w:style>
  <w:style w:type="table" w:styleId="TableGrid">
    <w:name w:val="Table Grid"/>
    <w:basedOn w:val="TableNormal"/>
    <w:uiPriority w:val="59"/>
    <w:rsid w:val="00B55B6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55B66"/>
  </w:style>
  <w:style w:type="paragraph" w:styleId="Revision">
    <w:name w:val="Revision"/>
    <w:hidden/>
    <w:uiPriority w:val="99"/>
    <w:semiHidden/>
    <w:rsid w:val="0036284C"/>
    <w:pPr>
      <w:spacing w:after="0" w:line="240" w:lineRule="auto"/>
    </w:pPr>
  </w:style>
  <w:style w:type="character" w:customStyle="1" w:styleId="bibauth">
    <w:name w:val="bib_auth"/>
    <w:basedOn w:val="DefaultParagraphFont"/>
    <w:rsid w:val="007477BB"/>
  </w:style>
  <w:style w:type="character" w:customStyle="1" w:styleId="bibyear">
    <w:name w:val="bib_year"/>
    <w:basedOn w:val="DefaultParagraphFont"/>
    <w:rsid w:val="007477BB"/>
  </w:style>
  <w:style w:type="character" w:customStyle="1" w:styleId="bibbookchtitle">
    <w:name w:val="bib_bookch_title"/>
    <w:basedOn w:val="DefaultParagraphFont"/>
    <w:rsid w:val="007477BB"/>
  </w:style>
  <w:style w:type="character" w:customStyle="1" w:styleId="bibeds">
    <w:name w:val="bib_eds"/>
    <w:basedOn w:val="DefaultParagraphFont"/>
    <w:rsid w:val="007477BB"/>
  </w:style>
  <w:style w:type="character" w:customStyle="1" w:styleId="bibbktitlechap">
    <w:name w:val="bib_bktitle_chap"/>
    <w:basedOn w:val="DefaultParagraphFont"/>
    <w:rsid w:val="007477BB"/>
  </w:style>
  <w:style w:type="character" w:customStyle="1" w:styleId="bibpub">
    <w:name w:val="bib_pub"/>
    <w:basedOn w:val="DefaultParagraphFont"/>
    <w:rsid w:val="007477BB"/>
  </w:style>
  <w:style w:type="character" w:customStyle="1" w:styleId="bibpubloc">
    <w:name w:val="bib_publoc"/>
    <w:basedOn w:val="DefaultParagraphFont"/>
    <w:rsid w:val="007477BB"/>
  </w:style>
  <w:style w:type="character" w:customStyle="1" w:styleId="bibpage">
    <w:name w:val="bib_page"/>
    <w:basedOn w:val="DefaultParagraphFont"/>
    <w:rsid w:val="0074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51480">
      <w:bodyDiv w:val="1"/>
      <w:marLeft w:val="0"/>
      <w:marRight w:val="0"/>
      <w:marTop w:val="0"/>
      <w:marBottom w:val="0"/>
      <w:divBdr>
        <w:top w:val="none" w:sz="0" w:space="0" w:color="auto"/>
        <w:left w:val="none" w:sz="0" w:space="0" w:color="auto"/>
        <w:bottom w:val="none" w:sz="0" w:space="0" w:color="auto"/>
        <w:right w:val="none" w:sz="0" w:space="0" w:color="auto"/>
      </w:divBdr>
    </w:div>
    <w:div w:id="745417962">
      <w:bodyDiv w:val="1"/>
      <w:marLeft w:val="0"/>
      <w:marRight w:val="0"/>
      <w:marTop w:val="0"/>
      <w:marBottom w:val="0"/>
      <w:divBdr>
        <w:top w:val="none" w:sz="0" w:space="0" w:color="auto"/>
        <w:left w:val="none" w:sz="0" w:space="0" w:color="auto"/>
        <w:bottom w:val="none" w:sz="0" w:space="0" w:color="auto"/>
        <w:right w:val="none" w:sz="0" w:space="0" w:color="auto"/>
      </w:divBdr>
    </w:div>
    <w:div w:id="780802180">
      <w:bodyDiv w:val="1"/>
      <w:marLeft w:val="0"/>
      <w:marRight w:val="0"/>
      <w:marTop w:val="0"/>
      <w:marBottom w:val="0"/>
      <w:divBdr>
        <w:top w:val="none" w:sz="0" w:space="0" w:color="auto"/>
        <w:left w:val="none" w:sz="0" w:space="0" w:color="auto"/>
        <w:bottom w:val="none" w:sz="0" w:space="0" w:color="auto"/>
        <w:right w:val="none" w:sz="0" w:space="0" w:color="auto"/>
      </w:divBdr>
    </w:div>
    <w:div w:id="955019969">
      <w:bodyDiv w:val="1"/>
      <w:marLeft w:val="0"/>
      <w:marRight w:val="0"/>
      <w:marTop w:val="0"/>
      <w:marBottom w:val="0"/>
      <w:divBdr>
        <w:top w:val="none" w:sz="0" w:space="0" w:color="auto"/>
        <w:left w:val="none" w:sz="0" w:space="0" w:color="auto"/>
        <w:bottom w:val="none" w:sz="0" w:space="0" w:color="auto"/>
        <w:right w:val="none" w:sz="0" w:space="0" w:color="auto"/>
      </w:divBdr>
    </w:div>
    <w:div w:id="1106272699">
      <w:bodyDiv w:val="1"/>
      <w:marLeft w:val="0"/>
      <w:marRight w:val="0"/>
      <w:marTop w:val="0"/>
      <w:marBottom w:val="0"/>
      <w:divBdr>
        <w:top w:val="none" w:sz="0" w:space="0" w:color="auto"/>
        <w:left w:val="none" w:sz="0" w:space="0" w:color="auto"/>
        <w:bottom w:val="none" w:sz="0" w:space="0" w:color="auto"/>
        <w:right w:val="none" w:sz="0" w:space="0" w:color="auto"/>
      </w:divBdr>
    </w:div>
    <w:div w:id="1578325036">
      <w:bodyDiv w:val="1"/>
      <w:marLeft w:val="0"/>
      <w:marRight w:val="0"/>
      <w:marTop w:val="0"/>
      <w:marBottom w:val="0"/>
      <w:divBdr>
        <w:top w:val="none" w:sz="0" w:space="0" w:color="auto"/>
        <w:left w:val="none" w:sz="0" w:space="0" w:color="auto"/>
        <w:bottom w:val="none" w:sz="0" w:space="0" w:color="auto"/>
        <w:right w:val="none" w:sz="0" w:space="0" w:color="auto"/>
      </w:divBdr>
    </w:div>
    <w:div w:id="1653100756">
      <w:bodyDiv w:val="1"/>
      <w:marLeft w:val="0"/>
      <w:marRight w:val="0"/>
      <w:marTop w:val="0"/>
      <w:marBottom w:val="0"/>
      <w:divBdr>
        <w:top w:val="none" w:sz="0" w:space="0" w:color="auto"/>
        <w:left w:val="none" w:sz="0" w:space="0" w:color="auto"/>
        <w:bottom w:val="none" w:sz="0" w:space="0" w:color="auto"/>
        <w:right w:val="none" w:sz="0" w:space="0" w:color="auto"/>
      </w:divBdr>
    </w:div>
    <w:div w:id="19687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1"/>
          <c:order val="1"/>
          <c:tx>
            <c:strRef>
              <c:f>Sheet6!$C$18</c:f>
              <c:strCache>
                <c:ptCount val="1"/>
                <c:pt idx="0">
                  <c:v>Mean material resources</c:v>
                </c:pt>
              </c:strCache>
            </c:strRef>
          </c:tx>
          <c:invertIfNegative val="0"/>
          <c:cat>
            <c:strRef>
              <c:f>Sheet6!$A$19:$A$33</c:f>
              <c:strCache>
                <c:ptCount val="15"/>
                <c:pt idx="0">
                  <c:v>Norway</c:v>
                </c:pt>
                <c:pt idx="1">
                  <c:v>S Korea</c:v>
                </c:pt>
                <c:pt idx="2">
                  <c:v>Poland</c:v>
                </c:pt>
                <c:pt idx="3">
                  <c:v>England</c:v>
                </c:pt>
                <c:pt idx="4">
                  <c:v>Estonia</c:v>
                </c:pt>
                <c:pt idx="5">
                  <c:v>Germany</c:v>
                </c:pt>
                <c:pt idx="6">
                  <c:v>Israel</c:v>
                </c:pt>
                <c:pt idx="7">
                  <c:v>Spain</c:v>
                </c:pt>
                <c:pt idx="8">
                  <c:v>Romania</c:v>
                </c:pt>
                <c:pt idx="9">
                  <c:v>S Africa</c:v>
                </c:pt>
                <c:pt idx="10">
                  <c:v>Colombia</c:v>
                </c:pt>
                <c:pt idx="11">
                  <c:v>Turkey</c:v>
                </c:pt>
                <c:pt idx="12">
                  <c:v>Algeria</c:v>
                </c:pt>
                <c:pt idx="13">
                  <c:v>Nepal</c:v>
                </c:pt>
                <c:pt idx="14">
                  <c:v>Ethiopia</c:v>
                </c:pt>
              </c:strCache>
            </c:strRef>
          </c:cat>
          <c:val>
            <c:numRef>
              <c:f>Sheet6!$C$19:$C$33</c:f>
              <c:numCache>
                <c:formatCode>General</c:formatCode>
                <c:ptCount val="15"/>
                <c:pt idx="0">
                  <c:v>0.19006940999999999</c:v>
                </c:pt>
                <c:pt idx="1">
                  <c:v>0.51360541999999998</c:v>
                </c:pt>
                <c:pt idx="2">
                  <c:v>0.53519130000000004</c:v>
                </c:pt>
                <c:pt idx="3">
                  <c:v>0.63624221000000003</c:v>
                </c:pt>
                <c:pt idx="4">
                  <c:v>0.64354920000000004</c:v>
                </c:pt>
                <c:pt idx="5">
                  <c:v>0.77111571999999995</c:v>
                </c:pt>
                <c:pt idx="6">
                  <c:v>0.97743535000000004</c:v>
                </c:pt>
                <c:pt idx="7">
                  <c:v>1.0774963</c:v>
                </c:pt>
                <c:pt idx="8">
                  <c:v>1.4879260999999999</c:v>
                </c:pt>
                <c:pt idx="9">
                  <c:v>2.183624</c:v>
                </c:pt>
                <c:pt idx="10">
                  <c:v>2.3140540000000001</c:v>
                </c:pt>
                <c:pt idx="11">
                  <c:v>2.3698630000000001</c:v>
                </c:pt>
                <c:pt idx="12">
                  <c:v>3.4300473</c:v>
                </c:pt>
                <c:pt idx="13">
                  <c:v>3.917999</c:v>
                </c:pt>
                <c:pt idx="14">
                  <c:v>6.3041400999999997</c:v>
                </c:pt>
              </c:numCache>
            </c:numRef>
          </c:val>
        </c:ser>
        <c:dLbls>
          <c:showLegendKey val="0"/>
          <c:showVal val="0"/>
          <c:showCatName val="0"/>
          <c:showSerName val="0"/>
          <c:showPercent val="0"/>
          <c:showBubbleSize val="0"/>
        </c:dLbls>
        <c:gapWidth val="150"/>
        <c:axId val="111221376"/>
        <c:axId val="111223552"/>
      </c:barChart>
      <c:lineChart>
        <c:grouping val="standard"/>
        <c:varyColors val="0"/>
        <c:ser>
          <c:idx val="0"/>
          <c:order val="0"/>
          <c:tx>
            <c:strRef>
              <c:f>Sheet6!$B$18</c:f>
              <c:strCache>
                <c:ptCount val="1"/>
                <c:pt idx="0">
                  <c:v>GDP</c:v>
                </c:pt>
              </c:strCache>
            </c:strRef>
          </c:tx>
          <c:marker>
            <c:symbol val="none"/>
          </c:marker>
          <c:cat>
            <c:strRef>
              <c:f>Sheet6!$A$19:$A$33</c:f>
              <c:strCache>
                <c:ptCount val="15"/>
                <c:pt idx="0">
                  <c:v>Norway</c:v>
                </c:pt>
                <c:pt idx="1">
                  <c:v>S Korea</c:v>
                </c:pt>
                <c:pt idx="2">
                  <c:v>Poland</c:v>
                </c:pt>
                <c:pt idx="3">
                  <c:v>England</c:v>
                </c:pt>
                <c:pt idx="4">
                  <c:v>Estonia</c:v>
                </c:pt>
                <c:pt idx="5">
                  <c:v>Germany</c:v>
                </c:pt>
                <c:pt idx="6">
                  <c:v>Israel</c:v>
                </c:pt>
                <c:pt idx="7">
                  <c:v>Spain</c:v>
                </c:pt>
                <c:pt idx="8">
                  <c:v>Romania</c:v>
                </c:pt>
                <c:pt idx="9">
                  <c:v>S Africa</c:v>
                </c:pt>
                <c:pt idx="10">
                  <c:v>Colombia</c:v>
                </c:pt>
                <c:pt idx="11">
                  <c:v>Turkey</c:v>
                </c:pt>
                <c:pt idx="12">
                  <c:v>Algeria</c:v>
                </c:pt>
                <c:pt idx="13">
                  <c:v>Nepal</c:v>
                </c:pt>
                <c:pt idx="14">
                  <c:v>Ethiopia</c:v>
                </c:pt>
              </c:strCache>
            </c:strRef>
          </c:cat>
          <c:val>
            <c:numRef>
              <c:f>Sheet6!$B$19:$B$33</c:f>
              <c:numCache>
                <c:formatCode>General</c:formatCode>
                <c:ptCount val="15"/>
                <c:pt idx="0">
                  <c:v>11.521077</c:v>
                </c:pt>
                <c:pt idx="1">
                  <c:v>10.164967000000001</c:v>
                </c:pt>
                <c:pt idx="2">
                  <c:v>9.5213479999999997</c:v>
                </c:pt>
                <c:pt idx="3">
                  <c:v>10.640352</c:v>
                </c:pt>
                <c:pt idx="4">
                  <c:v>9.8407125000000004</c:v>
                </c:pt>
                <c:pt idx="5">
                  <c:v>10.742219</c:v>
                </c:pt>
                <c:pt idx="6">
                  <c:v>10.492692999999999</c:v>
                </c:pt>
                <c:pt idx="7">
                  <c:v>10.304382</c:v>
                </c:pt>
                <c:pt idx="8">
                  <c:v>9.1589632000000005</c:v>
                </c:pt>
                <c:pt idx="9">
                  <c:v>8.7975329999999996</c:v>
                </c:pt>
                <c:pt idx="10">
                  <c:v>8.9658709000000005</c:v>
                </c:pt>
                <c:pt idx="11">
                  <c:v>9.3030747999999992</c:v>
                </c:pt>
                <c:pt idx="12">
                  <c:v>8.5868502000000007</c:v>
                </c:pt>
                <c:pt idx="13">
                  <c:v>6.5426159000000004</c:v>
                </c:pt>
                <c:pt idx="14">
                  <c:v>6.2245584000000003</c:v>
                </c:pt>
              </c:numCache>
            </c:numRef>
          </c:val>
          <c:smooth val="0"/>
        </c:ser>
        <c:dLbls>
          <c:showLegendKey val="0"/>
          <c:showVal val="0"/>
          <c:showCatName val="0"/>
          <c:showSerName val="0"/>
          <c:showPercent val="0"/>
          <c:showBubbleSize val="0"/>
        </c:dLbls>
        <c:marker val="1"/>
        <c:smooth val="0"/>
        <c:axId val="111231744"/>
        <c:axId val="111225472"/>
      </c:lineChart>
      <c:catAx>
        <c:axId val="111221376"/>
        <c:scaling>
          <c:orientation val="minMax"/>
        </c:scaling>
        <c:delete val="0"/>
        <c:axPos val="b"/>
        <c:title>
          <c:tx>
            <c:rich>
              <a:bodyPr/>
              <a:lstStyle/>
              <a:p>
                <a:pPr>
                  <a:defRPr/>
                </a:pPr>
                <a:r>
                  <a:rPr lang="en-GB"/>
                  <a:t>Country</a:t>
                </a:r>
              </a:p>
            </c:rich>
          </c:tx>
          <c:overlay val="0"/>
        </c:title>
        <c:numFmt formatCode="General" sourceLinked="0"/>
        <c:majorTickMark val="out"/>
        <c:minorTickMark val="none"/>
        <c:tickLblPos val="nextTo"/>
        <c:crossAx val="111223552"/>
        <c:crosses val="autoZero"/>
        <c:auto val="1"/>
        <c:lblAlgn val="ctr"/>
        <c:lblOffset val="100"/>
        <c:noMultiLvlLbl val="0"/>
      </c:catAx>
      <c:valAx>
        <c:axId val="111223552"/>
        <c:scaling>
          <c:orientation val="minMax"/>
        </c:scaling>
        <c:delete val="0"/>
        <c:axPos val="l"/>
        <c:majorGridlines/>
        <c:title>
          <c:tx>
            <c:rich>
              <a:bodyPr rot="-5400000" vert="horz"/>
              <a:lstStyle/>
              <a:p>
                <a:pPr>
                  <a:defRPr/>
                </a:pPr>
                <a:r>
                  <a:rPr lang="en-GB"/>
                  <a:t>Mean material resources</a:t>
                </a:r>
              </a:p>
            </c:rich>
          </c:tx>
          <c:overlay val="0"/>
        </c:title>
        <c:numFmt formatCode="General" sourceLinked="1"/>
        <c:majorTickMark val="out"/>
        <c:minorTickMark val="none"/>
        <c:tickLblPos val="nextTo"/>
        <c:crossAx val="111221376"/>
        <c:crosses val="autoZero"/>
        <c:crossBetween val="between"/>
      </c:valAx>
      <c:valAx>
        <c:axId val="111225472"/>
        <c:scaling>
          <c:orientation val="minMax"/>
          <c:max val="12"/>
          <c:min val="5"/>
        </c:scaling>
        <c:delete val="0"/>
        <c:axPos val="r"/>
        <c:title>
          <c:tx>
            <c:rich>
              <a:bodyPr rot="-5400000" vert="horz"/>
              <a:lstStyle/>
              <a:p>
                <a:pPr>
                  <a:defRPr/>
                </a:pPr>
                <a:r>
                  <a:rPr lang="en-GB"/>
                  <a:t>Log of GDP per capita</a:t>
                </a:r>
              </a:p>
            </c:rich>
          </c:tx>
          <c:overlay val="0"/>
        </c:title>
        <c:numFmt formatCode="General" sourceLinked="1"/>
        <c:majorTickMark val="out"/>
        <c:minorTickMark val="none"/>
        <c:tickLblPos val="nextTo"/>
        <c:crossAx val="111231744"/>
        <c:crosses val="max"/>
        <c:crossBetween val="between"/>
      </c:valAx>
      <c:catAx>
        <c:axId val="111231744"/>
        <c:scaling>
          <c:orientation val="minMax"/>
        </c:scaling>
        <c:delete val="1"/>
        <c:axPos val="b"/>
        <c:numFmt formatCode="General" sourceLinked="1"/>
        <c:majorTickMark val="out"/>
        <c:minorTickMark val="none"/>
        <c:tickLblPos val="nextTo"/>
        <c:crossAx val="111225472"/>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1"/>
          <c:order val="1"/>
          <c:tx>
            <c:strRef>
              <c:f>Sheet6!$C$2</c:f>
              <c:strCache>
                <c:ptCount val="1"/>
                <c:pt idx="0">
                  <c:v>SD material resources</c:v>
                </c:pt>
              </c:strCache>
            </c:strRef>
          </c:tx>
          <c:invertIfNegative val="0"/>
          <c:cat>
            <c:strRef>
              <c:f>Sheet6!$A$3:$A$16</c:f>
              <c:strCache>
                <c:ptCount val="14"/>
                <c:pt idx="0">
                  <c:v>Norway</c:v>
                </c:pt>
                <c:pt idx="1">
                  <c:v>Estonia</c:v>
                </c:pt>
                <c:pt idx="2">
                  <c:v>England</c:v>
                </c:pt>
                <c:pt idx="3">
                  <c:v>Germany</c:v>
                </c:pt>
                <c:pt idx="4">
                  <c:v>Poland</c:v>
                </c:pt>
                <c:pt idx="5">
                  <c:v>S Korea</c:v>
                </c:pt>
                <c:pt idx="6">
                  <c:v>Spain</c:v>
                </c:pt>
                <c:pt idx="7">
                  <c:v>Israel</c:v>
                </c:pt>
                <c:pt idx="8">
                  <c:v>Ethiopia</c:v>
                </c:pt>
                <c:pt idx="9">
                  <c:v>Romania</c:v>
                </c:pt>
                <c:pt idx="10">
                  <c:v>Nepal</c:v>
                </c:pt>
                <c:pt idx="11">
                  <c:v>Colombia</c:v>
                </c:pt>
                <c:pt idx="12">
                  <c:v>Turkey</c:v>
                </c:pt>
                <c:pt idx="13">
                  <c:v>S Africa</c:v>
                </c:pt>
              </c:strCache>
            </c:strRef>
          </c:cat>
          <c:val>
            <c:numRef>
              <c:f>Sheet6!$C$3:$C$16</c:f>
              <c:numCache>
                <c:formatCode>General</c:formatCode>
                <c:ptCount val="14"/>
                <c:pt idx="0">
                  <c:v>0.52231985000000003</c:v>
                </c:pt>
                <c:pt idx="1">
                  <c:v>0.92205870000000001</c:v>
                </c:pt>
                <c:pt idx="2">
                  <c:v>0.97127240999999997</c:v>
                </c:pt>
                <c:pt idx="3">
                  <c:v>0.97365767000000003</c:v>
                </c:pt>
                <c:pt idx="4">
                  <c:v>0.97572826999999995</c:v>
                </c:pt>
                <c:pt idx="5">
                  <c:v>1.0512859999999999</c:v>
                </c:pt>
                <c:pt idx="6">
                  <c:v>1.1394795</c:v>
                </c:pt>
                <c:pt idx="7">
                  <c:v>1.2108964</c:v>
                </c:pt>
                <c:pt idx="8">
                  <c:v>1.2963720999999999</c:v>
                </c:pt>
                <c:pt idx="9">
                  <c:v>1.5881748</c:v>
                </c:pt>
                <c:pt idx="10">
                  <c:v>1.6118798999999999</c:v>
                </c:pt>
                <c:pt idx="11">
                  <c:v>1.7445501000000001</c:v>
                </c:pt>
                <c:pt idx="12">
                  <c:v>1.7497768</c:v>
                </c:pt>
                <c:pt idx="13">
                  <c:v>1.8549746</c:v>
                </c:pt>
              </c:numCache>
            </c:numRef>
          </c:val>
        </c:ser>
        <c:dLbls>
          <c:showLegendKey val="0"/>
          <c:showVal val="0"/>
          <c:showCatName val="0"/>
          <c:showSerName val="0"/>
          <c:showPercent val="0"/>
          <c:showBubbleSize val="0"/>
        </c:dLbls>
        <c:gapWidth val="150"/>
        <c:axId val="111261952"/>
        <c:axId val="111272320"/>
      </c:barChart>
      <c:lineChart>
        <c:grouping val="standard"/>
        <c:varyColors val="0"/>
        <c:ser>
          <c:idx val="0"/>
          <c:order val="0"/>
          <c:tx>
            <c:strRef>
              <c:f>Sheet6!$B$2</c:f>
              <c:strCache>
                <c:ptCount val="1"/>
                <c:pt idx="0">
                  <c:v>Gini</c:v>
                </c:pt>
              </c:strCache>
            </c:strRef>
          </c:tx>
          <c:marker>
            <c:symbol val="none"/>
          </c:marker>
          <c:cat>
            <c:strRef>
              <c:f>Sheet6!$A$3:$A$16</c:f>
              <c:strCache>
                <c:ptCount val="14"/>
                <c:pt idx="0">
                  <c:v>Norway</c:v>
                </c:pt>
                <c:pt idx="1">
                  <c:v>Estonia</c:v>
                </c:pt>
                <c:pt idx="2">
                  <c:v>England</c:v>
                </c:pt>
                <c:pt idx="3">
                  <c:v>Germany</c:v>
                </c:pt>
                <c:pt idx="4">
                  <c:v>Poland</c:v>
                </c:pt>
                <c:pt idx="5">
                  <c:v>S Korea</c:v>
                </c:pt>
                <c:pt idx="6">
                  <c:v>Spain</c:v>
                </c:pt>
                <c:pt idx="7">
                  <c:v>Israel</c:v>
                </c:pt>
                <c:pt idx="8">
                  <c:v>Ethiopia</c:v>
                </c:pt>
                <c:pt idx="9">
                  <c:v>Romania</c:v>
                </c:pt>
                <c:pt idx="10">
                  <c:v>Nepal</c:v>
                </c:pt>
                <c:pt idx="11">
                  <c:v>Colombia</c:v>
                </c:pt>
                <c:pt idx="12">
                  <c:v>Turkey</c:v>
                </c:pt>
                <c:pt idx="13">
                  <c:v>S Africa</c:v>
                </c:pt>
              </c:strCache>
            </c:strRef>
          </c:cat>
          <c:val>
            <c:numRef>
              <c:f>Sheet6!$B$3:$B$16</c:f>
              <c:numCache>
                <c:formatCode>General</c:formatCode>
                <c:ptCount val="14"/>
                <c:pt idx="0">
                  <c:v>3.2884017999999999</c:v>
                </c:pt>
                <c:pt idx="1">
                  <c:v>3.4873750000000001</c:v>
                </c:pt>
                <c:pt idx="2">
                  <c:v>3.4750671</c:v>
                </c:pt>
                <c:pt idx="3">
                  <c:v>3.4209999999999998</c:v>
                </c:pt>
                <c:pt idx="4">
                  <c:v>3.4904283999999999</c:v>
                </c:pt>
                <c:pt idx="5">
                  <c:v>3.4372079000000002</c:v>
                </c:pt>
                <c:pt idx="6">
                  <c:v>3.5779478999999998</c:v>
                </c:pt>
                <c:pt idx="7">
                  <c:v>3.6270039000000001</c:v>
                </c:pt>
                <c:pt idx="8">
                  <c:v>3.5145260999999999</c:v>
                </c:pt>
                <c:pt idx="9">
                  <c:v>3.3068867000000002</c:v>
                </c:pt>
                <c:pt idx="10">
                  <c:v>3.4904283999999999</c:v>
                </c:pt>
                <c:pt idx="11">
                  <c:v>3.9796817</c:v>
                </c:pt>
                <c:pt idx="12">
                  <c:v>3.6888795000000001</c:v>
                </c:pt>
                <c:pt idx="13">
                  <c:v>4.1743874999999999</c:v>
                </c:pt>
              </c:numCache>
            </c:numRef>
          </c:val>
          <c:smooth val="0"/>
        </c:ser>
        <c:dLbls>
          <c:showLegendKey val="0"/>
          <c:showVal val="0"/>
          <c:showCatName val="0"/>
          <c:showSerName val="0"/>
          <c:showPercent val="0"/>
          <c:showBubbleSize val="0"/>
        </c:dLbls>
        <c:marker val="1"/>
        <c:smooth val="0"/>
        <c:axId val="122552704"/>
        <c:axId val="111274240"/>
      </c:lineChart>
      <c:catAx>
        <c:axId val="111261952"/>
        <c:scaling>
          <c:orientation val="minMax"/>
        </c:scaling>
        <c:delete val="0"/>
        <c:axPos val="b"/>
        <c:title>
          <c:tx>
            <c:rich>
              <a:bodyPr/>
              <a:lstStyle/>
              <a:p>
                <a:pPr>
                  <a:defRPr/>
                </a:pPr>
                <a:r>
                  <a:rPr lang="en-GB"/>
                  <a:t>Country</a:t>
                </a:r>
              </a:p>
            </c:rich>
          </c:tx>
          <c:overlay val="0"/>
        </c:title>
        <c:numFmt formatCode="General" sourceLinked="0"/>
        <c:majorTickMark val="out"/>
        <c:minorTickMark val="none"/>
        <c:tickLblPos val="nextTo"/>
        <c:crossAx val="111272320"/>
        <c:crosses val="autoZero"/>
        <c:auto val="1"/>
        <c:lblAlgn val="ctr"/>
        <c:lblOffset val="100"/>
        <c:noMultiLvlLbl val="0"/>
      </c:catAx>
      <c:valAx>
        <c:axId val="111272320"/>
        <c:scaling>
          <c:orientation val="minMax"/>
        </c:scaling>
        <c:delete val="0"/>
        <c:axPos val="l"/>
        <c:majorGridlines/>
        <c:title>
          <c:tx>
            <c:rich>
              <a:bodyPr rot="-5400000" vert="horz"/>
              <a:lstStyle/>
              <a:p>
                <a:pPr>
                  <a:defRPr/>
                </a:pPr>
                <a:r>
                  <a:rPr lang="en-GB"/>
                  <a:t>SD material resources</a:t>
                </a:r>
              </a:p>
            </c:rich>
          </c:tx>
          <c:overlay val="0"/>
        </c:title>
        <c:numFmt formatCode="General" sourceLinked="1"/>
        <c:majorTickMark val="out"/>
        <c:minorTickMark val="none"/>
        <c:tickLblPos val="nextTo"/>
        <c:crossAx val="111261952"/>
        <c:crosses val="autoZero"/>
        <c:crossBetween val="between"/>
      </c:valAx>
      <c:valAx>
        <c:axId val="111274240"/>
        <c:scaling>
          <c:orientation val="minMax"/>
          <c:min val="3"/>
        </c:scaling>
        <c:delete val="0"/>
        <c:axPos val="r"/>
        <c:title>
          <c:tx>
            <c:rich>
              <a:bodyPr rot="-5400000" vert="horz"/>
              <a:lstStyle/>
              <a:p>
                <a:pPr>
                  <a:defRPr/>
                </a:pPr>
                <a:r>
                  <a:rPr lang="en-GB"/>
                  <a:t>Log of Gini coefficient</a:t>
                </a:r>
              </a:p>
            </c:rich>
          </c:tx>
          <c:overlay val="0"/>
        </c:title>
        <c:numFmt formatCode="General" sourceLinked="1"/>
        <c:majorTickMark val="out"/>
        <c:minorTickMark val="none"/>
        <c:tickLblPos val="nextTo"/>
        <c:crossAx val="122552704"/>
        <c:crosses val="max"/>
        <c:crossBetween val="between"/>
      </c:valAx>
      <c:catAx>
        <c:axId val="122552704"/>
        <c:scaling>
          <c:orientation val="minMax"/>
        </c:scaling>
        <c:delete val="1"/>
        <c:axPos val="b"/>
        <c:numFmt formatCode="General" sourceLinked="1"/>
        <c:majorTickMark val="out"/>
        <c:minorTickMark val="none"/>
        <c:tickLblPos val="nextTo"/>
        <c:crossAx val="111274240"/>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1A311-7087-44B2-AADE-2D81296B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10194</Words>
  <Characters>58110</Characters>
  <Application>Microsoft Office Word</Application>
  <DocSecurity>4</DocSecurity>
  <Lines>484</Lines>
  <Paragraphs>136</Paragraphs>
  <ScaleCrop>false</ScaleCrop>
  <HeadingPairs>
    <vt:vector size="8" baseType="variant">
      <vt:variant>
        <vt:lpstr>Title</vt:lpstr>
      </vt:variant>
      <vt:variant>
        <vt:i4>1</vt:i4>
      </vt:variant>
      <vt:variant>
        <vt:lpstr>Título</vt:lpstr>
      </vt:variant>
      <vt:variant>
        <vt:i4>1</vt:i4>
      </vt:variant>
      <vt:variant>
        <vt:lpstr>Titel</vt:lpstr>
      </vt:variant>
      <vt:variant>
        <vt:i4>1</vt:i4>
      </vt:variant>
      <vt:variant>
        <vt:lpstr>제목</vt:lpstr>
      </vt:variant>
      <vt:variant>
        <vt:i4>1</vt:i4>
      </vt:variant>
    </vt:vector>
  </HeadingPairs>
  <TitlesOfParts>
    <vt:vector size="4" baseType="lpstr">
      <vt:lpstr/>
      <vt:lpstr/>
      <vt:lpstr/>
      <vt:lpstr/>
    </vt:vector>
  </TitlesOfParts>
  <Company>HP</Company>
  <LinksUpToDate>false</LinksUpToDate>
  <CharactersWithSpaces>68168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Jonathan</cp:lastModifiedBy>
  <cp:revision>2</cp:revision>
  <cp:lastPrinted>2015-05-12T06:06:00Z</cp:lastPrinted>
  <dcterms:created xsi:type="dcterms:W3CDTF">2016-06-29T17:05:00Z</dcterms:created>
  <dcterms:modified xsi:type="dcterms:W3CDTF">2016-06-29T17:05:00Z</dcterms:modified>
</cp:coreProperties>
</file>