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70C" w:rsidRDefault="00EA6FF7" w:rsidP="00F67166">
      <w:pPr>
        <w:pStyle w:val="Heading1"/>
        <w:jc w:val="both"/>
      </w:pPr>
      <w:r>
        <w:t xml:space="preserve">6. </w:t>
      </w:r>
      <w:r w:rsidR="00371C67" w:rsidRPr="006D688C">
        <w:t xml:space="preserve">From </w:t>
      </w:r>
      <w:r w:rsidR="00C01A09">
        <w:t xml:space="preserve">social regulation of competition to competition as social regulation: </w:t>
      </w:r>
      <w:r w:rsidR="00CC0AD9">
        <w:t>transformation</w:t>
      </w:r>
      <w:r w:rsidR="00B972A2">
        <w:t>s</w:t>
      </w:r>
      <w:r w:rsidR="00E62B59">
        <w:t xml:space="preserve"> in the </w:t>
      </w:r>
      <w:proofErr w:type="spellStart"/>
      <w:r w:rsidR="00C823B2" w:rsidRPr="006D688C">
        <w:t>soci</w:t>
      </w:r>
      <w:proofErr w:type="spellEnd"/>
      <w:r w:rsidR="00C823B2">
        <w:rPr>
          <w:lang w:val="el-GR"/>
        </w:rPr>
        <w:t>ο</w:t>
      </w:r>
      <w:r w:rsidR="00371C67" w:rsidRPr="006D688C">
        <w:t xml:space="preserve">-economic governance </w:t>
      </w:r>
      <w:r w:rsidR="006A6574">
        <w:t>of</w:t>
      </w:r>
      <w:r w:rsidR="00371C67" w:rsidRPr="006D688C">
        <w:t xml:space="preserve"> the European Union</w:t>
      </w:r>
    </w:p>
    <w:p w:rsidR="00EA6FF7" w:rsidRDefault="00EA6FF7" w:rsidP="00F67166">
      <w:pPr>
        <w:jc w:val="both"/>
      </w:pPr>
    </w:p>
    <w:p w:rsidR="00EA6FF7" w:rsidRDefault="00EA6FF7" w:rsidP="00F67166">
      <w:pPr>
        <w:jc w:val="both"/>
        <w:rPr>
          <w:sz w:val="28"/>
          <w:szCs w:val="28"/>
        </w:rPr>
      </w:pPr>
      <w:r w:rsidRPr="0006496A">
        <w:rPr>
          <w:sz w:val="28"/>
          <w:szCs w:val="28"/>
        </w:rPr>
        <w:t>Antonios Roumpakis and Theo Papadopoulos</w:t>
      </w:r>
    </w:p>
    <w:p w:rsidR="0006496A" w:rsidRDefault="0006496A" w:rsidP="00F67166">
      <w:pPr>
        <w:jc w:val="both"/>
        <w:rPr>
          <w:sz w:val="28"/>
          <w:szCs w:val="28"/>
        </w:rPr>
      </w:pPr>
    </w:p>
    <w:p w:rsidR="0006496A" w:rsidRPr="0006496A" w:rsidRDefault="0006496A" w:rsidP="00F67166">
      <w:pPr>
        <w:jc w:val="both"/>
        <w:rPr>
          <w:sz w:val="28"/>
          <w:szCs w:val="28"/>
        </w:rPr>
      </w:pPr>
    </w:p>
    <w:p w:rsidR="00553208" w:rsidRDefault="00553208" w:rsidP="00F67166">
      <w:pPr>
        <w:pStyle w:val="Heading2"/>
        <w:jc w:val="both"/>
      </w:pPr>
      <w:r>
        <w:t>Introduction</w:t>
      </w:r>
    </w:p>
    <w:p w:rsidR="00553208" w:rsidRPr="00553208" w:rsidRDefault="00553208" w:rsidP="00F67166">
      <w:pPr>
        <w:jc w:val="both"/>
      </w:pPr>
    </w:p>
    <w:p w:rsidR="00802A63" w:rsidRDefault="00F417E0" w:rsidP="00F67166">
      <w:pPr>
        <w:jc w:val="both"/>
      </w:pPr>
      <w:r>
        <w:t>In t</w:t>
      </w:r>
      <w:r w:rsidR="00371C67" w:rsidRPr="00371C67">
        <w:t xml:space="preserve">his </w:t>
      </w:r>
      <w:r w:rsidR="00553208">
        <w:t>chapter</w:t>
      </w:r>
      <w:r w:rsidR="00371C67" w:rsidRPr="00371C67">
        <w:t xml:space="preserve"> </w:t>
      </w:r>
      <w:r>
        <w:t>we interrogate</w:t>
      </w:r>
      <w:r w:rsidR="00622682">
        <w:t xml:space="preserve"> </w:t>
      </w:r>
      <w:r w:rsidR="00502EA7">
        <w:t xml:space="preserve">the character of </w:t>
      </w:r>
      <w:r w:rsidR="00622682">
        <w:t>co</w:t>
      </w:r>
      <w:r w:rsidR="001218E9">
        <w:t xml:space="preserve">ntemporary </w:t>
      </w:r>
      <w:r w:rsidR="00622682" w:rsidRPr="00622682">
        <w:t>socio-economic governance in the European Union (EU)</w:t>
      </w:r>
      <w:r w:rsidR="00502EA7">
        <w:t xml:space="preserve">. </w:t>
      </w:r>
      <w:r>
        <w:t>We explore</w:t>
      </w:r>
      <w:r w:rsidR="00502EA7">
        <w:t xml:space="preserve"> the extent to which </w:t>
      </w:r>
      <w:r w:rsidR="006D42BE">
        <w:t xml:space="preserve">it </w:t>
      </w:r>
      <w:r w:rsidR="00502EA7">
        <w:t xml:space="preserve">has transformed into a </w:t>
      </w:r>
      <w:r w:rsidR="006A6574">
        <w:t>neo-liberal rule of law</w:t>
      </w:r>
      <w:r w:rsidR="00887002">
        <w:t xml:space="preserve"> </w:t>
      </w:r>
      <w:r w:rsidR="00502EA7">
        <w:t xml:space="preserve">(May, 2014) </w:t>
      </w:r>
      <w:r w:rsidR="00887002">
        <w:t>that has placed</w:t>
      </w:r>
      <w:r w:rsidR="006A6574">
        <w:t xml:space="preserve"> </w:t>
      </w:r>
      <w:r w:rsidR="00371C67" w:rsidRPr="00371C67">
        <w:t xml:space="preserve">competition </w:t>
      </w:r>
      <w:r w:rsidR="00887002" w:rsidRPr="00887002">
        <w:t>at the heart of European integration process</w:t>
      </w:r>
      <w:r w:rsidR="00887002">
        <w:t xml:space="preserve"> and its related institutions</w:t>
      </w:r>
      <w:r w:rsidR="00622682">
        <w:t>.</w:t>
      </w:r>
      <w:r w:rsidR="00EE5E42">
        <w:t xml:space="preserve"> </w:t>
      </w:r>
      <w:r>
        <w:t>In this context</w:t>
      </w:r>
      <w:r w:rsidR="006D42BE">
        <w:t>,</w:t>
      </w:r>
      <w:r>
        <w:t xml:space="preserve"> we contribute to the growing literature on the </w:t>
      </w:r>
      <w:r w:rsidR="002664F1">
        <w:t>Euro-</w:t>
      </w:r>
      <w:r>
        <w:t xml:space="preserve">crisis and </w:t>
      </w:r>
      <w:r w:rsidR="006D42BE">
        <w:t xml:space="preserve">the </w:t>
      </w:r>
      <w:r>
        <w:t>decline of Social Europe (</w:t>
      </w:r>
      <w:proofErr w:type="spellStart"/>
      <w:r>
        <w:t>Crespy</w:t>
      </w:r>
      <w:proofErr w:type="spellEnd"/>
      <w:r>
        <w:t xml:space="preserve"> and </w:t>
      </w:r>
      <w:proofErr w:type="spellStart"/>
      <w:r>
        <w:t>Menz</w:t>
      </w:r>
      <w:proofErr w:type="spellEnd"/>
      <w:r>
        <w:t>,</w:t>
      </w:r>
      <w:r w:rsidR="002664F1">
        <w:t xml:space="preserve"> 2015;</w:t>
      </w:r>
      <w:r>
        <w:t xml:space="preserve"> </w:t>
      </w:r>
      <w:r w:rsidR="00762A0C">
        <w:t xml:space="preserve">Romano and </w:t>
      </w:r>
      <w:proofErr w:type="spellStart"/>
      <w:r w:rsidR="00762A0C">
        <w:t>Punziano</w:t>
      </w:r>
      <w:proofErr w:type="spellEnd"/>
      <w:r w:rsidR="00762A0C">
        <w:t>, 2015;</w:t>
      </w:r>
      <w:r>
        <w:t xml:space="preserve"> Papadopoulos and Roumpakis</w:t>
      </w:r>
      <w:r w:rsidR="00762A0C">
        <w:t xml:space="preserve">, 2015; </w:t>
      </w:r>
      <w:r w:rsidR="00762A0C" w:rsidRPr="00311D42">
        <w:t>Busch</w:t>
      </w:r>
      <w:r w:rsidR="00762A0C">
        <w:t xml:space="preserve"> et al, 2013; </w:t>
      </w:r>
      <w:r w:rsidR="006E66F8">
        <w:t xml:space="preserve">Hacker, 2013; </w:t>
      </w:r>
      <w:proofErr w:type="spellStart"/>
      <w:r w:rsidR="006E66F8">
        <w:t>Degryse</w:t>
      </w:r>
      <w:proofErr w:type="spellEnd"/>
      <w:r w:rsidR="006E66F8">
        <w:t xml:space="preserve"> et al, 2013; </w:t>
      </w:r>
      <w:proofErr w:type="spellStart"/>
      <w:r w:rsidR="006E66F8">
        <w:t>Hillebrand</w:t>
      </w:r>
      <w:proofErr w:type="spellEnd"/>
      <w:r w:rsidR="006E66F8">
        <w:t>, 2013</w:t>
      </w:r>
      <w:r w:rsidR="002664F1">
        <w:t>) and, more broadly, to</w:t>
      </w:r>
      <w:r w:rsidR="00786DEF">
        <w:t xml:space="preserve"> </w:t>
      </w:r>
      <w:r w:rsidR="006D42BE">
        <w:t xml:space="preserve">the study of the </w:t>
      </w:r>
      <w:proofErr w:type="spellStart"/>
      <w:r w:rsidR="00786DEF">
        <w:t>constitutionalis</w:t>
      </w:r>
      <w:r w:rsidR="002664F1">
        <w:t>ation</w:t>
      </w:r>
      <w:proofErr w:type="spellEnd"/>
      <w:r w:rsidR="002664F1">
        <w:t xml:space="preserve"> of neo-liberalism (Gill and Cutler, 2014; Ma</w:t>
      </w:r>
      <w:r w:rsidR="006E66F8">
        <w:t>y, 2014; Brenner et al, 2014; Gill</w:t>
      </w:r>
      <w:r w:rsidR="00786DEF">
        <w:t>, 1998</w:t>
      </w:r>
      <w:r w:rsidR="002664F1">
        <w:t>)</w:t>
      </w:r>
      <w:r w:rsidR="00786DEF">
        <w:t>.</w:t>
      </w:r>
      <w:r>
        <w:t xml:space="preserve"> </w:t>
      </w:r>
    </w:p>
    <w:p w:rsidR="00553208" w:rsidRDefault="00F417E0" w:rsidP="00F67166">
      <w:pPr>
        <w:jc w:val="both"/>
      </w:pPr>
      <w:r>
        <w:t>T</w:t>
      </w:r>
      <w:r w:rsidR="00CC0AD9">
        <w:t>he chapter</w:t>
      </w:r>
      <w:r w:rsidR="004559E6">
        <w:t xml:space="preserve"> </w:t>
      </w:r>
      <w:r w:rsidR="00371C67" w:rsidRPr="00371C67">
        <w:t>draw</w:t>
      </w:r>
      <w:r w:rsidR="00EE5E42">
        <w:t>s</w:t>
      </w:r>
      <w:r w:rsidR="00371C67" w:rsidRPr="00371C67">
        <w:t xml:space="preserve"> </w:t>
      </w:r>
      <w:r w:rsidR="00935C31">
        <w:t>on</w:t>
      </w:r>
      <w:r w:rsidR="00273CA3">
        <w:t xml:space="preserve"> </w:t>
      </w:r>
      <w:r w:rsidR="00E62B59">
        <w:t xml:space="preserve">empirical evidence </w:t>
      </w:r>
      <w:r w:rsidR="00762A4E">
        <w:t>capturing</w:t>
      </w:r>
      <w:r w:rsidR="004559E6">
        <w:t xml:space="preserve"> the type and extent of regulatory changes</w:t>
      </w:r>
      <w:r w:rsidR="006A6574">
        <w:t xml:space="preserve"> in</w:t>
      </w:r>
      <w:r w:rsidR="004121F7" w:rsidRPr="00371C67">
        <w:t xml:space="preserve"> </w:t>
      </w:r>
      <w:r w:rsidR="00371C67" w:rsidRPr="00371C67">
        <w:t>the field</w:t>
      </w:r>
      <w:r w:rsidR="00E62B59">
        <w:t>s</w:t>
      </w:r>
      <w:r w:rsidR="00371C67" w:rsidRPr="00371C67">
        <w:t xml:space="preserve"> of industrial relations</w:t>
      </w:r>
      <w:r w:rsidR="008641D2">
        <w:t>, corporate governance</w:t>
      </w:r>
      <w:r w:rsidR="00371C67" w:rsidRPr="00371C67">
        <w:t xml:space="preserve"> and</w:t>
      </w:r>
      <w:r w:rsidR="00E62B59">
        <w:t xml:space="preserve"> the coordination of </w:t>
      </w:r>
      <w:r w:rsidR="00371C67" w:rsidRPr="00371C67">
        <w:t>macro-economic policy</w:t>
      </w:r>
      <w:r w:rsidR="00762A4E">
        <w:t xml:space="preserve"> in the EU</w:t>
      </w:r>
      <w:r w:rsidR="006D42BE">
        <w:t>. T</w:t>
      </w:r>
      <w:r w:rsidR="006A6574">
        <w:t xml:space="preserve">hese changes were </w:t>
      </w:r>
      <w:r w:rsidR="006A6574" w:rsidRPr="006A6574">
        <w:t>n</w:t>
      </w:r>
      <w:r w:rsidR="006A6574">
        <w:t>either</w:t>
      </w:r>
      <w:r w:rsidR="006A6574" w:rsidRPr="006A6574">
        <w:t xml:space="preserve"> mere r</w:t>
      </w:r>
      <w:r w:rsidR="00887002">
        <w:t>esponses to the Eurozone crisis</w:t>
      </w:r>
      <w:r w:rsidR="006A6574" w:rsidRPr="006A6574">
        <w:t xml:space="preserve"> nor they apply only to the crisis-hit </w:t>
      </w:r>
      <w:r w:rsidR="00ED33DE">
        <w:t>Member States</w:t>
      </w:r>
      <w:r w:rsidR="006A6574" w:rsidRPr="006A6574">
        <w:t xml:space="preserve">. </w:t>
      </w:r>
      <w:r w:rsidR="006D42BE">
        <w:t>M</w:t>
      </w:r>
      <w:r w:rsidR="006A6574">
        <w:t xml:space="preserve">any of </w:t>
      </w:r>
      <w:r w:rsidR="006D42BE">
        <w:t>them</w:t>
      </w:r>
      <w:r w:rsidR="00762A4E">
        <w:t xml:space="preserve"> began </w:t>
      </w:r>
      <w:r w:rsidR="00887002">
        <w:t>years</w:t>
      </w:r>
      <w:r w:rsidR="00762A4E">
        <w:t xml:space="preserve"> ago</w:t>
      </w:r>
      <w:r w:rsidR="006D42BE">
        <w:t xml:space="preserve"> but </w:t>
      </w:r>
      <w:r w:rsidR="00887002">
        <w:t xml:space="preserve">it was </w:t>
      </w:r>
      <w:r w:rsidR="00762A4E">
        <w:t>the</w:t>
      </w:r>
      <w:r w:rsidR="006A6574">
        <w:t>ir</w:t>
      </w:r>
      <w:r w:rsidR="00762A4E">
        <w:t xml:space="preserve"> pace </w:t>
      </w:r>
      <w:r w:rsidR="00887002">
        <w:t xml:space="preserve">and breadth </w:t>
      </w:r>
      <w:r w:rsidR="006A6574">
        <w:t xml:space="preserve">that </w:t>
      </w:r>
      <w:r w:rsidR="00887002">
        <w:t>have</w:t>
      </w:r>
      <w:r w:rsidR="00762A4E">
        <w:t xml:space="preserve"> accelerated since the eruption of the sovereign debt crisis</w:t>
      </w:r>
      <w:r w:rsidR="00CC0AD9">
        <w:t>.</w:t>
      </w:r>
      <w:r w:rsidR="00762A4E">
        <w:t xml:space="preserve"> </w:t>
      </w:r>
      <w:r w:rsidR="00CC0AD9">
        <w:t xml:space="preserve"> </w:t>
      </w:r>
      <w:r w:rsidR="00887002">
        <w:t>W</w:t>
      </w:r>
      <w:r w:rsidR="00475402">
        <w:t xml:space="preserve">e argue that </w:t>
      </w:r>
      <w:r w:rsidR="00AC5F99">
        <w:t>t</w:t>
      </w:r>
      <w:r w:rsidR="00AC5F99" w:rsidRPr="00AC5F99">
        <w:t xml:space="preserve">he effects of these changes are </w:t>
      </w:r>
      <w:r w:rsidR="00AC5F99">
        <w:t xml:space="preserve">long-term, </w:t>
      </w:r>
      <w:r w:rsidR="00AC5F99" w:rsidRPr="00AC5F99">
        <w:t>cumulative and mutually reinforcing</w:t>
      </w:r>
      <w:r w:rsidR="00AC5F99">
        <w:t xml:space="preserve"> and </w:t>
      </w:r>
      <w:r w:rsidR="00762A4E">
        <w:t xml:space="preserve">should be seen </w:t>
      </w:r>
      <w:r w:rsidR="00935C31">
        <w:t>a</w:t>
      </w:r>
      <w:r w:rsidR="00762A4E">
        <w:t>s</w:t>
      </w:r>
      <w:r w:rsidR="00371C67" w:rsidRPr="00371C67">
        <w:t xml:space="preserve"> integral</w:t>
      </w:r>
      <w:r w:rsidR="00AC5F99">
        <w:t xml:space="preserve"> elements of a</w:t>
      </w:r>
      <w:r w:rsidR="00371C67" w:rsidRPr="00371C67">
        <w:t xml:space="preserve"> </w:t>
      </w:r>
      <w:r>
        <w:t xml:space="preserve">relatively </w:t>
      </w:r>
      <w:r w:rsidR="00AC5F99">
        <w:t xml:space="preserve">coherent </w:t>
      </w:r>
      <w:r w:rsidR="00371C67" w:rsidRPr="00371C67">
        <w:t xml:space="preserve">project </w:t>
      </w:r>
      <w:r w:rsidR="00887002">
        <w:t>to establish a form of trans</w:t>
      </w:r>
      <w:r w:rsidR="00802A63">
        <w:t>-</w:t>
      </w:r>
      <w:r w:rsidR="00887002">
        <w:t xml:space="preserve">national polity </w:t>
      </w:r>
      <w:r w:rsidR="006D42BE">
        <w:t xml:space="preserve">in Europe </w:t>
      </w:r>
      <w:r w:rsidR="00371C67" w:rsidRPr="00371C67">
        <w:t xml:space="preserve">that </w:t>
      </w:r>
      <w:r w:rsidR="00F4007F">
        <w:t>privileges</w:t>
      </w:r>
      <w:r w:rsidR="003A579F">
        <w:t xml:space="preserve"> </w:t>
      </w:r>
      <w:r w:rsidR="00371C67" w:rsidRPr="00371C67">
        <w:t xml:space="preserve">competition </w:t>
      </w:r>
      <w:r w:rsidR="00AC5F99">
        <w:t xml:space="preserve">as </w:t>
      </w:r>
      <w:r w:rsidR="00887002">
        <w:t>its</w:t>
      </w:r>
      <w:r w:rsidR="00AC5F99">
        <w:t xml:space="preserve"> regulatory rationale</w:t>
      </w:r>
      <w:r w:rsidR="00F4007F">
        <w:t xml:space="preserve">. </w:t>
      </w:r>
    </w:p>
    <w:p w:rsidR="00371C67" w:rsidRPr="00371C67" w:rsidRDefault="00475402" w:rsidP="00F67166">
      <w:pPr>
        <w:jc w:val="both"/>
      </w:pPr>
      <w:r>
        <w:t xml:space="preserve">The chapter </w:t>
      </w:r>
      <w:r w:rsidR="00AC5F99">
        <w:t>analys</w:t>
      </w:r>
      <w:r w:rsidR="00AC5F99" w:rsidRPr="00371C67">
        <w:t xml:space="preserve">es </w:t>
      </w:r>
      <w:r>
        <w:t xml:space="preserve">two </w:t>
      </w:r>
      <w:r w:rsidRPr="00371C67">
        <w:t>distinct</w:t>
      </w:r>
      <w:r w:rsidR="003A579F">
        <w:t xml:space="preserve"> </w:t>
      </w:r>
      <w:r w:rsidR="006D42BE">
        <w:t xml:space="preserve">but related (and mutually reinforcing) </w:t>
      </w:r>
      <w:r w:rsidR="00EA2D29">
        <w:t>transformations</w:t>
      </w:r>
      <w:r w:rsidR="00EA2D29" w:rsidRPr="00371C67">
        <w:t xml:space="preserve"> </w:t>
      </w:r>
      <w:r w:rsidR="00C823B2">
        <w:t>in</w:t>
      </w:r>
      <w:r w:rsidR="00C823B2" w:rsidRPr="00371C67">
        <w:t xml:space="preserve"> </w:t>
      </w:r>
      <w:r w:rsidR="006D42BE">
        <w:t>EU</w:t>
      </w:r>
      <w:r w:rsidRPr="00371C67">
        <w:t xml:space="preserve"> socio-economic </w:t>
      </w:r>
      <w:r w:rsidR="00C823B2" w:rsidRPr="00C823B2">
        <w:t>governance</w:t>
      </w:r>
      <w:r w:rsidR="006D42BE">
        <w:t>.</w:t>
      </w:r>
      <w:r w:rsidRPr="00371C67">
        <w:t xml:space="preserve"> </w:t>
      </w:r>
      <w:r w:rsidR="00371C67" w:rsidRPr="00371C67">
        <w:t xml:space="preserve">The first part </w:t>
      </w:r>
      <w:r w:rsidR="00C823B2" w:rsidRPr="00371C67">
        <w:t>reviews</w:t>
      </w:r>
      <w:r w:rsidR="00C823B2">
        <w:t xml:space="preserve"> key </w:t>
      </w:r>
      <w:r w:rsidR="00371C67" w:rsidRPr="00553208">
        <w:rPr>
          <w:i/>
        </w:rPr>
        <w:t>judicial rulings</w:t>
      </w:r>
      <w:r w:rsidR="00371C67" w:rsidRPr="00371C67">
        <w:t xml:space="preserve"> </w:t>
      </w:r>
      <w:r w:rsidR="00935C31">
        <w:t>i</w:t>
      </w:r>
      <w:r w:rsidR="00371C67" w:rsidRPr="00371C67">
        <w:t>n the field</w:t>
      </w:r>
      <w:r w:rsidR="00AC5F99">
        <w:t>s</w:t>
      </w:r>
      <w:r w:rsidR="00371C67" w:rsidRPr="00371C67">
        <w:t xml:space="preserve"> of industrial relations</w:t>
      </w:r>
      <w:r w:rsidR="00FE3D15">
        <w:t xml:space="preserve"> and corporate governance</w:t>
      </w:r>
      <w:r w:rsidR="00371C67" w:rsidRPr="00371C67">
        <w:t xml:space="preserve">. It shows </w:t>
      </w:r>
      <w:r w:rsidR="00FE3D15">
        <w:t xml:space="preserve">how </w:t>
      </w:r>
      <w:r w:rsidR="00371C67" w:rsidRPr="00371C67">
        <w:t xml:space="preserve">the </w:t>
      </w:r>
      <w:r w:rsidR="004F1015" w:rsidRPr="004F1015">
        <w:t xml:space="preserve">European Court of Justice (ECJ) </w:t>
      </w:r>
      <w:r w:rsidR="00C823B2">
        <w:t>has been</w:t>
      </w:r>
      <w:r w:rsidR="00C823B2" w:rsidRPr="004F1015">
        <w:t xml:space="preserve"> </w:t>
      </w:r>
      <w:r w:rsidR="004F1015" w:rsidRPr="004F1015">
        <w:t>institutionally priorit</w:t>
      </w:r>
      <w:r w:rsidR="00924676">
        <w:t>ising</w:t>
      </w:r>
      <w:r w:rsidR="004F1015" w:rsidRPr="004F1015">
        <w:t xml:space="preserve"> market freedoms and competition over labour rights and</w:t>
      </w:r>
      <w:r w:rsidR="006D42BE">
        <w:t xml:space="preserve"> especially</w:t>
      </w:r>
      <w:r w:rsidR="00760102">
        <w:t xml:space="preserve"> </w:t>
      </w:r>
      <w:r w:rsidR="00B656FC">
        <w:t>the right to collective action</w:t>
      </w:r>
      <w:r w:rsidR="00F417E0">
        <w:t xml:space="preserve"> in </w:t>
      </w:r>
      <w:r w:rsidR="006D42BE">
        <w:t>an</w:t>
      </w:r>
      <w:r w:rsidR="00F417E0">
        <w:t xml:space="preserve"> emerging trans-national regulatory field in E</w:t>
      </w:r>
      <w:r w:rsidR="006D42BE">
        <w:t>U</w:t>
      </w:r>
      <w:r w:rsidR="00B656FC">
        <w:t>. This has</w:t>
      </w:r>
      <w:r w:rsidR="00760102">
        <w:t xml:space="preserve"> </w:t>
      </w:r>
      <w:r w:rsidR="00B656FC">
        <w:t>led to a fundamental transformation of</w:t>
      </w:r>
      <w:r w:rsidR="00EA2D29">
        <w:t xml:space="preserve"> the regulatory landscape of industrial relations </w:t>
      </w:r>
      <w:r w:rsidR="00F417E0">
        <w:t>across</w:t>
      </w:r>
      <w:r w:rsidR="00EA2D29">
        <w:t xml:space="preserve"> Europe</w:t>
      </w:r>
      <w:r w:rsidR="00F4007F">
        <w:t xml:space="preserve"> in </w:t>
      </w:r>
      <w:r w:rsidR="00760102" w:rsidRPr="00760102">
        <w:t xml:space="preserve">terms </w:t>
      </w:r>
      <w:r w:rsidR="00760102">
        <w:t>very unfavourable to organized labour</w:t>
      </w:r>
      <w:r w:rsidR="00B656FC">
        <w:t xml:space="preserve"> and </w:t>
      </w:r>
      <w:r w:rsidR="006D42BE">
        <w:t xml:space="preserve">the </w:t>
      </w:r>
      <w:r w:rsidR="00F417E0">
        <w:t xml:space="preserve">many </w:t>
      </w:r>
      <w:r w:rsidR="00B656FC">
        <w:t xml:space="preserve">nationally embedded </w:t>
      </w:r>
      <w:r w:rsidR="00F263EB">
        <w:t xml:space="preserve">arrangements </w:t>
      </w:r>
      <w:r w:rsidR="00F417E0">
        <w:t>that promote</w:t>
      </w:r>
      <w:r w:rsidR="00F263EB">
        <w:t xml:space="preserve"> public rathe</w:t>
      </w:r>
      <w:r w:rsidR="006D42BE">
        <w:t>r than market-related objectives</w:t>
      </w:r>
      <w:r w:rsidR="00371C67" w:rsidRPr="00371C67">
        <w:t xml:space="preserve">. The second part explores how recent institutional innovations </w:t>
      </w:r>
      <w:r w:rsidR="00EA2D29">
        <w:t>have transformed the field of</w:t>
      </w:r>
      <w:r w:rsidR="00371C67" w:rsidRPr="00371C67">
        <w:t xml:space="preserve"> </w:t>
      </w:r>
      <w:r w:rsidR="00371C67" w:rsidRPr="00553208">
        <w:rPr>
          <w:i/>
        </w:rPr>
        <w:t xml:space="preserve">European </w:t>
      </w:r>
      <w:r w:rsidR="00EA2D29">
        <w:rPr>
          <w:i/>
        </w:rPr>
        <w:t>macro-</w:t>
      </w:r>
      <w:r w:rsidR="00371C67" w:rsidRPr="00553208">
        <w:rPr>
          <w:i/>
        </w:rPr>
        <w:t>economic governance</w:t>
      </w:r>
      <w:r w:rsidR="00760102">
        <w:rPr>
          <w:i/>
        </w:rPr>
        <w:t xml:space="preserve"> </w:t>
      </w:r>
      <w:r w:rsidR="00760102">
        <w:t xml:space="preserve">along a similar rationale. </w:t>
      </w:r>
      <w:r w:rsidR="00F263EB">
        <w:t xml:space="preserve">The new </w:t>
      </w:r>
      <w:r w:rsidR="00760102">
        <w:t xml:space="preserve">procedures of </w:t>
      </w:r>
      <w:r w:rsidR="00F263EB">
        <w:t xml:space="preserve">European </w:t>
      </w:r>
      <w:r w:rsidR="00760102">
        <w:t xml:space="preserve">macro-economic coordination </w:t>
      </w:r>
      <w:r w:rsidR="00F263EB">
        <w:t>construe</w:t>
      </w:r>
      <w:r w:rsidR="00C823B2">
        <w:t xml:space="preserve"> </w:t>
      </w:r>
      <w:r w:rsidR="00EA2D29">
        <w:t xml:space="preserve">national </w:t>
      </w:r>
      <w:r w:rsidR="00371C67" w:rsidRPr="00371C67">
        <w:t>wage-setting</w:t>
      </w:r>
      <w:r w:rsidR="0094387D" w:rsidRPr="0094387D">
        <w:t xml:space="preserve">, </w:t>
      </w:r>
      <w:r w:rsidR="00371C67" w:rsidRPr="00371C67">
        <w:t>collective bargaining institutions</w:t>
      </w:r>
      <w:r w:rsidR="00040D6E">
        <w:t xml:space="preserve"> and</w:t>
      </w:r>
      <w:r w:rsidR="00F417E0" w:rsidRPr="00F417E0">
        <w:t xml:space="preserve">, more generally, </w:t>
      </w:r>
      <w:r w:rsidR="00040D6E">
        <w:t>social policy</w:t>
      </w:r>
      <w:r w:rsidR="00F417E0">
        <w:t xml:space="preserve"> </w:t>
      </w:r>
      <w:r w:rsidR="00C823B2">
        <w:t>as</w:t>
      </w:r>
      <w:r w:rsidR="00EA2D29">
        <w:t xml:space="preserve"> </w:t>
      </w:r>
      <w:r w:rsidR="00A03251">
        <w:t xml:space="preserve">adjustment </w:t>
      </w:r>
      <w:r w:rsidR="00371C67" w:rsidRPr="00371C67">
        <w:t>variables</w:t>
      </w:r>
      <w:r w:rsidR="00EA2D29">
        <w:t xml:space="preserve">, </w:t>
      </w:r>
      <w:r w:rsidR="00C823B2">
        <w:t xml:space="preserve">serving </w:t>
      </w:r>
      <w:r w:rsidR="00F263EB">
        <w:t>primarily</w:t>
      </w:r>
      <w:r w:rsidR="00EA2D29">
        <w:t xml:space="preserve"> </w:t>
      </w:r>
      <w:r w:rsidR="00C823B2">
        <w:t xml:space="preserve">the purpose of </w:t>
      </w:r>
      <w:r w:rsidR="00371C67" w:rsidRPr="00371C67">
        <w:t xml:space="preserve">promoting or restoring </w:t>
      </w:r>
      <w:r w:rsidR="00ED33DE">
        <w:t>Member States</w:t>
      </w:r>
      <w:r w:rsidR="00371C67" w:rsidRPr="00371C67">
        <w:t xml:space="preserve">’ </w:t>
      </w:r>
      <w:r w:rsidR="00C823B2">
        <w:t xml:space="preserve">economic </w:t>
      </w:r>
      <w:r w:rsidR="00371C67" w:rsidRPr="00371C67">
        <w:t>competitiveness</w:t>
      </w:r>
      <w:r w:rsidR="00040D6E">
        <w:t xml:space="preserve">. This is to be achieved by </w:t>
      </w:r>
      <w:r w:rsidR="00F263EB">
        <w:t xml:space="preserve">means of </w:t>
      </w:r>
      <w:r w:rsidR="00F263EB" w:rsidRPr="00F263EB">
        <w:t xml:space="preserve">a </w:t>
      </w:r>
      <w:r w:rsidR="00F263EB">
        <w:t>very strict</w:t>
      </w:r>
      <w:r w:rsidR="00040D6E">
        <w:t>,</w:t>
      </w:r>
      <w:r w:rsidR="00F263EB">
        <w:t xml:space="preserve"> </w:t>
      </w:r>
      <w:r w:rsidR="00F263EB" w:rsidRPr="00F263EB">
        <w:t>legally-binding</w:t>
      </w:r>
      <w:r w:rsidR="00040D6E">
        <w:t>,</w:t>
      </w:r>
      <w:r w:rsidR="00F263EB" w:rsidRPr="00F263EB">
        <w:t xml:space="preserve"> trans</w:t>
      </w:r>
      <w:r w:rsidR="00F417E0">
        <w:t>-</w:t>
      </w:r>
      <w:r w:rsidR="00F263EB" w:rsidRPr="00F263EB">
        <w:t>national regulatory framework</w:t>
      </w:r>
      <w:r w:rsidR="00040D6E">
        <w:t>,</w:t>
      </w:r>
      <w:r w:rsidR="00F263EB">
        <w:t xml:space="preserve"> </w:t>
      </w:r>
      <w:r w:rsidR="00040D6E">
        <w:t xml:space="preserve">full of depoliticized disciplinary mechanisms </w:t>
      </w:r>
      <w:r w:rsidR="00F417E0">
        <w:t>that aim to</w:t>
      </w:r>
      <w:r w:rsidR="00F263EB">
        <w:t xml:space="preserve"> </w:t>
      </w:r>
      <w:r w:rsidR="00F417E0">
        <w:t>enforce</w:t>
      </w:r>
      <w:r w:rsidR="00040D6E">
        <w:t xml:space="preserve"> the logic of competition and the primacy of the market</w:t>
      </w:r>
      <w:r w:rsidR="00371C67" w:rsidRPr="00371C67">
        <w:t xml:space="preserve">. The </w:t>
      </w:r>
      <w:r w:rsidR="00553208">
        <w:t>chapter</w:t>
      </w:r>
      <w:r w:rsidR="00371C67" w:rsidRPr="00371C67">
        <w:t xml:space="preserve"> concludes </w:t>
      </w:r>
      <w:r w:rsidR="0026635D">
        <w:t xml:space="preserve">by </w:t>
      </w:r>
      <w:r w:rsidR="00802A63">
        <w:t xml:space="preserve">reflecting on the implications of institutionalizing </w:t>
      </w:r>
      <w:r w:rsidR="004877BA">
        <w:t xml:space="preserve">the predominance </w:t>
      </w:r>
      <w:r w:rsidR="00371C67" w:rsidRPr="00371C67">
        <w:t>of ‘competitiveness’ over hard-won labour rights</w:t>
      </w:r>
      <w:r w:rsidR="00C823B2">
        <w:t xml:space="preserve"> and democratic accountability</w:t>
      </w:r>
      <w:r w:rsidR="00F47C9E">
        <w:t xml:space="preserve"> </w:t>
      </w:r>
      <w:r w:rsidR="0094387D">
        <w:t xml:space="preserve">for </w:t>
      </w:r>
      <w:r w:rsidR="0094387D" w:rsidRPr="0094387D">
        <w:t>the political legitimacy of the European integration process</w:t>
      </w:r>
      <w:r w:rsidR="0094387D">
        <w:t xml:space="preserve">. </w:t>
      </w:r>
      <w:r w:rsidR="0094387D" w:rsidRPr="0094387D">
        <w:t xml:space="preserve"> </w:t>
      </w:r>
    </w:p>
    <w:p w:rsidR="00B27997" w:rsidRDefault="00B27997" w:rsidP="00F67166">
      <w:pPr>
        <w:jc w:val="both"/>
      </w:pPr>
    </w:p>
    <w:p w:rsidR="00B27997" w:rsidRDefault="00475C0D" w:rsidP="00F67166">
      <w:pPr>
        <w:pStyle w:val="Heading2"/>
        <w:jc w:val="both"/>
      </w:pPr>
      <w:r>
        <w:t xml:space="preserve">Social </w:t>
      </w:r>
      <w:r w:rsidR="0034605D">
        <w:t>regulation of c</w:t>
      </w:r>
      <w:r w:rsidR="00A409C1">
        <w:t>ompetition</w:t>
      </w:r>
      <w:r>
        <w:t xml:space="preserve"> in the process of </w:t>
      </w:r>
      <w:r w:rsidR="00A231A3">
        <w:t xml:space="preserve">European integration </w:t>
      </w:r>
      <w:r w:rsidR="00A409C1">
        <w:t xml:space="preserve"> </w:t>
      </w:r>
    </w:p>
    <w:p w:rsidR="00553208" w:rsidRPr="00553208" w:rsidRDefault="00553208" w:rsidP="00F67166">
      <w:pPr>
        <w:jc w:val="both"/>
      </w:pPr>
    </w:p>
    <w:p w:rsidR="00FB2FB5" w:rsidRDefault="00FE1D88" w:rsidP="006D3EDE">
      <w:pPr>
        <w:jc w:val="both"/>
      </w:pPr>
      <w:r>
        <w:t>T</w:t>
      </w:r>
      <w:r w:rsidR="0095722F" w:rsidRPr="0095722F">
        <w:t xml:space="preserve">he Treaty </w:t>
      </w:r>
      <w:r w:rsidR="00292439">
        <w:t>of Rome (formally</w:t>
      </w:r>
      <w:r w:rsidR="0095722F">
        <w:t xml:space="preserve"> the Treaty </w:t>
      </w:r>
      <w:r w:rsidR="0095722F" w:rsidRPr="0095722F">
        <w:t>establishing the European Economic Community</w:t>
      </w:r>
      <w:r w:rsidR="0095722F">
        <w:t xml:space="preserve">) </w:t>
      </w:r>
      <w:r>
        <w:t>was s</w:t>
      </w:r>
      <w:r w:rsidRPr="00FE1D88">
        <w:t>igned on 25 March 1957</w:t>
      </w:r>
      <w:r>
        <w:t xml:space="preserve">. Its </w:t>
      </w:r>
      <w:r w:rsidR="0095722F" w:rsidRPr="0095722F">
        <w:t>preamble</w:t>
      </w:r>
      <w:r>
        <w:rPr>
          <w:rStyle w:val="FootnoteReference"/>
        </w:rPr>
        <w:footnoteReference w:id="1"/>
      </w:r>
      <w:r w:rsidR="0095722F" w:rsidRPr="0095722F">
        <w:t xml:space="preserve"> </w:t>
      </w:r>
      <w:r>
        <w:t xml:space="preserve">confirmed </w:t>
      </w:r>
      <w:r w:rsidR="0095722F" w:rsidRPr="0095722F">
        <w:t>th</w:t>
      </w:r>
      <w:r>
        <w:t>e determination of the signatory states “</w:t>
      </w:r>
      <w:r w:rsidR="0095722F" w:rsidRPr="0095722F">
        <w:t>to lay the foundations of an ever closer union among the peoples of Europe".</w:t>
      </w:r>
      <w:r w:rsidR="006314BB">
        <w:t xml:space="preserve"> </w:t>
      </w:r>
      <w:r w:rsidR="00C30735">
        <w:t>W</w:t>
      </w:r>
      <w:r w:rsidR="00A231A3">
        <w:t>elfare and employment-related policies were dealt in a</w:t>
      </w:r>
      <w:r w:rsidR="00F67166" w:rsidRPr="00F67166">
        <w:t>rticle</w:t>
      </w:r>
      <w:r w:rsidR="00A231A3">
        <w:t xml:space="preserve">s </w:t>
      </w:r>
      <w:r w:rsidR="00F67166" w:rsidRPr="00F67166">
        <w:t>117</w:t>
      </w:r>
      <w:r w:rsidR="00A231A3">
        <w:t>-12</w:t>
      </w:r>
      <w:r w:rsidR="00C30735">
        <w:t>8</w:t>
      </w:r>
      <w:r w:rsidR="00F67166" w:rsidRPr="00F67166">
        <w:t xml:space="preserve"> of the Treaty</w:t>
      </w:r>
      <w:r w:rsidR="00292439">
        <w:t xml:space="preserve"> and</w:t>
      </w:r>
      <w:r w:rsidR="00A231A3">
        <w:t xml:space="preserve"> </w:t>
      </w:r>
      <w:r w:rsidR="00292439">
        <w:t xml:space="preserve">especially </w:t>
      </w:r>
      <w:r w:rsidR="00A231A3">
        <w:t xml:space="preserve">Article 117 </w:t>
      </w:r>
      <w:r w:rsidR="00C30735">
        <w:t xml:space="preserve">that </w:t>
      </w:r>
      <w:r w:rsidR="00292439">
        <w:t xml:space="preserve">highlighted the </w:t>
      </w:r>
      <w:r w:rsidR="0011776D">
        <w:t xml:space="preserve">clear </w:t>
      </w:r>
      <w:r w:rsidR="008D5E77">
        <w:t xml:space="preserve">commitment </w:t>
      </w:r>
      <w:r w:rsidR="0011776D">
        <w:t xml:space="preserve">of the </w:t>
      </w:r>
      <w:r w:rsidR="0011776D" w:rsidRPr="0011776D">
        <w:t xml:space="preserve">signatory states’ </w:t>
      </w:r>
      <w:r w:rsidR="008D5E77">
        <w:t xml:space="preserve">towards </w:t>
      </w:r>
      <w:r w:rsidR="00BA71AA">
        <w:t>‘</w:t>
      </w:r>
      <w:r w:rsidR="00BA71AA" w:rsidRPr="00BA71AA">
        <w:t>promote improved working conditions and an improved standard of living for workers</w:t>
      </w:r>
      <w:r w:rsidR="00BA71AA">
        <w:rPr>
          <w:i/>
        </w:rPr>
        <w:t>’</w:t>
      </w:r>
      <w:r w:rsidR="00FF1E19">
        <w:rPr>
          <w:i/>
        </w:rPr>
        <w:t xml:space="preserve">. </w:t>
      </w:r>
      <w:r w:rsidR="002036FE">
        <w:t>These</w:t>
      </w:r>
      <w:r w:rsidR="0011776D" w:rsidRPr="0011776D">
        <w:t xml:space="preserve"> articles </w:t>
      </w:r>
      <w:r w:rsidR="002036FE">
        <w:t xml:space="preserve">articulated </w:t>
      </w:r>
      <w:proofErr w:type="gramStart"/>
      <w:r w:rsidR="002036FE">
        <w:t xml:space="preserve">a </w:t>
      </w:r>
      <w:r w:rsidR="00FF1E19">
        <w:t>r</w:t>
      </w:r>
      <w:r w:rsidR="0094387D">
        <w:t>ecognition</w:t>
      </w:r>
      <w:proofErr w:type="gramEnd"/>
      <w:r w:rsidR="0094387D">
        <w:t xml:space="preserve"> of the </w:t>
      </w:r>
      <w:r w:rsidR="00292439">
        <w:t xml:space="preserve">social dimension of Europe’s politico-economic integration </w:t>
      </w:r>
      <w:r w:rsidR="0011776D">
        <w:t xml:space="preserve">that </w:t>
      </w:r>
      <w:r w:rsidR="00FB2FB5">
        <w:t xml:space="preserve">was </w:t>
      </w:r>
      <w:r w:rsidR="0011776D">
        <w:t xml:space="preserve">meant </w:t>
      </w:r>
      <w:r w:rsidR="00292439">
        <w:t xml:space="preserve">to have </w:t>
      </w:r>
      <w:r w:rsidR="008D5E77">
        <w:t xml:space="preserve">both procedural </w:t>
      </w:r>
      <w:r w:rsidR="00FB2FB5">
        <w:t xml:space="preserve">and normative </w:t>
      </w:r>
      <w:r w:rsidR="008D5E77">
        <w:t xml:space="preserve">aspects. </w:t>
      </w:r>
      <w:r w:rsidR="00C30735">
        <w:t xml:space="preserve">Procedurally, </w:t>
      </w:r>
      <w:r w:rsidR="00E27EC9">
        <w:t>provision</w:t>
      </w:r>
      <w:r w:rsidR="0011776D">
        <w:t>s</w:t>
      </w:r>
      <w:r w:rsidR="00E27EC9">
        <w:t xml:space="preserve"> </w:t>
      </w:r>
      <w:r w:rsidR="0011776D">
        <w:t>such as the</w:t>
      </w:r>
      <w:r w:rsidR="00E27EC9">
        <w:t xml:space="preserve"> </w:t>
      </w:r>
      <w:r w:rsidR="009E5971">
        <w:t>monitoring of</w:t>
      </w:r>
      <w:r w:rsidR="00FB2FB5">
        <w:t xml:space="preserve"> - and reporting on -</w:t>
      </w:r>
      <w:r w:rsidR="009E5971">
        <w:t xml:space="preserve"> social and employment conditions</w:t>
      </w:r>
      <w:r w:rsidR="00FB2FB5">
        <w:t xml:space="preserve"> (Article 118)</w:t>
      </w:r>
      <w:r w:rsidR="009E5971">
        <w:t xml:space="preserve"> and the creation of the European Social Fund</w:t>
      </w:r>
      <w:r w:rsidR="00063A4A">
        <w:t xml:space="preserve"> (Articles 123-128)</w:t>
      </w:r>
      <w:r w:rsidR="00FB2FB5">
        <w:t xml:space="preserve"> were meant to facilitate the process of </w:t>
      </w:r>
      <w:r w:rsidR="0011776D">
        <w:t xml:space="preserve">integrating towards an </w:t>
      </w:r>
      <w:r w:rsidR="00FB2FB5">
        <w:t>‘ever closer union’</w:t>
      </w:r>
      <w:r w:rsidR="0011776D">
        <w:t xml:space="preserve"> while recognizing</w:t>
      </w:r>
      <w:r w:rsidR="00FB2FB5">
        <w:t xml:space="preserve"> </w:t>
      </w:r>
      <w:r w:rsidR="00063A4A">
        <w:t>that any</w:t>
      </w:r>
      <w:r w:rsidR="00FB2FB5">
        <w:t xml:space="preserve"> possible negative effects on employment </w:t>
      </w:r>
      <w:r w:rsidR="00063A4A">
        <w:t>or</w:t>
      </w:r>
      <w:r w:rsidR="00FB2FB5">
        <w:t xml:space="preserve"> welfare</w:t>
      </w:r>
      <w:r w:rsidR="00063A4A">
        <w:t xml:space="preserve"> </w:t>
      </w:r>
      <w:r w:rsidR="00FB2FB5">
        <w:t>required co-ordinated positive action</w:t>
      </w:r>
      <w:r w:rsidR="00063A4A">
        <w:t xml:space="preserve">. The latter </w:t>
      </w:r>
      <w:r w:rsidR="00E27EC9">
        <w:t>included</w:t>
      </w:r>
      <w:r w:rsidR="00063A4A">
        <w:t xml:space="preserve"> </w:t>
      </w:r>
      <w:r w:rsidR="0011776D">
        <w:t xml:space="preserve">measures such as </w:t>
      </w:r>
      <w:r w:rsidR="00063A4A">
        <w:t>“a) ensuring productive re-employment of workers by means of vocational retraining and resettlement allowances” and “b) granting aid</w:t>
      </w:r>
      <w:r w:rsidR="00063A4A" w:rsidRPr="00063A4A">
        <w:t xml:space="preserve"> </w:t>
      </w:r>
      <w:r w:rsidR="00063A4A">
        <w:t>for the benefit of workers whose employment is reduced or temporarily suspended” (Article 125)</w:t>
      </w:r>
      <w:r w:rsidR="00FB2FB5">
        <w:t>.</w:t>
      </w:r>
      <w:r w:rsidR="00063A4A">
        <w:t xml:space="preserve"> </w:t>
      </w:r>
      <w:r w:rsidR="00FB2FB5" w:rsidRPr="00FB2FB5">
        <w:t>Normatively, the</w:t>
      </w:r>
      <w:r w:rsidR="00FB2FB5">
        <w:t xml:space="preserve">se articles </w:t>
      </w:r>
      <w:r w:rsidR="006D3EDE">
        <w:t>constituted a</w:t>
      </w:r>
      <w:r w:rsidR="00E27EC9">
        <w:t>n endorsement of</w:t>
      </w:r>
      <w:r w:rsidR="006D3EDE">
        <w:t xml:space="preserve"> </w:t>
      </w:r>
      <w:r w:rsidR="00E27EC9">
        <w:t>the principles</w:t>
      </w:r>
      <w:r w:rsidR="006D3EDE">
        <w:t xml:space="preserve"> of </w:t>
      </w:r>
      <w:r w:rsidR="00FB2FB5" w:rsidRPr="00FB2FB5">
        <w:t>social justice</w:t>
      </w:r>
      <w:r w:rsidR="00063A4A">
        <w:t xml:space="preserve"> </w:t>
      </w:r>
      <w:r w:rsidR="00E27EC9">
        <w:t xml:space="preserve">and the rule of law while recognizing the importance of respecting and enhancing socio-economic rights during the integration process. </w:t>
      </w:r>
      <w:r w:rsidR="002036FE">
        <w:t xml:space="preserve"> </w:t>
      </w:r>
      <w:r w:rsidR="00245271">
        <w:t xml:space="preserve">The values they endorsed </w:t>
      </w:r>
      <w:r w:rsidR="008B6D93">
        <w:t>echoed</w:t>
      </w:r>
      <w:r w:rsidR="00E601D5">
        <w:t xml:space="preserve"> </w:t>
      </w:r>
      <w:r w:rsidR="008B6D93">
        <w:t xml:space="preserve">those </w:t>
      </w:r>
      <w:r w:rsidR="00E27EC9">
        <w:t xml:space="preserve">that </w:t>
      </w:r>
      <w:r w:rsidR="008B6D93">
        <w:t>inspired</w:t>
      </w:r>
      <w:r w:rsidR="00E27EC9">
        <w:t xml:space="preserve"> </w:t>
      </w:r>
      <w:r w:rsidR="00245271">
        <w:t xml:space="preserve">the </w:t>
      </w:r>
      <w:r w:rsidR="00FB2FB5" w:rsidRPr="00FB2FB5">
        <w:t xml:space="preserve">International Labour Organisation’s </w:t>
      </w:r>
      <w:r w:rsidR="00245271">
        <w:t>‘</w:t>
      </w:r>
      <w:r w:rsidR="00FB2FB5" w:rsidRPr="00FB2FB5">
        <w:t>Philadelphia Declaration</w:t>
      </w:r>
      <w:r w:rsidR="00245271">
        <w:t>’</w:t>
      </w:r>
      <w:r w:rsidR="00FB2FB5" w:rsidRPr="00FB2FB5">
        <w:t xml:space="preserve"> in 1944 (see </w:t>
      </w:r>
      <w:proofErr w:type="spellStart"/>
      <w:r w:rsidR="00FB2FB5" w:rsidRPr="00FB2FB5">
        <w:t>Supiot</w:t>
      </w:r>
      <w:proofErr w:type="spellEnd"/>
      <w:r w:rsidR="00FB2FB5" w:rsidRPr="00FB2FB5">
        <w:t>, 2012</w:t>
      </w:r>
      <w:r w:rsidR="000A3350">
        <w:t>a</w:t>
      </w:r>
      <w:r w:rsidR="00FB2FB5" w:rsidRPr="00FB2FB5">
        <w:t>)</w:t>
      </w:r>
      <w:r w:rsidR="006D3EDE">
        <w:t xml:space="preserve"> a</w:t>
      </w:r>
      <w:r w:rsidR="008B6D93">
        <w:t>nd those behind</w:t>
      </w:r>
      <w:r w:rsidR="00E601D5">
        <w:t xml:space="preserve"> the </w:t>
      </w:r>
      <w:r w:rsidR="006D3EDE">
        <w:t>establishment of the inter-governmental Council of Europe in 1949</w:t>
      </w:r>
      <w:r w:rsidR="0094387D">
        <w:t xml:space="preserve"> that was</w:t>
      </w:r>
      <w:r w:rsidR="002036FE">
        <w:t xml:space="preserve"> </w:t>
      </w:r>
      <w:r w:rsidR="008B6D93">
        <w:t xml:space="preserve">driven by </w:t>
      </w:r>
      <w:r w:rsidR="002036FE">
        <w:t xml:space="preserve">the </w:t>
      </w:r>
      <w:r w:rsidR="00E601D5">
        <w:t xml:space="preserve">firm commitment </w:t>
      </w:r>
      <w:r w:rsidR="002036FE">
        <w:t xml:space="preserve">of signatory states </w:t>
      </w:r>
      <w:r w:rsidR="00E601D5">
        <w:t xml:space="preserve">to upheld </w:t>
      </w:r>
      <w:r w:rsidR="00E601D5" w:rsidRPr="00E27EC9">
        <w:t>fundament</w:t>
      </w:r>
      <w:r w:rsidR="00E601D5">
        <w:t>al human rights</w:t>
      </w:r>
      <w:r w:rsidR="006D3EDE">
        <w:t xml:space="preserve">. </w:t>
      </w:r>
      <w:r w:rsidR="00E601D5">
        <w:t>By 1965, a few years after the signing of the Treaty of Rome, the</w:t>
      </w:r>
      <w:r w:rsidR="006D3EDE">
        <w:t xml:space="preserve"> </w:t>
      </w:r>
      <w:r w:rsidR="00E601D5">
        <w:t xml:space="preserve">Council of Europe’s </w:t>
      </w:r>
      <w:r w:rsidR="006D3EDE">
        <w:t xml:space="preserve">European Social Charter </w:t>
      </w:r>
      <w:r w:rsidR="00BE47EB">
        <w:t xml:space="preserve">came </w:t>
      </w:r>
      <w:r w:rsidR="0094387D">
        <w:t>into force</w:t>
      </w:r>
      <w:r w:rsidR="00245271">
        <w:t>.</w:t>
      </w:r>
      <w:r w:rsidR="0094387D">
        <w:t xml:space="preserve"> </w:t>
      </w:r>
      <w:r w:rsidR="008B6D93">
        <w:t xml:space="preserve">Ratified by </w:t>
      </w:r>
      <w:r w:rsidR="00CE30C4">
        <w:t>core</w:t>
      </w:r>
      <w:r w:rsidR="008B6D93">
        <w:t xml:space="preserve"> </w:t>
      </w:r>
      <w:r w:rsidR="00ED33DE">
        <w:t>Member States</w:t>
      </w:r>
      <w:r w:rsidR="008B6D93">
        <w:t xml:space="preserve"> of the </w:t>
      </w:r>
      <w:r w:rsidR="008B6D93" w:rsidRPr="008B6D93">
        <w:t>European Economic Community</w:t>
      </w:r>
      <w:r w:rsidR="0094387D">
        <w:t>,</w:t>
      </w:r>
      <w:r w:rsidR="008B6D93" w:rsidRPr="008B6D93">
        <w:t xml:space="preserve"> </w:t>
      </w:r>
      <w:r w:rsidR="00CE30C4">
        <w:t>like Italy and Germany</w:t>
      </w:r>
      <w:r w:rsidR="0094387D">
        <w:t>,</w:t>
      </w:r>
      <w:r w:rsidR="00CE30C4">
        <w:t xml:space="preserve"> </w:t>
      </w:r>
      <w:r w:rsidR="008B6D93">
        <w:t xml:space="preserve">it </w:t>
      </w:r>
      <w:r w:rsidR="00E601D5">
        <w:t>became</w:t>
      </w:r>
      <w:r w:rsidR="006D3EDE">
        <w:t xml:space="preserve"> the first international treaty to recognise the ‘right to strike’ and incorporated fundamental</w:t>
      </w:r>
      <w:r w:rsidR="00B059EA">
        <w:t xml:space="preserve"> rights </w:t>
      </w:r>
      <w:r w:rsidR="006D3EDE">
        <w:t>in the fields of employment and industrial relations, which included the rights to organise and bargain collectively.</w:t>
      </w:r>
      <w:r w:rsidR="00063A4A">
        <w:t xml:space="preserve"> </w:t>
      </w:r>
    </w:p>
    <w:p w:rsidR="00B2683A" w:rsidRDefault="00245271" w:rsidP="00C7584B">
      <w:pPr>
        <w:jc w:val="both"/>
      </w:pPr>
      <w:r>
        <w:t xml:space="preserve">Still, aside the firm endorsement of gender equality in terms of pay (Article 119) and </w:t>
      </w:r>
      <w:r w:rsidR="0094387D">
        <w:t>a commitment to assign</w:t>
      </w:r>
      <w:r>
        <w:t xml:space="preserve"> the European Commission tasks related to </w:t>
      </w:r>
      <w:r w:rsidR="00C7584B">
        <w:t>“</w:t>
      </w:r>
      <w:r>
        <w:t>the implementation of common measures, particularly as regards social security for the migrant workers</w:t>
      </w:r>
      <w:r w:rsidR="00C7584B">
        <w:t xml:space="preserve">” (Article 121), the </w:t>
      </w:r>
      <w:r w:rsidR="0094387D">
        <w:t xml:space="preserve">recognition of the </w:t>
      </w:r>
      <w:r w:rsidR="00C7584B">
        <w:t xml:space="preserve">social dimension of </w:t>
      </w:r>
      <w:r w:rsidR="00F67166" w:rsidRPr="00F67166">
        <w:t xml:space="preserve">European integration </w:t>
      </w:r>
      <w:r w:rsidR="00C7584B">
        <w:t xml:space="preserve">envisaged in the Treaty of Rome </w:t>
      </w:r>
      <w:r w:rsidR="00F67166" w:rsidRPr="00F67166">
        <w:t xml:space="preserve">was not accompanied by a </w:t>
      </w:r>
      <w:r w:rsidR="00C7584B">
        <w:t xml:space="preserve">commitment to </w:t>
      </w:r>
      <w:r w:rsidR="00F67166" w:rsidRPr="00F67166">
        <w:t>specific or even uniform set of policies</w:t>
      </w:r>
      <w:r w:rsidR="00753A39">
        <w:t>.</w:t>
      </w:r>
      <w:r w:rsidR="00E85445">
        <w:t xml:space="preserve"> </w:t>
      </w:r>
      <w:r w:rsidR="00C7584B">
        <w:t>J</w:t>
      </w:r>
      <w:r w:rsidR="00F67166" w:rsidRPr="00F67166">
        <w:t>urisdiction over social policy, public provisions</w:t>
      </w:r>
      <w:r w:rsidR="002C1DD8">
        <w:t>, taxation</w:t>
      </w:r>
      <w:r w:rsidR="00F67166" w:rsidRPr="00F67166">
        <w:t xml:space="preserve"> and especially collective bargaining </w:t>
      </w:r>
      <w:r w:rsidR="00CE30C4">
        <w:t>remained</w:t>
      </w:r>
      <w:r w:rsidR="00CE30C4" w:rsidRPr="00F67166">
        <w:t xml:space="preserve"> </w:t>
      </w:r>
      <w:r w:rsidR="000215CD">
        <w:t>the</w:t>
      </w:r>
      <w:r w:rsidR="00AE48E5" w:rsidRPr="00AE48E5">
        <w:t xml:space="preserve"> prerogative of </w:t>
      </w:r>
      <w:r w:rsidR="00ED33DE">
        <w:t>Member States</w:t>
      </w:r>
      <w:r w:rsidR="00AE48E5">
        <w:t xml:space="preserve">: </w:t>
      </w:r>
      <w:r w:rsidR="00F67166" w:rsidRPr="00F67166">
        <w:t>subject to the principle of subsidiarity and</w:t>
      </w:r>
      <w:r w:rsidR="00C7584B">
        <w:t xml:space="preserve">, to a large extent, subject to domestic politics </w:t>
      </w:r>
      <w:r w:rsidR="00AE48E5">
        <w:t xml:space="preserve">between </w:t>
      </w:r>
      <w:r w:rsidR="00C7584B">
        <w:t xml:space="preserve">social </w:t>
      </w:r>
      <w:r w:rsidR="00AE48E5">
        <w:t xml:space="preserve">actors </w:t>
      </w:r>
      <w:r w:rsidR="00CE30C4">
        <w:t>in each state</w:t>
      </w:r>
      <w:r w:rsidR="00F67166" w:rsidRPr="00F67166">
        <w:t xml:space="preserve">.  The principle of subsidiarity continued to underpin the development of more explicit commitments to social provision </w:t>
      </w:r>
      <w:r w:rsidR="00C7584B">
        <w:t>in the decades to come</w:t>
      </w:r>
      <w:r w:rsidR="00B2683A">
        <w:t>,</w:t>
      </w:r>
      <w:r w:rsidR="00C7584B">
        <w:t xml:space="preserve"> </w:t>
      </w:r>
      <w:r w:rsidR="00F67166" w:rsidRPr="00F67166">
        <w:t>a</w:t>
      </w:r>
      <w:r w:rsidR="00B2683A">
        <w:t>s</w:t>
      </w:r>
      <w:r w:rsidR="00F67166" w:rsidRPr="00F67166">
        <w:t xml:space="preserve"> was evident in the </w:t>
      </w:r>
      <w:r w:rsidR="00B2683A">
        <w:t xml:space="preserve">1974 </w:t>
      </w:r>
      <w:r w:rsidR="00B2683A" w:rsidRPr="00B2683A">
        <w:t xml:space="preserve">Council Resolution </w:t>
      </w:r>
      <w:r w:rsidR="00B2683A">
        <w:t>c</w:t>
      </w:r>
      <w:r w:rsidR="00B2683A" w:rsidRPr="00B2683A">
        <w:t>oncerning a Social Action Program</w:t>
      </w:r>
      <w:r w:rsidR="00B2683A">
        <w:t xml:space="preserve"> </w:t>
      </w:r>
      <w:r w:rsidR="00F67166" w:rsidRPr="00F67166">
        <w:t>(OJ C 13/1 12.2.1974)</w:t>
      </w:r>
      <w:r w:rsidR="00C7584B">
        <w:t xml:space="preserve">. </w:t>
      </w:r>
    </w:p>
    <w:p w:rsidR="00802A63" w:rsidRDefault="00AE48E5" w:rsidP="00F67166">
      <w:pPr>
        <w:jc w:val="both"/>
      </w:pPr>
      <w:r>
        <w:t xml:space="preserve">However, </w:t>
      </w:r>
      <w:r w:rsidR="00B2683A">
        <w:t xml:space="preserve">in </w:t>
      </w:r>
      <w:r>
        <w:t>the same Resolution</w:t>
      </w:r>
      <w:r w:rsidR="000215CD">
        <w:t>,</w:t>
      </w:r>
      <w:r>
        <w:t xml:space="preserve"> </w:t>
      </w:r>
      <w:r w:rsidR="00B2683A">
        <w:t xml:space="preserve">the Council of Ministers </w:t>
      </w:r>
      <w:r>
        <w:t>also</w:t>
      </w:r>
      <w:r w:rsidR="00C7584B">
        <w:t xml:space="preserve"> </w:t>
      </w:r>
      <w:r w:rsidR="00F67166" w:rsidRPr="00F67166">
        <w:t>agreed that economic prosperity must be mediated through full employment, the improvement of living and working conditions and democracy in the workplace (</w:t>
      </w:r>
      <w:proofErr w:type="spellStart"/>
      <w:r w:rsidR="00F67166" w:rsidRPr="00F67166">
        <w:t>Hantrais</w:t>
      </w:r>
      <w:proofErr w:type="spellEnd"/>
      <w:r w:rsidR="00F67166" w:rsidRPr="00F67166">
        <w:t>, 2007</w:t>
      </w:r>
      <w:r w:rsidR="003D45AB">
        <w:t>[1995]</w:t>
      </w:r>
      <w:r w:rsidR="00F67166" w:rsidRPr="00F67166">
        <w:t>)</w:t>
      </w:r>
      <w:r w:rsidR="00753A39">
        <w:t xml:space="preserve">. </w:t>
      </w:r>
      <w:r>
        <w:t>Indeed, u</w:t>
      </w:r>
      <w:r w:rsidR="00C7584B">
        <w:t xml:space="preserve">ntil the early 1980s </w:t>
      </w:r>
      <w:r>
        <w:t xml:space="preserve">there </w:t>
      </w:r>
      <w:r w:rsidR="00E85445">
        <w:t>was</w:t>
      </w:r>
      <w:r w:rsidR="00E85445" w:rsidRPr="00F67166">
        <w:t xml:space="preserve"> </w:t>
      </w:r>
      <w:r>
        <w:t>evident</w:t>
      </w:r>
      <w:r w:rsidR="00B2683A">
        <w:t>ly</w:t>
      </w:r>
      <w:r>
        <w:t xml:space="preserve"> </w:t>
      </w:r>
      <w:r w:rsidR="00B2683A">
        <w:t xml:space="preserve">an </w:t>
      </w:r>
      <w:r w:rsidR="00C7584B" w:rsidRPr="00F67166">
        <w:t>expect</w:t>
      </w:r>
      <w:r w:rsidR="00C7584B">
        <w:t xml:space="preserve">ation </w:t>
      </w:r>
      <w:r w:rsidR="00E85445">
        <w:t>that</w:t>
      </w:r>
      <w:r w:rsidR="00F67166" w:rsidRPr="00F67166">
        <w:t xml:space="preserve"> convergence towards these common objectives would </w:t>
      </w:r>
      <w:r w:rsidR="00C7584B">
        <w:t xml:space="preserve">result in the </w:t>
      </w:r>
      <w:r w:rsidR="00F67166" w:rsidRPr="00F67166">
        <w:t>harmon</w:t>
      </w:r>
      <w:r w:rsidR="00924676">
        <w:t>is</w:t>
      </w:r>
      <w:r w:rsidR="00C7584B">
        <w:t>ation</w:t>
      </w:r>
      <w:r w:rsidR="00F67166" w:rsidRPr="00F67166">
        <w:t xml:space="preserve"> </w:t>
      </w:r>
      <w:r w:rsidR="00C7584B">
        <w:t xml:space="preserve">of </w:t>
      </w:r>
      <w:r w:rsidR="000215CD">
        <w:t>what were very</w:t>
      </w:r>
      <w:r>
        <w:t xml:space="preserve"> </w:t>
      </w:r>
      <w:r w:rsidR="00F67166" w:rsidRPr="00F67166">
        <w:t>diverse national welfare systems</w:t>
      </w:r>
      <w:r>
        <w:t>. ‘S</w:t>
      </w:r>
      <w:r w:rsidR="00F67166" w:rsidRPr="00F67166">
        <w:t xml:space="preserve">ocial dumping’ </w:t>
      </w:r>
      <w:r>
        <w:t>was meant to be prevented</w:t>
      </w:r>
      <w:r w:rsidRPr="00AE48E5">
        <w:t xml:space="preserve"> </w:t>
      </w:r>
      <w:r>
        <w:t xml:space="preserve">while </w:t>
      </w:r>
      <w:r w:rsidR="00CE30C4">
        <w:t xml:space="preserve">the </w:t>
      </w:r>
      <w:r w:rsidR="00C7584B">
        <w:t>socia</w:t>
      </w:r>
      <w:r>
        <w:t>lly and economically disruptive</w:t>
      </w:r>
      <w:r w:rsidR="00F67166" w:rsidRPr="00F67166">
        <w:t xml:space="preserve"> </w:t>
      </w:r>
      <w:r w:rsidR="00CE30C4">
        <w:t xml:space="preserve">effects </w:t>
      </w:r>
      <w:r w:rsidR="00F67166" w:rsidRPr="00F67166">
        <w:t xml:space="preserve">of </w:t>
      </w:r>
      <w:r w:rsidR="00C7584B">
        <w:t xml:space="preserve">economic </w:t>
      </w:r>
      <w:r w:rsidR="00F67166" w:rsidRPr="00F67166">
        <w:t>competition</w:t>
      </w:r>
      <w:r>
        <w:t xml:space="preserve"> were to be avoided</w:t>
      </w:r>
      <w:r w:rsidR="00802A63">
        <w:t xml:space="preserve"> by means of co-ordinated actions</w:t>
      </w:r>
      <w:r w:rsidR="00F67166" w:rsidRPr="00F67166">
        <w:t xml:space="preserve">. </w:t>
      </w:r>
    </w:p>
    <w:p w:rsidR="00457C6C" w:rsidRDefault="00F67166" w:rsidP="00F67166">
      <w:pPr>
        <w:jc w:val="both"/>
      </w:pPr>
      <w:r w:rsidRPr="00F67166">
        <w:t xml:space="preserve">The first fears of an ‘unbalanced competition playing field’ surfaced with the accession of </w:t>
      </w:r>
      <w:r w:rsidR="00AE48E5">
        <w:t>southern European states</w:t>
      </w:r>
      <w:r w:rsidR="00EA5DD4">
        <w:t xml:space="preserve"> </w:t>
      </w:r>
      <w:r w:rsidR="00AE48E5">
        <w:t>that began</w:t>
      </w:r>
      <w:r w:rsidR="00EA5DD4">
        <w:t xml:space="preserve"> with </w:t>
      </w:r>
      <w:r w:rsidRPr="00F67166">
        <w:t>Greece in 1981</w:t>
      </w:r>
      <w:r w:rsidR="00B2683A">
        <w:t xml:space="preserve"> and was</w:t>
      </w:r>
      <w:r w:rsidRPr="00F67166">
        <w:t xml:space="preserve"> </w:t>
      </w:r>
      <w:r w:rsidR="00AE48E5">
        <w:t>followed by</w:t>
      </w:r>
      <w:r w:rsidRPr="00F67166">
        <w:t xml:space="preserve"> Spain and Portugal in 1986</w:t>
      </w:r>
      <w:r w:rsidR="00EA5DD4">
        <w:t>.</w:t>
      </w:r>
      <w:r w:rsidR="00B2683A">
        <w:t xml:space="preserve"> </w:t>
      </w:r>
      <w:r w:rsidR="00EA5DD4">
        <w:t xml:space="preserve">Their residual welfare states and low wages were seen as potential threats to the social models and economies of the original </w:t>
      </w:r>
      <w:r w:rsidR="00ED33DE">
        <w:t>Member States</w:t>
      </w:r>
      <w:r w:rsidR="00EA5DD4">
        <w:t>. C</w:t>
      </w:r>
      <w:r w:rsidRPr="00F67166">
        <w:t>onsequent</w:t>
      </w:r>
      <w:r w:rsidR="00EA5DD4">
        <w:t>ly, the</w:t>
      </w:r>
      <w:r w:rsidR="00AE48E5">
        <w:t xml:space="preserve"> use of Structural F</w:t>
      </w:r>
      <w:r w:rsidRPr="00F67166">
        <w:t xml:space="preserve">unds </w:t>
      </w:r>
      <w:r w:rsidR="00EA5DD4">
        <w:t xml:space="preserve">became central in the </w:t>
      </w:r>
      <w:r w:rsidR="00802A63">
        <w:t xml:space="preserve">double </w:t>
      </w:r>
      <w:r w:rsidR="00EA5DD4">
        <w:t xml:space="preserve">effort </w:t>
      </w:r>
      <w:r w:rsidRPr="00F67166">
        <w:t xml:space="preserve">to support the expansion of social provisions in South Europe </w:t>
      </w:r>
      <w:r w:rsidR="00EA5DD4">
        <w:t>while facilitat</w:t>
      </w:r>
      <w:r w:rsidR="000215CD">
        <w:t xml:space="preserve">ing </w:t>
      </w:r>
      <w:r w:rsidR="00EA5DD4">
        <w:t xml:space="preserve">the </w:t>
      </w:r>
      <w:r w:rsidRPr="00F67166">
        <w:t>lift</w:t>
      </w:r>
      <w:r w:rsidR="00EA5DD4">
        <w:t>ing of</w:t>
      </w:r>
      <w:r w:rsidRPr="00F67166">
        <w:t xml:space="preserve"> economic protection measures from </w:t>
      </w:r>
      <w:r w:rsidR="00EA5DD4">
        <w:t xml:space="preserve">the southern states’ </w:t>
      </w:r>
      <w:r w:rsidRPr="00F67166">
        <w:t>domestic industries and markets</w:t>
      </w:r>
      <w:r w:rsidR="00802A63">
        <w:t>. I</w:t>
      </w:r>
      <w:r w:rsidR="00EA5DD4" w:rsidRPr="00EA5DD4">
        <w:t xml:space="preserve">t also contributed to </w:t>
      </w:r>
      <w:r w:rsidR="00802A63">
        <w:t>the increase of</w:t>
      </w:r>
      <w:r w:rsidR="00EA5DD4" w:rsidRPr="00EA5DD4">
        <w:t xml:space="preserve"> labour costs</w:t>
      </w:r>
      <w:r w:rsidR="00AD2392" w:rsidRPr="00AD2392">
        <w:t xml:space="preserve"> </w:t>
      </w:r>
      <w:r w:rsidR="00AD2392">
        <w:t>in southern European states</w:t>
      </w:r>
      <w:r w:rsidR="00EA5DD4">
        <w:t xml:space="preserve">, thus, reducing the </w:t>
      </w:r>
      <w:r w:rsidR="00AD2392">
        <w:t xml:space="preserve">potential </w:t>
      </w:r>
      <w:r w:rsidR="00802A63">
        <w:t xml:space="preserve">threat that the </w:t>
      </w:r>
      <w:r w:rsidR="00EA5DD4">
        <w:t>‘</w:t>
      </w:r>
      <w:r w:rsidR="00AD2392">
        <w:t>co</w:t>
      </w:r>
      <w:r w:rsidR="00802A63">
        <w:t>mparative advantage’ of t</w:t>
      </w:r>
      <w:r w:rsidR="00457C6C">
        <w:t xml:space="preserve">heir </w:t>
      </w:r>
      <w:r w:rsidR="00EA5DD4">
        <w:t>low wages</w:t>
      </w:r>
      <w:r w:rsidR="00802A63">
        <w:t xml:space="preserve"> would have posed for the other members states</w:t>
      </w:r>
      <w:r w:rsidR="00AD2392">
        <w:t>.</w:t>
      </w:r>
      <w:r w:rsidR="008B78DC">
        <w:t xml:space="preserve"> </w:t>
      </w:r>
    </w:p>
    <w:p w:rsidR="00F67166" w:rsidRDefault="00802A63" w:rsidP="00F67166">
      <w:pPr>
        <w:jc w:val="both"/>
      </w:pPr>
      <w:r>
        <w:t>T</w:t>
      </w:r>
      <w:r w:rsidR="00F67166" w:rsidRPr="00F67166">
        <w:t xml:space="preserve">he first phase of the EU enlargement took place parallel to the deepening of European integration. As Hay and </w:t>
      </w:r>
      <w:proofErr w:type="spellStart"/>
      <w:r w:rsidR="00F67166" w:rsidRPr="00F67166">
        <w:t>Wincott</w:t>
      </w:r>
      <w:proofErr w:type="spellEnd"/>
      <w:r w:rsidR="00F67166" w:rsidRPr="00F67166">
        <w:t xml:space="preserve"> argue (2012) the 1980s wer</w:t>
      </w:r>
      <w:r w:rsidR="00D6242C">
        <w:t xml:space="preserve">e pivotal for what </w:t>
      </w:r>
      <w:proofErr w:type="spellStart"/>
      <w:r w:rsidR="00D6242C">
        <w:t>Scharpf</w:t>
      </w:r>
      <w:proofErr w:type="spellEnd"/>
      <w:r w:rsidR="00D6242C">
        <w:t xml:space="preserve"> (1999</w:t>
      </w:r>
      <w:r w:rsidR="00F67166" w:rsidRPr="00F67166">
        <w:t xml:space="preserve">) called ‘positive integration’, as a new European legal set of institutions and norms prescribed the power of the </w:t>
      </w:r>
      <w:r w:rsidR="00475402">
        <w:t>E</w:t>
      </w:r>
      <w:r w:rsidR="00AD2392">
        <w:t xml:space="preserve">uropean </w:t>
      </w:r>
      <w:r w:rsidR="00475402">
        <w:t>C</w:t>
      </w:r>
      <w:r w:rsidR="00AD2392">
        <w:t xml:space="preserve">ourt of </w:t>
      </w:r>
      <w:r w:rsidR="00475402">
        <w:t>J</w:t>
      </w:r>
      <w:r w:rsidR="00AD2392">
        <w:t>ustice (ECJ)</w:t>
      </w:r>
      <w:r w:rsidR="00F67166" w:rsidRPr="00F67166">
        <w:t xml:space="preserve"> to challenge and override </w:t>
      </w:r>
      <w:r w:rsidR="00ED33DE">
        <w:t>Member States</w:t>
      </w:r>
      <w:r w:rsidR="00F67166" w:rsidRPr="00F67166">
        <w:t>’ laws if they obstruct</w:t>
      </w:r>
      <w:r>
        <w:t>ed</w:t>
      </w:r>
      <w:r w:rsidR="00F67166" w:rsidRPr="00F67166">
        <w:t xml:space="preserve"> market integration</w:t>
      </w:r>
      <w:r w:rsidR="007D72B4">
        <w:t xml:space="preserve"> (see also Conant, 2002)</w:t>
      </w:r>
      <w:r w:rsidR="00F67166" w:rsidRPr="00F67166">
        <w:t>.</w:t>
      </w:r>
      <w:r>
        <w:t xml:space="preserve"> I</w:t>
      </w:r>
      <w:r w:rsidR="00F67166" w:rsidRPr="00F67166">
        <w:t xml:space="preserve">n 1989, the European Community introduced the Community Charter of the Fundamental Social Rights comprising a series of directives for the social protection of workers, which followed the principle of ‘soft-law’ measures </w:t>
      </w:r>
      <w:r>
        <w:t>(</w:t>
      </w:r>
      <w:r w:rsidR="00F67166" w:rsidRPr="00F67166">
        <w:t xml:space="preserve">therefore not legally binding for </w:t>
      </w:r>
      <w:r w:rsidR="00ED33DE">
        <w:t>Member States</w:t>
      </w:r>
      <w:r w:rsidR="000215CD">
        <w:t>)</w:t>
      </w:r>
      <w:r>
        <w:t>. A decade later, the</w:t>
      </w:r>
      <w:r w:rsidR="00F67166" w:rsidRPr="00F67166">
        <w:t xml:space="preserve"> ‘Social Europe’ agenda </w:t>
      </w:r>
      <w:r>
        <w:t xml:space="preserve">- as it came to be known – </w:t>
      </w:r>
      <w:r w:rsidR="00ED33DE">
        <w:t>began</w:t>
      </w:r>
      <w:r>
        <w:t xml:space="preserve"> to </w:t>
      </w:r>
      <w:r w:rsidR="00ED33DE">
        <w:t>be</w:t>
      </w:r>
      <w:r w:rsidR="00F67166" w:rsidRPr="00F67166">
        <w:t xml:space="preserve"> pursued primarily through the European Employment Strategy (EES)</w:t>
      </w:r>
      <w:r w:rsidR="00ED33DE">
        <w:t>,</w:t>
      </w:r>
      <w:r w:rsidR="00F67166" w:rsidRPr="00F67166">
        <w:t xml:space="preserve"> established thro</w:t>
      </w:r>
      <w:r w:rsidR="00ED33DE">
        <w:t>ugh the Amsterdam Treaty (1997). The later</w:t>
      </w:r>
      <w:r w:rsidR="00F67166" w:rsidRPr="00F67166">
        <w:t xml:space="preserve"> stated the aim of increasing </w:t>
      </w:r>
      <w:r w:rsidR="000215CD">
        <w:t xml:space="preserve">employment and </w:t>
      </w:r>
      <w:r w:rsidR="00F67166" w:rsidRPr="00F67166">
        <w:t xml:space="preserve">productivity at work through ‘more and better’ quality jobs. As one of the key architects of the EES highlighted ‘this goal underline[d] that neither monetary dumping (currency devaluation) and fiscal dumping (state subsidies) nor social dumping (degradation of social security) can be accepted in the Union and its single market’ (Allan Larsson in </w:t>
      </w:r>
      <w:r w:rsidR="00ED33DE">
        <w:t>Barbier,2012, p.398</w:t>
      </w:r>
      <w:r w:rsidR="00F67166" w:rsidRPr="00F67166">
        <w:t xml:space="preserve">). </w:t>
      </w:r>
    </w:p>
    <w:p w:rsidR="00E53F6D" w:rsidRDefault="00ED33DE" w:rsidP="00E85445">
      <w:pPr>
        <w:jc w:val="both"/>
      </w:pPr>
      <w:r>
        <w:t>By</w:t>
      </w:r>
      <w:r w:rsidR="00F67166" w:rsidRPr="00F67166">
        <w:t xml:space="preserve"> the 1990s the impetus for the harmonization of social protection systems </w:t>
      </w:r>
      <w:r>
        <w:t xml:space="preserve">had </w:t>
      </w:r>
      <w:r w:rsidR="00F67166" w:rsidRPr="00F67166">
        <w:t>weakened. On the one ha</w:t>
      </w:r>
      <w:r>
        <w:t>nd, the political economies of s</w:t>
      </w:r>
      <w:r w:rsidR="00F67166" w:rsidRPr="00F67166">
        <w:t xml:space="preserve">outh European </w:t>
      </w:r>
      <w:r>
        <w:t>Member States</w:t>
      </w:r>
      <w:r w:rsidR="00F67166" w:rsidRPr="00F67166">
        <w:t xml:space="preserve"> could not afford the rapid catch-up </w:t>
      </w:r>
      <w:r>
        <w:t xml:space="preserve">with the older Member States </w:t>
      </w:r>
      <w:r w:rsidR="00F67166" w:rsidRPr="00F67166">
        <w:t xml:space="preserve">while newcomers Sweden and Finland (along with Austria) expressed their concerns for the implications of an effective downgrading of their social protection systems. The British government expressed its opposition to any additional increase in spending on social objectives, while the German government regarded such a harmonization as a threat to </w:t>
      </w:r>
      <w:r>
        <w:t>German</w:t>
      </w:r>
      <w:r w:rsidR="00F67166" w:rsidRPr="00F67166">
        <w:t xml:space="preserve"> exports. Essentially, during the 1990s, it </w:t>
      </w:r>
      <w:r>
        <w:t xml:space="preserve">became </w:t>
      </w:r>
      <w:r w:rsidR="00F67166" w:rsidRPr="00F67166">
        <w:t xml:space="preserve">apparent that </w:t>
      </w:r>
      <w:r>
        <w:t>Member States</w:t>
      </w:r>
      <w:r w:rsidR="00F67166" w:rsidRPr="00F67166">
        <w:t xml:space="preserve"> were not on a convergence course </w:t>
      </w:r>
      <w:r>
        <w:t xml:space="preserve">in social policy: not only </w:t>
      </w:r>
      <w:r w:rsidR="00F67166" w:rsidRPr="00F67166">
        <w:t>socio-economic asymmetries</w:t>
      </w:r>
      <w:r>
        <w:t xml:space="preserve"> remained but there was little consensus upon the desirability of harmonization</w:t>
      </w:r>
      <w:r w:rsidR="00E53F6D">
        <w:t xml:space="preserve"> in terms of welfare systems and employment policies</w:t>
      </w:r>
      <w:r>
        <w:t xml:space="preserve">. </w:t>
      </w:r>
      <w:r w:rsidR="00601CDE">
        <w:t>Nevertheless, some c</w:t>
      </w:r>
      <w:r w:rsidR="00E53F6D">
        <w:t>onsensus was achieved with respect to macro-economic policy</w:t>
      </w:r>
      <w:r w:rsidR="00601CDE">
        <w:t xml:space="preserve"> exemplified by the signing i</w:t>
      </w:r>
      <w:r>
        <w:t xml:space="preserve">n 1992 </w:t>
      </w:r>
      <w:r w:rsidR="00601CDE">
        <w:t xml:space="preserve">of </w:t>
      </w:r>
      <w:r>
        <w:t>t</w:t>
      </w:r>
      <w:r w:rsidR="00F67166" w:rsidRPr="00F67166">
        <w:t>he Maastricht Treaty</w:t>
      </w:r>
      <w:r w:rsidR="004A136D">
        <w:t xml:space="preserve"> and a</w:t>
      </w:r>
      <w:r w:rsidR="004A136D" w:rsidRPr="000215CD">
        <w:t xml:space="preserve"> few years later the Stability and Growth Pact (1996)</w:t>
      </w:r>
      <w:r w:rsidR="000215CD">
        <w:t xml:space="preserve">. The Treaty </w:t>
      </w:r>
      <w:r w:rsidR="00601CDE">
        <w:t>launched a</w:t>
      </w:r>
      <w:r w:rsidR="00F67166" w:rsidRPr="00F67166">
        <w:t xml:space="preserve"> process of economic convergence</w:t>
      </w:r>
      <w:r w:rsidR="00601CDE">
        <w:t xml:space="preserve"> </w:t>
      </w:r>
      <w:r w:rsidR="000215CD">
        <w:t xml:space="preserve">setting </w:t>
      </w:r>
      <w:r>
        <w:t>a number of</w:t>
      </w:r>
      <w:r w:rsidR="000176F5">
        <w:t xml:space="preserve"> </w:t>
      </w:r>
      <w:r>
        <w:t xml:space="preserve">precise </w:t>
      </w:r>
      <w:r w:rsidR="000176F5">
        <w:t xml:space="preserve">fiscal rules and targets (e.g. </w:t>
      </w:r>
      <w:r>
        <w:t xml:space="preserve">limiting </w:t>
      </w:r>
      <w:r w:rsidR="000176F5">
        <w:t xml:space="preserve">budget deficits </w:t>
      </w:r>
      <w:r>
        <w:t xml:space="preserve">to </w:t>
      </w:r>
      <w:r w:rsidR="000176F5">
        <w:t xml:space="preserve">less than 3% of GDP) that </w:t>
      </w:r>
      <w:r>
        <w:t>Member States</w:t>
      </w:r>
      <w:r w:rsidR="000176F5">
        <w:t xml:space="preserve"> had to achieve in order to </w:t>
      </w:r>
      <w:r w:rsidR="00475402">
        <w:t>join</w:t>
      </w:r>
      <w:r w:rsidR="000176F5">
        <w:t xml:space="preserve"> the monetary union</w:t>
      </w:r>
      <w:r w:rsidR="00F67166" w:rsidRPr="00F67166">
        <w:t>.</w:t>
      </w:r>
      <w:r w:rsidR="004A136D">
        <w:t xml:space="preserve"> </w:t>
      </w:r>
      <w:r w:rsidR="00F67166" w:rsidRPr="00F67166">
        <w:t xml:space="preserve">At the same time, </w:t>
      </w:r>
      <w:r w:rsidR="000215CD">
        <w:t xml:space="preserve">the Treaty </w:t>
      </w:r>
      <w:r w:rsidR="00601CDE">
        <w:t xml:space="preserve">also </w:t>
      </w:r>
      <w:r w:rsidR="00F67166" w:rsidRPr="00F67166">
        <w:t xml:space="preserve">reaffirmed </w:t>
      </w:r>
      <w:r>
        <w:t>Member States</w:t>
      </w:r>
      <w:r w:rsidR="00F67166" w:rsidRPr="00F67166">
        <w:t xml:space="preserve">’ responsibility over social policy with harmonization applying only to the freedom of movement of workers, residence within </w:t>
      </w:r>
      <w:r w:rsidR="00E53F6D">
        <w:t>the EU</w:t>
      </w:r>
      <w:r w:rsidR="00F67166" w:rsidRPr="00F67166">
        <w:t xml:space="preserve">, as well as health and safety conditions. </w:t>
      </w:r>
    </w:p>
    <w:p w:rsidR="00E85445" w:rsidRDefault="00F67166" w:rsidP="00E85445">
      <w:pPr>
        <w:jc w:val="both"/>
        <w:rPr>
          <w:bCs/>
        </w:rPr>
      </w:pPr>
      <w:r w:rsidRPr="00351A94">
        <w:rPr>
          <w:bCs/>
        </w:rPr>
        <w:t xml:space="preserve">In 2000, the launching of the Lisbon </w:t>
      </w:r>
      <w:r w:rsidR="004A136D">
        <w:rPr>
          <w:bCs/>
        </w:rPr>
        <w:t>Strategy</w:t>
      </w:r>
      <w:r w:rsidRPr="00351A94">
        <w:rPr>
          <w:bCs/>
        </w:rPr>
        <w:t xml:space="preserve"> had the aim of ‘</w:t>
      </w:r>
      <w:proofErr w:type="spellStart"/>
      <w:r w:rsidRPr="00351A94">
        <w:rPr>
          <w:bCs/>
        </w:rPr>
        <w:t>mak</w:t>
      </w:r>
      <w:proofErr w:type="spellEnd"/>
      <w:r w:rsidRPr="00351A94">
        <w:rPr>
          <w:bCs/>
        </w:rPr>
        <w:t>[</w:t>
      </w:r>
      <w:proofErr w:type="spellStart"/>
      <w:r w:rsidRPr="00351A94">
        <w:rPr>
          <w:bCs/>
        </w:rPr>
        <w:t>ing</w:t>
      </w:r>
      <w:proofErr w:type="spellEnd"/>
      <w:r w:rsidRPr="00351A94">
        <w:rPr>
          <w:bCs/>
        </w:rPr>
        <w:t>] Europe the most competitive and dynamic knowledge-driven economy by 2010’.</w:t>
      </w:r>
      <w:r w:rsidR="003D45AB" w:rsidRPr="00351A94">
        <w:rPr>
          <w:bCs/>
        </w:rPr>
        <w:t xml:space="preserve"> It conveyed for the first time the </w:t>
      </w:r>
      <w:r w:rsidR="00601CDE">
        <w:rPr>
          <w:bCs/>
        </w:rPr>
        <w:t xml:space="preserve">effective </w:t>
      </w:r>
      <w:r w:rsidR="003D45AB" w:rsidRPr="00351A94">
        <w:rPr>
          <w:bCs/>
        </w:rPr>
        <w:t>subordination of social policy to economic goals (</w:t>
      </w:r>
      <w:proofErr w:type="spellStart"/>
      <w:r w:rsidR="003D45AB" w:rsidRPr="00351A94">
        <w:rPr>
          <w:bCs/>
        </w:rPr>
        <w:t>Wincott</w:t>
      </w:r>
      <w:proofErr w:type="spellEnd"/>
      <w:r w:rsidR="003D45AB" w:rsidRPr="00351A94">
        <w:rPr>
          <w:bCs/>
        </w:rPr>
        <w:t xml:space="preserve">, 2003) and also positioned the European economy in clear competition with other national and regional </w:t>
      </w:r>
      <w:r w:rsidR="00601CDE">
        <w:rPr>
          <w:bCs/>
        </w:rPr>
        <w:t xml:space="preserve">economies and </w:t>
      </w:r>
      <w:r w:rsidR="003D45AB" w:rsidRPr="00351A94">
        <w:rPr>
          <w:bCs/>
        </w:rPr>
        <w:t>markets. Substantial changes were initiated in terms of both</w:t>
      </w:r>
      <w:r w:rsidR="00601CDE">
        <w:rPr>
          <w:bCs/>
        </w:rPr>
        <w:t xml:space="preserve"> the content and </w:t>
      </w:r>
      <w:r w:rsidR="003D45AB" w:rsidRPr="00351A94">
        <w:rPr>
          <w:bCs/>
        </w:rPr>
        <w:t xml:space="preserve">role of social policy and in terms of procedures of its transnational governance and co-ordination. With respect to the former, the normative content and role of social policy was discursively re-articulated to serve as a means to manage labour and the economy via both the removal of policies that impeded market competition, and the adoption of policies that enhanced it (Carmel, 2005). Among the key priorities of the EU were to </w:t>
      </w:r>
      <w:r w:rsidR="00601CDE">
        <w:rPr>
          <w:bCs/>
        </w:rPr>
        <w:t xml:space="preserve">encourage Member States to </w:t>
      </w:r>
      <w:r w:rsidR="003D45AB" w:rsidRPr="00351A94">
        <w:rPr>
          <w:bCs/>
        </w:rPr>
        <w:t xml:space="preserve">revisit social and labour costs and the sustainability of public pension and health systems. In many </w:t>
      </w:r>
      <w:r w:rsidR="00ED33DE">
        <w:rPr>
          <w:bCs/>
        </w:rPr>
        <w:t>Member States</w:t>
      </w:r>
      <w:r w:rsidR="003D45AB" w:rsidRPr="00351A94">
        <w:rPr>
          <w:bCs/>
        </w:rPr>
        <w:t xml:space="preserve"> the reforms that followed went apace with </w:t>
      </w:r>
      <w:r w:rsidR="00EF5F95">
        <w:rPr>
          <w:bCs/>
        </w:rPr>
        <w:t xml:space="preserve">parallel </w:t>
      </w:r>
      <w:r w:rsidR="003D45AB" w:rsidRPr="00351A94">
        <w:rPr>
          <w:bCs/>
        </w:rPr>
        <w:t xml:space="preserve">attempts to weaken trade unions (Busch et. al., 2013) while wealth and income inequality </w:t>
      </w:r>
      <w:r w:rsidR="004A136D">
        <w:rPr>
          <w:bCs/>
        </w:rPr>
        <w:t xml:space="preserve">were </w:t>
      </w:r>
      <w:r w:rsidR="003D45AB" w:rsidRPr="00351A94">
        <w:rPr>
          <w:bCs/>
        </w:rPr>
        <w:t>incre</w:t>
      </w:r>
      <w:r w:rsidR="004A136D">
        <w:rPr>
          <w:bCs/>
        </w:rPr>
        <w:t>asing</w:t>
      </w:r>
      <w:r w:rsidR="003D45AB" w:rsidRPr="00351A94">
        <w:rPr>
          <w:bCs/>
        </w:rPr>
        <w:t xml:space="preserve"> (Hall and </w:t>
      </w:r>
      <w:proofErr w:type="spellStart"/>
      <w:r w:rsidR="003D45AB" w:rsidRPr="00351A94">
        <w:rPr>
          <w:bCs/>
        </w:rPr>
        <w:t>Lamónt</w:t>
      </w:r>
      <w:proofErr w:type="spellEnd"/>
      <w:r w:rsidR="003D45AB" w:rsidRPr="00351A94">
        <w:rPr>
          <w:bCs/>
        </w:rPr>
        <w:t xml:space="preserve">, 2013). </w:t>
      </w:r>
      <w:r w:rsidRPr="00E85445">
        <w:rPr>
          <w:bCs/>
        </w:rPr>
        <w:t xml:space="preserve">At the same time, the EU promoted what it perceived to be competition-enhancing policies </w:t>
      </w:r>
      <w:r w:rsidR="00EF5F95">
        <w:rPr>
          <w:bCs/>
        </w:rPr>
        <w:t>aiming</w:t>
      </w:r>
      <w:r w:rsidRPr="00E85445">
        <w:rPr>
          <w:bCs/>
        </w:rPr>
        <w:t xml:space="preserve"> to advance its knowledge-driven economy via </w:t>
      </w:r>
      <w:r w:rsidR="00EF5F95" w:rsidRPr="00EF5F95">
        <w:rPr>
          <w:bCs/>
        </w:rPr>
        <w:t xml:space="preserve">investment </w:t>
      </w:r>
      <w:r w:rsidR="00EF5F95">
        <w:rPr>
          <w:bCs/>
        </w:rPr>
        <w:t xml:space="preserve">in </w:t>
      </w:r>
      <w:r w:rsidRPr="00E85445">
        <w:rPr>
          <w:bCs/>
        </w:rPr>
        <w:t>human capital (</w:t>
      </w:r>
      <w:r w:rsidR="00EF5F95">
        <w:rPr>
          <w:bCs/>
        </w:rPr>
        <w:t>e.g. skills,</w:t>
      </w:r>
      <w:r w:rsidRPr="00E85445">
        <w:rPr>
          <w:bCs/>
        </w:rPr>
        <w:t xml:space="preserve"> training</w:t>
      </w:r>
      <w:r w:rsidR="00EF5F95">
        <w:rPr>
          <w:bCs/>
        </w:rPr>
        <w:t xml:space="preserve"> etc.</w:t>
      </w:r>
      <w:r w:rsidRPr="00E85445">
        <w:rPr>
          <w:bCs/>
        </w:rPr>
        <w:t xml:space="preserve">), </w:t>
      </w:r>
      <w:r w:rsidR="00EF5F95">
        <w:rPr>
          <w:bCs/>
        </w:rPr>
        <w:t xml:space="preserve">encouraging </w:t>
      </w:r>
      <w:r w:rsidRPr="00E85445">
        <w:rPr>
          <w:bCs/>
        </w:rPr>
        <w:t xml:space="preserve">women’s entry </w:t>
      </w:r>
      <w:r w:rsidR="00EF5F95">
        <w:rPr>
          <w:bCs/>
        </w:rPr>
        <w:t xml:space="preserve">in </w:t>
      </w:r>
      <w:r w:rsidRPr="00E85445">
        <w:rPr>
          <w:bCs/>
        </w:rPr>
        <w:t>the labour market and shift</w:t>
      </w:r>
      <w:r w:rsidR="00EF5F95">
        <w:rPr>
          <w:bCs/>
        </w:rPr>
        <w:t>ing</w:t>
      </w:r>
      <w:r w:rsidRPr="00E85445">
        <w:rPr>
          <w:bCs/>
        </w:rPr>
        <w:t xml:space="preserve"> public spending away from unemployment </w:t>
      </w:r>
      <w:r w:rsidR="00601CDE">
        <w:rPr>
          <w:bCs/>
        </w:rPr>
        <w:t>compensation</w:t>
      </w:r>
      <w:r w:rsidRPr="00E85445">
        <w:rPr>
          <w:bCs/>
        </w:rPr>
        <w:t xml:space="preserve"> into ‘active’ labour market policies. The EC (2008, p.3) called for ‘a balance between the rights and responsibilities of employers, workers and jobseekers and the authorities’ and effectively endorsed ‘</w:t>
      </w:r>
      <w:proofErr w:type="spellStart"/>
      <w:r w:rsidRPr="00E85445">
        <w:rPr>
          <w:bCs/>
        </w:rPr>
        <w:t>flexicurity</w:t>
      </w:r>
      <w:proofErr w:type="spellEnd"/>
      <w:r w:rsidRPr="00E85445">
        <w:rPr>
          <w:bCs/>
        </w:rPr>
        <w:t>’ as an attempt to legitim</w:t>
      </w:r>
      <w:r w:rsidR="00924676">
        <w:rPr>
          <w:bCs/>
        </w:rPr>
        <w:t>ise</w:t>
      </w:r>
      <w:r w:rsidRPr="00E85445">
        <w:rPr>
          <w:bCs/>
        </w:rPr>
        <w:t xml:space="preserve"> cutbacks in unemployment </w:t>
      </w:r>
      <w:r w:rsidR="00601CDE">
        <w:rPr>
          <w:bCs/>
        </w:rPr>
        <w:t>compensation</w:t>
      </w:r>
      <w:r w:rsidRPr="00E85445">
        <w:rPr>
          <w:bCs/>
        </w:rPr>
        <w:t xml:space="preserve">  in exchange for  activation policies.</w:t>
      </w:r>
      <w:r w:rsidR="00A305E3">
        <w:rPr>
          <w:bCs/>
        </w:rPr>
        <w:t xml:space="preserve"> As </w:t>
      </w:r>
      <w:proofErr w:type="spellStart"/>
      <w:r w:rsidR="00A305E3">
        <w:rPr>
          <w:bCs/>
        </w:rPr>
        <w:t>Barbier</w:t>
      </w:r>
      <w:proofErr w:type="spellEnd"/>
      <w:r w:rsidR="00A305E3">
        <w:rPr>
          <w:bCs/>
        </w:rPr>
        <w:t xml:space="preserve"> (2012, p.387) argued</w:t>
      </w:r>
      <w:r w:rsidRPr="00E85445">
        <w:rPr>
          <w:bCs/>
        </w:rPr>
        <w:t xml:space="preserve"> </w:t>
      </w:r>
      <w:proofErr w:type="spellStart"/>
      <w:r w:rsidRPr="00E85445">
        <w:rPr>
          <w:bCs/>
        </w:rPr>
        <w:t>flexicurity</w:t>
      </w:r>
      <w:proofErr w:type="spellEnd"/>
      <w:r w:rsidRPr="00E85445">
        <w:rPr>
          <w:bCs/>
        </w:rPr>
        <w:t xml:space="preserve"> ‘was more often than not, a euphemism for promoting stricter eligibility c</w:t>
      </w:r>
      <w:r w:rsidR="00E85445">
        <w:rPr>
          <w:bCs/>
        </w:rPr>
        <w:t>riteria for benefit recipients’.</w:t>
      </w:r>
    </w:p>
    <w:p w:rsidR="004F1015" w:rsidRDefault="00F67166" w:rsidP="00E85445">
      <w:pPr>
        <w:jc w:val="both"/>
        <w:rPr>
          <w:bCs/>
        </w:rPr>
      </w:pPr>
      <w:r w:rsidRPr="00E85445">
        <w:rPr>
          <w:bCs/>
        </w:rPr>
        <w:t xml:space="preserve">The accession of the Central and Eastern European (CEE) states vividly illustrated </w:t>
      </w:r>
      <w:r w:rsidR="00601CDE">
        <w:rPr>
          <w:bCs/>
        </w:rPr>
        <w:t>how far</w:t>
      </w:r>
      <w:r w:rsidR="00A305E3">
        <w:rPr>
          <w:bCs/>
        </w:rPr>
        <w:t xml:space="preserve"> away the political consensus from </w:t>
      </w:r>
      <w:r w:rsidR="00601CDE">
        <w:rPr>
          <w:bCs/>
        </w:rPr>
        <w:t>t</w:t>
      </w:r>
      <w:r w:rsidRPr="00E85445">
        <w:rPr>
          <w:bCs/>
        </w:rPr>
        <w:t xml:space="preserve">he </w:t>
      </w:r>
      <w:r w:rsidR="00C72EFF">
        <w:rPr>
          <w:bCs/>
        </w:rPr>
        <w:t>goal</w:t>
      </w:r>
      <w:r w:rsidRPr="00E85445">
        <w:rPr>
          <w:bCs/>
        </w:rPr>
        <w:t xml:space="preserve"> of “promo[ting] improved working conditions and an improved standard of living for workers” (Article 117, Treaty of Rome)</w:t>
      </w:r>
      <w:r w:rsidR="00601CDE">
        <w:rPr>
          <w:bCs/>
        </w:rPr>
        <w:t xml:space="preserve">. Such </w:t>
      </w:r>
      <w:r w:rsidR="00A305E3">
        <w:rPr>
          <w:bCs/>
        </w:rPr>
        <w:t>a goal</w:t>
      </w:r>
      <w:r w:rsidR="00601CDE">
        <w:rPr>
          <w:bCs/>
        </w:rPr>
        <w:t xml:space="preserve"> </w:t>
      </w:r>
      <w:r w:rsidRPr="00E85445">
        <w:rPr>
          <w:bCs/>
        </w:rPr>
        <w:t xml:space="preserve">was </w:t>
      </w:r>
      <w:r w:rsidR="00180E89">
        <w:rPr>
          <w:bCs/>
        </w:rPr>
        <w:t>evidently ir</w:t>
      </w:r>
      <w:r w:rsidRPr="00E85445">
        <w:rPr>
          <w:bCs/>
        </w:rPr>
        <w:t>relevant in the case of their membership</w:t>
      </w:r>
      <w:r w:rsidR="00180E89">
        <w:rPr>
          <w:bCs/>
        </w:rPr>
        <w:t xml:space="preserve"> marked by the lack of any serious reference to</w:t>
      </w:r>
      <w:r w:rsidR="00180E89" w:rsidRPr="00A305E3">
        <w:rPr>
          <w:bCs/>
        </w:rPr>
        <w:t xml:space="preserve"> </w:t>
      </w:r>
      <w:r w:rsidR="00180E89">
        <w:rPr>
          <w:bCs/>
        </w:rPr>
        <w:t>the</w:t>
      </w:r>
      <w:r w:rsidR="00180E89" w:rsidRPr="00A305E3">
        <w:rPr>
          <w:bCs/>
        </w:rPr>
        <w:t xml:space="preserve"> social dimension of European integration </w:t>
      </w:r>
      <w:r w:rsidR="00180E89">
        <w:rPr>
          <w:bCs/>
        </w:rPr>
        <w:t>during their accession</w:t>
      </w:r>
      <w:r w:rsidRPr="00E85445">
        <w:rPr>
          <w:bCs/>
        </w:rPr>
        <w:t xml:space="preserve">. Instead, as Busch </w:t>
      </w:r>
      <w:proofErr w:type="gramStart"/>
      <w:r w:rsidRPr="00E85445">
        <w:rPr>
          <w:bCs/>
        </w:rPr>
        <w:t>et</w:t>
      </w:r>
      <w:proofErr w:type="gramEnd"/>
      <w:r w:rsidRPr="00E85445">
        <w:rPr>
          <w:bCs/>
        </w:rPr>
        <w:t xml:space="preserve">. </w:t>
      </w:r>
      <w:proofErr w:type="gramStart"/>
      <w:r w:rsidRPr="00E85445">
        <w:rPr>
          <w:bCs/>
        </w:rPr>
        <w:t>al</w:t>
      </w:r>
      <w:proofErr w:type="gramEnd"/>
      <w:r w:rsidRPr="00E85445">
        <w:rPr>
          <w:bCs/>
        </w:rPr>
        <w:t xml:space="preserve">. (2013) argue, in an attempt to </w:t>
      </w:r>
      <w:r w:rsidR="00A305E3">
        <w:rPr>
          <w:bCs/>
        </w:rPr>
        <w:t>enhance their</w:t>
      </w:r>
      <w:r w:rsidRPr="00E85445">
        <w:rPr>
          <w:bCs/>
        </w:rPr>
        <w:t xml:space="preserve"> competitive advantages, countries like Estonia, Latvia, Lithuania and Slovakia opted to reduce their welfare spending</w:t>
      </w:r>
      <w:r w:rsidR="00A305E3">
        <w:rPr>
          <w:bCs/>
        </w:rPr>
        <w:t>,</w:t>
      </w:r>
      <w:r w:rsidRPr="00E85445">
        <w:rPr>
          <w:bCs/>
        </w:rPr>
        <w:t xml:space="preserve"> despite their significant rates of economic growth (see also </w:t>
      </w:r>
      <w:proofErr w:type="spellStart"/>
      <w:r w:rsidRPr="00E85445">
        <w:rPr>
          <w:bCs/>
        </w:rPr>
        <w:t>Supiot</w:t>
      </w:r>
      <w:proofErr w:type="spellEnd"/>
      <w:r w:rsidRPr="00E85445">
        <w:rPr>
          <w:bCs/>
        </w:rPr>
        <w:t xml:space="preserve">, </w:t>
      </w:r>
      <w:r w:rsidR="00021B74" w:rsidRPr="00E85445">
        <w:rPr>
          <w:bCs/>
        </w:rPr>
        <w:t>201</w:t>
      </w:r>
      <w:r w:rsidR="000A3350">
        <w:rPr>
          <w:bCs/>
        </w:rPr>
        <w:t>2b</w:t>
      </w:r>
      <w:r w:rsidRPr="00E85445">
        <w:rPr>
          <w:bCs/>
        </w:rPr>
        <w:t xml:space="preserve">). In a sense </w:t>
      </w:r>
      <w:r w:rsidR="00C72EFF">
        <w:rPr>
          <w:bCs/>
        </w:rPr>
        <w:t>the accession process of</w:t>
      </w:r>
      <w:r w:rsidR="00C72EFF" w:rsidRPr="00C72EFF">
        <w:rPr>
          <w:bCs/>
        </w:rPr>
        <w:t xml:space="preserve"> </w:t>
      </w:r>
      <w:r w:rsidR="00C72EFF">
        <w:rPr>
          <w:bCs/>
        </w:rPr>
        <w:t>CEE</w:t>
      </w:r>
      <w:r w:rsidR="00C72EFF" w:rsidRPr="00C72EFF">
        <w:rPr>
          <w:bCs/>
        </w:rPr>
        <w:t xml:space="preserve"> states </w:t>
      </w:r>
      <w:r w:rsidR="00C72EFF">
        <w:rPr>
          <w:bCs/>
        </w:rPr>
        <w:t>facilitated</w:t>
      </w:r>
      <w:r w:rsidRPr="00E85445">
        <w:rPr>
          <w:bCs/>
        </w:rPr>
        <w:t xml:space="preserve"> the </w:t>
      </w:r>
      <w:r w:rsidR="00A305E3">
        <w:rPr>
          <w:bCs/>
        </w:rPr>
        <w:t>creation</w:t>
      </w:r>
      <w:r w:rsidRPr="00E85445">
        <w:rPr>
          <w:bCs/>
        </w:rPr>
        <w:t xml:space="preserve"> of </w:t>
      </w:r>
      <w:r w:rsidR="00C72EFF">
        <w:rPr>
          <w:bCs/>
        </w:rPr>
        <w:t>an</w:t>
      </w:r>
      <w:r w:rsidRPr="00E85445">
        <w:rPr>
          <w:bCs/>
        </w:rPr>
        <w:t xml:space="preserve"> ‘unbalanced playing field’ </w:t>
      </w:r>
      <w:r w:rsidR="00180E89">
        <w:rPr>
          <w:bCs/>
        </w:rPr>
        <w:t xml:space="preserve">across the EU </w:t>
      </w:r>
      <w:r w:rsidR="00C72EFF">
        <w:rPr>
          <w:bCs/>
        </w:rPr>
        <w:t>when it came to welfare and employment policies</w:t>
      </w:r>
      <w:r w:rsidR="00A305E3">
        <w:rPr>
          <w:bCs/>
        </w:rPr>
        <w:t xml:space="preserve">. Not only it </w:t>
      </w:r>
      <w:r w:rsidRPr="00E85445">
        <w:rPr>
          <w:bCs/>
        </w:rPr>
        <w:t xml:space="preserve">would allow </w:t>
      </w:r>
      <w:r w:rsidR="00C72EFF">
        <w:rPr>
          <w:bCs/>
        </w:rPr>
        <w:t xml:space="preserve">CCE states </w:t>
      </w:r>
      <w:r w:rsidR="00A305E3">
        <w:rPr>
          <w:bCs/>
        </w:rPr>
        <w:t xml:space="preserve">to attract </w:t>
      </w:r>
      <w:r w:rsidR="00A305E3" w:rsidRPr="00A305E3">
        <w:rPr>
          <w:bCs/>
        </w:rPr>
        <w:t xml:space="preserve">investment </w:t>
      </w:r>
      <w:r w:rsidRPr="00E85445">
        <w:rPr>
          <w:bCs/>
        </w:rPr>
        <w:t xml:space="preserve">but also, in some cases, </w:t>
      </w:r>
      <w:r w:rsidR="00A305E3">
        <w:rPr>
          <w:bCs/>
        </w:rPr>
        <w:t xml:space="preserve">it </w:t>
      </w:r>
      <w:r w:rsidR="00180E89">
        <w:rPr>
          <w:bCs/>
        </w:rPr>
        <w:t>would allow</w:t>
      </w:r>
      <w:r w:rsidR="00A305E3">
        <w:rPr>
          <w:bCs/>
        </w:rPr>
        <w:t xml:space="preserve"> the </w:t>
      </w:r>
      <w:r w:rsidRPr="00E85445">
        <w:rPr>
          <w:bCs/>
        </w:rPr>
        <w:t xml:space="preserve">undercutting </w:t>
      </w:r>
      <w:r w:rsidR="00A305E3">
        <w:rPr>
          <w:bCs/>
        </w:rPr>
        <w:t xml:space="preserve">of </w:t>
      </w:r>
      <w:r w:rsidRPr="00E85445">
        <w:rPr>
          <w:bCs/>
        </w:rPr>
        <w:t xml:space="preserve">wage and working conditions </w:t>
      </w:r>
      <w:r w:rsidR="00C72EFF">
        <w:rPr>
          <w:bCs/>
        </w:rPr>
        <w:t>in</w:t>
      </w:r>
      <w:r w:rsidRPr="00E85445">
        <w:rPr>
          <w:bCs/>
        </w:rPr>
        <w:t xml:space="preserve"> the </w:t>
      </w:r>
      <w:r w:rsidR="00C72EFF">
        <w:rPr>
          <w:bCs/>
        </w:rPr>
        <w:t xml:space="preserve">original </w:t>
      </w:r>
      <w:r w:rsidRPr="00E85445">
        <w:rPr>
          <w:bCs/>
        </w:rPr>
        <w:t xml:space="preserve">European </w:t>
      </w:r>
      <w:r w:rsidR="00C72EFF">
        <w:rPr>
          <w:bCs/>
        </w:rPr>
        <w:t xml:space="preserve">Member States </w:t>
      </w:r>
      <w:r w:rsidRPr="00E85445">
        <w:rPr>
          <w:bCs/>
        </w:rPr>
        <w:t>(</w:t>
      </w:r>
      <w:proofErr w:type="spellStart"/>
      <w:r w:rsidRPr="00E85445">
        <w:rPr>
          <w:bCs/>
        </w:rPr>
        <w:t>Lindblom</w:t>
      </w:r>
      <w:proofErr w:type="spellEnd"/>
      <w:r w:rsidRPr="00E85445">
        <w:rPr>
          <w:bCs/>
        </w:rPr>
        <w:t xml:space="preserve">, 2010). In this context, the strategy of seeking competitive advantages </w:t>
      </w:r>
      <w:r w:rsidR="00180E89">
        <w:rPr>
          <w:bCs/>
        </w:rPr>
        <w:t xml:space="preserve">as </w:t>
      </w:r>
      <w:r w:rsidRPr="00E85445">
        <w:rPr>
          <w:bCs/>
        </w:rPr>
        <w:t xml:space="preserve">pursed by the CEE states </w:t>
      </w:r>
      <w:r w:rsidR="00F14AED">
        <w:rPr>
          <w:bCs/>
        </w:rPr>
        <w:t xml:space="preserve">(see </w:t>
      </w:r>
      <w:proofErr w:type="spellStart"/>
      <w:r w:rsidR="00F14AED">
        <w:rPr>
          <w:bCs/>
        </w:rPr>
        <w:t>Woolfson</w:t>
      </w:r>
      <w:proofErr w:type="spellEnd"/>
      <w:r w:rsidR="00F14AED">
        <w:rPr>
          <w:bCs/>
        </w:rPr>
        <w:t xml:space="preserve"> and Sommers, 2006) </w:t>
      </w:r>
      <w:r w:rsidR="00180E89">
        <w:rPr>
          <w:bCs/>
        </w:rPr>
        <w:t xml:space="preserve">should not be seen as </w:t>
      </w:r>
      <w:r w:rsidRPr="00E85445">
        <w:rPr>
          <w:bCs/>
        </w:rPr>
        <w:t>merely opportunistic</w:t>
      </w:r>
      <w:r w:rsidR="00180E89">
        <w:rPr>
          <w:bCs/>
        </w:rPr>
        <w:t xml:space="preserve">. It was </w:t>
      </w:r>
      <w:r w:rsidRPr="00E85445">
        <w:rPr>
          <w:bCs/>
        </w:rPr>
        <w:t>fully compatible</w:t>
      </w:r>
      <w:r w:rsidR="00180E89">
        <w:rPr>
          <w:bCs/>
        </w:rPr>
        <w:t xml:space="preserve"> </w:t>
      </w:r>
      <w:r w:rsidRPr="00E85445">
        <w:rPr>
          <w:bCs/>
        </w:rPr>
        <w:t xml:space="preserve">with </w:t>
      </w:r>
      <w:r w:rsidR="00180E89">
        <w:rPr>
          <w:bCs/>
        </w:rPr>
        <w:t xml:space="preserve">the new institutional framework and the </w:t>
      </w:r>
      <w:r w:rsidRPr="00E85445">
        <w:rPr>
          <w:bCs/>
        </w:rPr>
        <w:t xml:space="preserve">new </w:t>
      </w:r>
      <w:r w:rsidR="00180E89">
        <w:rPr>
          <w:bCs/>
        </w:rPr>
        <w:t xml:space="preserve">approach to the social dimension </w:t>
      </w:r>
      <w:r w:rsidRPr="00E85445">
        <w:rPr>
          <w:bCs/>
        </w:rPr>
        <w:t>tha</w:t>
      </w:r>
      <w:r w:rsidR="00C72EFF">
        <w:rPr>
          <w:bCs/>
        </w:rPr>
        <w:t xml:space="preserve">t no longer </w:t>
      </w:r>
      <w:r w:rsidR="00180E89">
        <w:rPr>
          <w:bCs/>
        </w:rPr>
        <w:t>perceived</w:t>
      </w:r>
      <w:r w:rsidR="00C72EFF">
        <w:rPr>
          <w:bCs/>
        </w:rPr>
        <w:t xml:space="preserve"> ‘social dump</w:t>
      </w:r>
      <w:r w:rsidRPr="00E85445">
        <w:rPr>
          <w:bCs/>
        </w:rPr>
        <w:t>ing</w:t>
      </w:r>
      <w:r w:rsidR="00C72EFF">
        <w:rPr>
          <w:bCs/>
        </w:rPr>
        <w:t>’</w:t>
      </w:r>
      <w:r w:rsidR="00180E89">
        <w:rPr>
          <w:bCs/>
        </w:rPr>
        <w:t xml:space="preserve"> as a challenge but instead</w:t>
      </w:r>
      <w:r w:rsidR="00C72EFF">
        <w:rPr>
          <w:bCs/>
        </w:rPr>
        <w:t xml:space="preserve">, by design, </w:t>
      </w:r>
      <w:r w:rsidR="00180E89">
        <w:rPr>
          <w:bCs/>
        </w:rPr>
        <w:t xml:space="preserve">as facilitator in </w:t>
      </w:r>
      <w:r w:rsidRPr="00E85445">
        <w:rPr>
          <w:bCs/>
        </w:rPr>
        <w:t>set</w:t>
      </w:r>
      <w:r w:rsidR="00C72EFF">
        <w:rPr>
          <w:bCs/>
        </w:rPr>
        <w:t>ting</w:t>
      </w:r>
      <w:r w:rsidRPr="00E85445">
        <w:rPr>
          <w:bCs/>
        </w:rPr>
        <w:t xml:space="preserve"> </w:t>
      </w:r>
      <w:r w:rsidR="00C72EFF">
        <w:rPr>
          <w:bCs/>
        </w:rPr>
        <w:t>competition at the heart of socio-economic governance of</w:t>
      </w:r>
      <w:r w:rsidRPr="00E85445">
        <w:rPr>
          <w:bCs/>
        </w:rPr>
        <w:t xml:space="preserve"> Europe</w:t>
      </w:r>
      <w:r w:rsidR="00C72EFF">
        <w:rPr>
          <w:bCs/>
        </w:rPr>
        <w:t>an integration</w:t>
      </w:r>
      <w:r w:rsidRPr="00E85445">
        <w:rPr>
          <w:bCs/>
        </w:rPr>
        <w:t>.</w:t>
      </w:r>
    </w:p>
    <w:p w:rsidR="00E85445" w:rsidRPr="00E85445" w:rsidRDefault="00E85445" w:rsidP="00E85445">
      <w:pPr>
        <w:jc w:val="both"/>
      </w:pPr>
    </w:p>
    <w:p w:rsidR="004C40B2" w:rsidRDefault="00475C0D" w:rsidP="00F67166">
      <w:pPr>
        <w:pStyle w:val="Heading2"/>
        <w:jc w:val="both"/>
      </w:pPr>
      <w:r>
        <w:t>Competition as social regulation</w:t>
      </w:r>
      <w:r w:rsidR="005248DE">
        <w:t xml:space="preserve"> </w:t>
      </w:r>
      <w:r w:rsidRPr="00475C0D">
        <w:t xml:space="preserve">in the process of European integration  </w:t>
      </w:r>
    </w:p>
    <w:p w:rsidR="00553208" w:rsidRPr="00553208" w:rsidRDefault="00553208" w:rsidP="00F67166">
      <w:pPr>
        <w:jc w:val="both"/>
      </w:pPr>
    </w:p>
    <w:p w:rsidR="00B972A2" w:rsidRDefault="00E85445" w:rsidP="00F67166">
      <w:pPr>
        <w:jc w:val="both"/>
      </w:pPr>
      <w:r w:rsidRPr="00E85445">
        <w:t>Like others (</w:t>
      </w:r>
      <w:proofErr w:type="spellStart"/>
      <w:r w:rsidR="00A526BF" w:rsidRPr="00A526BF">
        <w:t>Crespy</w:t>
      </w:r>
      <w:proofErr w:type="spellEnd"/>
      <w:r w:rsidR="00A526BF" w:rsidRPr="00A526BF">
        <w:t xml:space="preserve"> and </w:t>
      </w:r>
      <w:proofErr w:type="spellStart"/>
      <w:r w:rsidR="00A526BF" w:rsidRPr="00A526BF">
        <w:t>Menz</w:t>
      </w:r>
      <w:proofErr w:type="spellEnd"/>
      <w:r w:rsidR="00A526BF" w:rsidRPr="00A526BF">
        <w:t xml:space="preserve">, 2015; Romano and </w:t>
      </w:r>
      <w:proofErr w:type="spellStart"/>
      <w:r w:rsidR="00A526BF" w:rsidRPr="00A526BF">
        <w:t>Punziano</w:t>
      </w:r>
      <w:proofErr w:type="spellEnd"/>
      <w:r w:rsidR="00A526BF" w:rsidRPr="00A526BF">
        <w:t>, 2015</w:t>
      </w:r>
      <w:r w:rsidR="00A526BF">
        <w:t xml:space="preserve">; </w:t>
      </w:r>
      <w:r w:rsidRPr="00E85445">
        <w:t xml:space="preserve">Anderson, 2011; </w:t>
      </w:r>
      <w:proofErr w:type="spellStart"/>
      <w:r w:rsidRPr="00E85445">
        <w:t>Supiot</w:t>
      </w:r>
      <w:proofErr w:type="spellEnd"/>
      <w:r w:rsidRPr="00E85445">
        <w:t>, 201</w:t>
      </w:r>
      <w:r w:rsidR="00D6242C">
        <w:t>2a</w:t>
      </w:r>
      <w:r w:rsidR="00021B74">
        <w:t>;</w:t>
      </w:r>
      <w:r w:rsidR="00EA644B">
        <w:t xml:space="preserve"> </w:t>
      </w:r>
      <w:r w:rsidR="00021B74">
        <w:t>2012</w:t>
      </w:r>
      <w:r w:rsidR="00D6242C">
        <w:t>b</w:t>
      </w:r>
      <w:r w:rsidRPr="00E85445">
        <w:t xml:space="preserve">) we </w:t>
      </w:r>
      <w:r w:rsidR="00282FB5">
        <w:t>argue that</w:t>
      </w:r>
      <w:r w:rsidR="00180E89">
        <w:t xml:space="preserve"> the foundational premises of</w:t>
      </w:r>
      <w:r w:rsidR="005248DE">
        <w:t xml:space="preserve"> </w:t>
      </w:r>
      <w:r w:rsidRPr="00E85445">
        <w:t>‘Social Europe’</w:t>
      </w:r>
      <w:r w:rsidR="005248DE">
        <w:t xml:space="preserve"> </w:t>
      </w:r>
      <w:r w:rsidR="00282FB5">
        <w:t>a</w:t>
      </w:r>
      <w:r w:rsidR="00CA5A29">
        <w:t>re</w:t>
      </w:r>
      <w:r w:rsidR="00282FB5">
        <w:t xml:space="preserve"> being transformed</w:t>
      </w:r>
      <w:r w:rsidRPr="00E85445">
        <w:t xml:space="preserve"> into a market-centred institutional</w:t>
      </w:r>
      <w:r>
        <w:t xml:space="preserve"> order</w:t>
      </w:r>
      <w:r w:rsidR="00475402">
        <w:t xml:space="preserve"> where </w:t>
      </w:r>
      <w:r w:rsidR="00475402" w:rsidRPr="000E3EBE">
        <w:t>democratic institutions are subjugated to market i</w:t>
      </w:r>
      <w:r w:rsidR="00282FB5">
        <w:t>mperatives</w:t>
      </w:r>
      <w:r w:rsidR="00077897">
        <w:t>. In turn, the</w:t>
      </w:r>
      <w:r w:rsidR="00CA5A29">
        <w:t>s</w:t>
      </w:r>
      <w:r w:rsidR="00077897">
        <w:t>e</w:t>
      </w:r>
      <w:r w:rsidR="00CA5A29">
        <w:t xml:space="preserve"> transformation</w:t>
      </w:r>
      <w:r w:rsidR="00077897">
        <w:t>s</w:t>
      </w:r>
      <w:r w:rsidR="00CA5A29">
        <w:t xml:space="preserve"> </w:t>
      </w:r>
      <w:r w:rsidR="00475402">
        <w:t>undermine the very political and democratic institutions that originally underpinned and legitim</w:t>
      </w:r>
      <w:r w:rsidR="00924676">
        <w:t>ise</w:t>
      </w:r>
      <w:r w:rsidR="00475402">
        <w:t xml:space="preserve">d the </w:t>
      </w:r>
      <w:r w:rsidR="00CA5A29">
        <w:t xml:space="preserve">process </w:t>
      </w:r>
      <w:r w:rsidR="00A526BF">
        <w:t>of European integration</w:t>
      </w:r>
      <w:r w:rsidR="003A579F">
        <w:t xml:space="preserve"> (Busch et. al. 2013; P</w:t>
      </w:r>
      <w:r w:rsidR="00CA1DF1">
        <w:t>apadopoulos and Roumpakis, 2015)</w:t>
      </w:r>
      <w:r w:rsidR="00475402" w:rsidRPr="000E3EBE">
        <w:t>.</w:t>
      </w:r>
      <w:r w:rsidR="00475402">
        <w:t xml:space="preserve"> </w:t>
      </w:r>
      <w:r w:rsidR="00A526BF">
        <w:t>T</w:t>
      </w:r>
      <w:r w:rsidR="00BB1E22">
        <w:t>here are, at least,</w:t>
      </w:r>
      <w:r w:rsidR="00BB1E22" w:rsidRPr="000E3EBE">
        <w:t xml:space="preserve"> three</w:t>
      </w:r>
      <w:r w:rsidR="00BB1E22">
        <w:t xml:space="preserve"> important </w:t>
      </w:r>
      <w:r w:rsidR="00BC1543">
        <w:t>dimensions</w:t>
      </w:r>
      <w:r w:rsidR="00BB1E22">
        <w:t xml:space="preserve"> </w:t>
      </w:r>
      <w:r w:rsidR="00A526BF">
        <w:t xml:space="preserve">in this </w:t>
      </w:r>
      <w:r w:rsidR="00CA5A29">
        <w:t>process</w:t>
      </w:r>
      <w:r w:rsidR="00077897">
        <w:t xml:space="preserve"> that impact directly of the social dimension of the European integration.</w:t>
      </w:r>
      <w:r w:rsidR="00BB1E22">
        <w:t xml:space="preserve"> </w:t>
      </w:r>
      <w:r w:rsidR="000E3EBE" w:rsidRPr="000E3EBE">
        <w:t xml:space="preserve">First, </w:t>
      </w:r>
      <w:r w:rsidR="00CA5A29">
        <w:t xml:space="preserve">convergence </w:t>
      </w:r>
      <w:r w:rsidR="000E3EBE" w:rsidRPr="000E3EBE">
        <w:t>is no</w:t>
      </w:r>
      <w:r w:rsidR="00BB1E22">
        <w:t xml:space="preserve"> longer </w:t>
      </w:r>
      <w:r w:rsidR="000E3EBE" w:rsidRPr="000E3EBE">
        <w:t xml:space="preserve">achieved by </w:t>
      </w:r>
      <w:r w:rsidR="00CA5A29">
        <w:t>means of continuous improvement of</w:t>
      </w:r>
      <w:r w:rsidR="000E3EBE" w:rsidRPr="000E3EBE">
        <w:t xml:space="preserve"> working conditions, social protection and workers’ living standards but </w:t>
      </w:r>
      <w:r w:rsidR="00CA5A29">
        <w:t xml:space="preserve">rather </w:t>
      </w:r>
      <w:r w:rsidR="000E3EBE" w:rsidRPr="000E3EBE">
        <w:t xml:space="preserve">through </w:t>
      </w:r>
      <w:r w:rsidR="004F7994">
        <w:t xml:space="preserve">reductions in social welfare and by </w:t>
      </w:r>
      <w:r w:rsidR="000E3EBE" w:rsidRPr="000E3EBE">
        <w:t>rendering wages as an adjustment variable for restoring</w:t>
      </w:r>
      <w:r w:rsidR="00C6420A">
        <w:t xml:space="preserve"> </w:t>
      </w:r>
      <w:r w:rsidR="000E3EBE" w:rsidRPr="000E3EBE">
        <w:t>competitiveness</w:t>
      </w:r>
      <w:r w:rsidR="00463E57">
        <w:t xml:space="preserve"> (</w:t>
      </w:r>
      <w:proofErr w:type="spellStart"/>
      <w:r w:rsidR="000A175B">
        <w:t>Armingeon</w:t>
      </w:r>
      <w:proofErr w:type="spellEnd"/>
      <w:r w:rsidR="000A175B">
        <w:t xml:space="preserve"> and </w:t>
      </w:r>
      <w:proofErr w:type="spellStart"/>
      <w:r w:rsidR="000A175B">
        <w:t>Baccaro</w:t>
      </w:r>
      <w:proofErr w:type="spellEnd"/>
      <w:r w:rsidR="000A175B">
        <w:t>, 2012; Busch et</w:t>
      </w:r>
      <w:r w:rsidR="001E0AB5">
        <w:t xml:space="preserve"> al, 2013; </w:t>
      </w:r>
      <w:proofErr w:type="spellStart"/>
      <w:r w:rsidR="001E0AB5">
        <w:t>Degryse</w:t>
      </w:r>
      <w:proofErr w:type="spellEnd"/>
      <w:r w:rsidR="001E0AB5">
        <w:t xml:space="preserve"> et al, 2013</w:t>
      </w:r>
      <w:r w:rsidR="00463E57">
        <w:t>)</w:t>
      </w:r>
      <w:r w:rsidR="00C6420A">
        <w:t>.</w:t>
      </w:r>
      <w:r w:rsidR="004F7994">
        <w:t xml:space="preserve"> </w:t>
      </w:r>
      <w:r w:rsidR="00C6420A">
        <w:t>S</w:t>
      </w:r>
      <w:r w:rsidR="000E3EBE" w:rsidRPr="000E3EBE">
        <w:t>econd</w:t>
      </w:r>
      <w:r w:rsidR="00C6420A">
        <w:t>,</w:t>
      </w:r>
      <w:r w:rsidR="000E3EBE" w:rsidRPr="000E3EBE">
        <w:t xml:space="preserve"> the heterogeneity of welfare and production systems in the EU </w:t>
      </w:r>
      <w:r w:rsidR="003E2FF1">
        <w:t xml:space="preserve">does not represent any </w:t>
      </w:r>
      <w:r w:rsidR="004F7994">
        <w:t>more</w:t>
      </w:r>
      <w:r w:rsidR="003E2FF1">
        <w:t xml:space="preserve"> an ‘unlevelled playing field’</w:t>
      </w:r>
      <w:r w:rsidR="00A526BF">
        <w:t xml:space="preserve"> that is </w:t>
      </w:r>
      <w:r w:rsidR="00A526BF" w:rsidRPr="00A526BF">
        <w:t>undesirable</w:t>
      </w:r>
      <w:r w:rsidR="00A526BF">
        <w:t xml:space="preserve"> and </w:t>
      </w:r>
      <w:r w:rsidR="004F7994">
        <w:t xml:space="preserve">is note perceived as </w:t>
      </w:r>
      <w:r w:rsidR="00A526BF">
        <w:t>a potential threat to the integration process</w:t>
      </w:r>
      <w:r w:rsidR="003E2FF1">
        <w:t xml:space="preserve">; instead it is </w:t>
      </w:r>
      <w:r w:rsidR="00A526BF">
        <w:t xml:space="preserve">now viewed as </w:t>
      </w:r>
      <w:r w:rsidR="003E2FF1">
        <w:t xml:space="preserve">integral to the process of European integration as it </w:t>
      </w:r>
      <w:r w:rsidR="000E3EBE" w:rsidRPr="000E3EBE">
        <w:t>foster</w:t>
      </w:r>
      <w:r w:rsidR="003E2FF1">
        <w:t>s</w:t>
      </w:r>
      <w:r w:rsidR="000E3EBE" w:rsidRPr="000E3EBE">
        <w:t xml:space="preserve"> competition between </w:t>
      </w:r>
      <w:r w:rsidR="001E0AB5">
        <w:t>asymmetrical national political economies</w:t>
      </w:r>
      <w:r w:rsidR="00463E57">
        <w:t xml:space="preserve"> (</w:t>
      </w:r>
      <w:proofErr w:type="spellStart"/>
      <w:r w:rsidR="006D3F65" w:rsidRPr="006D3F65">
        <w:t>Höpner</w:t>
      </w:r>
      <w:proofErr w:type="spellEnd"/>
      <w:r w:rsidR="006D3F65" w:rsidRPr="006D3F65">
        <w:t xml:space="preserve"> and </w:t>
      </w:r>
      <w:proofErr w:type="spellStart"/>
      <w:r w:rsidR="006D3F65" w:rsidRPr="006D3F65">
        <w:t>Schäfer</w:t>
      </w:r>
      <w:proofErr w:type="spellEnd"/>
      <w:r w:rsidR="006D3F65">
        <w:t>, 2010;</w:t>
      </w:r>
      <w:r w:rsidR="006D3F65" w:rsidRPr="006D3F65">
        <w:t xml:space="preserve"> </w:t>
      </w:r>
      <w:r w:rsidR="000A175B">
        <w:t>Papadopoulos and Roumpakis, 2013</w:t>
      </w:r>
      <w:r w:rsidR="00157526">
        <w:t>a</w:t>
      </w:r>
      <w:r w:rsidR="00EC28EB">
        <w:t>; Bonefeld, 2015</w:t>
      </w:r>
      <w:r w:rsidR="0050442D">
        <w:t>)</w:t>
      </w:r>
      <w:r w:rsidR="00F33180">
        <w:t>. T</w:t>
      </w:r>
      <w:r w:rsidR="000E3EBE" w:rsidRPr="000E3EBE">
        <w:t>hird</w:t>
      </w:r>
      <w:r w:rsidR="00C6420A">
        <w:t xml:space="preserve">, </w:t>
      </w:r>
      <w:r w:rsidR="00BB1E22">
        <w:t xml:space="preserve">the </w:t>
      </w:r>
      <w:r w:rsidR="00A526BF">
        <w:t xml:space="preserve">legal apparatus of the European Union now serves this transformation by </w:t>
      </w:r>
      <w:proofErr w:type="spellStart"/>
      <w:r w:rsidR="00A526BF" w:rsidRPr="00A526BF">
        <w:rPr>
          <w:i/>
        </w:rPr>
        <w:t>judicialising</w:t>
      </w:r>
      <w:proofErr w:type="spellEnd"/>
      <w:r w:rsidR="00A526BF">
        <w:t xml:space="preserve"> what are, effectively, </w:t>
      </w:r>
      <w:r w:rsidR="001378F1">
        <w:t xml:space="preserve">political </w:t>
      </w:r>
      <w:r w:rsidR="00A526BF">
        <w:t xml:space="preserve">decisions. Thus, </w:t>
      </w:r>
      <w:r w:rsidR="008505F9">
        <w:t xml:space="preserve">the </w:t>
      </w:r>
      <w:r w:rsidR="00B762E8">
        <w:t>E</w:t>
      </w:r>
      <w:r w:rsidR="00A526BF">
        <w:t xml:space="preserve">uropean </w:t>
      </w:r>
      <w:r w:rsidR="00B762E8">
        <w:t>C</w:t>
      </w:r>
      <w:r w:rsidR="00A526BF">
        <w:t xml:space="preserve">ourt of </w:t>
      </w:r>
      <w:r w:rsidR="00B762E8">
        <w:t>J</w:t>
      </w:r>
      <w:r w:rsidR="00A526BF">
        <w:t>ustice (ECJ)</w:t>
      </w:r>
      <w:r w:rsidR="00B762E8">
        <w:t xml:space="preserve"> </w:t>
      </w:r>
      <w:r w:rsidR="006D3F65">
        <w:t xml:space="preserve">in </w:t>
      </w:r>
      <w:r w:rsidR="00A526BF">
        <w:t xml:space="preserve">now called upon to </w:t>
      </w:r>
      <w:r w:rsidR="00F33180">
        <w:t xml:space="preserve">adjudicate on </w:t>
      </w:r>
      <w:r w:rsidR="004F7994">
        <w:t xml:space="preserve">the </w:t>
      </w:r>
      <w:r w:rsidR="006D3F65">
        <w:t xml:space="preserve">hierarchy of norms and institutions </w:t>
      </w:r>
      <w:r w:rsidR="00A526BF">
        <w:t xml:space="preserve">that will govern the emergent trans-national </w:t>
      </w:r>
      <w:r w:rsidR="00F33180">
        <w:t>regulatory field</w:t>
      </w:r>
      <w:r w:rsidR="00B972A2">
        <w:t xml:space="preserve">. </w:t>
      </w:r>
    </w:p>
    <w:p w:rsidR="00FF1E19" w:rsidRDefault="006E7451" w:rsidP="0006496A">
      <w:pPr>
        <w:jc w:val="both"/>
      </w:pPr>
      <w:r>
        <w:t xml:space="preserve">In the </w:t>
      </w:r>
      <w:r w:rsidR="00B972A2">
        <w:t>subsequent sub</w:t>
      </w:r>
      <w:r>
        <w:t>section</w:t>
      </w:r>
      <w:r w:rsidR="00B972A2">
        <w:t>s we</w:t>
      </w:r>
      <w:r>
        <w:t xml:space="preserve"> </w:t>
      </w:r>
      <w:r w:rsidR="0006496A">
        <w:t>critically reflect</w:t>
      </w:r>
      <w:r w:rsidR="00FD5DE9">
        <w:t xml:space="preserve"> on</w:t>
      </w:r>
      <w:r w:rsidR="00FD5DE9" w:rsidRPr="00FD5DE9">
        <w:t xml:space="preserve"> </w:t>
      </w:r>
      <w:r w:rsidR="00B972A2">
        <w:t>how a</w:t>
      </w:r>
      <w:r w:rsidR="00FD5DE9" w:rsidRPr="00FD5DE9">
        <w:t xml:space="preserve"> </w:t>
      </w:r>
      <w:r w:rsidR="009E71B7" w:rsidRPr="009E71B7">
        <w:t xml:space="preserve">diverse set of mechanisms </w:t>
      </w:r>
      <w:r w:rsidR="00077897">
        <w:t>are now in place to drive the</w:t>
      </w:r>
      <w:r w:rsidR="00B972A2">
        <w:t>s</w:t>
      </w:r>
      <w:r w:rsidR="00077897">
        <w:t>e</w:t>
      </w:r>
      <w:r w:rsidR="00B972A2">
        <w:t xml:space="preserve"> </w:t>
      </w:r>
      <w:r w:rsidR="00077897">
        <w:t>changes</w:t>
      </w:r>
      <w:bookmarkStart w:id="0" w:name="_GoBack"/>
      <w:bookmarkEnd w:id="0"/>
      <w:r w:rsidR="009E71B7">
        <w:t xml:space="preserve">. </w:t>
      </w:r>
    </w:p>
    <w:p w:rsidR="00F33180" w:rsidRDefault="00F33180" w:rsidP="0006496A">
      <w:pPr>
        <w:jc w:val="both"/>
      </w:pPr>
    </w:p>
    <w:p w:rsidR="000E3EBE" w:rsidRPr="00B972A2" w:rsidRDefault="00475C0D" w:rsidP="00F67166">
      <w:pPr>
        <w:pStyle w:val="Heading3"/>
        <w:jc w:val="both"/>
        <w:rPr>
          <w:i/>
        </w:rPr>
      </w:pPr>
      <w:r>
        <w:rPr>
          <w:i/>
        </w:rPr>
        <w:t>Competition</w:t>
      </w:r>
      <w:r w:rsidR="00501DF9" w:rsidRPr="00B972A2">
        <w:rPr>
          <w:i/>
        </w:rPr>
        <w:t xml:space="preserve"> </w:t>
      </w:r>
      <w:r>
        <w:rPr>
          <w:i/>
        </w:rPr>
        <w:t xml:space="preserve">and </w:t>
      </w:r>
      <w:r w:rsidR="00501DF9" w:rsidRPr="00B972A2">
        <w:rPr>
          <w:i/>
        </w:rPr>
        <w:t>the E</w:t>
      </w:r>
      <w:r>
        <w:rPr>
          <w:i/>
        </w:rPr>
        <w:t xml:space="preserve">uropean Court of Justice </w:t>
      </w:r>
      <w:r w:rsidR="00501DF9" w:rsidRPr="00B972A2">
        <w:rPr>
          <w:i/>
        </w:rPr>
        <w:t xml:space="preserve"> </w:t>
      </w:r>
    </w:p>
    <w:p w:rsidR="00553208" w:rsidRPr="00553208" w:rsidRDefault="00553208" w:rsidP="00F67166">
      <w:pPr>
        <w:jc w:val="both"/>
      </w:pPr>
    </w:p>
    <w:p w:rsidR="005D2E38" w:rsidRDefault="005D2E38" w:rsidP="00F67166">
      <w:pPr>
        <w:jc w:val="both"/>
      </w:pPr>
      <w:r>
        <w:t>Conant</w:t>
      </w:r>
      <w:r w:rsidR="00A1139A">
        <w:t xml:space="preserve"> (2002) </w:t>
      </w:r>
      <w:r>
        <w:t xml:space="preserve">convincingly </w:t>
      </w:r>
      <w:r w:rsidR="00A1139A">
        <w:t>argu</w:t>
      </w:r>
      <w:r>
        <w:t xml:space="preserve">ed </w:t>
      </w:r>
      <w:r w:rsidR="00A1139A">
        <w:t xml:space="preserve">that ECJ decisions reflect sectors of the </w:t>
      </w:r>
      <w:r w:rsidR="0079057E">
        <w:t xml:space="preserve">emerging </w:t>
      </w:r>
      <w:r w:rsidR="00A1139A">
        <w:t xml:space="preserve">common market </w:t>
      </w:r>
      <w:r w:rsidR="0079057E">
        <w:t xml:space="preserve">where </w:t>
      </w:r>
      <w:r w:rsidR="00A1139A">
        <w:t xml:space="preserve">powerful domestic actors aim to challenge or </w:t>
      </w:r>
      <w:r w:rsidR="0079057E">
        <w:t>de</w:t>
      </w:r>
      <w:r w:rsidR="00B972A2">
        <w:t>marca</w:t>
      </w:r>
      <w:r w:rsidR="0079057E">
        <w:t xml:space="preserve">te </w:t>
      </w:r>
      <w:r w:rsidR="00A1139A">
        <w:t xml:space="preserve">the boundaries between national </w:t>
      </w:r>
      <w:r>
        <w:t>and European law. Echoing this views</w:t>
      </w:r>
      <w:r w:rsidR="00A1139A">
        <w:t xml:space="preserve"> </w:t>
      </w:r>
      <w:r w:rsidR="0079057E">
        <w:t xml:space="preserve">we argue that </w:t>
      </w:r>
      <w:r>
        <w:t>a number of important</w:t>
      </w:r>
      <w:r w:rsidR="00A1139A">
        <w:t xml:space="preserve"> </w:t>
      </w:r>
      <w:r>
        <w:t xml:space="preserve">ECJ </w:t>
      </w:r>
      <w:r w:rsidR="00A1139A">
        <w:t xml:space="preserve">rulings </w:t>
      </w:r>
      <w:r>
        <w:t xml:space="preserve">during the last decade have clearly </w:t>
      </w:r>
      <w:r w:rsidR="00A1139A">
        <w:t>manifest</w:t>
      </w:r>
      <w:r>
        <w:t>ed</w:t>
      </w:r>
      <w:r w:rsidR="00A1139A">
        <w:t xml:space="preserve"> how firms, employers’ associations and </w:t>
      </w:r>
      <w:r w:rsidR="0079057E">
        <w:t xml:space="preserve">the </w:t>
      </w:r>
      <w:r w:rsidR="00A1139A">
        <w:t xml:space="preserve">European Commission </w:t>
      </w:r>
      <w:r w:rsidR="0079057E">
        <w:t xml:space="preserve">sought </w:t>
      </w:r>
      <w:r w:rsidR="00A1139A">
        <w:t xml:space="preserve">from the ECJ to resolve the </w:t>
      </w:r>
      <w:r w:rsidR="00FD5354">
        <w:t xml:space="preserve">clash of two fundamental </w:t>
      </w:r>
      <w:r w:rsidR="0079057E">
        <w:t xml:space="preserve">set of freedoms and corollary rights </w:t>
      </w:r>
      <w:r w:rsidR="00FD5354">
        <w:t xml:space="preserve">within the EU: </w:t>
      </w:r>
      <w:r w:rsidR="0079057E">
        <w:t xml:space="preserve">those of </w:t>
      </w:r>
      <w:r w:rsidR="00FD5354">
        <w:t>labour</w:t>
      </w:r>
      <w:r>
        <w:t xml:space="preserve"> and those of</w:t>
      </w:r>
      <w:r w:rsidR="00FD5354">
        <w:t xml:space="preserve"> </w:t>
      </w:r>
      <w:r w:rsidR="0079057E">
        <w:t>employers.</w:t>
      </w:r>
      <w:r w:rsidR="00FD5354">
        <w:t xml:space="preserve">  </w:t>
      </w:r>
      <w:r>
        <w:t xml:space="preserve">We, further, argue that the way in which the ECJ resolved this clash was </w:t>
      </w:r>
      <w:r w:rsidRPr="005D2E38">
        <w:t>by</w:t>
      </w:r>
      <w:r>
        <w:t>, legally sanctioning</w:t>
      </w:r>
      <w:r w:rsidRPr="005D2E38">
        <w:t xml:space="preserve"> competition </w:t>
      </w:r>
      <w:r>
        <w:t xml:space="preserve">as </w:t>
      </w:r>
      <w:r w:rsidRPr="005D2E38">
        <w:t xml:space="preserve">the </w:t>
      </w:r>
      <w:r>
        <w:t>driving</w:t>
      </w:r>
      <w:r w:rsidRPr="005D2E38">
        <w:t xml:space="preserve"> principle of regulating the diversity of national regulations pertaining to labour law and social protection within the European Union (EU).</w:t>
      </w:r>
    </w:p>
    <w:p w:rsidR="005D0051" w:rsidRDefault="005D2E38" w:rsidP="00F67166">
      <w:pPr>
        <w:jc w:val="both"/>
      </w:pPr>
      <w:r>
        <w:t>Four cases are of key importance in our argument: The ECJ</w:t>
      </w:r>
      <w:r w:rsidRPr="00176D56">
        <w:t xml:space="preserve"> rulings on the cases of </w:t>
      </w:r>
      <w:r w:rsidRPr="00176D56">
        <w:rPr>
          <w:i/>
        </w:rPr>
        <w:t>Laval</w:t>
      </w:r>
      <w:r w:rsidRPr="00176D56">
        <w:t xml:space="preserve"> (C-341/05),</w:t>
      </w:r>
      <w:r w:rsidRPr="00176D56">
        <w:rPr>
          <w:i/>
        </w:rPr>
        <w:t xml:space="preserve"> Viking</w:t>
      </w:r>
      <w:r w:rsidRPr="00176D56">
        <w:t xml:space="preserve"> (C-438/05)</w:t>
      </w:r>
      <w:r w:rsidRPr="00176D56">
        <w:rPr>
          <w:i/>
        </w:rPr>
        <w:t xml:space="preserve"> Dirk </w:t>
      </w:r>
      <w:proofErr w:type="spellStart"/>
      <w:r w:rsidRPr="00176D56">
        <w:rPr>
          <w:i/>
        </w:rPr>
        <w:t>Rüffert</w:t>
      </w:r>
      <w:proofErr w:type="spellEnd"/>
      <w:r w:rsidRPr="00176D56">
        <w:rPr>
          <w:i/>
        </w:rPr>
        <w:t xml:space="preserve"> </w:t>
      </w:r>
      <w:r w:rsidRPr="00176D56">
        <w:t xml:space="preserve">(C-346/06), </w:t>
      </w:r>
      <w:r w:rsidRPr="00176D56">
        <w:rPr>
          <w:i/>
        </w:rPr>
        <w:t>Commission v Germany</w:t>
      </w:r>
      <w:r w:rsidRPr="00176D56">
        <w:t xml:space="preserve"> (C-271/08) and </w:t>
      </w:r>
      <w:r w:rsidRPr="00176D56">
        <w:rPr>
          <w:i/>
        </w:rPr>
        <w:t xml:space="preserve">Commission v Luxemburg </w:t>
      </w:r>
      <w:r w:rsidRPr="00176D56">
        <w:t>(C-319/06)</w:t>
      </w:r>
      <w:r>
        <w:t xml:space="preserve">. </w:t>
      </w:r>
      <w:r w:rsidRPr="00176D56">
        <w:t xml:space="preserve"> </w:t>
      </w:r>
      <w:r w:rsidR="00661E1F">
        <w:t>T</w:t>
      </w:r>
      <w:r w:rsidR="00176D56" w:rsidRPr="00176D56">
        <w:t xml:space="preserve">he </w:t>
      </w:r>
      <w:r>
        <w:t xml:space="preserve">so-called </w:t>
      </w:r>
      <w:r w:rsidR="00695B18">
        <w:t xml:space="preserve">‘Laval quartet’ </w:t>
      </w:r>
      <w:r w:rsidR="00176D56" w:rsidRPr="00176D56">
        <w:t xml:space="preserve">rulings prioritised the freedom of enterprises to post workers with lower wages than those agreed via collective bargaining agreements at the host Member State when the latter have </w:t>
      </w:r>
      <w:r w:rsidR="00FC5C6C">
        <w:t xml:space="preserve">not </w:t>
      </w:r>
      <w:r w:rsidR="00176D56" w:rsidRPr="00176D56">
        <w:t>defined minimum wages</w:t>
      </w:r>
      <w:r w:rsidR="002C1F2C">
        <w:t xml:space="preserve"> and public provisions</w:t>
      </w:r>
      <w:r w:rsidR="00176D56" w:rsidRPr="00176D56">
        <w:t>. Thus</w:t>
      </w:r>
      <w:r w:rsidR="0079057E">
        <w:t>,</w:t>
      </w:r>
      <w:r w:rsidR="00176D56" w:rsidRPr="00176D56">
        <w:t xml:space="preserve"> any collective action on behalf of </w:t>
      </w:r>
      <w:r w:rsidR="00C97AE4">
        <w:t>trade</w:t>
      </w:r>
      <w:r w:rsidR="00C97AE4" w:rsidRPr="00176D56">
        <w:t xml:space="preserve"> </w:t>
      </w:r>
      <w:r w:rsidR="00176D56" w:rsidRPr="00176D56">
        <w:t>unions both in private (</w:t>
      </w:r>
      <w:r w:rsidR="00176D56" w:rsidRPr="00176D56">
        <w:rPr>
          <w:i/>
        </w:rPr>
        <w:t>Laval</w:t>
      </w:r>
      <w:r w:rsidR="00176D56" w:rsidRPr="00176D56">
        <w:t>) and public undertakings (</w:t>
      </w:r>
      <w:proofErr w:type="spellStart"/>
      <w:r w:rsidR="00176D56" w:rsidRPr="00176D56">
        <w:rPr>
          <w:i/>
        </w:rPr>
        <w:t>Rüffert</w:t>
      </w:r>
      <w:proofErr w:type="spellEnd"/>
      <w:r w:rsidR="00176D56" w:rsidRPr="00176D56">
        <w:t>)</w:t>
      </w:r>
      <w:r w:rsidR="0079057E">
        <w:t>,</w:t>
      </w:r>
      <w:r w:rsidR="00176D56" w:rsidRPr="00176D56">
        <w:t xml:space="preserve"> or in solidarity (</w:t>
      </w:r>
      <w:r w:rsidR="00176D56" w:rsidRPr="00176D56">
        <w:rPr>
          <w:i/>
        </w:rPr>
        <w:t>Viking)</w:t>
      </w:r>
      <w:r w:rsidR="0079057E">
        <w:rPr>
          <w:i/>
        </w:rPr>
        <w:t>,</w:t>
      </w:r>
      <w:r w:rsidR="00176D56" w:rsidRPr="00176D56">
        <w:rPr>
          <w:i/>
        </w:rPr>
        <w:t xml:space="preserve"> </w:t>
      </w:r>
      <w:r w:rsidR="0079057E">
        <w:t>we</w:t>
      </w:r>
      <w:r w:rsidR="00176D56" w:rsidRPr="00176D56">
        <w:t>re deemed to hamper the freedoms to provide services</w:t>
      </w:r>
      <w:r w:rsidR="005D0051">
        <w:t xml:space="preserve"> </w:t>
      </w:r>
      <w:r w:rsidR="00176D56" w:rsidRPr="00176D56">
        <w:t>and of establishment (Directive 2006/123/EC). More than this, the ECJ</w:t>
      </w:r>
      <w:r w:rsidR="00A1139A">
        <w:rPr>
          <w:rStyle w:val="FootnoteReference"/>
        </w:rPr>
        <w:footnoteReference w:id="2"/>
      </w:r>
      <w:r w:rsidR="00176D56" w:rsidRPr="00176D56">
        <w:t xml:space="preserve"> challenged Member State</w:t>
      </w:r>
      <w:r w:rsidR="00C97AE4">
        <w:t>’</w:t>
      </w:r>
      <w:r w:rsidR="00176D56" w:rsidRPr="00176D56">
        <w:t>s right to define public policy provision (</w:t>
      </w:r>
      <w:r w:rsidR="00176D56" w:rsidRPr="00176D56">
        <w:rPr>
          <w:i/>
        </w:rPr>
        <w:t>Luxemburg</w:t>
      </w:r>
      <w:r w:rsidR="00176D56" w:rsidRPr="00176D56">
        <w:t>) and procurement law (</w:t>
      </w:r>
      <w:proofErr w:type="spellStart"/>
      <w:r w:rsidR="00176D56" w:rsidRPr="00176D56">
        <w:rPr>
          <w:i/>
        </w:rPr>
        <w:t>Rüffert</w:t>
      </w:r>
      <w:proofErr w:type="spellEnd"/>
      <w:r w:rsidR="00176D56" w:rsidRPr="00176D56">
        <w:t>)</w:t>
      </w:r>
      <w:r w:rsidR="0044545F">
        <w:t>. A</w:t>
      </w:r>
      <w:r w:rsidR="00176D56" w:rsidRPr="00176D56">
        <w:t xml:space="preserve">s a result Germany removed the obligation for tenders to commit to the wages specified by local collective agreements that do not apply universally </w:t>
      </w:r>
      <w:r w:rsidR="0044545F">
        <w:t>while</w:t>
      </w:r>
      <w:r w:rsidR="0044545F" w:rsidRPr="00176D56">
        <w:t xml:space="preserve"> </w:t>
      </w:r>
      <w:r w:rsidR="00176D56" w:rsidRPr="00176D56">
        <w:t>Luxemburg exempted foreign undertakings from a number of require</w:t>
      </w:r>
      <w:r>
        <w:t xml:space="preserve">ments that could not be </w:t>
      </w:r>
      <w:r w:rsidR="00176D56" w:rsidRPr="00176D56">
        <w:t xml:space="preserve">justified </w:t>
      </w:r>
      <w:r>
        <w:t xml:space="preserve">anymore </w:t>
      </w:r>
      <w:r w:rsidR="00176D56" w:rsidRPr="00176D56">
        <w:t>by public policy provisions (for details see Papadopoulos</w:t>
      </w:r>
      <w:r w:rsidR="009E71B7">
        <w:t xml:space="preserve"> </w:t>
      </w:r>
      <w:r w:rsidR="00176D56" w:rsidRPr="00176D56">
        <w:t>and Roumpakis, 2013</w:t>
      </w:r>
      <w:r w:rsidR="00157526">
        <w:t>a</w:t>
      </w:r>
      <w:r w:rsidR="00176D56" w:rsidRPr="00176D56">
        <w:t xml:space="preserve">). </w:t>
      </w:r>
    </w:p>
    <w:p w:rsidR="005D0051" w:rsidRDefault="005D2E38" w:rsidP="00F67166">
      <w:pPr>
        <w:jc w:val="both"/>
      </w:pPr>
      <w:r>
        <w:t>In making such decisions the ECJ set the</w:t>
      </w:r>
      <w:r w:rsidRPr="005D2E38">
        <w:t xml:space="preserve"> hierarchy of norms </w:t>
      </w:r>
      <w:r>
        <w:t>(</w:t>
      </w:r>
      <w:r w:rsidRPr="005D2E38">
        <w:t>by proxy</w:t>
      </w:r>
      <w:r>
        <w:t>) that were to govern the trans-national European socio-economic ‘space’</w:t>
      </w:r>
      <w:r w:rsidRPr="005D2E38">
        <w:t xml:space="preserve">. </w:t>
      </w:r>
      <w:r w:rsidR="00176D56" w:rsidRPr="00176D56">
        <w:t xml:space="preserve">The </w:t>
      </w:r>
      <w:r w:rsidR="00756BF6" w:rsidRPr="00176D56">
        <w:t xml:space="preserve">ECJ </w:t>
      </w:r>
      <w:r w:rsidR="00176D56" w:rsidRPr="00176D56">
        <w:t>rulings</w:t>
      </w:r>
      <w:r w:rsidR="0044545F">
        <w:t>’</w:t>
      </w:r>
      <w:r w:rsidR="00176D56" w:rsidRPr="00176D56">
        <w:t xml:space="preserve"> prioritisation of </w:t>
      </w:r>
      <w:r w:rsidR="0044545F">
        <w:t>pan-</w:t>
      </w:r>
      <w:r w:rsidR="00176D56" w:rsidRPr="00176D56">
        <w:t xml:space="preserve">European market freedoms over nationally-defined labour rights </w:t>
      </w:r>
      <w:r w:rsidR="0044545F">
        <w:t>had</w:t>
      </w:r>
      <w:r w:rsidR="00176D56" w:rsidRPr="00176D56">
        <w:t xml:space="preserve">, at least, three </w:t>
      </w:r>
      <w:r w:rsidR="00E62C8E">
        <w:t>inter-related</w:t>
      </w:r>
      <w:r w:rsidR="00E62C8E" w:rsidRPr="00176D56">
        <w:t xml:space="preserve"> </w:t>
      </w:r>
      <w:r w:rsidR="00176D56" w:rsidRPr="00176D56">
        <w:t xml:space="preserve">implications. </w:t>
      </w:r>
      <w:r w:rsidR="0044545F">
        <w:t>F</w:t>
      </w:r>
      <w:r w:rsidR="00176D56" w:rsidRPr="00176D56">
        <w:t>irst</w:t>
      </w:r>
      <w:r w:rsidR="0044545F">
        <w:t>, it sanctione</w:t>
      </w:r>
      <w:r w:rsidR="00353439">
        <w:t>d</w:t>
      </w:r>
      <w:r w:rsidR="00176D56" w:rsidRPr="00176D56">
        <w:t xml:space="preserve"> the </w:t>
      </w:r>
      <w:r w:rsidR="006E7451" w:rsidRPr="003C4707">
        <w:t xml:space="preserve">re-articulation and re-territorialisation </w:t>
      </w:r>
      <w:r w:rsidR="0044545F" w:rsidRPr="0044545F">
        <w:t>of power</w:t>
      </w:r>
      <w:r w:rsidR="00F2170C">
        <w:t xml:space="preserve"> asymmetries</w:t>
      </w:r>
      <w:r w:rsidR="0044545F" w:rsidRPr="0044545F">
        <w:t xml:space="preserve"> </w:t>
      </w:r>
      <w:r w:rsidR="000A3350">
        <w:t>(Brenner et al. 2003</w:t>
      </w:r>
      <w:r w:rsidR="006E7451" w:rsidRPr="003C4707">
        <w:t>) between labour and capital</w:t>
      </w:r>
      <w:r w:rsidR="0044545F">
        <w:t>,</w:t>
      </w:r>
      <w:r w:rsidR="00176D56" w:rsidRPr="00176D56">
        <w:t xml:space="preserve"> </w:t>
      </w:r>
      <w:r w:rsidR="0044545F">
        <w:t>in favour of the latter</w:t>
      </w:r>
      <w:r w:rsidR="00E62C8E">
        <w:t xml:space="preserve">, </w:t>
      </w:r>
      <w:r w:rsidR="00176D56" w:rsidRPr="00176D56">
        <w:t xml:space="preserve">especially as the latter </w:t>
      </w:r>
      <w:r w:rsidR="0044545F">
        <w:t>is</w:t>
      </w:r>
      <w:r w:rsidR="0044545F" w:rsidRPr="00176D56">
        <w:t xml:space="preserve"> </w:t>
      </w:r>
      <w:r w:rsidR="00176D56" w:rsidRPr="00176D56">
        <w:t xml:space="preserve">increasingly </w:t>
      </w:r>
      <w:r w:rsidR="00E62C8E">
        <w:t xml:space="preserve">becoming </w:t>
      </w:r>
      <w:r w:rsidR="0044545F">
        <w:t xml:space="preserve">more </w:t>
      </w:r>
      <w:r w:rsidR="00176D56" w:rsidRPr="00176D56">
        <w:t>mobile</w:t>
      </w:r>
      <w:r w:rsidR="00F2170C">
        <w:t xml:space="preserve"> and able to take advantage such a strategic advantage</w:t>
      </w:r>
      <w:r w:rsidR="0044545F">
        <w:t>.</w:t>
      </w:r>
      <w:r w:rsidR="00176D56" w:rsidRPr="00176D56">
        <w:t xml:space="preserve"> </w:t>
      </w:r>
      <w:r w:rsidR="0044545F">
        <w:t>S</w:t>
      </w:r>
      <w:r w:rsidR="00176D56" w:rsidRPr="00176D56">
        <w:t>econd</w:t>
      </w:r>
      <w:r w:rsidR="0044545F">
        <w:t xml:space="preserve">, </w:t>
      </w:r>
      <w:r w:rsidR="00176D56" w:rsidRPr="00176D56">
        <w:t xml:space="preserve"> the ECJ resolved the clash between market freedoms and labour rights not through the harmonisation of </w:t>
      </w:r>
      <w:r w:rsidR="00E62C8E">
        <w:t>domestic</w:t>
      </w:r>
      <w:r w:rsidR="00176D56" w:rsidRPr="00176D56">
        <w:t xml:space="preserve"> labour market</w:t>
      </w:r>
      <w:r w:rsidR="0044545F">
        <w:t>s</w:t>
      </w:r>
      <w:r w:rsidR="00176D56" w:rsidRPr="00176D56">
        <w:t xml:space="preserve"> but </w:t>
      </w:r>
      <w:r w:rsidR="00E62C8E">
        <w:t>through what</w:t>
      </w:r>
      <w:r w:rsidR="00E62C8E" w:rsidRPr="00176D56">
        <w:t xml:space="preserve"> </w:t>
      </w:r>
      <w:r w:rsidR="00176D56" w:rsidRPr="00176D56">
        <w:t>we</w:t>
      </w:r>
      <w:r w:rsidR="00B254AD">
        <w:t xml:space="preserve"> have</w:t>
      </w:r>
      <w:r w:rsidR="00176D56" w:rsidRPr="00176D56">
        <w:t xml:space="preserve"> </w:t>
      </w:r>
      <w:r w:rsidR="00353439">
        <w:t>in previous work</w:t>
      </w:r>
      <w:r w:rsidR="00176D56" w:rsidRPr="00176D56">
        <w:t xml:space="preserve"> defined as ‘meta-regulation’</w:t>
      </w:r>
      <w:r w:rsidR="00E62C8E">
        <w:t>:</w:t>
      </w:r>
      <w:r w:rsidR="00B254AD">
        <w:rPr>
          <w:rStyle w:val="FootnoteReference"/>
        </w:rPr>
        <w:footnoteReference w:id="3"/>
      </w:r>
      <w:r w:rsidR="00176D56" w:rsidRPr="00176D56">
        <w:t xml:space="preserve"> </w:t>
      </w:r>
      <w:r w:rsidR="00E62C8E">
        <w:t xml:space="preserve">by rendering </w:t>
      </w:r>
      <w:r w:rsidR="00176D56" w:rsidRPr="00176D56">
        <w:t>competition -</w:t>
      </w:r>
      <w:r w:rsidR="00C97AE4">
        <w:t xml:space="preserve"> </w:t>
      </w:r>
      <w:r w:rsidR="00176D56" w:rsidRPr="00176D56">
        <w:t>not only between (posted) workers</w:t>
      </w:r>
      <w:r w:rsidR="00C97AE4">
        <w:t xml:space="preserve"> </w:t>
      </w:r>
      <w:r w:rsidR="00353439">
        <w:t>–</w:t>
      </w:r>
      <w:r w:rsidR="00176D56" w:rsidRPr="00176D56">
        <w:t xml:space="preserve"> but</w:t>
      </w:r>
      <w:r w:rsidR="00353439">
        <w:t>,</w:t>
      </w:r>
      <w:r w:rsidR="00176D56" w:rsidRPr="00176D56">
        <w:t xml:space="preserve"> essentially</w:t>
      </w:r>
      <w:r w:rsidR="00353439">
        <w:t>,</w:t>
      </w:r>
      <w:r w:rsidR="00176D56" w:rsidRPr="00176D56">
        <w:t xml:space="preserve"> between </w:t>
      </w:r>
      <w:r w:rsidR="00353439">
        <w:t xml:space="preserve">the </w:t>
      </w:r>
      <w:r w:rsidR="00ED33DE">
        <w:t>Member States</w:t>
      </w:r>
      <w:r w:rsidR="00176D56" w:rsidRPr="00176D56">
        <w:t xml:space="preserve">’ labour </w:t>
      </w:r>
      <w:r w:rsidR="00E62C8E">
        <w:t>laws as the regulatory norm that is to guide their integration</w:t>
      </w:r>
      <w:r w:rsidR="00176D56" w:rsidRPr="00176D56">
        <w:t>.</w:t>
      </w:r>
      <w:r w:rsidR="00E62C8E">
        <w:t xml:space="preserve"> Third, by creating</w:t>
      </w:r>
      <w:r w:rsidR="00353439">
        <w:t xml:space="preserve"> what</w:t>
      </w:r>
      <w:r w:rsidR="00E62C8E">
        <w:t xml:space="preserve"> </w:t>
      </w:r>
      <w:r w:rsidR="00353439" w:rsidRPr="00353439">
        <w:t xml:space="preserve">effectively </w:t>
      </w:r>
      <w:r w:rsidR="00353439">
        <w:t xml:space="preserve">will become </w:t>
      </w:r>
      <w:r w:rsidR="00E62C8E">
        <w:t xml:space="preserve">a </w:t>
      </w:r>
      <w:r w:rsidR="00E62C8E" w:rsidRPr="0044545F">
        <w:t>market of state regulations</w:t>
      </w:r>
      <w:r w:rsidR="00E62C8E">
        <w:t xml:space="preserve"> where capital</w:t>
      </w:r>
      <w:r w:rsidR="00E62C8E" w:rsidRPr="00E62C8E">
        <w:t xml:space="preserve"> </w:t>
      </w:r>
      <w:r w:rsidR="00E62C8E">
        <w:t xml:space="preserve">is </w:t>
      </w:r>
      <w:r w:rsidR="00E62C8E" w:rsidRPr="00E62C8E">
        <w:t xml:space="preserve">empowered to </w:t>
      </w:r>
      <w:r w:rsidR="00E62C8E">
        <w:t>exercise “consumer sovereignty”</w:t>
      </w:r>
      <w:r w:rsidR="00F2170C">
        <w:t>,</w:t>
      </w:r>
      <w:r w:rsidR="00E62C8E">
        <w:t xml:space="preserve"> the ECJ re-defi</w:t>
      </w:r>
      <w:r w:rsidR="00353439">
        <w:t>ned the role of politics in the</w:t>
      </w:r>
      <w:r w:rsidR="00176D56" w:rsidRPr="00176D56">
        <w:t xml:space="preserve"> process of European integration</w:t>
      </w:r>
      <w:r w:rsidR="00353439">
        <w:t xml:space="preserve"> while fundamentally</w:t>
      </w:r>
      <w:r w:rsidR="00F2170C">
        <w:t xml:space="preserve"> </w:t>
      </w:r>
      <w:r w:rsidR="00176D56" w:rsidRPr="00176D56">
        <w:t>transform</w:t>
      </w:r>
      <w:r w:rsidR="00F2170C">
        <w:t>ing</w:t>
      </w:r>
      <w:r w:rsidR="00176D56" w:rsidRPr="00176D56">
        <w:t xml:space="preserve"> </w:t>
      </w:r>
      <w:r w:rsidR="00F2170C">
        <w:t xml:space="preserve">key aspects of </w:t>
      </w:r>
      <w:r w:rsidR="00176D56" w:rsidRPr="00176D56">
        <w:t xml:space="preserve">the institutional </w:t>
      </w:r>
      <w:r w:rsidR="00F2170C">
        <w:t>terrain</w:t>
      </w:r>
      <w:r w:rsidR="00F2170C" w:rsidRPr="00176D56">
        <w:t xml:space="preserve"> </w:t>
      </w:r>
      <w:r w:rsidR="00176D56" w:rsidRPr="00176D56">
        <w:t>within which varieties of natio</w:t>
      </w:r>
      <w:r w:rsidR="005D0051">
        <w:t>nal welfare capitalism operate.</w:t>
      </w:r>
      <w:r w:rsidR="00953198">
        <w:t xml:space="preserve"> </w:t>
      </w:r>
    </w:p>
    <w:p w:rsidR="005E4F85" w:rsidRDefault="00AD7EBB" w:rsidP="005E4F85">
      <w:pPr>
        <w:jc w:val="both"/>
      </w:pPr>
      <w:r>
        <w:t xml:space="preserve">Still, ECJ’s approach was hardly new but, rather, complemented similar decisions pertaining </w:t>
      </w:r>
      <w:r w:rsidR="00F2170C" w:rsidRPr="00F2170C">
        <w:t>to the regulation of corporate governance and company law within the EU</w:t>
      </w:r>
      <w:r>
        <w:t xml:space="preserve"> that preceded the ‘Laval quartet’ rulings. </w:t>
      </w:r>
      <w:r w:rsidR="00F2170C">
        <w:t>For example, a</w:t>
      </w:r>
      <w:r w:rsidR="005E4F85">
        <w:t>s</w:t>
      </w:r>
      <w:r w:rsidR="005E4F85" w:rsidRPr="004263D9">
        <w:t xml:space="preserve"> </w:t>
      </w:r>
      <w:proofErr w:type="spellStart"/>
      <w:r w:rsidR="005E4F85" w:rsidRPr="004263D9">
        <w:t>Höpner</w:t>
      </w:r>
      <w:proofErr w:type="spellEnd"/>
      <w:r w:rsidR="005E4F85" w:rsidRPr="004263D9">
        <w:t xml:space="preserve"> and </w:t>
      </w:r>
      <w:proofErr w:type="spellStart"/>
      <w:r w:rsidR="005E4F85" w:rsidRPr="004263D9">
        <w:t>Schäfer</w:t>
      </w:r>
      <w:proofErr w:type="spellEnd"/>
      <w:r w:rsidR="005E4F85">
        <w:t xml:space="preserve"> (2007) </w:t>
      </w:r>
      <w:r w:rsidR="00353439">
        <w:t>demonstrated,</w:t>
      </w:r>
      <w:r w:rsidR="00F2170C">
        <w:t xml:space="preserve"> </w:t>
      </w:r>
      <w:r w:rsidR="005E4F85">
        <w:t xml:space="preserve">the ECJ challenged the decision of the German Federal Court that all firms operating within Germany should apply German company law. Instead the ECJ </w:t>
      </w:r>
      <w:r>
        <w:t xml:space="preserve">deemed </w:t>
      </w:r>
      <w:r w:rsidR="005E4F85">
        <w:t>that this legal expectation was disproportional</w:t>
      </w:r>
      <w:r w:rsidR="005E4F85">
        <w:rPr>
          <w:rStyle w:val="FootnoteReference"/>
        </w:rPr>
        <w:footnoteReference w:id="4"/>
      </w:r>
      <w:r w:rsidR="005E4F85">
        <w:t xml:space="preserve"> as it impeded the right of establishment of private actors within the EU</w:t>
      </w:r>
      <w:r>
        <w:t xml:space="preserve">. The </w:t>
      </w:r>
      <w:r w:rsidR="005E4F85">
        <w:t xml:space="preserve"> implication </w:t>
      </w:r>
      <w:r>
        <w:t xml:space="preserve">was that </w:t>
      </w:r>
      <w:r w:rsidR="005E4F85">
        <w:t xml:space="preserve">if a company was established under a different legal system (i.e. outside of Germany) then it could not be </w:t>
      </w:r>
      <w:r>
        <w:t xml:space="preserve">obliged to follow </w:t>
      </w:r>
      <w:r w:rsidR="005E4F85">
        <w:t xml:space="preserve"> the co-determination laws that apply in Germany</w:t>
      </w:r>
      <w:r>
        <w:t>, a key power-resource for German labour unions revered internationally as good practice in workplace democracy</w:t>
      </w:r>
      <w:r w:rsidR="005E4F85">
        <w:t>. Interestingly in the majority of the cases seeking to exploit the establishment of foreign letterbox firms, owners established their companies</w:t>
      </w:r>
      <w:r w:rsidR="005E4F85">
        <w:rPr>
          <w:rStyle w:val="FootnoteReference"/>
        </w:rPr>
        <w:footnoteReference w:id="5"/>
      </w:r>
      <w:r w:rsidR="005E4F85">
        <w:t xml:space="preserve"> in Britain in order to exploit laxer requirements and essentially, weakening codetermination institutions and democracy at the workplace. In a similar vein, the ECJ ha</w:t>
      </w:r>
      <w:r>
        <w:t xml:space="preserve">d </w:t>
      </w:r>
      <w:r w:rsidR="005E4F85">
        <w:t xml:space="preserve">ruled in favour of companies’ and taxpayers’ right to ‘shop’ among competing national tax regulations within the EU, establishing </w:t>
      </w:r>
      <w:r w:rsidR="00353439">
        <w:t>the</w:t>
      </w:r>
      <w:r w:rsidR="005E4F85">
        <w:t xml:space="preserve"> priority of their right to seek their preferable tax environment over revenue requirements of national public interest  (</w:t>
      </w:r>
      <w:r w:rsidR="005E4F85" w:rsidRPr="00167B21">
        <w:t xml:space="preserve">see </w:t>
      </w:r>
      <w:proofErr w:type="spellStart"/>
      <w:r w:rsidR="005E4F85" w:rsidRPr="00167B21">
        <w:t>Genschel</w:t>
      </w:r>
      <w:proofErr w:type="spellEnd"/>
      <w:r w:rsidR="005E4F85" w:rsidRPr="00167B21">
        <w:t xml:space="preserve"> et al, 2011)</w:t>
      </w:r>
      <w:r w:rsidR="005E4F85">
        <w:t>.</w:t>
      </w:r>
    </w:p>
    <w:p w:rsidR="005E4F85" w:rsidRDefault="005E4F85" w:rsidP="00F67166">
      <w:pPr>
        <w:jc w:val="both"/>
      </w:pPr>
      <w:r w:rsidRPr="002B55B8">
        <w:t>In the after</w:t>
      </w:r>
      <w:r>
        <w:t>math of the ‘Laval quartet’ rulings</w:t>
      </w:r>
      <w:r w:rsidRPr="002B55B8">
        <w:t xml:space="preserve">, various firms </w:t>
      </w:r>
      <w:r w:rsidR="003E248E">
        <w:t xml:space="preserve">began </w:t>
      </w:r>
      <w:r w:rsidRPr="002B55B8">
        <w:t>exploit</w:t>
      </w:r>
      <w:r w:rsidR="003E248E">
        <w:t>ing</w:t>
      </w:r>
      <w:r w:rsidRPr="002B55B8">
        <w:t xml:space="preserve"> the loopholes on foreign </w:t>
      </w:r>
      <w:r w:rsidR="00353439">
        <w:t xml:space="preserve">so-called </w:t>
      </w:r>
      <w:r w:rsidRPr="002B55B8">
        <w:t xml:space="preserve">letterbox companies and posted-workers by </w:t>
      </w:r>
      <w:r w:rsidR="00AD7EBB">
        <w:t>establishing</w:t>
      </w:r>
      <w:r w:rsidRPr="002B55B8">
        <w:t xml:space="preserve"> subsidiaries in neighbouring, predominantly CEE</w:t>
      </w:r>
      <w:r w:rsidR="003E248E">
        <w:t>,</w:t>
      </w:r>
      <w:r w:rsidRPr="002B55B8">
        <w:t xml:space="preserve"> countries and then ‘post</w:t>
      </w:r>
      <w:r w:rsidR="003E248E">
        <w:t>ing</w:t>
      </w:r>
      <w:r w:rsidRPr="002B55B8">
        <w:t>’ the very workers the parent company originally employed back to the place of work</w:t>
      </w:r>
      <w:r w:rsidR="003E248E">
        <w:t>,</w:t>
      </w:r>
      <w:r w:rsidRPr="002B55B8">
        <w:t xml:space="preserve"> under weaker labour law and wage agreements (</w:t>
      </w:r>
      <w:proofErr w:type="spellStart"/>
      <w:r w:rsidRPr="002B55B8">
        <w:t>Cremers</w:t>
      </w:r>
      <w:proofErr w:type="spellEnd"/>
      <w:r w:rsidRPr="002B55B8">
        <w:t xml:space="preserve">, 2014). Similarly, other firms established subsidiaries in remote tax havens (e.g. Cyprus) that would then offer ‘hiring services’ to the parent company but also benefit through lower social contributions and low corporate tax. </w:t>
      </w:r>
      <w:r w:rsidR="00D5206E">
        <w:t xml:space="preserve">The rulings have also been used strategically to oppose collective actions by labour unions. In a now infamous </w:t>
      </w:r>
      <w:r w:rsidR="003E248E" w:rsidRPr="003E248E">
        <w:t>example</w:t>
      </w:r>
      <w:r w:rsidR="00D5206E">
        <w:t>,</w:t>
      </w:r>
      <w:r w:rsidR="003E248E" w:rsidRPr="003E248E">
        <w:t xml:space="preserve"> </w:t>
      </w:r>
      <w:r w:rsidR="00D5206E">
        <w:t>the</w:t>
      </w:r>
      <w:r w:rsidR="003E248E" w:rsidRPr="003E248E">
        <w:t xml:space="preserve"> British Airways </w:t>
      </w:r>
      <w:r w:rsidR="00D5206E">
        <w:t xml:space="preserve">management successfully exploited </w:t>
      </w:r>
      <w:r w:rsidR="00D5206E" w:rsidRPr="00D5206E">
        <w:t xml:space="preserve">the ‘Viking’ and ‘Laval’ rulings </w:t>
      </w:r>
      <w:r w:rsidR="00D5206E">
        <w:t xml:space="preserve">to stop </w:t>
      </w:r>
      <w:r w:rsidR="003E248E" w:rsidRPr="003E248E">
        <w:t>the BA’s pilots association call</w:t>
      </w:r>
      <w:r w:rsidR="00D5206E">
        <w:t>ing</w:t>
      </w:r>
      <w:r w:rsidR="003E248E" w:rsidRPr="003E248E">
        <w:t xml:space="preserve"> for a strike when the </w:t>
      </w:r>
      <w:r w:rsidR="00D5206E">
        <w:t>company</w:t>
      </w:r>
      <w:r w:rsidR="003E248E" w:rsidRPr="003E248E">
        <w:t xml:space="preserve"> announced its plans to set up subsidiaries in other EU states (</w:t>
      </w:r>
      <w:proofErr w:type="spellStart"/>
      <w:r w:rsidR="003E248E" w:rsidRPr="003E248E">
        <w:t>Szyszczak</w:t>
      </w:r>
      <w:proofErr w:type="spellEnd"/>
      <w:r w:rsidR="003E248E" w:rsidRPr="003E248E">
        <w:t xml:space="preserve"> 2009). Following this case, the ILO Committee of Experts announced their ‘</w:t>
      </w:r>
      <w:r w:rsidR="003E248E" w:rsidRPr="004559E6">
        <w:rPr>
          <w:b/>
        </w:rPr>
        <w:t xml:space="preserve">serious </w:t>
      </w:r>
      <w:r w:rsidR="003E248E" w:rsidRPr="003E248E">
        <w:t>concern over the practical limitations on the effective exercise of the right to strike in the UK’ (ILO, 2010:209, bold</w:t>
      </w:r>
      <w:r w:rsidR="00D5206E" w:rsidRPr="00D5206E">
        <w:t xml:space="preserve"> </w:t>
      </w:r>
      <w:r w:rsidR="00D5206E">
        <w:t xml:space="preserve">in the </w:t>
      </w:r>
      <w:r w:rsidR="00D5206E" w:rsidRPr="00D5206E">
        <w:t>original</w:t>
      </w:r>
      <w:r w:rsidR="003E248E" w:rsidRPr="003E248E">
        <w:t xml:space="preserve">). </w:t>
      </w:r>
      <w:r w:rsidR="00AD7EBB">
        <w:t>Regardless if</w:t>
      </w:r>
      <w:r w:rsidR="00AD7EBB" w:rsidRPr="002B55B8">
        <w:t xml:space="preserve"> </w:t>
      </w:r>
      <w:r w:rsidRPr="002B55B8">
        <w:t xml:space="preserve">these practices were ‘genuine undertakings’ aiming to promote competition or </w:t>
      </w:r>
      <w:r w:rsidR="00764E18">
        <w:t xml:space="preserve">adopted </w:t>
      </w:r>
      <w:r w:rsidRPr="002B55B8">
        <w:t>with the purpose to ‘circumvent national regulations, labour standards and social security obligations’ (</w:t>
      </w:r>
      <w:proofErr w:type="spellStart"/>
      <w:r w:rsidRPr="002B55B8">
        <w:t>Cremers</w:t>
      </w:r>
      <w:proofErr w:type="spellEnd"/>
      <w:r w:rsidRPr="002B55B8">
        <w:t>, 2014, p.4) the fact remains that the</w:t>
      </w:r>
      <w:r w:rsidR="00D5206E">
        <w:t>se practices</w:t>
      </w:r>
      <w:r w:rsidRPr="002B55B8">
        <w:t xml:space="preserve"> became possible – and </w:t>
      </w:r>
      <w:r w:rsidR="00D5206E">
        <w:t>are now</w:t>
      </w:r>
      <w:r w:rsidR="00D5206E" w:rsidRPr="002B55B8">
        <w:t xml:space="preserve"> </w:t>
      </w:r>
      <w:r w:rsidRPr="002B55B8">
        <w:t xml:space="preserve">legally sanctioned – under these judicial rulings. They </w:t>
      </w:r>
      <w:r w:rsidR="00764E18">
        <w:t>constitute</w:t>
      </w:r>
      <w:r w:rsidR="00764E18" w:rsidRPr="002B55B8">
        <w:t xml:space="preserve"> </w:t>
      </w:r>
      <w:r w:rsidRPr="002B55B8">
        <w:t xml:space="preserve">part of </w:t>
      </w:r>
      <w:r w:rsidR="00D5206E">
        <w:t xml:space="preserve">a body of </w:t>
      </w:r>
      <w:r w:rsidRPr="002B55B8">
        <w:t xml:space="preserve">case-law </w:t>
      </w:r>
      <w:r w:rsidR="00D5206E">
        <w:t xml:space="preserve">in Europe </w:t>
      </w:r>
      <w:r w:rsidRPr="002B55B8">
        <w:t>that operates</w:t>
      </w:r>
      <w:r w:rsidR="00353439">
        <w:t xml:space="preserve"> </w:t>
      </w:r>
      <w:r w:rsidRPr="002B55B8">
        <w:t xml:space="preserve">as the legal framework of the new </w:t>
      </w:r>
      <w:r w:rsidR="00764E18">
        <w:t xml:space="preserve">pan-European </w:t>
      </w:r>
      <w:r w:rsidRPr="002B55B8">
        <w:t>institutional order</w:t>
      </w:r>
      <w:r w:rsidR="00764E18">
        <w:t>, offering unprecedented power resources to firms and capital vis-à-vis labour unions and workers</w:t>
      </w:r>
      <w:r w:rsidRPr="002B55B8">
        <w:t>.</w:t>
      </w:r>
    </w:p>
    <w:p w:rsidR="00BA4FA7" w:rsidRDefault="005D0051" w:rsidP="00F67166">
      <w:pPr>
        <w:jc w:val="both"/>
      </w:pPr>
      <w:r>
        <w:t xml:space="preserve">In stark contrast to the ECJ rulings, </w:t>
      </w:r>
      <w:r w:rsidR="00BA4FA7">
        <w:t>the</w:t>
      </w:r>
      <w:r w:rsidR="00353439">
        <w:t xml:space="preserve"> landmark ruling of </w:t>
      </w:r>
      <w:r>
        <w:t xml:space="preserve">the European Court of Human Rights (ECHR) </w:t>
      </w:r>
      <w:r w:rsidR="00BA4FA7" w:rsidRPr="00BA4FA7">
        <w:t xml:space="preserve">in the case of </w:t>
      </w:r>
      <w:proofErr w:type="spellStart"/>
      <w:r w:rsidR="00BA4FA7" w:rsidRPr="00BA4FA7">
        <w:t>Demir</w:t>
      </w:r>
      <w:proofErr w:type="spellEnd"/>
      <w:r w:rsidR="00BA4FA7" w:rsidRPr="00BA4FA7">
        <w:t xml:space="preserve"> and </w:t>
      </w:r>
      <w:proofErr w:type="spellStart"/>
      <w:r w:rsidR="00BA4FA7" w:rsidRPr="00BA4FA7">
        <w:t>Baykara</w:t>
      </w:r>
      <w:proofErr w:type="spellEnd"/>
      <w:r w:rsidR="00BA4FA7" w:rsidRPr="00BA4FA7">
        <w:t xml:space="preserve"> v Turkey (ECHR 1345) </w:t>
      </w:r>
      <w:r w:rsidR="00AC4681">
        <w:t xml:space="preserve">interpreted the </w:t>
      </w:r>
      <w:r w:rsidR="0071018C">
        <w:t>‘</w:t>
      </w:r>
      <w:r w:rsidR="00AC4681">
        <w:t>right to strike</w:t>
      </w:r>
      <w:r w:rsidR="0071018C">
        <w:t>’</w:t>
      </w:r>
      <w:r w:rsidR="00AC4681">
        <w:t xml:space="preserve"> </w:t>
      </w:r>
      <w:r w:rsidR="0071018C">
        <w:t>beyond the domain of</w:t>
      </w:r>
      <w:r w:rsidR="00AC4681">
        <w:t xml:space="preserve"> </w:t>
      </w:r>
      <w:r w:rsidR="0071018C">
        <w:t xml:space="preserve">national </w:t>
      </w:r>
      <w:r w:rsidR="00AC4681">
        <w:t xml:space="preserve">collective bargaining </w:t>
      </w:r>
      <w:r w:rsidR="00353439">
        <w:t>arrangements -</w:t>
      </w:r>
      <w:r w:rsidR="0071018C">
        <w:t xml:space="preserve"> </w:t>
      </w:r>
      <w:r w:rsidR="00AC4681">
        <w:t>and</w:t>
      </w:r>
      <w:r w:rsidR="00927D86">
        <w:t>,</w:t>
      </w:r>
      <w:r w:rsidR="00AC4681">
        <w:t xml:space="preserve"> therefore</w:t>
      </w:r>
      <w:r w:rsidR="00927D86">
        <w:t>,</w:t>
      </w:r>
      <w:r w:rsidR="00AC4681">
        <w:t xml:space="preserve"> </w:t>
      </w:r>
      <w:r w:rsidR="0071018C">
        <w:t xml:space="preserve">subjected only to </w:t>
      </w:r>
      <w:r w:rsidR="00AC4681">
        <w:t xml:space="preserve">national labour </w:t>
      </w:r>
      <w:r w:rsidR="00927D86">
        <w:t>law</w:t>
      </w:r>
      <w:r w:rsidR="0071018C">
        <w:t>s</w:t>
      </w:r>
      <w:r w:rsidR="00927D86">
        <w:t xml:space="preserve"> </w:t>
      </w:r>
      <w:r w:rsidR="0071018C">
        <w:t>–</w:t>
      </w:r>
      <w:r w:rsidR="00AC4681">
        <w:t xml:space="preserve"> but</w:t>
      </w:r>
      <w:r w:rsidR="0006496A">
        <w:t>, rather, as a</w:t>
      </w:r>
      <w:r w:rsidR="00AC4681">
        <w:t xml:space="preserve"> </w:t>
      </w:r>
      <w:r w:rsidR="003E2FF1">
        <w:t>‘</w:t>
      </w:r>
      <w:r w:rsidR="00AC4681">
        <w:t>human right</w:t>
      </w:r>
      <w:r w:rsidR="003E2FF1">
        <w:t>‘</w:t>
      </w:r>
      <w:r w:rsidR="0071018C">
        <w:t xml:space="preserve">, following the International Labour Organisation’s conception of this right </w:t>
      </w:r>
      <w:r w:rsidR="00AC4681">
        <w:t xml:space="preserve">(Ewing and Hendy, 2010). </w:t>
      </w:r>
      <w:r w:rsidR="00353439">
        <w:t xml:space="preserve">Thus, </w:t>
      </w:r>
      <w:r w:rsidR="00353439" w:rsidRPr="00353439">
        <w:t>the ECHR</w:t>
      </w:r>
      <w:r w:rsidR="00353439">
        <w:t xml:space="preserve"> ruled that the right of workers to engage in collective bargaining and pursue collective action </w:t>
      </w:r>
      <w:r w:rsidR="00BA4FA7">
        <w:t>(</w:t>
      </w:r>
      <w:r w:rsidR="00353439">
        <w:t>such as strike</w:t>
      </w:r>
      <w:r w:rsidR="00BA4FA7">
        <w:t>)</w:t>
      </w:r>
      <w:r w:rsidR="00353439">
        <w:t xml:space="preserve"> </w:t>
      </w:r>
      <w:r w:rsidR="00BA4FA7">
        <w:t>was a fundamental human right under</w:t>
      </w:r>
      <w:r w:rsidR="00353439" w:rsidRPr="00353439">
        <w:t xml:space="preserve"> </w:t>
      </w:r>
      <w:r w:rsidR="00BA4FA7" w:rsidRPr="00BA4FA7">
        <w:t>Article 11 of the European Convention on Human Rights</w:t>
      </w:r>
      <w:r w:rsidR="00BA4FA7">
        <w:t xml:space="preserve"> (on </w:t>
      </w:r>
      <w:r w:rsidR="00BA4FA7" w:rsidRPr="00BA4FA7">
        <w:t>free</w:t>
      </w:r>
      <w:r w:rsidR="00BA4FA7">
        <w:t xml:space="preserve">dom of assembly and association). </w:t>
      </w:r>
      <w:r w:rsidR="00AC4681">
        <w:t xml:space="preserve">Therefore, despite the many similarities between the Viking and Laval cases, the ECHR challenged the ECJ rulings and did not recognise any limitation on the right to strike. </w:t>
      </w:r>
    </w:p>
    <w:p w:rsidR="00551101" w:rsidRDefault="00AC4681" w:rsidP="00F67166">
      <w:pPr>
        <w:jc w:val="both"/>
      </w:pPr>
      <w:r>
        <w:t xml:space="preserve">The </w:t>
      </w:r>
      <w:r w:rsidR="00C04CBC">
        <w:t xml:space="preserve">ECHR ruling is of key importance as it reinstates the hierarchy of the right to strike over market freedoms. </w:t>
      </w:r>
      <w:r w:rsidR="00A84FA5">
        <w:t>However</w:t>
      </w:r>
      <w:r w:rsidR="00C04CBC">
        <w:t xml:space="preserve">, </w:t>
      </w:r>
      <w:r>
        <w:t xml:space="preserve">EU </w:t>
      </w:r>
      <w:r w:rsidR="00C04CBC">
        <w:t xml:space="preserve">(and consequently the ECJ) </w:t>
      </w:r>
      <w:r>
        <w:t>is not answerable to the Council of</w:t>
      </w:r>
      <w:r w:rsidR="00C04CBC">
        <w:t xml:space="preserve"> Europe and</w:t>
      </w:r>
      <w:r>
        <w:t xml:space="preserve"> the ECHR</w:t>
      </w:r>
      <w:r w:rsidR="00C042E2">
        <w:t xml:space="preserve"> as such.</w:t>
      </w:r>
      <w:r w:rsidR="00C04CBC">
        <w:t xml:space="preserve"> </w:t>
      </w:r>
      <w:r w:rsidR="00A84FA5">
        <w:t>Nevertheless</w:t>
      </w:r>
      <w:r w:rsidR="00B2673A">
        <w:t xml:space="preserve">, </w:t>
      </w:r>
      <w:r w:rsidR="00E5157C">
        <w:t xml:space="preserve">the ECHR contested the ECJ rulings </w:t>
      </w:r>
      <w:r w:rsidR="00BA4FA7">
        <w:t>on the grounds</w:t>
      </w:r>
      <w:r w:rsidR="00E5157C">
        <w:t xml:space="preserve"> that they breach</w:t>
      </w:r>
      <w:r w:rsidR="00BA4FA7">
        <w:t>ed</w:t>
      </w:r>
      <w:r w:rsidR="00E5157C">
        <w:t xml:space="preserve"> the ILO conventions that are included in the European Social Charter.</w:t>
      </w:r>
      <w:r w:rsidR="00BA4FA7">
        <w:t xml:space="preserve">  </w:t>
      </w:r>
      <w:r w:rsidR="00A84FA5">
        <w:t>D</w:t>
      </w:r>
      <w:r w:rsidR="00A84FA5" w:rsidRPr="00A84FA5">
        <w:t xml:space="preserve">rawing on the stipulations of the European Social Charter </w:t>
      </w:r>
      <w:r w:rsidR="00A04BDE">
        <w:t xml:space="preserve">the European </w:t>
      </w:r>
      <w:r w:rsidR="003E2FF1">
        <w:t>T</w:t>
      </w:r>
      <w:r w:rsidR="00A04BDE">
        <w:t>rade Union Confederation</w:t>
      </w:r>
      <w:r w:rsidR="003E2FF1">
        <w:t xml:space="preserve"> (ETUC)</w:t>
      </w:r>
      <w:r w:rsidR="00A04BDE">
        <w:t xml:space="preserve"> </w:t>
      </w:r>
      <w:r w:rsidR="00A84FA5">
        <w:t xml:space="preserve">attempted </w:t>
      </w:r>
      <w:r w:rsidR="00A04BDE">
        <w:t xml:space="preserve">to review the </w:t>
      </w:r>
      <w:r w:rsidR="00BA4FA7">
        <w:t>provisions</w:t>
      </w:r>
      <w:r w:rsidR="00A04BDE">
        <w:t xml:space="preserve"> of the new European economic governance </w:t>
      </w:r>
      <w:r w:rsidR="00A84FA5">
        <w:t xml:space="preserve">(that was agreed amidst the sovereign debt crisis) and </w:t>
      </w:r>
      <w:r w:rsidR="00BA4FA7">
        <w:t>requested the</w:t>
      </w:r>
      <w:r w:rsidR="00A04BDE">
        <w:t xml:space="preserve"> </w:t>
      </w:r>
      <w:r w:rsidR="00A84FA5">
        <w:t xml:space="preserve">wider </w:t>
      </w:r>
      <w:r w:rsidR="00A04BDE">
        <w:t xml:space="preserve">review </w:t>
      </w:r>
      <w:r w:rsidR="00BA4FA7">
        <w:t>of</w:t>
      </w:r>
      <w:r w:rsidR="00A04BDE">
        <w:t xml:space="preserve"> labour market reforms </w:t>
      </w:r>
      <w:r w:rsidR="00A84FA5">
        <w:t xml:space="preserve">enacted in recent years, including those under the pretext of dealing with the sovereign debt crisis. The </w:t>
      </w:r>
      <w:r w:rsidR="00A04BDE" w:rsidRPr="00A04BDE">
        <w:t>European Committee of Social Rights</w:t>
      </w:r>
      <w:r w:rsidR="00A04BDE">
        <w:t xml:space="preserve"> (an ECHR committee of experts) declared that the </w:t>
      </w:r>
      <w:r w:rsidR="001E31AF">
        <w:t>‘</w:t>
      </w:r>
      <w:r w:rsidR="00A04BDE">
        <w:t>Laval</w:t>
      </w:r>
      <w:r w:rsidR="001E31AF">
        <w:t>’</w:t>
      </w:r>
      <w:r w:rsidR="00A04BDE">
        <w:t xml:space="preserve"> and </w:t>
      </w:r>
      <w:r w:rsidR="001E31AF">
        <w:t>‘</w:t>
      </w:r>
      <w:r w:rsidR="00A04BDE">
        <w:t>Viking</w:t>
      </w:r>
      <w:r w:rsidR="001E31AF">
        <w:t>’</w:t>
      </w:r>
      <w:r w:rsidR="00A04BDE">
        <w:t xml:space="preserve"> rulings </w:t>
      </w:r>
      <w:r w:rsidR="001E31AF">
        <w:t xml:space="preserve">are in violation of </w:t>
      </w:r>
      <w:r w:rsidR="001E31AF" w:rsidRPr="001E31AF">
        <w:t xml:space="preserve">the right </w:t>
      </w:r>
      <w:r w:rsidR="001E31AF">
        <w:t>to collective action</w:t>
      </w:r>
      <w:r w:rsidR="001E31AF" w:rsidRPr="001E31AF">
        <w:t>,</w:t>
      </w:r>
      <w:r w:rsidR="001E31AF">
        <w:t xml:space="preserve"> including the right to strike,</w:t>
      </w:r>
      <w:r w:rsidR="00A84FA5">
        <w:t xml:space="preserve"> though these represented only</w:t>
      </w:r>
      <w:r w:rsidR="001E31AF">
        <w:t xml:space="preserve"> 2 of </w:t>
      </w:r>
      <w:r w:rsidR="00A84FA5">
        <w:t xml:space="preserve">a total of </w:t>
      </w:r>
      <w:r w:rsidR="001E31AF">
        <w:t>180 violations of the Charter within EU (</w:t>
      </w:r>
      <w:r w:rsidR="00236C30">
        <w:t>ECSR</w:t>
      </w:r>
      <w:r w:rsidR="001E31AF">
        <w:t xml:space="preserve">, 2013). </w:t>
      </w:r>
    </w:p>
    <w:p w:rsidR="001E31AF" w:rsidRDefault="00A84FA5" w:rsidP="00F67166">
      <w:pPr>
        <w:jc w:val="both"/>
      </w:pPr>
      <w:r>
        <w:t xml:space="preserve">Aside </w:t>
      </w:r>
      <w:r w:rsidR="001E31AF">
        <w:t xml:space="preserve">the clash of the ECHR and the ECJ, </w:t>
      </w:r>
      <w:r>
        <w:t xml:space="preserve">it is now </w:t>
      </w:r>
      <w:r w:rsidR="00A03251">
        <w:t xml:space="preserve">a wider held perception that </w:t>
      </w:r>
      <w:r w:rsidR="001E31AF">
        <w:t xml:space="preserve">the rulings of the latter represent </w:t>
      </w:r>
      <w:r w:rsidR="00C97AE4">
        <w:t xml:space="preserve">a </w:t>
      </w:r>
      <w:r w:rsidR="001E31AF">
        <w:t>significant attempt to drive European market ‘integration through law’ (</w:t>
      </w:r>
      <w:proofErr w:type="spellStart"/>
      <w:r w:rsidR="001E31AF" w:rsidRPr="001E31AF">
        <w:t>Höpner</w:t>
      </w:r>
      <w:proofErr w:type="spellEnd"/>
      <w:r w:rsidR="001E31AF" w:rsidRPr="001E31AF">
        <w:t xml:space="preserve"> and </w:t>
      </w:r>
      <w:proofErr w:type="spellStart"/>
      <w:r w:rsidR="001E31AF" w:rsidRPr="001E31AF">
        <w:t>Schäfer</w:t>
      </w:r>
      <w:proofErr w:type="spellEnd"/>
      <w:r w:rsidR="001E31AF">
        <w:t>, 2010: 20)</w:t>
      </w:r>
      <w:r w:rsidRPr="00A84FA5">
        <w:t xml:space="preserve"> </w:t>
      </w:r>
      <w:r w:rsidR="001E31AF">
        <w:t xml:space="preserve"> </w:t>
      </w:r>
      <w:r w:rsidR="00551101">
        <w:t xml:space="preserve">The ECJ rulings prioritised European market freedoms over national labour law, public and welfare provisions, corporate tax and company laws. We </w:t>
      </w:r>
      <w:r w:rsidR="00A03251">
        <w:t xml:space="preserve">add </w:t>
      </w:r>
      <w:r w:rsidR="00551101">
        <w:t xml:space="preserve">that in doing so, </w:t>
      </w:r>
      <w:r w:rsidR="00C97AE4">
        <w:t>they</w:t>
      </w:r>
      <w:r w:rsidR="00551101">
        <w:t xml:space="preserve"> </w:t>
      </w:r>
      <w:r w:rsidR="00A03251">
        <w:t>also institutionalised a regulatory</w:t>
      </w:r>
      <w:r w:rsidR="00551101">
        <w:t xml:space="preserve"> field where national labour laws, collective bargaining agreements, public provisions, corporate </w:t>
      </w:r>
      <w:r w:rsidR="000812A0">
        <w:t xml:space="preserve">governance </w:t>
      </w:r>
      <w:r w:rsidR="00551101">
        <w:t>and tax law</w:t>
      </w:r>
      <w:r w:rsidR="000812A0">
        <w:t xml:space="preserve">s of the heterogeneous </w:t>
      </w:r>
      <w:r w:rsidR="00ED33DE">
        <w:t>Member States</w:t>
      </w:r>
      <w:r w:rsidR="000812A0">
        <w:t xml:space="preserve">’ are </w:t>
      </w:r>
      <w:r w:rsidR="00611679">
        <w:t xml:space="preserve">effectively </w:t>
      </w:r>
      <w:r w:rsidR="000812A0">
        <w:t>in direct competition w</w:t>
      </w:r>
      <w:r w:rsidR="003E2FF1">
        <w:t>ith each other.</w:t>
      </w:r>
      <w:r w:rsidR="00611679">
        <w:t xml:space="preserve"> </w:t>
      </w:r>
      <w:r w:rsidR="00A03251">
        <w:t xml:space="preserve">However, while competition in the domain of social and employment policy is sanctioned, competition </w:t>
      </w:r>
      <w:r w:rsidR="00A03251" w:rsidRPr="00A03251">
        <w:t xml:space="preserve">in the domain of macro-economic policy </w:t>
      </w:r>
      <w:r w:rsidR="00A03251">
        <w:t xml:space="preserve">between alternative economic strategies is severely limited. </w:t>
      </w:r>
      <w:r w:rsidR="00611679">
        <w:t>As we will show next,</w:t>
      </w:r>
      <w:r w:rsidR="000D4764">
        <w:t xml:space="preserve"> </w:t>
      </w:r>
      <w:r w:rsidR="00611679">
        <w:t xml:space="preserve">the new European economic governance precludes such competition on </w:t>
      </w:r>
      <w:r w:rsidR="00A03251">
        <w:t>economic</w:t>
      </w:r>
      <w:r w:rsidR="00611679">
        <w:t xml:space="preserve"> policy and instead opts to us</w:t>
      </w:r>
      <w:r w:rsidR="00A03251">
        <w:t>e labour market as an adjustment variable in</w:t>
      </w:r>
      <w:r w:rsidR="00611679">
        <w:t xml:space="preserve"> restoring economic competitiveness. </w:t>
      </w:r>
    </w:p>
    <w:p w:rsidR="00553208" w:rsidRDefault="00553208" w:rsidP="00F67166">
      <w:pPr>
        <w:jc w:val="both"/>
      </w:pPr>
    </w:p>
    <w:p w:rsidR="000E3EBE" w:rsidRPr="00475C0D" w:rsidRDefault="00501DF9" w:rsidP="00F67166">
      <w:pPr>
        <w:pStyle w:val="Heading3"/>
        <w:jc w:val="both"/>
        <w:rPr>
          <w:i/>
        </w:rPr>
      </w:pPr>
      <w:r w:rsidRPr="00475C0D">
        <w:rPr>
          <w:i/>
        </w:rPr>
        <w:t xml:space="preserve">Competition </w:t>
      </w:r>
      <w:r w:rsidR="00475C0D">
        <w:rPr>
          <w:i/>
        </w:rPr>
        <w:t xml:space="preserve">and </w:t>
      </w:r>
      <w:r w:rsidRPr="00475C0D">
        <w:rPr>
          <w:i/>
        </w:rPr>
        <w:t xml:space="preserve">EU </w:t>
      </w:r>
      <w:r w:rsidR="00475C0D" w:rsidRPr="00475C0D">
        <w:rPr>
          <w:i/>
        </w:rPr>
        <w:t>macro-</w:t>
      </w:r>
      <w:r w:rsidR="00927D86" w:rsidRPr="00475C0D">
        <w:rPr>
          <w:i/>
        </w:rPr>
        <w:t>e</w:t>
      </w:r>
      <w:r w:rsidRPr="00475C0D">
        <w:rPr>
          <w:i/>
        </w:rPr>
        <w:t>conomic governance</w:t>
      </w:r>
    </w:p>
    <w:p w:rsidR="00553208" w:rsidRDefault="00553208" w:rsidP="00F67166">
      <w:pPr>
        <w:jc w:val="both"/>
      </w:pPr>
    </w:p>
    <w:p w:rsidR="005F0F1D" w:rsidRDefault="00030727" w:rsidP="00F67166">
      <w:pPr>
        <w:jc w:val="both"/>
      </w:pPr>
      <w:r>
        <w:t xml:space="preserve">The emergence of the sovereign debt crisis </w:t>
      </w:r>
      <w:r w:rsidR="00EC28EB">
        <w:t>signalled</w:t>
      </w:r>
      <w:r>
        <w:t xml:space="preserve"> a major overhaul of how the EU re-framed economic, employment and social policy. Originally, the lack of a clear and coherent response on behalf of the European Commission </w:t>
      </w:r>
      <w:r w:rsidR="00FE41F1">
        <w:t xml:space="preserve">(EC) </w:t>
      </w:r>
      <w:r>
        <w:t xml:space="preserve">not only led to individual </w:t>
      </w:r>
      <w:r w:rsidR="00ED33DE">
        <w:t>Member States</w:t>
      </w:r>
      <w:r>
        <w:t xml:space="preserve"> adopting their own set of policies and responses but also paved the way for individual </w:t>
      </w:r>
      <w:r w:rsidR="00ED33DE">
        <w:t>Member States</w:t>
      </w:r>
      <w:r>
        <w:t xml:space="preserve"> within the European Council to assume leadership positions. In this way, the responses to the sovereign debt crisis deepened the asymmetric relationships of power and dependence that have been developing between national political economies, and particularly between core and peripheral political economies within the process  of the Economic and Monetary Union (see </w:t>
      </w:r>
      <w:proofErr w:type="spellStart"/>
      <w:r>
        <w:t>Scharpf</w:t>
      </w:r>
      <w:proofErr w:type="spellEnd"/>
      <w:r>
        <w:t xml:space="preserve">, 2013; </w:t>
      </w:r>
      <w:r w:rsidR="00661E1F">
        <w:t xml:space="preserve">on Southern Europe see </w:t>
      </w:r>
      <w:r>
        <w:t xml:space="preserve">Papadopoulos and Roumpakis, 2015).  </w:t>
      </w:r>
    </w:p>
    <w:p w:rsidR="00030727" w:rsidRDefault="005F0F1D" w:rsidP="00F67166">
      <w:pPr>
        <w:jc w:val="both"/>
      </w:pPr>
      <w:r>
        <w:t xml:space="preserve">The ‘bailout’ agreements for Greece, Portugal and Ireland as well as the </w:t>
      </w:r>
      <w:r w:rsidR="00030727">
        <w:t>‘</w:t>
      </w:r>
      <w:r>
        <w:t>stand-by</w:t>
      </w:r>
      <w:r w:rsidR="00030727">
        <w:t>’</w:t>
      </w:r>
      <w:r>
        <w:t xml:space="preserve"> agreements for Italy and Spain, were accompanied with the demand on behalf of the surplus countries (predominantly Germany, Finland and the Netherlands) to implement far-reaching austerity reforms and </w:t>
      </w:r>
      <w:r w:rsidR="005A6F28">
        <w:t xml:space="preserve">drastically </w:t>
      </w:r>
      <w:r>
        <w:t>reduce social protection</w:t>
      </w:r>
      <w:r w:rsidR="00030727">
        <w:t xml:space="preserve"> </w:t>
      </w:r>
      <w:r w:rsidR="00030727" w:rsidRPr="00030727">
        <w:t>(</w:t>
      </w:r>
      <w:r w:rsidR="00030727">
        <w:t>Papadopoulos and Roumpakis, 2013</w:t>
      </w:r>
      <w:r w:rsidR="008A1B15">
        <w:t>b</w:t>
      </w:r>
      <w:r w:rsidR="00030727" w:rsidRPr="00030727">
        <w:t>). New agencies like the so called ‘troika’ (EC, ECB, IMF) were formed to enforce the implementation of these market-enhancing measures as imperatives for boosting the compet</w:t>
      </w:r>
      <w:r w:rsidR="009E71B7">
        <w:t>itiveness of troubled economies</w:t>
      </w:r>
      <w:r w:rsidR="00611679">
        <w:t xml:space="preserve"> </w:t>
      </w:r>
      <w:r>
        <w:t xml:space="preserve">but also downplay the fears and pressures stemming from the international financial markets while allowing the Eurozone countries to recover their economic stability. </w:t>
      </w:r>
    </w:p>
    <w:p w:rsidR="00B27999" w:rsidRDefault="005F0F1D" w:rsidP="00F67166">
      <w:pPr>
        <w:jc w:val="both"/>
      </w:pPr>
      <w:r>
        <w:t>However, the most striking institutional change took place over th</w:t>
      </w:r>
      <w:r w:rsidR="001F2C12">
        <w:t>e governance of social security, as</w:t>
      </w:r>
      <w:r>
        <w:t xml:space="preserve"> f</w:t>
      </w:r>
      <w:r w:rsidR="001F2C12">
        <w:t>or the first time</w:t>
      </w:r>
      <w:r w:rsidR="00FF1E19">
        <w:t xml:space="preserve"> the EU would</w:t>
      </w:r>
      <w:r>
        <w:t xml:space="preserve"> be involved in policy areas previously under the jurisdiction of national governments (</w:t>
      </w:r>
      <w:proofErr w:type="spellStart"/>
      <w:r>
        <w:t>Barbier</w:t>
      </w:r>
      <w:proofErr w:type="spellEnd"/>
      <w:r>
        <w:t xml:space="preserve">, 2012). </w:t>
      </w:r>
      <w:r w:rsidR="00B57136" w:rsidRPr="00B57136">
        <w:t>In order to effectively monitor</w:t>
      </w:r>
      <w:r w:rsidR="00030727">
        <w:t>,</w:t>
      </w:r>
      <w:r w:rsidR="00B57136" w:rsidRPr="00B57136">
        <w:t xml:space="preserve"> if not enforce</w:t>
      </w:r>
      <w:r w:rsidR="00030727">
        <w:t>,</w:t>
      </w:r>
      <w:r w:rsidR="00B57136" w:rsidRPr="00B57136">
        <w:t xml:space="preserve"> the austerity measures, the European Council introduced a series of institutional innovations that </w:t>
      </w:r>
      <w:r w:rsidR="00A03251">
        <w:t>ascribe to the</w:t>
      </w:r>
      <w:r w:rsidR="00B57136" w:rsidRPr="00B57136">
        <w:t xml:space="preserve"> European Council and </w:t>
      </w:r>
      <w:r w:rsidR="00FE41F1">
        <w:t>EC</w:t>
      </w:r>
      <w:r w:rsidR="00B57136" w:rsidRPr="00B57136">
        <w:t xml:space="preserve"> </w:t>
      </w:r>
      <w:r w:rsidR="005A6F28">
        <w:t xml:space="preserve">powers </w:t>
      </w:r>
      <w:r w:rsidR="00B57136" w:rsidRPr="00B57136">
        <w:t xml:space="preserve">to further limit the ability of </w:t>
      </w:r>
      <w:r w:rsidR="00ED33DE">
        <w:t>Member States</w:t>
      </w:r>
      <w:r w:rsidR="00B57136" w:rsidRPr="00B57136">
        <w:t xml:space="preserve"> to decide on their own wage-setting and budget-making policy. In particular, under the rhetorical guise of improving the quality of economic coordination in the EU, and using the ‘Competitiveness Pact’ (March 2011)  as a legal framework, wage policy is now explicitly considered as part of European economic governance and in fact ‘the most important adjustment variable for promoting competitiveness’ (Busch et</w:t>
      </w:r>
      <w:r w:rsidR="00EA644B">
        <w:t>.</w:t>
      </w:r>
      <w:r w:rsidR="00B57136" w:rsidRPr="00B57136">
        <w:t xml:space="preserve"> al., 2013:8). Not only </w:t>
      </w:r>
      <w:r w:rsidR="005A6F28">
        <w:t xml:space="preserve">does </w:t>
      </w:r>
      <w:r w:rsidR="00B57136" w:rsidRPr="00B57136">
        <w:t xml:space="preserve">this go against the fundamental principle of the ‘voluntary’ nature of the contract between labour and capital in a labour market but violates the EU Treaty itself which explicitly rules out any EU competence in respect to wage policies (Article 153, paragraph 5). The so-called ‘Six-Pack’ (December 2011) places wage and collective bargaining agreements under an explicit system of monitoring of wage cost developments in </w:t>
      </w:r>
      <w:r w:rsidR="005A6F28" w:rsidRPr="00B57136">
        <w:t xml:space="preserve">both </w:t>
      </w:r>
      <w:r w:rsidR="00B57136" w:rsidRPr="00B57136">
        <w:t>public and private sector</w:t>
      </w:r>
      <w:r w:rsidR="005A6F28">
        <w:t>s</w:t>
      </w:r>
      <w:r w:rsidR="00B57136" w:rsidRPr="00B57136">
        <w:t>. Wages in the public sector have to be revised in order not to hamper competition with the private sector while wage increases in the private sector cannot exceed rates of productivity increases. Failure to comply with the rules im</w:t>
      </w:r>
      <w:r w:rsidR="00FB64C1">
        <w:t>pose</w:t>
      </w:r>
      <w:r w:rsidR="00B57136" w:rsidRPr="00B57136">
        <w:t>s financial sanctions</w:t>
      </w:r>
      <w:r w:rsidR="00B27999" w:rsidRPr="00B27999">
        <w:t xml:space="preserve"> </w:t>
      </w:r>
      <w:r w:rsidR="00B27999">
        <w:t>penalty equal to 0</w:t>
      </w:r>
      <w:r w:rsidR="00FB64C1">
        <w:t>.</w:t>
      </w:r>
      <w:r w:rsidR="00B27999">
        <w:t>1% of their GDP.</w:t>
      </w:r>
      <w:r w:rsidR="00B57136" w:rsidRPr="00B57136">
        <w:t xml:space="preserve"> </w:t>
      </w:r>
      <w:r w:rsidR="00030727" w:rsidRPr="00030727">
        <w:t xml:space="preserve">Interestingly similar mechanisms of surveillance for poverty reduction are not present in the strategy of ‘Europe 2020’ (June 2010) that replaced the Lisbon Strategy (de la Porte and </w:t>
      </w:r>
      <w:proofErr w:type="spellStart"/>
      <w:r w:rsidR="00030727" w:rsidRPr="00030727">
        <w:t>Heins</w:t>
      </w:r>
      <w:proofErr w:type="spellEnd"/>
      <w:r w:rsidR="00030727" w:rsidRPr="00030727">
        <w:t>, 2015).</w:t>
      </w:r>
    </w:p>
    <w:p w:rsidR="00B57136" w:rsidRPr="00B57136" w:rsidRDefault="00B57136" w:rsidP="00F67166">
      <w:pPr>
        <w:jc w:val="both"/>
      </w:pPr>
      <w:r w:rsidRPr="00B57136">
        <w:t>More importantly, the signing of the Fiscal Compact Treaty (March 2012) prescribes that states’ budgets shall be balanced or in surplus, with the rules having a binding force and permanent character (EC, 2012). The rules have to be enshrined in national law, preferably through constitutional amendments</w:t>
      </w:r>
      <w:r w:rsidR="003D08AE">
        <w:t>,</w:t>
      </w:r>
      <w:r w:rsidRPr="00B57136">
        <w:t xml:space="preserve"> </w:t>
      </w:r>
      <w:r w:rsidR="005A6F28" w:rsidRPr="00B57136">
        <w:t>thus</w:t>
      </w:r>
      <w:r w:rsidR="003D08AE">
        <w:t>,</w:t>
      </w:r>
      <w:r w:rsidR="005A6F28" w:rsidRPr="00B57136">
        <w:t xml:space="preserve"> </w:t>
      </w:r>
      <w:r w:rsidRPr="00B57136">
        <w:t xml:space="preserve">asserting competences to </w:t>
      </w:r>
      <w:r w:rsidR="00FE41F1">
        <w:t>EC</w:t>
      </w:r>
      <w:r w:rsidRPr="00B57136">
        <w:t xml:space="preserve"> and the </w:t>
      </w:r>
      <w:r w:rsidR="00FE41F1">
        <w:t>ECJ</w:t>
      </w:r>
      <w:r w:rsidRPr="00B57136">
        <w:t xml:space="preserve"> (see Bird and </w:t>
      </w:r>
      <w:proofErr w:type="spellStart"/>
      <w:r w:rsidRPr="00B57136">
        <w:t>Mandilaras</w:t>
      </w:r>
      <w:proofErr w:type="spellEnd"/>
      <w:r w:rsidRPr="00B57136">
        <w:t>, 2013)</w:t>
      </w:r>
      <w:r w:rsidR="00A03251">
        <w:t xml:space="preserve"> while constitutionalizing </w:t>
      </w:r>
      <w:r w:rsidR="003D08AE">
        <w:t>the particular type of (neoliberal) fiscal policy</w:t>
      </w:r>
      <w:r w:rsidRPr="00B57136">
        <w:t xml:space="preserve">.  </w:t>
      </w:r>
      <w:r w:rsidR="001615C3">
        <w:t xml:space="preserve">As </w:t>
      </w:r>
      <w:proofErr w:type="spellStart"/>
      <w:r w:rsidR="001615C3">
        <w:t>Streeck</w:t>
      </w:r>
      <w:proofErr w:type="spellEnd"/>
      <w:r w:rsidR="001615C3">
        <w:t xml:space="preserve"> (2</w:t>
      </w:r>
      <w:r w:rsidR="000A3350">
        <w:t>0</w:t>
      </w:r>
      <w:r w:rsidR="001615C3">
        <w:t>1</w:t>
      </w:r>
      <w:r w:rsidR="003D08AE">
        <w:t xml:space="preserve">3) has argued, </w:t>
      </w:r>
      <w:r w:rsidRPr="00B57136">
        <w:t xml:space="preserve">nation-state governments, especially in the Eurozone, have </w:t>
      </w:r>
      <w:r w:rsidR="003D08AE">
        <w:t xml:space="preserve">now </w:t>
      </w:r>
      <w:r w:rsidRPr="00B57136">
        <w:t>effectively surrendered a substantial part of their budget-making power over to European institutional organisations.</w:t>
      </w:r>
    </w:p>
    <w:p w:rsidR="009E1496" w:rsidRDefault="009E1496" w:rsidP="00F67166">
      <w:pPr>
        <w:jc w:val="both"/>
      </w:pPr>
      <w:r w:rsidRPr="00B57136">
        <w:t xml:space="preserve">The new European Economic governance renders that all EU </w:t>
      </w:r>
      <w:r w:rsidR="00ED33DE">
        <w:t>Member States</w:t>
      </w:r>
      <w:r w:rsidRPr="00B57136">
        <w:t xml:space="preserve"> should </w:t>
      </w:r>
      <w:r w:rsidR="003D08AE">
        <w:t xml:space="preserve">aim to regain their competitiveness </w:t>
      </w:r>
      <w:r w:rsidRPr="00B57136">
        <w:t xml:space="preserve">primarily via </w:t>
      </w:r>
      <w:r w:rsidR="00B27999">
        <w:t xml:space="preserve">restoring </w:t>
      </w:r>
      <w:r w:rsidRPr="00B57136">
        <w:t xml:space="preserve">exports in order to </w:t>
      </w:r>
      <w:r w:rsidR="00B27999">
        <w:t>achieve</w:t>
      </w:r>
      <w:r w:rsidRPr="00B57136">
        <w:t xml:space="preserve"> surplus in trade accounts. </w:t>
      </w:r>
      <w:r w:rsidR="003D08AE">
        <w:t>Given</w:t>
      </w:r>
      <w:r w:rsidRPr="00B57136">
        <w:t xml:space="preserve"> that a substantial part of economic transactions of the Eurozone takes p</w:t>
      </w:r>
      <w:r w:rsidR="003D08AE">
        <w:t>lace within the Eurozone itself</w:t>
      </w:r>
      <w:r w:rsidRPr="00B57136">
        <w:t xml:space="preserve"> </w:t>
      </w:r>
      <w:r w:rsidR="003D08AE">
        <w:t xml:space="preserve">it is inevitable that such an approach will </w:t>
      </w:r>
      <w:r w:rsidRPr="00B57136">
        <w:t xml:space="preserve">apply downward pressures to existing models of social </w:t>
      </w:r>
      <w:r w:rsidR="003D08AE">
        <w:t xml:space="preserve">and employment </w:t>
      </w:r>
      <w:r w:rsidRPr="00B57136">
        <w:t xml:space="preserve">protection. </w:t>
      </w:r>
      <w:r>
        <w:t xml:space="preserve">The EC (2014) admits that it is likely that some </w:t>
      </w:r>
      <w:r w:rsidR="00ED33DE">
        <w:t>Member States</w:t>
      </w:r>
      <w:r>
        <w:t xml:space="preserve"> within the Eurozone are more likely to experience a trade deficit when other </w:t>
      </w:r>
      <w:r w:rsidR="00ED33DE">
        <w:t>Member States</w:t>
      </w:r>
      <w:r>
        <w:t xml:space="preserve"> experience trade surpluses</w:t>
      </w:r>
      <w:r w:rsidR="003D08AE">
        <w:t xml:space="preserve">. However, as we discuss below, </w:t>
      </w:r>
      <w:r>
        <w:t xml:space="preserve">it is excessive deficits </w:t>
      </w:r>
      <w:r w:rsidR="003D08AE">
        <w:t>(</w:t>
      </w:r>
      <w:r>
        <w:t>and</w:t>
      </w:r>
      <w:r w:rsidR="00A412F2">
        <w:t xml:space="preserve"> not surpluses</w:t>
      </w:r>
      <w:r w:rsidR="003D08AE">
        <w:t>)</w:t>
      </w:r>
      <w:r w:rsidR="00A412F2">
        <w:t xml:space="preserve"> that trigger the corrective and punitive arm of </w:t>
      </w:r>
      <w:r w:rsidR="001A784B">
        <w:t>the</w:t>
      </w:r>
      <w:r w:rsidR="001A784B" w:rsidRPr="001A784B">
        <w:t xml:space="preserve"> Macroeconomic Imbalance Procedure (MIP)</w:t>
      </w:r>
      <w:r w:rsidR="001A784B">
        <w:t xml:space="preserve"> that entered into force on 13 December 2011, as part of the</w:t>
      </w:r>
      <w:r w:rsidR="001A784B" w:rsidRPr="001A784B">
        <w:t xml:space="preserve"> so-called ‘Six-Pack’ </w:t>
      </w:r>
      <w:r w:rsidR="001A784B">
        <w:t xml:space="preserve">agreement.  </w:t>
      </w:r>
      <w:r>
        <w:t xml:space="preserve"> </w:t>
      </w:r>
    </w:p>
    <w:p w:rsidR="003D08AE" w:rsidRDefault="00B27999" w:rsidP="00F67166">
      <w:pPr>
        <w:jc w:val="both"/>
      </w:pPr>
      <w:r w:rsidRPr="00B27999">
        <w:t>The institutionalisation of this surveillance mechanism sets ‘competitiveness alert thresholds’ on selected macro-economic indicators</w:t>
      </w:r>
      <w:r>
        <w:t xml:space="preserve">. </w:t>
      </w:r>
      <w:r w:rsidR="009E1496">
        <w:t>It is</w:t>
      </w:r>
      <w:r>
        <w:t xml:space="preserve"> therefore</w:t>
      </w:r>
      <w:r w:rsidR="009E1496">
        <w:t xml:space="preserve"> of particular interest to consider the key indicators adopted</w:t>
      </w:r>
      <w:r>
        <w:t>;</w:t>
      </w:r>
      <w:r w:rsidR="009E1496">
        <w:t xml:space="preserve"> internal balances and then external imbalances and competitiveness</w:t>
      </w:r>
      <w:r>
        <w:t xml:space="preserve"> (see EC,</w:t>
      </w:r>
      <w:r w:rsidR="0097519A">
        <w:t xml:space="preserve"> </w:t>
      </w:r>
      <w:r>
        <w:t>2014)</w:t>
      </w:r>
      <w:r w:rsidR="009E1496">
        <w:t>.</w:t>
      </w:r>
      <w:r w:rsidR="00B426F7">
        <w:t xml:space="preserve"> </w:t>
      </w:r>
      <w:r w:rsidR="009E1496">
        <w:t xml:space="preserve">As seen </w:t>
      </w:r>
      <w:r w:rsidR="005A6F28">
        <w:t>i</w:t>
      </w:r>
      <w:r w:rsidR="009E1496">
        <w:t xml:space="preserve">n </w:t>
      </w:r>
      <w:r w:rsidR="003D08AE">
        <w:t xml:space="preserve">Table </w:t>
      </w:r>
      <w:r w:rsidR="005A6F28">
        <w:t>6.</w:t>
      </w:r>
      <w:r w:rsidR="009E1496">
        <w:t xml:space="preserve">1, the key </w:t>
      </w:r>
      <w:r>
        <w:t>indicators</w:t>
      </w:r>
      <w:r w:rsidR="009E1496">
        <w:t xml:space="preserve"> </w:t>
      </w:r>
      <w:r w:rsidR="00B426F7">
        <w:t xml:space="preserve">for measuring </w:t>
      </w:r>
      <w:r w:rsidR="00ED33DE">
        <w:t>Member States</w:t>
      </w:r>
      <w:r w:rsidR="00B426F7">
        <w:t>’</w:t>
      </w:r>
      <w:r w:rsidR="009E1496">
        <w:t xml:space="preserve"> competitiveness </w:t>
      </w:r>
      <w:r w:rsidR="00B426F7">
        <w:t>are</w:t>
      </w:r>
      <w:r w:rsidR="009E1496">
        <w:t xml:space="preserve"> </w:t>
      </w:r>
      <w:r w:rsidR="00B426F7">
        <w:t>N</w:t>
      </w:r>
      <w:r w:rsidR="009E1496">
        <w:t xml:space="preserve">ominal </w:t>
      </w:r>
      <w:r w:rsidR="00B426F7">
        <w:t>U</w:t>
      </w:r>
      <w:r w:rsidR="009E1496">
        <w:t xml:space="preserve">nit </w:t>
      </w:r>
      <w:r w:rsidR="00B426F7">
        <w:t>L</w:t>
      </w:r>
      <w:r w:rsidR="009E1496">
        <w:t xml:space="preserve">abour </w:t>
      </w:r>
      <w:r w:rsidR="00B426F7">
        <w:t>C</w:t>
      </w:r>
      <w:r w:rsidR="009E1496">
        <w:t>ost</w:t>
      </w:r>
      <w:r w:rsidR="00B426F7">
        <w:t xml:space="preserve"> (NULC)</w:t>
      </w:r>
      <w:r w:rsidR="009E1496">
        <w:t xml:space="preserve"> and Real Effective Exchange Rates (REER)</w:t>
      </w:r>
      <w:r>
        <w:t xml:space="preserve"> measured as a percentage of change over 3 years</w:t>
      </w:r>
      <w:r w:rsidR="009E1496">
        <w:t>. The former calculates the remuneration (compensation per employee) and productivity (gross domestic product (GDP) per employment) to show how the remuneration of employees is related to the productivity of labour while REER</w:t>
      </w:r>
      <w:r w:rsidR="009E1496" w:rsidRPr="00DA7B84">
        <w:t xml:space="preserve"> </w:t>
      </w:r>
      <w:r w:rsidR="009E1496">
        <w:t>computes the deviation of one country’s export prices relative to the prices of its competitors or trading partners (EU including China, Brazil, Russia, South Korea and Hong-Kong).</w:t>
      </w:r>
      <w:r w:rsidR="002F4511">
        <w:t xml:space="preserve"> While significant current account surpluses are recognised to trigger imbalances within the Eurozone</w:t>
      </w:r>
      <w:r w:rsidR="007002B5">
        <w:t>, the</w:t>
      </w:r>
      <w:r w:rsidRPr="00B27999">
        <w:t xml:space="preserve"> ‘competitiveness alert thresholds’ </w:t>
      </w:r>
      <w:r>
        <w:t>are</w:t>
      </w:r>
      <w:r w:rsidR="007002B5">
        <w:t xml:space="preserve"> more sensitive</w:t>
      </w:r>
      <w:r w:rsidR="002F4511">
        <w:t xml:space="preserve"> </w:t>
      </w:r>
      <w:r w:rsidR="005A6F28">
        <w:t xml:space="preserve">to </w:t>
      </w:r>
      <w:r w:rsidR="00ED33DE">
        <w:t>Member States</w:t>
      </w:r>
      <w:r w:rsidR="002F4511">
        <w:t xml:space="preserve"> with current account and trade deficits</w:t>
      </w:r>
      <w:r w:rsidR="00ED5021">
        <w:t xml:space="preserve"> which</w:t>
      </w:r>
      <w:r w:rsidR="001A784B">
        <w:t xml:space="preserve">, following </w:t>
      </w:r>
      <w:r w:rsidR="003E0620">
        <w:t>a process of qualitative assessments and interviews with national experts</w:t>
      </w:r>
      <w:r w:rsidR="005A6F28">
        <w:t>,</w:t>
      </w:r>
      <w:r w:rsidR="003E0620">
        <w:t xml:space="preserve"> </w:t>
      </w:r>
      <w:r w:rsidR="00ED5021">
        <w:t>are the</w:t>
      </w:r>
      <w:r w:rsidR="003E0620">
        <w:t>n subsequently requested</w:t>
      </w:r>
      <w:r w:rsidR="00ED5021">
        <w:t xml:space="preserve"> to ‘correct’ their performance</w:t>
      </w:r>
      <w:r w:rsidR="007002B5">
        <w:t>.</w:t>
      </w:r>
      <w:r w:rsidR="003E0620" w:rsidRPr="003E0620">
        <w:t xml:space="preserve"> </w:t>
      </w:r>
      <w:r w:rsidR="003E0620">
        <w:t>Interestingly, social policy measurements (unemployment, poverty risk)</w:t>
      </w:r>
      <w:r w:rsidR="005A6F28">
        <w:t>,</w:t>
      </w:r>
      <w:r w:rsidR="003E0620">
        <w:t xml:space="preserve"> along with other financial indicators</w:t>
      </w:r>
      <w:r w:rsidR="005A6F28">
        <w:t>,</w:t>
      </w:r>
      <w:r w:rsidR="003E0620">
        <w:t xml:space="preserve"> are included in the auxiliary set of indicators, not enough on their own to trigger the alert mechanism. </w:t>
      </w:r>
    </w:p>
    <w:p w:rsidR="0006496A" w:rsidRPr="00160C46" w:rsidRDefault="0006496A" w:rsidP="0006496A">
      <w:pPr>
        <w:jc w:val="center"/>
        <w:rPr>
          <w:b/>
        </w:rPr>
      </w:pPr>
      <w:r>
        <w:rPr>
          <w:b/>
        </w:rPr>
        <w:t>Table</w:t>
      </w:r>
      <w:r w:rsidRPr="00160C46">
        <w:rPr>
          <w:b/>
        </w:rPr>
        <w:t xml:space="preserve"> </w:t>
      </w:r>
      <w:r>
        <w:rPr>
          <w:b/>
        </w:rPr>
        <w:t>6.</w:t>
      </w:r>
      <w:r w:rsidRPr="00160C46">
        <w:rPr>
          <w:b/>
        </w:rPr>
        <w:t>1</w:t>
      </w:r>
    </w:p>
    <w:tbl>
      <w:tblPr>
        <w:tblStyle w:val="LightShading-Accent3"/>
        <w:tblW w:w="0" w:type="auto"/>
        <w:tblLook w:val="04A0"/>
      </w:tblPr>
      <w:tblGrid>
        <w:gridCol w:w="7338"/>
        <w:gridCol w:w="1904"/>
      </w:tblGrid>
      <w:tr w:rsidR="0006496A" w:rsidRPr="00160C46">
        <w:trPr>
          <w:cnfStyle w:val="100000000000"/>
        </w:trPr>
        <w:tc>
          <w:tcPr>
            <w:cnfStyle w:val="001000000000"/>
            <w:tcW w:w="7338" w:type="dxa"/>
          </w:tcPr>
          <w:p w:rsidR="0006496A" w:rsidRPr="00160C46" w:rsidRDefault="0006496A" w:rsidP="009054D5">
            <w:pPr>
              <w:jc w:val="both"/>
              <w:rPr>
                <w:color w:val="auto"/>
              </w:rPr>
            </w:pPr>
            <w:r w:rsidRPr="00160C46">
              <w:rPr>
                <w:color w:val="auto"/>
              </w:rPr>
              <w:t>Indicators for external imbalances and competitiveness</w:t>
            </w:r>
          </w:p>
        </w:tc>
        <w:tc>
          <w:tcPr>
            <w:tcW w:w="1904" w:type="dxa"/>
          </w:tcPr>
          <w:p w:rsidR="0006496A" w:rsidRPr="00160C46" w:rsidRDefault="0006496A" w:rsidP="009054D5">
            <w:pPr>
              <w:jc w:val="both"/>
              <w:cnfStyle w:val="100000000000"/>
              <w:rPr>
                <w:color w:val="auto"/>
              </w:rPr>
            </w:pPr>
            <w:r w:rsidRPr="00160C46">
              <w:rPr>
                <w:color w:val="auto"/>
              </w:rPr>
              <w:t>Thresholds</w:t>
            </w:r>
          </w:p>
        </w:tc>
      </w:tr>
      <w:tr w:rsidR="0006496A" w:rsidRPr="00160C46">
        <w:trPr>
          <w:cnfStyle w:val="000000100000"/>
        </w:trPr>
        <w:tc>
          <w:tcPr>
            <w:cnfStyle w:val="001000000000"/>
            <w:tcW w:w="7338" w:type="dxa"/>
          </w:tcPr>
          <w:p w:rsidR="0006496A" w:rsidRPr="00160C46" w:rsidRDefault="0006496A" w:rsidP="009054D5">
            <w:pPr>
              <w:jc w:val="both"/>
            </w:pPr>
            <w:r w:rsidRPr="00160C46">
              <w:t>Net International Investment Position (NIIP as %GDP)</w:t>
            </w:r>
          </w:p>
        </w:tc>
        <w:tc>
          <w:tcPr>
            <w:tcW w:w="1904" w:type="dxa"/>
          </w:tcPr>
          <w:p w:rsidR="0006496A" w:rsidRPr="00160C46" w:rsidRDefault="0006496A" w:rsidP="009054D5">
            <w:pPr>
              <w:jc w:val="both"/>
              <w:cnfStyle w:val="000000100000"/>
            </w:pPr>
            <w:r w:rsidRPr="00160C46">
              <w:t>-35%</w:t>
            </w:r>
          </w:p>
        </w:tc>
      </w:tr>
      <w:tr w:rsidR="0006496A" w:rsidRPr="00160C46">
        <w:tc>
          <w:tcPr>
            <w:cnfStyle w:val="001000000000"/>
            <w:tcW w:w="7338" w:type="dxa"/>
          </w:tcPr>
          <w:p w:rsidR="0006496A" w:rsidRPr="00160C46" w:rsidRDefault="0006496A" w:rsidP="009054D5">
            <w:pPr>
              <w:jc w:val="both"/>
            </w:pPr>
            <w:r w:rsidRPr="00160C46">
              <w:t>Current Account Surplus and Deficit (3 year average)</w:t>
            </w:r>
          </w:p>
        </w:tc>
        <w:tc>
          <w:tcPr>
            <w:tcW w:w="1904" w:type="dxa"/>
          </w:tcPr>
          <w:p w:rsidR="0006496A" w:rsidRPr="00160C46" w:rsidRDefault="0006496A" w:rsidP="009054D5">
            <w:pPr>
              <w:jc w:val="both"/>
              <w:cnfStyle w:val="000000000000"/>
            </w:pPr>
            <w:r w:rsidRPr="00160C46">
              <w:t>-4% &amp; +6%</w:t>
            </w:r>
          </w:p>
        </w:tc>
      </w:tr>
      <w:tr w:rsidR="0006496A" w:rsidRPr="00160C46">
        <w:trPr>
          <w:cnfStyle w:val="000000100000"/>
        </w:trPr>
        <w:tc>
          <w:tcPr>
            <w:cnfStyle w:val="001000000000"/>
            <w:tcW w:w="7338" w:type="dxa"/>
          </w:tcPr>
          <w:p w:rsidR="0006496A" w:rsidRPr="00160C46" w:rsidRDefault="0006496A" w:rsidP="009054D5">
            <w:pPr>
              <w:jc w:val="both"/>
            </w:pPr>
            <w:r w:rsidRPr="00160C46">
              <w:t>Real Effective Exchange Rate (REER %change of 3 years)</w:t>
            </w:r>
          </w:p>
        </w:tc>
        <w:tc>
          <w:tcPr>
            <w:tcW w:w="1904" w:type="dxa"/>
          </w:tcPr>
          <w:p w:rsidR="0006496A" w:rsidRPr="00160C46" w:rsidRDefault="0006496A" w:rsidP="009054D5">
            <w:pPr>
              <w:jc w:val="both"/>
              <w:cnfStyle w:val="000000100000"/>
            </w:pPr>
            <w:r w:rsidRPr="00160C46">
              <w:t>±5% &amp; ±11%</w:t>
            </w:r>
          </w:p>
        </w:tc>
      </w:tr>
      <w:tr w:rsidR="0006496A" w:rsidRPr="00160C46">
        <w:tc>
          <w:tcPr>
            <w:cnfStyle w:val="001000000000"/>
            <w:tcW w:w="7338" w:type="dxa"/>
          </w:tcPr>
          <w:p w:rsidR="0006496A" w:rsidRPr="00160C46" w:rsidRDefault="0006496A" w:rsidP="009054D5">
            <w:pPr>
              <w:jc w:val="both"/>
            </w:pPr>
            <w:r w:rsidRPr="00160C46">
              <w:t xml:space="preserve">Export Market Shares (EMS %change 5 years) and </w:t>
            </w:r>
          </w:p>
        </w:tc>
        <w:tc>
          <w:tcPr>
            <w:tcW w:w="1904" w:type="dxa"/>
          </w:tcPr>
          <w:p w:rsidR="0006496A" w:rsidRPr="00160C46" w:rsidRDefault="0006496A" w:rsidP="009054D5">
            <w:pPr>
              <w:jc w:val="both"/>
              <w:cnfStyle w:val="000000000000"/>
            </w:pPr>
            <w:r w:rsidRPr="00160C46">
              <w:t>-6%</w:t>
            </w:r>
          </w:p>
        </w:tc>
      </w:tr>
      <w:tr w:rsidR="0006496A" w:rsidRPr="00160C46">
        <w:trPr>
          <w:cnfStyle w:val="000000100000"/>
        </w:trPr>
        <w:tc>
          <w:tcPr>
            <w:cnfStyle w:val="001000000000"/>
            <w:tcW w:w="7338" w:type="dxa"/>
          </w:tcPr>
          <w:p w:rsidR="0006496A" w:rsidRPr="00160C46" w:rsidRDefault="0006496A" w:rsidP="009054D5">
            <w:pPr>
              <w:jc w:val="both"/>
            </w:pPr>
            <w:r w:rsidRPr="00160C46">
              <w:t>Nominal Unit Labour Cost (ULC %change, 3 years)</w:t>
            </w:r>
          </w:p>
        </w:tc>
        <w:tc>
          <w:tcPr>
            <w:tcW w:w="1904" w:type="dxa"/>
          </w:tcPr>
          <w:p w:rsidR="0006496A" w:rsidRPr="00160C46" w:rsidRDefault="0006496A" w:rsidP="009054D5">
            <w:pPr>
              <w:jc w:val="both"/>
              <w:cnfStyle w:val="000000100000"/>
            </w:pPr>
            <w:r w:rsidRPr="00160C46">
              <w:t>±9% &amp; ±11%</w:t>
            </w:r>
          </w:p>
        </w:tc>
      </w:tr>
    </w:tbl>
    <w:p w:rsidR="0006496A" w:rsidRDefault="0006496A" w:rsidP="0006496A">
      <w:pPr>
        <w:jc w:val="both"/>
      </w:pPr>
    </w:p>
    <w:tbl>
      <w:tblPr>
        <w:tblStyle w:val="LightShading-Accent3"/>
        <w:tblW w:w="0" w:type="auto"/>
        <w:tblLook w:val="04A0"/>
      </w:tblPr>
      <w:tblGrid>
        <w:gridCol w:w="7338"/>
        <w:gridCol w:w="1904"/>
      </w:tblGrid>
      <w:tr w:rsidR="0006496A" w:rsidRPr="00160C46">
        <w:trPr>
          <w:cnfStyle w:val="100000000000"/>
        </w:trPr>
        <w:tc>
          <w:tcPr>
            <w:cnfStyle w:val="001000000000"/>
            <w:tcW w:w="7338" w:type="dxa"/>
          </w:tcPr>
          <w:p w:rsidR="0006496A" w:rsidRPr="00DC1922" w:rsidRDefault="0006496A" w:rsidP="009054D5">
            <w:pPr>
              <w:jc w:val="both"/>
              <w:rPr>
                <w:color w:val="auto"/>
              </w:rPr>
            </w:pPr>
            <w:r w:rsidRPr="00DC1922">
              <w:rPr>
                <w:color w:val="auto"/>
              </w:rPr>
              <w:t xml:space="preserve">Indicators for internal imbalances </w:t>
            </w:r>
          </w:p>
        </w:tc>
        <w:tc>
          <w:tcPr>
            <w:tcW w:w="1904" w:type="dxa"/>
          </w:tcPr>
          <w:p w:rsidR="0006496A" w:rsidRPr="00DC1922" w:rsidRDefault="0006496A" w:rsidP="009054D5">
            <w:pPr>
              <w:jc w:val="both"/>
              <w:cnfStyle w:val="100000000000"/>
              <w:rPr>
                <w:color w:val="auto"/>
              </w:rPr>
            </w:pPr>
            <w:r w:rsidRPr="00DC1922">
              <w:rPr>
                <w:color w:val="auto"/>
              </w:rPr>
              <w:t>Thresholds</w:t>
            </w:r>
          </w:p>
        </w:tc>
      </w:tr>
      <w:tr w:rsidR="0006496A" w:rsidRPr="00160C46">
        <w:trPr>
          <w:cnfStyle w:val="000000100000"/>
        </w:trPr>
        <w:tc>
          <w:tcPr>
            <w:cnfStyle w:val="001000000000"/>
            <w:tcW w:w="7338" w:type="dxa"/>
          </w:tcPr>
          <w:p w:rsidR="0006496A" w:rsidRPr="00DD59DE" w:rsidRDefault="0006496A" w:rsidP="009054D5">
            <w:pPr>
              <w:jc w:val="both"/>
            </w:pPr>
            <w:r w:rsidRPr="00DD59DE">
              <w:t>% y-o-y  change in  Deflated House Prices</w:t>
            </w:r>
          </w:p>
        </w:tc>
        <w:tc>
          <w:tcPr>
            <w:tcW w:w="1904" w:type="dxa"/>
          </w:tcPr>
          <w:p w:rsidR="0006496A" w:rsidRPr="00DD59DE" w:rsidRDefault="0006496A" w:rsidP="009054D5">
            <w:pPr>
              <w:jc w:val="both"/>
              <w:cnfStyle w:val="000000100000"/>
            </w:pPr>
            <w:r w:rsidRPr="00DD59DE">
              <w:t>+6%</w:t>
            </w:r>
          </w:p>
        </w:tc>
      </w:tr>
      <w:tr w:rsidR="0006496A" w:rsidRPr="00160C46">
        <w:tc>
          <w:tcPr>
            <w:cnfStyle w:val="001000000000"/>
            <w:tcW w:w="7338" w:type="dxa"/>
          </w:tcPr>
          <w:p w:rsidR="0006496A" w:rsidRPr="00DD59DE" w:rsidRDefault="0006496A" w:rsidP="009054D5">
            <w:pPr>
              <w:jc w:val="both"/>
            </w:pPr>
            <w:r w:rsidRPr="00DD59DE">
              <w:t>Private Sector  Credit Flow as  % of GDP, consolidated</w:t>
            </w:r>
          </w:p>
        </w:tc>
        <w:tc>
          <w:tcPr>
            <w:tcW w:w="1904" w:type="dxa"/>
          </w:tcPr>
          <w:p w:rsidR="0006496A" w:rsidRPr="00DD59DE" w:rsidRDefault="0006496A" w:rsidP="009054D5">
            <w:pPr>
              <w:jc w:val="both"/>
              <w:cnfStyle w:val="000000000000"/>
            </w:pPr>
            <w:r w:rsidRPr="00DD59DE">
              <w:t>14&amp;</w:t>
            </w:r>
          </w:p>
        </w:tc>
      </w:tr>
      <w:tr w:rsidR="0006496A" w:rsidRPr="00160C46">
        <w:trPr>
          <w:cnfStyle w:val="000000100000"/>
        </w:trPr>
        <w:tc>
          <w:tcPr>
            <w:cnfStyle w:val="001000000000"/>
            <w:tcW w:w="7338" w:type="dxa"/>
          </w:tcPr>
          <w:p w:rsidR="0006496A" w:rsidRPr="00DD59DE" w:rsidRDefault="0006496A" w:rsidP="009054D5">
            <w:pPr>
              <w:jc w:val="both"/>
            </w:pPr>
            <w:r w:rsidRPr="00DD59DE">
              <w:t>Private Sector Debt as % of  GDP,  consolidated</w:t>
            </w:r>
          </w:p>
        </w:tc>
        <w:tc>
          <w:tcPr>
            <w:tcW w:w="1904" w:type="dxa"/>
          </w:tcPr>
          <w:p w:rsidR="0006496A" w:rsidRPr="00DD59DE" w:rsidRDefault="0006496A" w:rsidP="009054D5">
            <w:pPr>
              <w:jc w:val="both"/>
              <w:cnfStyle w:val="000000100000"/>
            </w:pPr>
            <w:r w:rsidRPr="00DD59DE">
              <w:t>133%</w:t>
            </w:r>
          </w:p>
        </w:tc>
      </w:tr>
      <w:tr w:rsidR="0006496A" w:rsidRPr="00160C46">
        <w:tc>
          <w:tcPr>
            <w:cnfStyle w:val="001000000000"/>
            <w:tcW w:w="7338" w:type="dxa"/>
          </w:tcPr>
          <w:p w:rsidR="0006496A" w:rsidRPr="00DD59DE" w:rsidRDefault="0006496A" w:rsidP="009054D5">
            <w:pPr>
              <w:jc w:val="both"/>
            </w:pPr>
            <w:r w:rsidRPr="00DD59DE">
              <w:t>General  Government  Sector Debt as  % of GDP</w:t>
            </w:r>
          </w:p>
        </w:tc>
        <w:tc>
          <w:tcPr>
            <w:tcW w:w="1904" w:type="dxa"/>
          </w:tcPr>
          <w:p w:rsidR="0006496A" w:rsidRPr="00DD59DE" w:rsidRDefault="0006496A" w:rsidP="009054D5">
            <w:pPr>
              <w:jc w:val="both"/>
              <w:cnfStyle w:val="000000000000"/>
            </w:pPr>
            <w:r w:rsidRPr="00DD59DE">
              <w:t>60%</w:t>
            </w:r>
          </w:p>
        </w:tc>
      </w:tr>
      <w:tr w:rsidR="0006496A" w:rsidRPr="00160C46">
        <w:trPr>
          <w:cnfStyle w:val="000000100000"/>
        </w:trPr>
        <w:tc>
          <w:tcPr>
            <w:cnfStyle w:val="001000000000"/>
            <w:tcW w:w="7338" w:type="dxa"/>
          </w:tcPr>
          <w:p w:rsidR="0006496A" w:rsidRPr="00DD59DE" w:rsidRDefault="0006496A" w:rsidP="009054D5">
            <w:pPr>
              <w:jc w:val="both"/>
            </w:pPr>
            <w:r w:rsidRPr="00DD59DE">
              <w:t>% y-o-y change in  Total Financial  Sector  Liabilities</w:t>
            </w:r>
          </w:p>
        </w:tc>
        <w:tc>
          <w:tcPr>
            <w:tcW w:w="1904" w:type="dxa"/>
          </w:tcPr>
          <w:p w:rsidR="0006496A" w:rsidRPr="00DD59DE" w:rsidRDefault="0006496A" w:rsidP="009054D5">
            <w:pPr>
              <w:jc w:val="both"/>
              <w:cnfStyle w:val="000000100000"/>
            </w:pPr>
            <w:r w:rsidRPr="00DD59DE">
              <w:t>16.5%</w:t>
            </w:r>
          </w:p>
        </w:tc>
      </w:tr>
      <w:tr w:rsidR="0006496A" w:rsidRPr="00160C46">
        <w:trPr>
          <w:trHeight w:val="335"/>
        </w:trPr>
        <w:tc>
          <w:tcPr>
            <w:cnfStyle w:val="001000000000"/>
            <w:tcW w:w="7338" w:type="dxa"/>
          </w:tcPr>
          <w:p w:rsidR="0006496A" w:rsidRPr="00DD59DE" w:rsidRDefault="0006496A" w:rsidP="009054D5">
            <w:pPr>
              <w:jc w:val="both"/>
            </w:pPr>
            <w:r w:rsidRPr="00DD59DE">
              <w:t>Unemployment rates (3 year average)</w:t>
            </w:r>
          </w:p>
        </w:tc>
        <w:tc>
          <w:tcPr>
            <w:tcW w:w="1904" w:type="dxa"/>
          </w:tcPr>
          <w:p w:rsidR="0006496A" w:rsidRDefault="0006496A" w:rsidP="009054D5">
            <w:pPr>
              <w:jc w:val="both"/>
              <w:cnfStyle w:val="000000000000"/>
            </w:pPr>
            <w:r w:rsidRPr="00DD59DE">
              <w:t>10%</w:t>
            </w:r>
          </w:p>
        </w:tc>
      </w:tr>
    </w:tbl>
    <w:p w:rsidR="0006496A" w:rsidRPr="00876B5E" w:rsidRDefault="0006496A" w:rsidP="0006496A">
      <w:pPr>
        <w:jc w:val="both"/>
      </w:pPr>
      <w:r w:rsidRPr="00876B5E">
        <w:t>Source: EC</w:t>
      </w:r>
      <w:r>
        <w:t xml:space="preserve"> </w:t>
      </w:r>
      <w:r w:rsidRPr="00876B5E">
        <w:t>(2014)</w:t>
      </w:r>
    </w:p>
    <w:p w:rsidR="009B7854" w:rsidRDefault="009B7854" w:rsidP="00F67166">
      <w:pPr>
        <w:jc w:val="both"/>
      </w:pPr>
      <w:r>
        <w:t>The mechanism itself has triggered an interesting debate as far as how mechanical these readings are and how member state involvement will be applied (</w:t>
      </w:r>
      <w:proofErr w:type="spellStart"/>
      <w:r>
        <w:t>Bobeva</w:t>
      </w:r>
      <w:proofErr w:type="spellEnd"/>
      <w:r>
        <w:t>, 2013). With evidence already suggesting that the there is room for negoti</w:t>
      </w:r>
      <w:r w:rsidR="001D61C1">
        <w:t xml:space="preserve">ation, the </w:t>
      </w:r>
      <w:r w:rsidR="003A579F">
        <w:t>MIP</w:t>
      </w:r>
      <w:r w:rsidR="001D61C1">
        <w:t xml:space="preserve"> brings forward many tensions</w:t>
      </w:r>
      <w:r>
        <w:t xml:space="preserve"> (for an extensive review see </w:t>
      </w:r>
      <w:proofErr w:type="spellStart"/>
      <w:r>
        <w:t>Moschella</w:t>
      </w:r>
      <w:proofErr w:type="spellEnd"/>
      <w:r>
        <w:t xml:space="preserve">, 2014). </w:t>
      </w:r>
      <w:r w:rsidR="001D61C1">
        <w:t>In our opinion the most significant is tha</w:t>
      </w:r>
      <w:r>
        <w:t xml:space="preserve">t </w:t>
      </w:r>
      <w:r w:rsidR="001D61C1">
        <w:t xml:space="preserve">the </w:t>
      </w:r>
      <w:r>
        <w:t xml:space="preserve">mechanism regards </w:t>
      </w:r>
      <w:r w:rsidR="00ED33DE">
        <w:t>Member States</w:t>
      </w:r>
      <w:r>
        <w:t xml:space="preserve"> </w:t>
      </w:r>
      <w:r w:rsidR="001D61C1">
        <w:t xml:space="preserve">solely </w:t>
      </w:r>
      <w:r>
        <w:t>responsible for their macroeconomic imbalances, especially for those in current account and trade deficits rather than attributing</w:t>
      </w:r>
      <w:r w:rsidR="0008282D">
        <w:t xml:space="preserve"> these to</w:t>
      </w:r>
      <w:r>
        <w:t xml:space="preserve"> the dynamics of the EU itself. EU governance neglects to realise that </w:t>
      </w:r>
      <w:r w:rsidR="00ED33DE">
        <w:t>Member States</w:t>
      </w:r>
      <w:r>
        <w:t xml:space="preserve"> </w:t>
      </w:r>
      <w:r w:rsidRPr="007002B5">
        <w:t xml:space="preserve">do not operate ‘in vacuum’ but are in continuous politico-economic interaction which each other while, often, asymmetric relationships of dependence develop </w:t>
      </w:r>
      <w:r w:rsidR="001A784B">
        <w:t xml:space="preserve">between them </w:t>
      </w:r>
      <w:r w:rsidRPr="007002B5">
        <w:t xml:space="preserve">which affect directly their </w:t>
      </w:r>
      <w:r w:rsidR="001A784B">
        <w:t xml:space="preserve">economic </w:t>
      </w:r>
      <w:r w:rsidRPr="007002B5">
        <w:t>trajectories</w:t>
      </w:r>
      <w:r>
        <w:t xml:space="preserve">. </w:t>
      </w:r>
      <w:r w:rsidR="0008282D">
        <w:t xml:space="preserve">This approach </w:t>
      </w:r>
      <w:r>
        <w:t>ignor</w:t>
      </w:r>
      <w:r w:rsidR="0008282D">
        <w:t>es</w:t>
      </w:r>
      <w:r>
        <w:t xml:space="preserve"> the origins of the imbalances and suggest</w:t>
      </w:r>
      <w:r w:rsidR="0008282D">
        <w:t>s</w:t>
      </w:r>
      <w:r>
        <w:t xml:space="preserve"> </w:t>
      </w:r>
      <w:r w:rsidRPr="007002B5">
        <w:t xml:space="preserve">crisis-hit countries adopt </w:t>
      </w:r>
      <w:r>
        <w:t>austerity rather than expansionary</w:t>
      </w:r>
      <w:r w:rsidRPr="007002B5">
        <w:t xml:space="preserve"> policies </w:t>
      </w:r>
      <w:r w:rsidR="001A784B">
        <w:t xml:space="preserve">which, </w:t>
      </w:r>
      <w:r>
        <w:t>so far</w:t>
      </w:r>
      <w:r w:rsidR="001A784B">
        <w:t>, have</w:t>
      </w:r>
      <w:r>
        <w:t xml:space="preserve"> </w:t>
      </w:r>
      <w:r w:rsidRPr="007002B5">
        <w:t>exacerbated the downward spiral</w:t>
      </w:r>
      <w:r>
        <w:t xml:space="preserve"> </w:t>
      </w:r>
      <w:r w:rsidR="001A784B">
        <w:t xml:space="preserve">in economic performance </w:t>
      </w:r>
      <w:r>
        <w:t xml:space="preserve">(on Greece see Papadopoulos and Roumpakis, </w:t>
      </w:r>
      <w:r w:rsidR="008A1B15">
        <w:t>2012; 2013c</w:t>
      </w:r>
      <w:r>
        <w:t>) and</w:t>
      </w:r>
      <w:r w:rsidR="002A72F0">
        <w:t xml:space="preserve"> </w:t>
      </w:r>
      <w:r w:rsidR="009B0E3B">
        <w:t>increas</w:t>
      </w:r>
      <w:r w:rsidR="002A72F0">
        <w:t>e</w:t>
      </w:r>
      <w:r w:rsidR="0008282D">
        <w:t>d</w:t>
      </w:r>
      <w:r w:rsidR="009B0E3B">
        <w:t xml:space="preserve"> government debt ratios (De </w:t>
      </w:r>
      <w:proofErr w:type="spellStart"/>
      <w:r w:rsidR="009B0E3B">
        <w:t>Grauwe</w:t>
      </w:r>
      <w:proofErr w:type="spellEnd"/>
      <w:r w:rsidR="009B0E3B">
        <w:t xml:space="preserve"> and Ji, 2013</w:t>
      </w:r>
      <w:r>
        <w:t>).</w:t>
      </w:r>
      <w:r w:rsidR="00160C46" w:rsidRPr="00160C46">
        <w:t xml:space="preserve"> </w:t>
      </w:r>
      <w:r w:rsidR="00160C46">
        <w:t xml:space="preserve">The </w:t>
      </w:r>
      <w:r w:rsidR="003A579F">
        <w:t>MIP</w:t>
      </w:r>
      <w:r w:rsidR="0008282D" w:rsidDel="0008282D">
        <w:t xml:space="preserve"> </w:t>
      </w:r>
      <w:r w:rsidR="00160C46">
        <w:t>thus continues to ignore the structural asymmetries of peripheral welfare capitalisms, placing the latter within a process of internal devaluation.</w:t>
      </w:r>
    </w:p>
    <w:p w:rsidR="009B7854" w:rsidRDefault="004176E7" w:rsidP="00F67166">
      <w:pPr>
        <w:jc w:val="both"/>
      </w:pPr>
      <w:r>
        <w:t xml:space="preserve">The response of the new European Economic governance continues to exacerbate these institutional dynamics as it continues to apply a narrow focus on supply-side measures rather than taking into consideration the institutional features of peripheral political economies (De </w:t>
      </w:r>
      <w:proofErr w:type="spellStart"/>
      <w:r>
        <w:t>Grauwe</w:t>
      </w:r>
      <w:proofErr w:type="spellEnd"/>
      <w:r>
        <w:t xml:space="preserve"> and Ji, 2014). In particular, South European as well as Central and East European</w:t>
      </w:r>
      <w:r w:rsidR="003D5D79">
        <w:t xml:space="preserve"> (CEE)</w:t>
      </w:r>
      <w:r>
        <w:t xml:space="preserve"> </w:t>
      </w:r>
      <w:r w:rsidR="00ED33DE">
        <w:t>Member States</w:t>
      </w:r>
      <w:r>
        <w:t xml:space="preserve"> lack the necessary capital investment to boost their productivity and so are essentially bound to be in competition over corporate taxation, wage and labour costs</w:t>
      </w:r>
      <w:r w:rsidR="00CA1DF1">
        <w:t xml:space="preserve">. </w:t>
      </w:r>
      <w:r w:rsidR="003D5D79">
        <w:t xml:space="preserve">This comes at the cost not only of </w:t>
      </w:r>
      <w:r w:rsidR="003D5D79" w:rsidRPr="004176E7">
        <w:t xml:space="preserve">downward pressures for wages, working and living conditions </w:t>
      </w:r>
      <w:r w:rsidR="003D5D79">
        <w:t>but also</w:t>
      </w:r>
      <w:r w:rsidR="00793EBD">
        <w:t xml:space="preserve"> intensified labour mobility within the EU</w:t>
      </w:r>
      <w:r w:rsidR="001A784B">
        <w:t>,</w:t>
      </w:r>
      <w:r w:rsidR="00793EBD">
        <w:t xml:space="preserve"> with peripheral political economies struggling to retain their </w:t>
      </w:r>
      <w:r w:rsidR="003D5D79">
        <w:t>human resources</w:t>
      </w:r>
      <w:r w:rsidR="00793EBD">
        <w:t xml:space="preserve"> </w:t>
      </w:r>
      <w:r w:rsidR="003D5D79">
        <w:t xml:space="preserve">and </w:t>
      </w:r>
      <w:r w:rsidR="00793EBD">
        <w:t xml:space="preserve">effectively the ability to </w:t>
      </w:r>
      <w:r w:rsidR="003D5D79">
        <w:t xml:space="preserve">rebuild their futures (on South Europe see Papadopoulos and Roumpakis, 2015; on the Baltics see </w:t>
      </w:r>
      <w:proofErr w:type="spellStart"/>
      <w:r w:rsidR="003D5D79">
        <w:t>Woolfson</w:t>
      </w:r>
      <w:proofErr w:type="spellEnd"/>
      <w:r w:rsidR="003D5D79">
        <w:t xml:space="preserve"> and Sommers, 2016). </w:t>
      </w:r>
      <w:r w:rsidRPr="004176E7">
        <w:t xml:space="preserve"> </w:t>
      </w:r>
    </w:p>
    <w:p w:rsidR="008233A9" w:rsidRDefault="008233A9" w:rsidP="00F67166">
      <w:pPr>
        <w:jc w:val="both"/>
        <w:rPr>
          <w:b/>
        </w:rPr>
      </w:pPr>
    </w:p>
    <w:p w:rsidR="00160C46" w:rsidRDefault="00DC1922" w:rsidP="00F67166">
      <w:pPr>
        <w:pStyle w:val="Heading2"/>
        <w:jc w:val="both"/>
      </w:pPr>
      <w:r w:rsidRPr="00DE15F2">
        <w:t>Conclusion</w:t>
      </w:r>
    </w:p>
    <w:p w:rsidR="00A004C3" w:rsidRPr="000E0244" w:rsidRDefault="00A004C3" w:rsidP="002D5BE3"/>
    <w:p w:rsidR="00A004C3" w:rsidRDefault="009D58AB" w:rsidP="00A004C3">
      <w:pPr>
        <w:jc w:val="both"/>
      </w:pPr>
      <w:r w:rsidRPr="001D61C1">
        <w:t xml:space="preserve">In this </w:t>
      </w:r>
      <w:r w:rsidR="00553208">
        <w:t>chapter</w:t>
      </w:r>
      <w:r w:rsidR="001A784B">
        <w:t xml:space="preserve"> we demonstrated how</w:t>
      </w:r>
      <w:r w:rsidRPr="001D61C1">
        <w:t xml:space="preserve"> competition has become </w:t>
      </w:r>
      <w:r w:rsidR="004176E7">
        <w:t>a</w:t>
      </w:r>
      <w:r w:rsidR="004176E7" w:rsidRPr="001D61C1">
        <w:t xml:space="preserve"> </w:t>
      </w:r>
      <w:r w:rsidRPr="001D61C1">
        <w:t>key instituting principle of socio-economic governance within the EU and we highlight</w:t>
      </w:r>
      <w:r w:rsidR="001A784B">
        <w:t>ed</w:t>
      </w:r>
      <w:r w:rsidRPr="001D61C1">
        <w:t xml:space="preserve"> the diverse set of mechanisms in place that drive this process. </w:t>
      </w:r>
      <w:r w:rsidR="00961994">
        <w:t xml:space="preserve">We </w:t>
      </w:r>
      <w:r w:rsidR="0087457D">
        <w:t xml:space="preserve">particularly </w:t>
      </w:r>
      <w:r w:rsidR="00961994">
        <w:t>interrogated t</w:t>
      </w:r>
      <w:r w:rsidR="00DD58BA" w:rsidRPr="001D61C1">
        <w:t xml:space="preserve">he </w:t>
      </w:r>
      <w:r w:rsidR="00EC28EB">
        <w:t xml:space="preserve">political role of the </w:t>
      </w:r>
      <w:r w:rsidR="00466DE9">
        <w:t>ECJ</w:t>
      </w:r>
      <w:r w:rsidR="00DD58BA" w:rsidRPr="001D61C1">
        <w:t xml:space="preserve"> </w:t>
      </w:r>
      <w:r w:rsidR="0087457D">
        <w:t>rulings and their importance for enhancing ‘market integration through law</w:t>
      </w:r>
      <w:r w:rsidR="00961994">
        <w:t>’</w:t>
      </w:r>
      <w:r w:rsidR="0087457D">
        <w:t>.</w:t>
      </w:r>
      <w:r w:rsidR="00DD58BA" w:rsidRPr="001D61C1">
        <w:t xml:space="preserve"> </w:t>
      </w:r>
      <w:r w:rsidR="00961994">
        <w:t xml:space="preserve">Intentionally or not, </w:t>
      </w:r>
      <w:proofErr w:type="spellStart"/>
      <w:r w:rsidR="000E0244" w:rsidRPr="00256D33">
        <w:t>ECJ’s</w:t>
      </w:r>
      <w:proofErr w:type="spellEnd"/>
      <w:r w:rsidR="000E0244" w:rsidRPr="00256D33">
        <w:t xml:space="preserve"> </w:t>
      </w:r>
      <w:r w:rsidR="00961994">
        <w:t>generation of</w:t>
      </w:r>
      <w:r w:rsidR="000E0244" w:rsidRPr="00256D33">
        <w:t xml:space="preserve"> </w:t>
      </w:r>
      <w:proofErr w:type="gramStart"/>
      <w:r w:rsidR="000E0244" w:rsidRPr="00256D33">
        <w:t>case-law</w:t>
      </w:r>
      <w:proofErr w:type="gramEnd"/>
      <w:r w:rsidR="000E0244" w:rsidRPr="00256D33">
        <w:t xml:space="preserve"> in fields of labour law, collective bargaining, public provision, corporate governance and tax law </w:t>
      </w:r>
      <w:r w:rsidR="00961994">
        <w:t>creates trans-national markets</w:t>
      </w:r>
      <w:r w:rsidR="000E0244" w:rsidRPr="00256D33">
        <w:t xml:space="preserve"> of </w:t>
      </w:r>
      <w:r w:rsidR="00961994">
        <w:t xml:space="preserve">national </w:t>
      </w:r>
      <w:r w:rsidR="000E0244" w:rsidRPr="00256D33">
        <w:t>regulations</w:t>
      </w:r>
      <w:r w:rsidR="00961994">
        <w:t xml:space="preserve"> in Europe where capital can (and does) act as the ‘sovereign consumer’</w:t>
      </w:r>
      <w:r w:rsidR="00EC28EB">
        <w:t xml:space="preserve">. </w:t>
      </w:r>
      <w:r w:rsidR="0076090E">
        <w:t xml:space="preserve">Additionally, </w:t>
      </w:r>
      <w:r w:rsidR="00BA71AA">
        <w:t>t</w:t>
      </w:r>
      <w:r w:rsidR="00A004C3">
        <w:t xml:space="preserve">rade agreements </w:t>
      </w:r>
      <w:r w:rsidR="00871974">
        <w:t xml:space="preserve">like </w:t>
      </w:r>
      <w:r w:rsidR="00661E1F">
        <w:t xml:space="preserve">the Comprehensive Economic and Trade Agreement </w:t>
      </w:r>
      <w:r w:rsidR="0076090E">
        <w:t xml:space="preserve">(CETA) </w:t>
      </w:r>
      <w:r w:rsidR="00661E1F">
        <w:t xml:space="preserve">between EU and Canada </w:t>
      </w:r>
      <w:r w:rsidR="00A004C3">
        <w:t>are more likely to accelerate the</w:t>
      </w:r>
      <w:r w:rsidR="00A004C3" w:rsidRPr="001D61C1">
        <w:t xml:space="preserve"> </w:t>
      </w:r>
      <w:r w:rsidR="00464DA0">
        <w:t xml:space="preserve">drive towards </w:t>
      </w:r>
      <w:r w:rsidR="00A004C3">
        <w:t>competition-</w:t>
      </w:r>
      <w:r w:rsidR="00464DA0">
        <w:t>centred</w:t>
      </w:r>
      <w:r w:rsidR="00A004C3">
        <w:t xml:space="preserve"> </w:t>
      </w:r>
      <w:r w:rsidR="00464DA0">
        <w:t xml:space="preserve">regional </w:t>
      </w:r>
      <w:r w:rsidR="00A004C3" w:rsidRPr="001D61C1">
        <w:t>integration</w:t>
      </w:r>
      <w:r w:rsidR="00464DA0">
        <w:t xml:space="preserve"> and enhance even further the power of corporate actors</w:t>
      </w:r>
      <w:r w:rsidR="00A004C3">
        <w:t xml:space="preserve">. </w:t>
      </w:r>
    </w:p>
    <w:p w:rsidR="00F70B22" w:rsidRDefault="00A004C3">
      <w:pPr>
        <w:jc w:val="both"/>
      </w:pPr>
      <w:r w:rsidRPr="002E6666">
        <w:t>The</w:t>
      </w:r>
      <w:r>
        <w:t xml:space="preserve"> second </w:t>
      </w:r>
      <w:r w:rsidR="00464DA0">
        <w:t>transformation</w:t>
      </w:r>
      <w:r>
        <w:t xml:space="preserve"> that we </w:t>
      </w:r>
      <w:r w:rsidR="003716EF">
        <w:t xml:space="preserve">focused on </w:t>
      </w:r>
      <w:r w:rsidR="00464DA0">
        <w:t xml:space="preserve">relates to </w:t>
      </w:r>
      <w:r w:rsidR="000E0244" w:rsidRPr="000E0244">
        <w:t xml:space="preserve">institutional innovations in European </w:t>
      </w:r>
      <w:r w:rsidR="00464DA0">
        <w:t>macro-</w:t>
      </w:r>
      <w:r w:rsidR="000E0244" w:rsidRPr="000E0244">
        <w:t>economic governance</w:t>
      </w:r>
      <w:r w:rsidR="000E0244">
        <w:t xml:space="preserve">. </w:t>
      </w:r>
      <w:r w:rsidR="00EC529C">
        <w:t xml:space="preserve">We reviewed how for the first time, the European Council has introduced a specific rule-based fiscal pact which </w:t>
      </w:r>
      <w:r w:rsidR="00EC529C" w:rsidRPr="00EC529C">
        <w:t>prescribes that states’ budgets shall be balanced or in surplus, with the rules having a binding force and permanent character</w:t>
      </w:r>
      <w:r w:rsidR="007E3DD1">
        <w:t>.</w:t>
      </w:r>
      <w:r w:rsidR="005C6825" w:rsidRPr="005C6825">
        <w:t xml:space="preserve"> </w:t>
      </w:r>
      <w:r w:rsidR="00464DA0">
        <w:t>I</w:t>
      </w:r>
      <w:r w:rsidR="005C6825">
        <w:t xml:space="preserve">n the </w:t>
      </w:r>
      <w:r w:rsidR="005C6825" w:rsidRPr="005C6825">
        <w:t>absence of any control over monetary poli</w:t>
      </w:r>
      <w:r w:rsidR="005C6825">
        <w:t xml:space="preserve">cy and therefore the lack of </w:t>
      </w:r>
      <w:r w:rsidR="00320F0B">
        <w:t>exchange</w:t>
      </w:r>
      <w:r w:rsidR="005C6825" w:rsidRPr="005C6825">
        <w:t xml:space="preserve">-rate devaluation, competitiveness is </w:t>
      </w:r>
      <w:r w:rsidR="00320F0B">
        <w:t xml:space="preserve">to be achieved through </w:t>
      </w:r>
      <w:r w:rsidR="005C6825">
        <w:t xml:space="preserve">the ‘adjustment’ of </w:t>
      </w:r>
      <w:r w:rsidR="005C6825" w:rsidRPr="000E0244">
        <w:t>wage-setting and collective bargaining institutions</w:t>
      </w:r>
      <w:r w:rsidR="00464DA0">
        <w:t>; in other words via ‘internal devaluation’</w:t>
      </w:r>
      <w:r w:rsidR="005C6825">
        <w:t>.</w:t>
      </w:r>
    </w:p>
    <w:p w:rsidR="00762A0C" w:rsidRDefault="00464DA0" w:rsidP="00762A0C">
      <w:pPr>
        <w:jc w:val="both"/>
      </w:pPr>
      <w:r>
        <w:t xml:space="preserve">So far, </w:t>
      </w:r>
      <w:r w:rsidRPr="00464DA0">
        <w:t xml:space="preserve">the </w:t>
      </w:r>
      <w:r>
        <w:t>attempts to constitutionalize</w:t>
      </w:r>
      <w:r w:rsidRPr="00464DA0">
        <w:t xml:space="preserve"> </w:t>
      </w:r>
      <w:r>
        <w:t xml:space="preserve">competition and the </w:t>
      </w:r>
      <w:r w:rsidR="007E3DD1">
        <w:t>market rationale as the</w:t>
      </w:r>
      <w:r w:rsidRPr="00464DA0">
        <w:t xml:space="preserve"> key organizing principle</w:t>
      </w:r>
      <w:r>
        <w:t>s</w:t>
      </w:r>
      <w:r w:rsidRPr="00464DA0">
        <w:t xml:space="preserve"> of European socio-economic governance</w:t>
      </w:r>
      <w:r>
        <w:t xml:space="preserve"> have not met a great resistance at the level of European political elites. Still, at the level of </w:t>
      </w:r>
      <w:r w:rsidR="00762A0C">
        <w:t xml:space="preserve">European </w:t>
      </w:r>
      <w:r>
        <w:t>publics</w:t>
      </w:r>
      <w:r w:rsidR="00762A0C">
        <w:t xml:space="preserve">, </w:t>
      </w:r>
      <w:r w:rsidRPr="00464DA0">
        <w:t>the political legitimacy of the European integration process</w:t>
      </w:r>
      <w:r w:rsidR="00762A0C">
        <w:t xml:space="preserve"> </w:t>
      </w:r>
      <w:r w:rsidR="007E3DD1">
        <w:t>has been placed under serious question</w:t>
      </w:r>
      <w:r w:rsidR="00871974">
        <w:t xml:space="preserve">. Can this new institutional order be compatible with national democratic politic? </w:t>
      </w:r>
      <w:r w:rsidR="00762A0C">
        <w:t>Indeed, the future of a united Europ</w:t>
      </w:r>
      <w:r w:rsidR="00871974">
        <w:t>e has never been more uncertain</w:t>
      </w:r>
      <w:r w:rsidR="00762A0C">
        <w:t>.</w:t>
      </w:r>
    </w:p>
    <w:p w:rsidR="00762A0C" w:rsidRDefault="00762A0C">
      <w:pPr>
        <w:rPr>
          <w:b/>
        </w:rPr>
      </w:pPr>
      <w:r>
        <w:rPr>
          <w:b/>
        </w:rPr>
        <w:br w:type="page"/>
      </w:r>
    </w:p>
    <w:p w:rsidR="00876B5E" w:rsidRPr="00311D42" w:rsidRDefault="00876B5E" w:rsidP="00F67166">
      <w:pPr>
        <w:jc w:val="both"/>
        <w:rPr>
          <w:b/>
        </w:rPr>
      </w:pPr>
      <w:r w:rsidRPr="00311D42">
        <w:rPr>
          <w:b/>
        </w:rPr>
        <w:t>References</w:t>
      </w:r>
    </w:p>
    <w:p w:rsidR="00D6242C" w:rsidRDefault="00C11EB3" w:rsidP="00F67166">
      <w:pPr>
        <w:jc w:val="both"/>
      </w:pPr>
      <w:r w:rsidRPr="00311D42">
        <w:fldChar w:fldCharType="begin"/>
      </w:r>
      <w:r w:rsidR="00311D42" w:rsidRPr="00311D42">
        <w:instrText xml:space="preserve"> ADDIN EN.REFLIST </w:instrText>
      </w:r>
      <w:r w:rsidRPr="00311D42">
        <w:fldChar w:fldCharType="separate"/>
      </w:r>
      <w:r w:rsidR="00021B74" w:rsidRPr="00021B74">
        <w:t xml:space="preserve">Anderson P. (2011) </w:t>
      </w:r>
      <w:r w:rsidR="00021B74" w:rsidRPr="00021B74">
        <w:rPr>
          <w:i/>
          <w:iCs/>
        </w:rPr>
        <w:t xml:space="preserve">The New Old World, </w:t>
      </w:r>
      <w:r w:rsidR="00021B74" w:rsidRPr="00021B74">
        <w:t>London: Verso.</w:t>
      </w:r>
      <w:bookmarkStart w:id="1" w:name="_ENREF_2"/>
    </w:p>
    <w:p w:rsidR="00311D42" w:rsidRPr="00311D42" w:rsidRDefault="00311D42" w:rsidP="00F67166">
      <w:pPr>
        <w:jc w:val="both"/>
      </w:pPr>
      <w:proofErr w:type="spellStart"/>
      <w:r w:rsidRPr="00311D42">
        <w:t>Armi</w:t>
      </w:r>
      <w:r w:rsidR="00D6242C">
        <w:t>ngeon</w:t>
      </w:r>
      <w:proofErr w:type="spellEnd"/>
      <w:r w:rsidR="00D6242C">
        <w:t>, K., and</w:t>
      </w:r>
      <w:r w:rsidR="004F1015">
        <w:t xml:space="preserve"> Baccaro, L. (2012)</w:t>
      </w:r>
      <w:r w:rsidRPr="00311D42">
        <w:t xml:space="preserve"> </w:t>
      </w:r>
      <w:r w:rsidR="004F1015">
        <w:t>'</w:t>
      </w:r>
      <w:r w:rsidRPr="00311D42">
        <w:t>Political Economy of the Sovereign Debt Crisis: The Limits of Internal Devaluation</w:t>
      </w:r>
      <w:r w:rsidR="004F1015">
        <w:t>'</w:t>
      </w:r>
      <w:r w:rsidR="00871974">
        <w:t>,</w:t>
      </w:r>
      <w:r w:rsidRPr="00311D42">
        <w:t xml:space="preserve"> </w:t>
      </w:r>
      <w:r w:rsidRPr="00311D42">
        <w:rPr>
          <w:i/>
        </w:rPr>
        <w:t>Industrial Law Journal, 41</w:t>
      </w:r>
      <w:r w:rsidRPr="00311D42">
        <w:t xml:space="preserve">(3), 254-275. </w:t>
      </w:r>
      <w:bookmarkEnd w:id="1"/>
    </w:p>
    <w:p w:rsidR="00311D42" w:rsidRPr="00311D42" w:rsidRDefault="004F1015" w:rsidP="00F67166">
      <w:pPr>
        <w:jc w:val="both"/>
      </w:pPr>
      <w:bookmarkStart w:id="2" w:name="_ENREF_3"/>
      <w:r>
        <w:t>Barbier, J</w:t>
      </w:r>
      <w:proofErr w:type="gramStart"/>
      <w:r>
        <w:t>.-</w:t>
      </w:r>
      <w:proofErr w:type="gramEnd"/>
      <w:r>
        <w:t>C. (2012)</w:t>
      </w:r>
      <w:r w:rsidR="00311D42" w:rsidRPr="00311D42">
        <w:t xml:space="preserve"> </w:t>
      </w:r>
      <w:r>
        <w:t>'</w:t>
      </w:r>
      <w:r w:rsidR="00311D42" w:rsidRPr="00311D42">
        <w:t>Tracing the fate of EU “social policy”: Changes in political discourse from the “L</w:t>
      </w:r>
      <w:r w:rsidR="001F2C12">
        <w:t>isbon Strategy” to “Europe 2020</w:t>
      </w:r>
      <w:r>
        <w:t>'</w:t>
      </w:r>
      <w:r w:rsidR="00311D42" w:rsidRPr="00311D42">
        <w:t xml:space="preserve">. </w:t>
      </w:r>
      <w:proofErr w:type="gramStart"/>
      <w:r w:rsidR="00311D42" w:rsidRPr="00311D42">
        <w:rPr>
          <w:i/>
        </w:rPr>
        <w:t>International Labour Review, 151</w:t>
      </w:r>
      <w:r w:rsidR="00311D42" w:rsidRPr="00311D42">
        <w:t>(4), 377-399.</w:t>
      </w:r>
      <w:proofErr w:type="gramEnd"/>
      <w:r w:rsidR="00311D42" w:rsidRPr="00311D42">
        <w:t xml:space="preserve"> </w:t>
      </w:r>
      <w:bookmarkEnd w:id="2"/>
    </w:p>
    <w:p w:rsidR="00311D42" w:rsidRPr="00311D42" w:rsidRDefault="00311D42" w:rsidP="00F67166">
      <w:pPr>
        <w:jc w:val="both"/>
      </w:pPr>
      <w:bookmarkStart w:id="3" w:name="_ENREF_4"/>
      <w:r w:rsidRPr="00311D42">
        <w:t>Bi</w:t>
      </w:r>
      <w:r w:rsidR="004F1015">
        <w:t>rd, G., &amp; Mandilaras, A. (2013)</w:t>
      </w:r>
      <w:r w:rsidRPr="00311D42">
        <w:t xml:space="preserve"> </w:t>
      </w:r>
      <w:r w:rsidR="004F1015">
        <w:t>'</w:t>
      </w:r>
      <w:r w:rsidRPr="00311D42">
        <w:t>Fiscal imbalances and output crises in Europe: will the fiscal compact help or hinder?</w:t>
      </w:r>
      <w:proofErr w:type="gramStart"/>
      <w:r w:rsidR="004F1015">
        <w:t>',</w:t>
      </w:r>
      <w:proofErr w:type="gramEnd"/>
      <w:r w:rsidRPr="00311D42">
        <w:t xml:space="preserve"> </w:t>
      </w:r>
      <w:r w:rsidRPr="00311D42">
        <w:rPr>
          <w:i/>
        </w:rPr>
        <w:t>Journal of Economic Policy Reform, 16</w:t>
      </w:r>
      <w:r w:rsidR="007F2D51">
        <w:t>(1), 1-16.</w:t>
      </w:r>
      <w:r w:rsidRPr="00311D42">
        <w:t xml:space="preserve"> </w:t>
      </w:r>
      <w:bookmarkEnd w:id="3"/>
    </w:p>
    <w:p w:rsidR="00311D42" w:rsidRPr="00311D42" w:rsidRDefault="004F1015" w:rsidP="00F67166">
      <w:pPr>
        <w:jc w:val="both"/>
      </w:pPr>
      <w:bookmarkStart w:id="4" w:name="_ENREF_5"/>
      <w:r>
        <w:t>Bobeva, D. (2013)</w:t>
      </w:r>
      <w:r w:rsidR="00311D42" w:rsidRPr="00311D42">
        <w:t xml:space="preserve"> </w:t>
      </w:r>
      <w:r>
        <w:t>'</w:t>
      </w:r>
      <w:r w:rsidR="00311D42" w:rsidRPr="00311D42">
        <w:t>The new EU Macroeconomic Imbalances Procedure and its Relevance for the Candidate Countries</w:t>
      </w:r>
      <w:r>
        <w:t>'</w:t>
      </w:r>
      <w:r w:rsidR="00311D42" w:rsidRPr="00311D42">
        <w:t xml:space="preserve">. </w:t>
      </w:r>
      <w:r w:rsidR="00311D42" w:rsidRPr="00311D42">
        <w:rPr>
          <w:i/>
        </w:rPr>
        <w:t>Journal of Central Banking Theory and Practice, 2</w:t>
      </w:r>
      <w:r w:rsidR="00311D42" w:rsidRPr="00311D42">
        <w:t xml:space="preserve">(1), 69-88. </w:t>
      </w:r>
      <w:bookmarkEnd w:id="4"/>
    </w:p>
    <w:p w:rsidR="008701F6" w:rsidRDefault="008701F6" w:rsidP="00F67166">
      <w:pPr>
        <w:jc w:val="both"/>
      </w:pPr>
      <w:bookmarkStart w:id="5" w:name="_ENREF_6"/>
      <w:r w:rsidRPr="008701F6">
        <w:t xml:space="preserve">Bonefeld W. (2015) European economic constitution and the transformation of democracy: On class and the state of law. </w:t>
      </w:r>
      <w:r w:rsidRPr="008701F6">
        <w:rPr>
          <w:i/>
          <w:iCs/>
        </w:rPr>
        <w:t>European Journal of International Relations</w:t>
      </w:r>
      <w:r w:rsidRPr="008701F6">
        <w:t xml:space="preserve"> 21: 867-886. </w:t>
      </w:r>
    </w:p>
    <w:p w:rsidR="00311D42" w:rsidRDefault="00311D42" w:rsidP="00F67166">
      <w:pPr>
        <w:jc w:val="both"/>
      </w:pPr>
      <w:r w:rsidRPr="00311D42">
        <w:t>Brenner, N., Jessop, B., Jones, M</w:t>
      </w:r>
      <w:r w:rsidR="000A3350">
        <w:t>., &amp; Macleod, G. (</w:t>
      </w:r>
      <w:proofErr w:type="spellStart"/>
      <w:r w:rsidR="000A3350">
        <w:t>eds</w:t>
      </w:r>
      <w:proofErr w:type="spellEnd"/>
      <w:r w:rsidR="000A3350">
        <w:t>)</w:t>
      </w:r>
      <w:r w:rsidR="004F1015">
        <w:t xml:space="preserve"> (2003)</w:t>
      </w:r>
      <w:r w:rsidRPr="00311D42">
        <w:t xml:space="preserve"> </w:t>
      </w:r>
      <w:r w:rsidRPr="00311D42">
        <w:rPr>
          <w:i/>
        </w:rPr>
        <w:t>State/Space: A Reader</w:t>
      </w:r>
      <w:r w:rsidR="000A3350">
        <w:t>,</w:t>
      </w:r>
      <w:r w:rsidRPr="00311D42">
        <w:t xml:space="preserve"> </w:t>
      </w:r>
      <w:proofErr w:type="spellStart"/>
      <w:r w:rsidRPr="00311D42">
        <w:t>WileyBlackwell</w:t>
      </w:r>
      <w:proofErr w:type="spellEnd"/>
      <w:r w:rsidRPr="00311D42">
        <w:t xml:space="preserve"> </w:t>
      </w:r>
      <w:bookmarkEnd w:id="5"/>
    </w:p>
    <w:p w:rsidR="006E66F8" w:rsidRPr="00311D42" w:rsidRDefault="006E66F8" w:rsidP="00F67166">
      <w:pPr>
        <w:jc w:val="both"/>
      </w:pPr>
      <w:r w:rsidRPr="006E66F8">
        <w:t>Brenner, N., Peck, J. and Theodore, N. (2014) ‘New constitutionalism and variegated neo-liberalization’, in Gill, S. and Cutler, A.C. (eds.) New Con</w:t>
      </w:r>
      <w:r>
        <w:t>stitutionalism and World Order,</w:t>
      </w:r>
      <w:r w:rsidRPr="006E66F8">
        <w:t xml:space="preserve"> Cambridge:</w:t>
      </w:r>
      <w:r w:rsidR="007F2D51">
        <w:t xml:space="preserve"> Cambridge University Press, pp</w:t>
      </w:r>
      <w:r w:rsidRPr="006E66F8">
        <w:t xml:space="preserve"> 126–142.</w:t>
      </w:r>
    </w:p>
    <w:p w:rsidR="00311D42" w:rsidRPr="00311D42" w:rsidRDefault="00311D42" w:rsidP="00F67166">
      <w:pPr>
        <w:jc w:val="both"/>
      </w:pPr>
      <w:bookmarkStart w:id="6" w:name="_ENREF_7"/>
      <w:r w:rsidRPr="00311D42">
        <w:t>Busch, K., Hermann, C., Hinri</w:t>
      </w:r>
      <w:r w:rsidR="007F2D51">
        <w:t>chs, K., and</w:t>
      </w:r>
      <w:r w:rsidR="004F1015">
        <w:t xml:space="preserve"> Schulten, T. (2013)</w:t>
      </w:r>
      <w:r w:rsidRPr="00311D42">
        <w:t xml:space="preserve"> </w:t>
      </w:r>
      <w:r w:rsidRPr="00311D42">
        <w:rPr>
          <w:i/>
        </w:rPr>
        <w:t>Euro crisis, Austerity Policy and the European Social Model: How Crisis policies in Southern Europe Threaten the EU's Social Dimension</w:t>
      </w:r>
      <w:r w:rsidRPr="00311D42">
        <w:t>. Berlin: Friedrich Ebert Stiftung.</w:t>
      </w:r>
      <w:bookmarkEnd w:id="6"/>
    </w:p>
    <w:p w:rsidR="00311D42" w:rsidRPr="00311D42" w:rsidRDefault="00311D42" w:rsidP="00F67166">
      <w:pPr>
        <w:jc w:val="both"/>
      </w:pPr>
      <w:bookmarkStart w:id="7" w:name="_ENREF_8"/>
      <w:r w:rsidRPr="00311D42">
        <w:t>Carmel, E. (200</w:t>
      </w:r>
      <w:r w:rsidR="00C61D92">
        <w:t>5</w:t>
      </w:r>
      <w:r w:rsidR="004F1015">
        <w:t>)</w:t>
      </w:r>
      <w:r w:rsidRPr="00311D42">
        <w:t xml:space="preserve"> Governance and the constitution of a European social. In J. Newman (Ed.), </w:t>
      </w:r>
      <w:r w:rsidRPr="00311D42">
        <w:rPr>
          <w:i/>
        </w:rPr>
        <w:t>Remaking Governance: Peoples, politics and the public sphere</w:t>
      </w:r>
      <w:r w:rsidRPr="00311D42">
        <w:t>. Bristol: Policy Press</w:t>
      </w:r>
      <w:bookmarkEnd w:id="7"/>
      <w:r w:rsidR="001615C3">
        <w:t>, pp 39-58.</w:t>
      </w:r>
    </w:p>
    <w:p w:rsidR="00953198" w:rsidRDefault="00953198" w:rsidP="00F67166">
      <w:pPr>
        <w:jc w:val="both"/>
      </w:pPr>
      <w:bookmarkStart w:id="8" w:name="_ENREF_9"/>
      <w:r>
        <w:t xml:space="preserve">Conant, L. (2002) </w:t>
      </w:r>
      <w:r w:rsidRPr="002D5BE3">
        <w:rPr>
          <w:i/>
        </w:rPr>
        <w:t>Justice contained</w:t>
      </w:r>
      <w:r w:rsidR="007D72B4">
        <w:rPr>
          <w:rFonts w:ascii="Arial" w:hAnsi="Arial" w:cs="Arial"/>
          <w:i/>
          <w:iCs/>
          <w:color w:val="000000"/>
          <w:sz w:val="20"/>
          <w:szCs w:val="20"/>
          <w:shd w:val="clear" w:color="auto" w:fill="FFFFFF"/>
        </w:rPr>
        <w:t xml:space="preserve">: </w:t>
      </w:r>
      <w:r w:rsidR="007D72B4" w:rsidRPr="007D72B4">
        <w:rPr>
          <w:i/>
          <w:iCs/>
        </w:rPr>
        <w:t>Law and Politics in the European Union</w:t>
      </w:r>
      <w:r>
        <w:t>, Ithaca and London: Cornell University Press.</w:t>
      </w:r>
    </w:p>
    <w:p w:rsidR="00D6242C" w:rsidRDefault="00D6242C" w:rsidP="00F67166">
      <w:pPr>
        <w:jc w:val="both"/>
      </w:pPr>
      <w:proofErr w:type="spellStart"/>
      <w:r>
        <w:t>Cremers</w:t>
      </w:r>
      <w:proofErr w:type="spellEnd"/>
      <w:r>
        <w:t xml:space="preserve">, J. (2014) </w:t>
      </w:r>
      <w:proofErr w:type="gramStart"/>
      <w:r w:rsidRPr="00D6242C">
        <w:t>Letter-box</w:t>
      </w:r>
      <w:proofErr w:type="gramEnd"/>
      <w:r w:rsidRPr="00D6242C">
        <w:t xml:space="preserve"> companies and abuse of the posting rules: how the primacy of economic freedoms and weak enforcement give rise to social dumping</w:t>
      </w:r>
      <w:r>
        <w:t>, ETUI Policy Brief No 5.</w:t>
      </w:r>
    </w:p>
    <w:p w:rsidR="00762A0C" w:rsidRDefault="00762A0C" w:rsidP="00F67166">
      <w:pPr>
        <w:jc w:val="both"/>
      </w:pPr>
      <w:proofErr w:type="spellStart"/>
      <w:r w:rsidRPr="00762A0C">
        <w:t>Crespy</w:t>
      </w:r>
      <w:proofErr w:type="spellEnd"/>
      <w:r w:rsidRPr="00762A0C">
        <w:t xml:space="preserve">, A. </w:t>
      </w:r>
      <w:r>
        <w:t xml:space="preserve">and </w:t>
      </w:r>
      <w:r w:rsidR="007F2D51">
        <w:t xml:space="preserve">Menz, G. </w:t>
      </w:r>
      <w:r>
        <w:t>(</w:t>
      </w:r>
      <w:proofErr w:type="spellStart"/>
      <w:r>
        <w:t>e</w:t>
      </w:r>
      <w:r w:rsidR="007F2D51">
        <w:t>ds</w:t>
      </w:r>
      <w:proofErr w:type="spellEnd"/>
      <w:r w:rsidRPr="00762A0C">
        <w:t>)</w:t>
      </w:r>
      <w:r>
        <w:t xml:space="preserve"> (2015)</w:t>
      </w:r>
      <w:r w:rsidRPr="00762A0C">
        <w:t xml:space="preserve"> </w:t>
      </w:r>
      <w:r w:rsidRPr="009054D5">
        <w:rPr>
          <w:i/>
        </w:rPr>
        <w:t>Social Policy and the Eurocrisis: Quo Vadis Social Europe</w:t>
      </w:r>
      <w:r>
        <w:t>, Basingstoke: Palgrave Macmillan</w:t>
      </w:r>
    </w:p>
    <w:p w:rsidR="00466DE9" w:rsidRPr="00466DE9" w:rsidRDefault="00466DE9" w:rsidP="00F67166">
      <w:pPr>
        <w:jc w:val="both"/>
      </w:pPr>
      <w:r w:rsidRPr="00466DE9">
        <w:t xml:space="preserve">De Grauwe, P. and Ji, Y. (2013) </w:t>
      </w:r>
      <w:r w:rsidRPr="00466DE9">
        <w:rPr>
          <w:i/>
        </w:rPr>
        <w:t>The Legacy of Austerity in the Eurozone</w:t>
      </w:r>
      <w:r w:rsidRPr="00466DE9">
        <w:t>, Brussels: Cent</w:t>
      </w:r>
      <w:bookmarkStart w:id="9" w:name="_ENREF_16"/>
      <w:r w:rsidRPr="00466DE9">
        <w:t>re for European Policy Studies.</w:t>
      </w:r>
    </w:p>
    <w:p w:rsidR="00466DE9" w:rsidRPr="00466DE9" w:rsidRDefault="00466DE9" w:rsidP="00F67166">
      <w:pPr>
        <w:jc w:val="both"/>
      </w:pPr>
      <w:r w:rsidRPr="00466DE9">
        <w:t xml:space="preserve">De Grauwe, P. and Ji, Y. (2014) </w:t>
      </w:r>
      <w:r w:rsidRPr="00466DE9">
        <w:rPr>
          <w:i/>
        </w:rPr>
        <w:t>Disappearing Government Bond Spreads in the Eurozone – Back to Normal?</w:t>
      </w:r>
      <w:r w:rsidRPr="00466DE9">
        <w:t>, Centre for European Policy Studies</w:t>
      </w:r>
      <w:bookmarkEnd w:id="9"/>
      <w:r w:rsidRPr="00466DE9">
        <w:t>.</w:t>
      </w:r>
    </w:p>
    <w:p w:rsidR="00AD7FAD" w:rsidRDefault="00AD7FAD" w:rsidP="00F67166">
      <w:pPr>
        <w:jc w:val="both"/>
      </w:pPr>
      <w:r w:rsidRPr="00AD7FAD">
        <w:t xml:space="preserve">De la Porte  C and Heins E. (2015) A new era of European Integration? Governance of labour market and social policy since the sovereign debt crisis. </w:t>
      </w:r>
      <w:r w:rsidRPr="002D5BE3">
        <w:rPr>
          <w:i/>
        </w:rPr>
        <w:t>Comparative European Politics</w:t>
      </w:r>
      <w:r w:rsidRPr="00AD7FAD">
        <w:t xml:space="preserve"> 13: 8-28.</w:t>
      </w:r>
    </w:p>
    <w:p w:rsidR="00311D42" w:rsidRPr="00311D42" w:rsidRDefault="00311D42" w:rsidP="00F67166">
      <w:pPr>
        <w:jc w:val="both"/>
      </w:pPr>
      <w:r w:rsidRPr="00311D42">
        <w:t xml:space="preserve">Degryse, C., </w:t>
      </w:r>
      <w:r w:rsidR="004F1015">
        <w:t xml:space="preserve">Jepsen, M., &amp; Pochet, P. (2013) </w:t>
      </w:r>
      <w:r w:rsidRPr="00311D42">
        <w:t>T</w:t>
      </w:r>
      <w:r w:rsidRPr="004F1015">
        <w:rPr>
          <w:i/>
        </w:rPr>
        <w:t xml:space="preserve">he Euro crisis and its impact on national and European social policies </w:t>
      </w:r>
      <w:r w:rsidRPr="004F1015">
        <w:t>ETUI</w:t>
      </w:r>
      <w:r w:rsidRPr="00311D42">
        <w:t>. Brussels: European Trade Union Institution.</w:t>
      </w:r>
      <w:bookmarkEnd w:id="8"/>
    </w:p>
    <w:p w:rsidR="00311D42" w:rsidRPr="00311D42" w:rsidRDefault="004F1015" w:rsidP="00F67166">
      <w:pPr>
        <w:jc w:val="both"/>
      </w:pPr>
      <w:bookmarkStart w:id="10" w:name="_ENREF_10"/>
      <w:r>
        <w:t>EC. (2008)</w:t>
      </w:r>
      <w:r w:rsidR="00311D42" w:rsidRPr="00311D42">
        <w:t xml:space="preserve"> A renewed commitment to social Europe: Reinforcing the open method of coordination for social protection and social inclusion. Communication from the Commission to the European Parliament, the Council, the European Economic and Social Committee and the Committee of the Regions: European Commission.</w:t>
      </w:r>
      <w:bookmarkEnd w:id="10"/>
    </w:p>
    <w:p w:rsidR="00311D42" w:rsidRPr="00311D42" w:rsidRDefault="00466DE9" w:rsidP="00F67166">
      <w:pPr>
        <w:jc w:val="both"/>
      </w:pPr>
      <w:bookmarkStart w:id="11" w:name="_ENREF_11"/>
      <w:r>
        <w:t xml:space="preserve">EC. (2012) </w:t>
      </w:r>
      <w:r w:rsidR="00311D42" w:rsidRPr="00311D42">
        <w:t>Treaty on Stability, Coordination and Governance - Eurozone (2012).</w:t>
      </w:r>
      <w:bookmarkEnd w:id="11"/>
    </w:p>
    <w:p w:rsidR="00311D42" w:rsidRPr="00311D42" w:rsidRDefault="004F1015" w:rsidP="00F67166">
      <w:pPr>
        <w:jc w:val="both"/>
      </w:pPr>
      <w:bookmarkStart w:id="12" w:name="_ENREF_12"/>
      <w:r>
        <w:t>EC. (2014)</w:t>
      </w:r>
      <w:r w:rsidR="00311D42" w:rsidRPr="00311D42">
        <w:t xml:space="preserve"> Statistical Annex of Alert Mechanism Report 2014: European Commission.</w:t>
      </w:r>
      <w:bookmarkEnd w:id="12"/>
    </w:p>
    <w:p w:rsidR="00311D42" w:rsidRPr="00311D42" w:rsidRDefault="004F1015" w:rsidP="00F67166">
      <w:pPr>
        <w:jc w:val="both"/>
      </w:pPr>
      <w:bookmarkStart w:id="13" w:name="_ENREF_13"/>
      <w:r>
        <w:t>ECSR. (2013)</w:t>
      </w:r>
      <w:r w:rsidR="00311D42" w:rsidRPr="00311D42">
        <w:t xml:space="preserve"> Conclusions (2013) In E. C. o. S. Rights (Ed.): Council of Europe.</w:t>
      </w:r>
      <w:bookmarkEnd w:id="13"/>
    </w:p>
    <w:p w:rsidR="00D6242C" w:rsidRDefault="00311D42" w:rsidP="00D6242C">
      <w:pPr>
        <w:jc w:val="both"/>
      </w:pPr>
      <w:bookmarkStart w:id="14" w:name="_ENREF_14"/>
      <w:proofErr w:type="gramStart"/>
      <w:r w:rsidRPr="00311D42">
        <w:t>E</w:t>
      </w:r>
      <w:r w:rsidR="004F1015">
        <w:t>wing, K. D., &amp; Hendy, J. (2010)</w:t>
      </w:r>
      <w:r w:rsidRPr="00311D42">
        <w:t xml:space="preserve"> </w:t>
      </w:r>
      <w:r w:rsidR="004F1015">
        <w:t>'</w:t>
      </w:r>
      <w:r w:rsidRPr="00311D42">
        <w:t>The Dramatic Implications of Demir and Baykara</w:t>
      </w:r>
      <w:r w:rsidR="004F1015">
        <w:t>'</w:t>
      </w:r>
      <w:r w:rsidRPr="00311D42">
        <w:t>.</w:t>
      </w:r>
      <w:proofErr w:type="gramEnd"/>
      <w:r w:rsidRPr="00311D42">
        <w:t xml:space="preserve"> </w:t>
      </w:r>
      <w:proofErr w:type="gramStart"/>
      <w:r w:rsidRPr="00311D42">
        <w:rPr>
          <w:i/>
        </w:rPr>
        <w:t>Industrial Law Journal, 39</w:t>
      </w:r>
      <w:r w:rsidRPr="00311D42">
        <w:t>(1), 2-51.</w:t>
      </w:r>
      <w:proofErr w:type="gramEnd"/>
      <w:r w:rsidRPr="00311D42">
        <w:t xml:space="preserve"> </w:t>
      </w:r>
      <w:bookmarkStart w:id="15" w:name="_ENREF_17"/>
      <w:bookmarkEnd w:id="14"/>
    </w:p>
    <w:p w:rsidR="00D6242C" w:rsidRDefault="00D6242C" w:rsidP="00D6242C">
      <w:pPr>
        <w:jc w:val="both"/>
      </w:pPr>
      <w:proofErr w:type="spellStart"/>
      <w:r>
        <w:t>Genschel</w:t>
      </w:r>
      <w:proofErr w:type="spellEnd"/>
      <w:r>
        <w:t xml:space="preserve">, P., </w:t>
      </w:r>
      <w:proofErr w:type="spellStart"/>
      <w:r>
        <w:t>Kemmerling</w:t>
      </w:r>
      <w:proofErr w:type="spellEnd"/>
      <w:r>
        <w:t xml:space="preserve">, A. and </w:t>
      </w:r>
      <w:proofErr w:type="spellStart"/>
      <w:r>
        <w:t>Seils</w:t>
      </w:r>
      <w:proofErr w:type="spellEnd"/>
      <w:r>
        <w:t xml:space="preserve">, E. (2011) 'Accelerating Downhill: How the EU shapes corporate tax competition in the Single Market', </w:t>
      </w:r>
      <w:r w:rsidRPr="00D6242C">
        <w:rPr>
          <w:i/>
        </w:rPr>
        <w:t>Journal of Common Market Studies</w:t>
      </w:r>
      <w:r>
        <w:t>, 49 (3), 585-606.</w:t>
      </w:r>
    </w:p>
    <w:p w:rsidR="00786DEF" w:rsidRDefault="00786DEF" w:rsidP="00D6242C">
      <w:pPr>
        <w:jc w:val="both"/>
      </w:pPr>
      <w:r>
        <w:t>Gill, S. (1998)</w:t>
      </w:r>
      <w:r w:rsidRPr="00786DEF">
        <w:t xml:space="preserve"> </w:t>
      </w:r>
      <w:r>
        <w:t>'</w:t>
      </w:r>
      <w:r w:rsidRPr="00786DEF">
        <w:t>European governance and new constitutionalism: economic and monetary union and alternatives to disci</w:t>
      </w:r>
      <w:r>
        <w:t>plinary neoliberalism in Europe',</w:t>
      </w:r>
      <w:r w:rsidRPr="00786DEF">
        <w:t xml:space="preserve"> </w:t>
      </w:r>
      <w:r w:rsidRPr="009054D5">
        <w:rPr>
          <w:i/>
        </w:rPr>
        <w:t>New Political Economy</w:t>
      </w:r>
      <w:r>
        <w:t>, 3(1), 5-26</w:t>
      </w:r>
    </w:p>
    <w:p w:rsidR="006E66F8" w:rsidRDefault="006E66F8" w:rsidP="006E66F8">
      <w:pPr>
        <w:jc w:val="both"/>
      </w:pPr>
      <w:r w:rsidRPr="006E66F8">
        <w:t>Gill, S., &amp; Cutler,</w:t>
      </w:r>
      <w:r w:rsidR="007F2D51">
        <w:t xml:space="preserve"> A. C. (</w:t>
      </w:r>
      <w:proofErr w:type="spellStart"/>
      <w:r w:rsidR="007F2D51">
        <w:t>eds</w:t>
      </w:r>
      <w:proofErr w:type="spellEnd"/>
      <w:r w:rsidR="007F2D51">
        <w:t>)</w:t>
      </w:r>
      <w:r>
        <w:t xml:space="preserve"> (2014)</w:t>
      </w:r>
      <w:r w:rsidRPr="006E66F8">
        <w:t xml:space="preserve"> </w:t>
      </w:r>
      <w:r w:rsidRPr="007F2D51">
        <w:rPr>
          <w:i/>
        </w:rPr>
        <w:t>New constitutionalism and world order</w:t>
      </w:r>
      <w:r>
        <w:t xml:space="preserve">, Cambridge: </w:t>
      </w:r>
      <w:r w:rsidRPr="006E66F8">
        <w:t>Cambridge University Press.</w:t>
      </w:r>
    </w:p>
    <w:p w:rsidR="006E66F8" w:rsidRDefault="006E66F8" w:rsidP="006E66F8">
      <w:pPr>
        <w:jc w:val="both"/>
      </w:pPr>
      <w:r w:rsidRPr="006E66F8">
        <w:t>Hacker</w:t>
      </w:r>
      <w:r>
        <w:t xml:space="preserve"> B.</w:t>
      </w:r>
      <w:r w:rsidRPr="006E66F8">
        <w:t xml:space="preserve"> (2013) The End of the European Social Model as we have envisioned it? Political Economy Principles in Europe may be changed by the Economic Crisis Governance, paper presented in the conference “Beyond Austerity vs. Growth: The Future of the European Political Economy”, Halifax Hall, University of Sheffield, 1-3 July 2013</w:t>
      </w:r>
    </w:p>
    <w:p w:rsidR="00311D42" w:rsidRPr="00311D42" w:rsidRDefault="00311D42" w:rsidP="00F67166">
      <w:pPr>
        <w:jc w:val="both"/>
      </w:pPr>
      <w:r w:rsidRPr="00311D42">
        <w:t>Hall, P., &amp; Lamont</w:t>
      </w:r>
      <w:r w:rsidR="004F1015">
        <w:t xml:space="preserve"> </w:t>
      </w:r>
      <w:r w:rsidR="00EF5F95">
        <w:t>M. (e</w:t>
      </w:r>
      <w:r w:rsidR="004F1015">
        <w:t xml:space="preserve">ds.). (2013) </w:t>
      </w:r>
      <w:r w:rsidRPr="00311D42">
        <w:rPr>
          <w:i/>
        </w:rPr>
        <w:t>Social Resilience in the Neoliberal Era</w:t>
      </w:r>
      <w:r w:rsidRPr="00311D42">
        <w:t xml:space="preserve">: </w:t>
      </w:r>
      <w:r w:rsidR="00EF5F95">
        <w:t xml:space="preserve">Cambridge: </w:t>
      </w:r>
      <w:r w:rsidRPr="00311D42">
        <w:t>Cambridge University Press.</w:t>
      </w:r>
      <w:bookmarkEnd w:id="15"/>
    </w:p>
    <w:p w:rsidR="00311D42" w:rsidRPr="00311D42" w:rsidRDefault="004F1015" w:rsidP="00F67166">
      <w:pPr>
        <w:jc w:val="both"/>
      </w:pPr>
      <w:bookmarkStart w:id="16" w:name="_ENREF_18"/>
      <w:r>
        <w:t xml:space="preserve">Hantrais, L. (2007 [1995]) </w:t>
      </w:r>
      <w:r w:rsidR="00311D42" w:rsidRPr="00311D42">
        <w:t xml:space="preserve"> </w:t>
      </w:r>
      <w:r w:rsidR="00311D42" w:rsidRPr="00311D42">
        <w:rPr>
          <w:i/>
        </w:rPr>
        <w:t>Social Policy in the European Union</w:t>
      </w:r>
      <w:r w:rsidR="00311D42" w:rsidRPr="00311D42">
        <w:t xml:space="preserve"> (3rd ed.): Palgarve Macmillan </w:t>
      </w:r>
      <w:bookmarkEnd w:id="16"/>
    </w:p>
    <w:p w:rsidR="00311D42" w:rsidRDefault="00311D42" w:rsidP="00F67166">
      <w:pPr>
        <w:jc w:val="both"/>
      </w:pPr>
      <w:bookmarkStart w:id="17" w:name="_ENREF_19"/>
      <w:r w:rsidRPr="00311D42">
        <w:t xml:space="preserve">Hay, C., &amp; Wincott, D. (2012) </w:t>
      </w:r>
      <w:r w:rsidRPr="00311D42">
        <w:rPr>
          <w:i/>
        </w:rPr>
        <w:t>The political economy of European welfare capitalism</w:t>
      </w:r>
      <w:r w:rsidRPr="00311D42">
        <w:t>: Palgrave Macmillan.</w:t>
      </w:r>
      <w:bookmarkEnd w:id="17"/>
    </w:p>
    <w:p w:rsidR="006E66F8" w:rsidRPr="00311D42" w:rsidRDefault="007F2D51" w:rsidP="00F67166">
      <w:pPr>
        <w:jc w:val="both"/>
      </w:pPr>
      <w:proofErr w:type="gramStart"/>
      <w:r>
        <w:t>Hillebrand, E. (</w:t>
      </w:r>
      <w:proofErr w:type="spellStart"/>
      <w:r>
        <w:t>ed</w:t>
      </w:r>
      <w:proofErr w:type="spellEnd"/>
      <w:r>
        <w:t>)</w:t>
      </w:r>
      <w:r w:rsidR="006E66F8" w:rsidRPr="006E66F8">
        <w:t xml:space="preserve"> (2013).</w:t>
      </w:r>
      <w:proofErr w:type="gramEnd"/>
      <w:r w:rsidR="006E66F8" w:rsidRPr="006E66F8">
        <w:t xml:space="preserve"> </w:t>
      </w:r>
      <w:r w:rsidR="006E66F8" w:rsidRPr="007F2D51">
        <w:rPr>
          <w:i/>
        </w:rPr>
        <w:t>Euro Crisis, Austerity Policy and the European Social Model: How Crisis Policies in Southern Europe Threaten the EU's Social Dimension</w:t>
      </w:r>
      <w:r w:rsidR="006E66F8" w:rsidRPr="006E66F8">
        <w:t>. Friedrich-Ebert-Stiftung, Internat. Policy Analysis</w:t>
      </w:r>
    </w:p>
    <w:p w:rsidR="00311D42" w:rsidRPr="00311D42" w:rsidRDefault="00311D42" w:rsidP="00F67166">
      <w:pPr>
        <w:jc w:val="both"/>
      </w:pPr>
      <w:bookmarkStart w:id="18" w:name="_ENREF_21"/>
      <w:r w:rsidRPr="00311D42">
        <w:t>H</w:t>
      </w:r>
      <w:r w:rsidR="004F1015">
        <w:t>öpner, M., &amp; Schäfer, A. (2007)</w:t>
      </w:r>
      <w:r w:rsidRPr="00311D42">
        <w:t xml:space="preserve"> A New Phase of European Integration: Organized Capitalisms in Post-Ricardian Europe. </w:t>
      </w:r>
      <w:r w:rsidRPr="00311D42">
        <w:rPr>
          <w:i/>
        </w:rPr>
        <w:t>MPIfG Discussion Paper 07/4</w:t>
      </w:r>
      <w:r w:rsidRPr="00311D42">
        <w:t xml:space="preserve">. </w:t>
      </w:r>
      <w:bookmarkEnd w:id="18"/>
    </w:p>
    <w:p w:rsidR="00311D42" w:rsidRPr="00311D42" w:rsidRDefault="00311D42" w:rsidP="00F67166">
      <w:pPr>
        <w:jc w:val="both"/>
      </w:pPr>
      <w:bookmarkStart w:id="19" w:name="_ENREF_22"/>
      <w:r w:rsidRPr="00311D42">
        <w:t>H</w:t>
      </w:r>
      <w:r w:rsidR="004F1015">
        <w:t>öpner, M., &amp; Schäfer, A. (2010)</w:t>
      </w:r>
      <w:r w:rsidRPr="00311D42">
        <w:t xml:space="preserve"> Polanyi in Brussels? Embeddedness and the Three Dimensions of European Economic Integration. </w:t>
      </w:r>
      <w:r w:rsidRPr="00311D42">
        <w:rPr>
          <w:i/>
        </w:rPr>
        <w:t>MPIfG Discussion Paper 10/8</w:t>
      </w:r>
      <w:r w:rsidRPr="00311D42">
        <w:t xml:space="preserve">. </w:t>
      </w:r>
      <w:bookmarkEnd w:id="19"/>
    </w:p>
    <w:p w:rsidR="00311D42" w:rsidRPr="00311D42" w:rsidRDefault="00311D42" w:rsidP="00F67166">
      <w:pPr>
        <w:jc w:val="both"/>
      </w:pPr>
      <w:bookmarkStart w:id="20" w:name="_ENREF_23"/>
      <w:r w:rsidRPr="00311D42">
        <w:t xml:space="preserve">ILO. (2010) </w:t>
      </w:r>
      <w:r w:rsidRPr="00311D42">
        <w:rPr>
          <w:i/>
        </w:rPr>
        <w:t>Report of the Committee of Experts on the Application of Conventions and Recommendations. Report III (Part 1A)</w:t>
      </w:r>
      <w:r w:rsidRPr="00311D42">
        <w:t xml:space="preserve">. Paper presented at the International Labour Conference, 99th Session, Geneva. </w:t>
      </w:r>
      <w:bookmarkEnd w:id="20"/>
    </w:p>
    <w:p w:rsidR="00311D42" w:rsidRPr="00311D42" w:rsidRDefault="004F1015" w:rsidP="00F67166">
      <w:pPr>
        <w:jc w:val="both"/>
      </w:pPr>
      <w:bookmarkStart w:id="21" w:name="_ENREF_24"/>
      <w:r>
        <w:t>Janssen, R. (2011)</w:t>
      </w:r>
      <w:r w:rsidR="00311D42" w:rsidRPr="00311D42">
        <w:t xml:space="preserve"> Why Europe needs a fairness pact and not a competitiveness pact </w:t>
      </w:r>
      <w:r w:rsidR="00311D42" w:rsidRPr="00311D42">
        <w:rPr>
          <w:i/>
        </w:rPr>
        <w:t>Economic Discussion Paper 2011/07</w:t>
      </w:r>
      <w:r w:rsidR="00311D42" w:rsidRPr="00311D42">
        <w:t>. Brussels: ETUC.</w:t>
      </w:r>
      <w:bookmarkEnd w:id="21"/>
    </w:p>
    <w:p w:rsidR="00D6242C" w:rsidRDefault="00D6242C" w:rsidP="00F67166">
      <w:pPr>
        <w:jc w:val="both"/>
      </w:pPr>
      <w:bookmarkStart w:id="22" w:name="_ENREF_27"/>
      <w:r>
        <w:t>Lindstrom, N</w:t>
      </w:r>
      <w:r w:rsidRPr="00D6242C">
        <w:t xml:space="preserve">. </w:t>
      </w:r>
      <w:r>
        <w:t>(</w:t>
      </w:r>
      <w:r w:rsidRPr="00D6242C">
        <w:t>2010</w:t>
      </w:r>
      <w:r>
        <w:t>)</w:t>
      </w:r>
      <w:r w:rsidRPr="00D6242C">
        <w:t xml:space="preserve">: </w:t>
      </w:r>
      <w:r>
        <w:t>'</w:t>
      </w:r>
      <w:r w:rsidRPr="00D6242C">
        <w:t>Service liberalization in the enlarged EU: A race to the bottom or the emergence of tr</w:t>
      </w:r>
      <w:r>
        <w:t>ansnational political conflict?</w:t>
      </w:r>
      <w:proofErr w:type="gramStart"/>
      <w:r>
        <w:t>'</w:t>
      </w:r>
      <w:r w:rsidRPr="00D6242C">
        <w:t>,</w:t>
      </w:r>
      <w:proofErr w:type="gramEnd"/>
      <w:r w:rsidRPr="00D6242C">
        <w:t xml:space="preserve"> </w:t>
      </w:r>
      <w:r w:rsidRPr="00D6242C">
        <w:rPr>
          <w:i/>
        </w:rPr>
        <w:t>Journal of Common Market Studies</w:t>
      </w:r>
      <w:r>
        <w:t xml:space="preserve">, </w:t>
      </w:r>
      <w:r w:rsidRPr="00D6242C">
        <w:t>48</w:t>
      </w:r>
      <w:r>
        <w:t xml:space="preserve">(5), </w:t>
      </w:r>
      <w:r w:rsidRPr="00D6242C">
        <w:t>1307-1327.</w:t>
      </w:r>
    </w:p>
    <w:p w:rsidR="00311D42" w:rsidRPr="00311D42" w:rsidRDefault="004F1015" w:rsidP="00F67166">
      <w:pPr>
        <w:jc w:val="both"/>
      </w:pPr>
      <w:proofErr w:type="spellStart"/>
      <w:r>
        <w:t>Martinsen</w:t>
      </w:r>
      <w:proofErr w:type="spellEnd"/>
      <w:r>
        <w:t>, D. S. (2011)</w:t>
      </w:r>
      <w:r w:rsidR="00311D42" w:rsidRPr="00311D42">
        <w:t xml:space="preserve"> </w:t>
      </w:r>
      <w:r>
        <w:t>'</w:t>
      </w:r>
      <w:proofErr w:type="gramStart"/>
      <w:r w:rsidR="00311D42" w:rsidRPr="00311D42">
        <w:t>Judicial</w:t>
      </w:r>
      <w:proofErr w:type="gramEnd"/>
      <w:r w:rsidR="00311D42" w:rsidRPr="00311D42">
        <w:t xml:space="preserve"> policy-making and Europeanization: the proportionality of national control and administrative discretion</w:t>
      </w:r>
      <w:r>
        <w:t>'</w:t>
      </w:r>
      <w:r w:rsidR="00311D42" w:rsidRPr="00311D42">
        <w:t xml:space="preserve">. </w:t>
      </w:r>
      <w:proofErr w:type="gramStart"/>
      <w:r w:rsidR="00311D42" w:rsidRPr="00311D42">
        <w:rPr>
          <w:i/>
        </w:rPr>
        <w:t>Journal of European Public Policy, 18</w:t>
      </w:r>
      <w:r w:rsidR="00311D42" w:rsidRPr="00311D42">
        <w:t>(7), 944-961.</w:t>
      </w:r>
      <w:bookmarkEnd w:id="22"/>
      <w:proofErr w:type="gramEnd"/>
    </w:p>
    <w:p w:rsidR="006E66F8" w:rsidRDefault="006E66F8" w:rsidP="00F67166">
      <w:pPr>
        <w:jc w:val="both"/>
      </w:pPr>
      <w:bookmarkStart w:id="23" w:name="_ENREF_28"/>
      <w:r>
        <w:t xml:space="preserve">May C. (2014) 'The Rule of Law as the </w:t>
      </w:r>
      <w:r w:rsidRPr="006E66F8">
        <w:rPr>
          <w:i/>
        </w:rPr>
        <w:t>Grundnorm</w:t>
      </w:r>
      <w:r>
        <w:t xml:space="preserve"> of the New Constitutionalism' in </w:t>
      </w:r>
      <w:r w:rsidR="007F2D51" w:rsidRPr="006E66F8">
        <w:t>S.</w:t>
      </w:r>
      <w:r w:rsidR="007F2D51">
        <w:t xml:space="preserve"> Gill and</w:t>
      </w:r>
      <w:r w:rsidRPr="006E66F8">
        <w:t xml:space="preserve"> </w:t>
      </w:r>
      <w:r w:rsidR="007F2D51">
        <w:t>A. C. Cutler (</w:t>
      </w:r>
      <w:proofErr w:type="spellStart"/>
      <w:r w:rsidR="007F2D51">
        <w:t>eds</w:t>
      </w:r>
      <w:proofErr w:type="spellEnd"/>
      <w:r w:rsidR="007F2D51">
        <w:t xml:space="preserve">) </w:t>
      </w:r>
      <w:r w:rsidRPr="007F2D51">
        <w:rPr>
          <w:i/>
        </w:rPr>
        <w:t>New constitutionalism and world order</w:t>
      </w:r>
      <w:r w:rsidRPr="006E66F8">
        <w:t>, Cambri</w:t>
      </w:r>
      <w:r w:rsidR="007F2D51">
        <w:t>dge: Cambridge University Press, pp</w:t>
      </w:r>
      <w:r>
        <w:t xml:space="preserve"> 63-74</w:t>
      </w:r>
    </w:p>
    <w:p w:rsidR="007F2D51" w:rsidRDefault="00311D42" w:rsidP="00F67166">
      <w:pPr>
        <w:jc w:val="both"/>
      </w:pPr>
      <w:r w:rsidRPr="00311D42">
        <w:t xml:space="preserve">Moschella, M. (2014) </w:t>
      </w:r>
      <w:r w:rsidR="004F1015">
        <w:t>'</w:t>
      </w:r>
      <w:r w:rsidRPr="00311D42">
        <w:t>Monitoring Macroeconomic Imbalances: Is EU Surveillance More Effective than IMF surveillance?</w:t>
      </w:r>
      <w:r w:rsidR="004F1015">
        <w:t>'</w:t>
      </w:r>
      <w:r w:rsidRPr="00311D42">
        <w:t xml:space="preserve"> </w:t>
      </w:r>
      <w:r w:rsidRPr="00311D42">
        <w:rPr>
          <w:i/>
        </w:rPr>
        <w:t>JCMS: Journal of Common Market Studies</w:t>
      </w:r>
      <w:r w:rsidRPr="00311D42">
        <w:t xml:space="preserve">, </w:t>
      </w:r>
      <w:bookmarkStart w:id="24" w:name="_ENREF_29"/>
      <w:bookmarkEnd w:id="23"/>
      <w:r w:rsidR="00D6242C">
        <w:t xml:space="preserve">52 (6), </w:t>
      </w:r>
      <w:r w:rsidR="00D6242C" w:rsidRPr="00D6242C">
        <w:t>1273–1289</w:t>
      </w:r>
      <w:r w:rsidR="00D6242C">
        <w:t>.</w:t>
      </w:r>
    </w:p>
    <w:p w:rsidR="0097519A" w:rsidRDefault="0097519A" w:rsidP="00F67166">
      <w:pPr>
        <w:jc w:val="both"/>
      </w:pPr>
      <w:r w:rsidRPr="0097519A">
        <w:t>Papadopoulos</w:t>
      </w:r>
      <w:r>
        <w:t>,</w:t>
      </w:r>
      <w:r w:rsidRPr="0097519A">
        <w:t xml:space="preserve"> T</w:t>
      </w:r>
      <w:r>
        <w:t>.</w:t>
      </w:r>
      <w:r w:rsidRPr="0097519A">
        <w:t xml:space="preserve"> </w:t>
      </w:r>
      <w:r>
        <w:t>&amp;</w:t>
      </w:r>
      <w:r w:rsidRPr="0097519A">
        <w:t xml:space="preserve"> Roumpakis A. (2012) The Greek welfare state in the age of austerity: anti-social policy and the politico-economic crisis. In: Kilkey M, Ramia G and Farnsworth K (eds) </w:t>
      </w:r>
      <w:r w:rsidRPr="002D5BE3">
        <w:rPr>
          <w:i/>
        </w:rPr>
        <w:t>Social Policy Review 24</w:t>
      </w:r>
      <w:r w:rsidR="00F5274C" w:rsidRPr="002D5BE3">
        <w:rPr>
          <w:i/>
        </w:rPr>
        <w:t>:</w:t>
      </w:r>
      <w:r w:rsidRPr="002D5BE3">
        <w:rPr>
          <w:i/>
        </w:rPr>
        <w:t xml:space="preserve"> Analysis and Debate in Social Policy</w:t>
      </w:r>
      <w:r w:rsidRPr="0097519A">
        <w:t>,</w:t>
      </w:r>
      <w:r w:rsidR="00F5274C">
        <w:t xml:space="preserve"> Bristol: Policy </w:t>
      </w:r>
      <w:proofErr w:type="spellStart"/>
      <w:r w:rsidR="00F5274C">
        <w:t>Press</w:t>
      </w:r>
      <w:proofErr w:type="spellEnd"/>
      <w:r w:rsidR="00F5274C">
        <w:t>,</w:t>
      </w:r>
      <w:r w:rsidR="002463B9">
        <w:t xml:space="preserve"> </w:t>
      </w:r>
      <w:r w:rsidR="007F2D51">
        <w:t>pp</w:t>
      </w:r>
      <w:r w:rsidR="00F5274C">
        <w:t xml:space="preserve"> </w:t>
      </w:r>
      <w:r w:rsidRPr="0097519A">
        <w:t>205-230.</w:t>
      </w:r>
    </w:p>
    <w:p w:rsidR="00311D42" w:rsidRPr="00311D42" w:rsidRDefault="00311D42" w:rsidP="00F67166">
      <w:pPr>
        <w:jc w:val="both"/>
      </w:pPr>
      <w:bookmarkStart w:id="25" w:name="_ENREF_30"/>
      <w:bookmarkEnd w:id="24"/>
      <w:r w:rsidRPr="00311D42">
        <w:t>Papadopoul</w:t>
      </w:r>
      <w:r w:rsidR="004F1015">
        <w:t>os, T., &amp; Roumpakis, A. (2013a)</w:t>
      </w:r>
      <w:r w:rsidRPr="00311D42">
        <w:t xml:space="preserve"> </w:t>
      </w:r>
      <w:r w:rsidR="004F1015">
        <w:t>'</w:t>
      </w:r>
      <w:r w:rsidRPr="00311D42">
        <w:t xml:space="preserve">The meta-regulation of European industrial relations: Power shifts, institutional dynamics and the emergence of regulatory competition among </w:t>
      </w:r>
      <w:r w:rsidR="00ED33DE">
        <w:t>Member States</w:t>
      </w:r>
      <w:r w:rsidR="004F1015">
        <w:t>'</w:t>
      </w:r>
      <w:r w:rsidRPr="00311D42">
        <w:t xml:space="preserve">. </w:t>
      </w:r>
      <w:proofErr w:type="gramStart"/>
      <w:r w:rsidRPr="00311D42">
        <w:rPr>
          <w:i/>
        </w:rPr>
        <w:t xml:space="preserve">International Labour Review, </w:t>
      </w:r>
      <w:r w:rsidRPr="00AC0DC0">
        <w:t>152(</w:t>
      </w:r>
      <w:r w:rsidRPr="00311D42">
        <w:t>2)</w:t>
      </w:r>
      <w:r w:rsidR="00AC0DC0">
        <w:t>, 255-274</w:t>
      </w:r>
      <w:r w:rsidRPr="00311D42">
        <w:t>.</w:t>
      </w:r>
      <w:proofErr w:type="gramEnd"/>
      <w:r w:rsidRPr="00311D42">
        <w:t xml:space="preserve"> </w:t>
      </w:r>
      <w:bookmarkEnd w:id="25"/>
    </w:p>
    <w:p w:rsidR="008A1B15" w:rsidRDefault="008A1B15" w:rsidP="008A1B15">
      <w:pPr>
        <w:jc w:val="both"/>
      </w:pPr>
      <w:bookmarkStart w:id="26" w:name="_ENREF_31"/>
      <w:r w:rsidRPr="000A788C">
        <w:t>Papadopoulos, T., &amp; Roumpakis, A. (2013</w:t>
      </w:r>
      <w:r>
        <w:t>b</w:t>
      </w:r>
      <w:r w:rsidRPr="000A788C">
        <w:t>). From anti-social policy to generalised insecurity: The Greek crisis meets the decline of the European Social Model. </w:t>
      </w:r>
      <w:r w:rsidRPr="000A788C">
        <w:rPr>
          <w:i/>
          <w:iCs/>
        </w:rPr>
        <w:t>Greek Journal of Social Policy (Κοινωνική πολιτική)</w:t>
      </w:r>
      <w:r w:rsidRPr="000A788C">
        <w:t>, </w:t>
      </w:r>
      <w:r w:rsidRPr="00AC0DC0">
        <w:rPr>
          <w:iCs/>
        </w:rPr>
        <w:t>1</w:t>
      </w:r>
      <w:r w:rsidRPr="000A788C">
        <w:t>(1).</w:t>
      </w:r>
    </w:p>
    <w:p w:rsidR="00311D42" w:rsidRPr="00311D42" w:rsidRDefault="00311D42" w:rsidP="00F67166">
      <w:pPr>
        <w:jc w:val="both"/>
      </w:pPr>
      <w:r w:rsidRPr="00311D42">
        <w:t>Papadopoulos, T., &amp; Roumpakis, A. (</w:t>
      </w:r>
      <w:r w:rsidR="008A1B15" w:rsidRPr="00311D42">
        <w:t>2013</w:t>
      </w:r>
      <w:r w:rsidR="008A1B15">
        <w:t>c</w:t>
      </w:r>
      <w:r w:rsidRPr="00311D42">
        <w:t xml:space="preserve">) </w:t>
      </w:r>
      <w:r w:rsidR="004F1015">
        <w:t>'</w:t>
      </w:r>
      <w:r w:rsidRPr="00311D42">
        <w:t>Familistic welfare capitalism in crisis: social reproduction and anti-social policy in Greece</w:t>
      </w:r>
      <w:r w:rsidR="004F1015">
        <w:t>'</w:t>
      </w:r>
      <w:r w:rsidRPr="00311D42">
        <w:t xml:space="preserve">. </w:t>
      </w:r>
      <w:proofErr w:type="gramStart"/>
      <w:r w:rsidRPr="00311D42">
        <w:rPr>
          <w:i/>
        </w:rPr>
        <w:t>Journal of International and Comparative Social Policy</w:t>
      </w:r>
      <w:r w:rsidRPr="00AC0DC0">
        <w:t>, 29</w:t>
      </w:r>
      <w:r w:rsidRPr="00311D42">
        <w:t>(3), 204-224.</w:t>
      </w:r>
      <w:proofErr w:type="gramEnd"/>
      <w:r w:rsidRPr="00311D42">
        <w:t xml:space="preserve"> </w:t>
      </w:r>
      <w:bookmarkEnd w:id="26"/>
    </w:p>
    <w:p w:rsidR="000A788C" w:rsidRDefault="000A788C" w:rsidP="00F67166">
      <w:pPr>
        <w:jc w:val="both"/>
      </w:pPr>
      <w:bookmarkStart w:id="27" w:name="_ENREF_32"/>
      <w:r w:rsidRPr="000A788C">
        <w:t xml:space="preserve">Papadopoulos T and Roumpakis A. (2015) </w:t>
      </w:r>
      <w:r w:rsidR="002463B9">
        <w:t>'</w:t>
      </w:r>
      <w:r w:rsidRPr="000A788C">
        <w:t>Democracy, austerity and crisis: Southern Europe and the decli</w:t>
      </w:r>
      <w:r w:rsidR="007F2D51">
        <w:t>ne of the European Social Model</w:t>
      </w:r>
      <w:r w:rsidR="002463B9">
        <w:t>'</w:t>
      </w:r>
      <w:r w:rsidR="007F2D51">
        <w:t>, i</w:t>
      </w:r>
      <w:r w:rsidRPr="000A788C">
        <w:t xml:space="preserve">n </w:t>
      </w:r>
      <w:r>
        <w:t xml:space="preserve">S. </w:t>
      </w:r>
      <w:r w:rsidRPr="000A788C">
        <w:t xml:space="preserve">Romano </w:t>
      </w:r>
      <w:r>
        <w:t>&amp;</w:t>
      </w:r>
      <w:r w:rsidRPr="000A788C">
        <w:t xml:space="preserve"> </w:t>
      </w:r>
      <w:r>
        <w:t xml:space="preserve">G. </w:t>
      </w:r>
      <w:r w:rsidRPr="000A788C">
        <w:t>Punziano (</w:t>
      </w:r>
      <w:r w:rsidR="007F2D51">
        <w:t>eds.</w:t>
      </w:r>
      <w:r w:rsidRPr="000A788C">
        <w:t xml:space="preserve">) </w:t>
      </w:r>
      <w:proofErr w:type="gramStart"/>
      <w:r w:rsidRPr="000A788C">
        <w:rPr>
          <w:i/>
          <w:iCs/>
        </w:rPr>
        <w:t>The European Social Model Adrift.</w:t>
      </w:r>
      <w:proofErr w:type="gramEnd"/>
      <w:r w:rsidRPr="000A788C">
        <w:t xml:space="preserve"> Aldershot: </w:t>
      </w:r>
      <w:proofErr w:type="spellStart"/>
      <w:r w:rsidRPr="000A788C">
        <w:t>Ashgate</w:t>
      </w:r>
      <w:proofErr w:type="spellEnd"/>
      <w:r w:rsidR="002463B9">
        <w:t xml:space="preserve">, pp </w:t>
      </w:r>
      <w:r w:rsidR="002463B9" w:rsidRPr="002463B9">
        <w:t>189-212</w:t>
      </w:r>
      <w:r w:rsidRPr="000A788C">
        <w:t>.</w:t>
      </w:r>
    </w:p>
    <w:p w:rsidR="00762A0C" w:rsidRDefault="00762A0C" w:rsidP="00F67166">
      <w:pPr>
        <w:jc w:val="both"/>
      </w:pPr>
      <w:r w:rsidRPr="00762A0C">
        <w:t>Romano</w:t>
      </w:r>
      <w:r w:rsidR="007F2D51">
        <w:t>, S. and</w:t>
      </w:r>
      <w:r w:rsidRPr="00762A0C">
        <w:t xml:space="preserve"> </w:t>
      </w:r>
      <w:proofErr w:type="spellStart"/>
      <w:r w:rsidRPr="00762A0C">
        <w:t>Punziano</w:t>
      </w:r>
      <w:proofErr w:type="spellEnd"/>
      <w:r w:rsidR="007F2D51">
        <w:t xml:space="preserve"> G. (</w:t>
      </w:r>
      <w:proofErr w:type="spellStart"/>
      <w:r w:rsidR="007F2D51">
        <w:t>eds</w:t>
      </w:r>
      <w:proofErr w:type="spellEnd"/>
      <w:r w:rsidRPr="00762A0C">
        <w:t>)</w:t>
      </w:r>
      <w:r>
        <w:t xml:space="preserve"> (2015)</w:t>
      </w:r>
      <w:r w:rsidRPr="00762A0C">
        <w:t xml:space="preserve"> </w:t>
      </w:r>
      <w:r w:rsidRPr="007F2D51">
        <w:rPr>
          <w:i/>
        </w:rPr>
        <w:t>The European Social Model Adrift</w:t>
      </w:r>
      <w:r w:rsidRPr="00762A0C">
        <w:t>. Aldershot: Ashgate.</w:t>
      </w:r>
    </w:p>
    <w:p w:rsidR="00D6242C" w:rsidRDefault="00D6242C" w:rsidP="00F67166">
      <w:pPr>
        <w:jc w:val="both"/>
      </w:pPr>
      <w:proofErr w:type="spellStart"/>
      <w:r>
        <w:t>Scharpf</w:t>
      </w:r>
      <w:proofErr w:type="spellEnd"/>
      <w:r>
        <w:t>, F. W. (1999</w:t>
      </w:r>
      <w:r w:rsidRPr="00311D42">
        <w:t>)</w:t>
      </w:r>
      <w:r>
        <w:t xml:space="preserve"> </w:t>
      </w:r>
      <w:r>
        <w:rPr>
          <w:i/>
        </w:rPr>
        <w:t>Governing in Europe:</w:t>
      </w:r>
      <w:r w:rsidRPr="00D6242C">
        <w:rPr>
          <w:i/>
        </w:rPr>
        <w:t xml:space="preserve"> Effective and Democratic</w:t>
      </w:r>
      <w:proofErr w:type="gramStart"/>
      <w:r w:rsidRPr="00D6242C">
        <w:rPr>
          <w:i/>
        </w:rPr>
        <w:t>?</w:t>
      </w:r>
      <w:r>
        <w:t>,</w:t>
      </w:r>
      <w:proofErr w:type="gramEnd"/>
      <w:r>
        <w:t xml:space="preserve"> Oxford: Oxford University Press</w:t>
      </w:r>
      <w:r w:rsidRPr="00D6242C">
        <w:t>.</w:t>
      </w:r>
    </w:p>
    <w:p w:rsidR="00311D42" w:rsidRPr="00311D42" w:rsidRDefault="00311D42" w:rsidP="00F67166">
      <w:pPr>
        <w:jc w:val="both"/>
      </w:pPr>
      <w:proofErr w:type="spellStart"/>
      <w:r w:rsidRPr="00311D42">
        <w:t>Scharpf</w:t>
      </w:r>
      <w:proofErr w:type="spellEnd"/>
      <w:r w:rsidRPr="00311D42">
        <w:t>, F. W. (2013) Monetary Union, Fiscal Crisis and the Disabli</w:t>
      </w:r>
      <w:r w:rsidR="007F2D51">
        <w:t>ng of Democratic Accountability, in A. Schäfer &amp; W. Streeck (</w:t>
      </w:r>
      <w:proofErr w:type="spellStart"/>
      <w:r w:rsidR="007F2D51">
        <w:t>eds</w:t>
      </w:r>
      <w:proofErr w:type="spellEnd"/>
      <w:r w:rsidRPr="00311D42">
        <w:t xml:space="preserve">), </w:t>
      </w:r>
      <w:r w:rsidRPr="00311D42">
        <w:rPr>
          <w:i/>
        </w:rPr>
        <w:t>Politics in the Age of Austerity</w:t>
      </w:r>
      <w:r w:rsidRPr="00311D42">
        <w:t>. Cambridge: Polity</w:t>
      </w:r>
      <w:r w:rsidR="007F2D51">
        <w:t xml:space="preserve">, pp </w:t>
      </w:r>
      <w:r w:rsidR="007F2D51" w:rsidRPr="007F2D51">
        <w:t>108-142</w:t>
      </w:r>
      <w:r w:rsidRPr="00311D42">
        <w:t>.</w:t>
      </w:r>
      <w:bookmarkEnd w:id="27"/>
    </w:p>
    <w:p w:rsidR="000A788C" w:rsidRPr="00311D42" w:rsidRDefault="000A788C" w:rsidP="00F67166">
      <w:pPr>
        <w:jc w:val="both"/>
      </w:pPr>
      <w:proofErr w:type="spellStart"/>
      <w:r w:rsidRPr="000A788C">
        <w:t>Streeck</w:t>
      </w:r>
      <w:proofErr w:type="spellEnd"/>
      <w:r w:rsidRPr="000A788C">
        <w:t xml:space="preserve"> W. (2013) </w:t>
      </w:r>
      <w:r w:rsidRPr="000A788C">
        <w:rPr>
          <w:i/>
          <w:iCs/>
        </w:rPr>
        <w:t xml:space="preserve">Bying Time: The delayed crisis of democratic capitalism, </w:t>
      </w:r>
      <w:r w:rsidRPr="000A788C">
        <w:t>London, New York: Verso.</w:t>
      </w:r>
    </w:p>
    <w:p w:rsidR="00021B74" w:rsidRPr="00311D42" w:rsidRDefault="00021B74" w:rsidP="00021B74">
      <w:pPr>
        <w:jc w:val="both"/>
      </w:pPr>
      <w:bookmarkStart w:id="28" w:name="_ENREF_35"/>
      <w:r>
        <w:t>Supiot, A. (201</w:t>
      </w:r>
      <w:r w:rsidR="00DF2BCB">
        <w:t>2</w:t>
      </w:r>
      <w:r w:rsidR="000A3350">
        <w:t>a</w:t>
      </w:r>
      <w:r>
        <w:t xml:space="preserve">) </w:t>
      </w:r>
      <w:r w:rsidR="007F2D51">
        <w:rPr>
          <w:i/>
        </w:rPr>
        <w:t>The Spirit of Philadelphia</w:t>
      </w:r>
      <w:r w:rsidRPr="00311D42">
        <w:rPr>
          <w:i/>
        </w:rPr>
        <w:t>: Social Justice vs the Total Market</w:t>
      </w:r>
      <w:r w:rsidR="007F2D51">
        <w:t xml:space="preserve">. London, </w:t>
      </w:r>
      <w:r w:rsidRPr="00311D42">
        <w:t>New York: Verso.</w:t>
      </w:r>
    </w:p>
    <w:p w:rsidR="00311D42" w:rsidRPr="00311D42" w:rsidRDefault="00311D42" w:rsidP="00F67166">
      <w:pPr>
        <w:jc w:val="both"/>
      </w:pPr>
      <w:r w:rsidRPr="00311D42">
        <w:t>Supiot, A</w:t>
      </w:r>
      <w:r w:rsidR="004F1015">
        <w:t>. (2012</w:t>
      </w:r>
      <w:r w:rsidR="000A3350">
        <w:t>b</w:t>
      </w:r>
      <w:r w:rsidR="004F1015">
        <w:t>)</w:t>
      </w:r>
      <w:r w:rsidRPr="00311D42">
        <w:t xml:space="preserve"> </w:t>
      </w:r>
      <w:r w:rsidR="004F1015">
        <w:t>'</w:t>
      </w:r>
      <w:r w:rsidRPr="00311D42">
        <w:t>Under Eastern eyes</w:t>
      </w:r>
      <w:r w:rsidR="004F1015">
        <w:t>'</w:t>
      </w:r>
      <w:r w:rsidRPr="00311D42">
        <w:t xml:space="preserve">. </w:t>
      </w:r>
      <w:proofErr w:type="gramStart"/>
      <w:r w:rsidRPr="00311D42">
        <w:rPr>
          <w:i/>
        </w:rPr>
        <w:t xml:space="preserve">New Left Review, </w:t>
      </w:r>
      <w:r w:rsidRPr="007F2D51">
        <w:t>73,</w:t>
      </w:r>
      <w:r w:rsidRPr="00311D42">
        <w:t xml:space="preserve"> 29-36.</w:t>
      </w:r>
      <w:proofErr w:type="gramEnd"/>
      <w:r w:rsidRPr="00311D42">
        <w:t xml:space="preserve"> </w:t>
      </w:r>
      <w:bookmarkEnd w:id="28"/>
    </w:p>
    <w:p w:rsidR="00311D42" w:rsidRPr="00311D42" w:rsidRDefault="004F1015" w:rsidP="00F67166">
      <w:pPr>
        <w:jc w:val="both"/>
      </w:pPr>
      <w:bookmarkStart w:id="29" w:name="_ENREF_37"/>
      <w:r>
        <w:t>Szyszczak, E. (2009)</w:t>
      </w:r>
      <w:r w:rsidR="00D6242C">
        <w:t xml:space="preserve"> "United Kingdom”, i</w:t>
      </w:r>
      <w:r w:rsidR="00311D42" w:rsidRPr="00311D42">
        <w:t>n R.</w:t>
      </w:r>
      <w:r w:rsidR="00D6242C">
        <w:t xml:space="preserve"> Blanpain &amp; A. M. Światkowski (</w:t>
      </w:r>
      <w:proofErr w:type="spellStart"/>
      <w:r w:rsidR="00D6242C">
        <w:t>eds</w:t>
      </w:r>
      <w:proofErr w:type="spellEnd"/>
      <w:r w:rsidR="00311D42" w:rsidRPr="00311D42">
        <w:t xml:space="preserve">), </w:t>
      </w:r>
      <w:r w:rsidR="00311D42" w:rsidRPr="00311D42">
        <w:rPr>
          <w:i/>
        </w:rPr>
        <w:t xml:space="preserve">The Laval and Viking cases: Freedom of services and establishment v industrial conflict in the European economic area and </w:t>
      </w:r>
      <w:proofErr w:type="gramStart"/>
      <w:r w:rsidR="00311D42" w:rsidRPr="00311D42">
        <w:rPr>
          <w:i/>
        </w:rPr>
        <w:t>Russia</w:t>
      </w:r>
      <w:r w:rsidR="00D6242C">
        <w:t xml:space="preserve"> ,</w:t>
      </w:r>
      <w:r w:rsidR="00311D42" w:rsidRPr="00311D42">
        <w:t>Alphen</w:t>
      </w:r>
      <w:proofErr w:type="gramEnd"/>
      <w:r w:rsidR="00311D42" w:rsidRPr="00311D42">
        <w:t xml:space="preserve"> </w:t>
      </w:r>
      <w:proofErr w:type="spellStart"/>
      <w:r w:rsidR="00311D42" w:rsidRPr="00311D42">
        <w:t>aan</w:t>
      </w:r>
      <w:proofErr w:type="spellEnd"/>
      <w:r w:rsidR="00311D42" w:rsidRPr="00311D42">
        <w:t xml:space="preserve"> den Rijn Kluwer Law International</w:t>
      </w:r>
      <w:r w:rsidR="00D6242C">
        <w:t>, pp 167-176</w:t>
      </w:r>
      <w:r w:rsidR="00311D42" w:rsidRPr="00311D42">
        <w:t>.</w:t>
      </w:r>
      <w:bookmarkEnd w:id="29"/>
    </w:p>
    <w:p w:rsidR="00311D42" w:rsidRDefault="004F1015" w:rsidP="00F67166">
      <w:pPr>
        <w:jc w:val="both"/>
      </w:pPr>
      <w:bookmarkStart w:id="30" w:name="_ENREF_38"/>
      <w:r>
        <w:t>Wincott, D. (2003)</w:t>
      </w:r>
      <w:r w:rsidR="00311D42" w:rsidRPr="00311D42">
        <w:t xml:space="preserve"> </w:t>
      </w:r>
      <w:r>
        <w:t>'</w:t>
      </w:r>
      <w:r w:rsidR="00311D42" w:rsidRPr="00311D42">
        <w:t>Beyond Social Regulation? New Instruments and/or a New Agenda for Social Policy at Lisbon?</w:t>
      </w:r>
      <w:r>
        <w:t>'</w:t>
      </w:r>
      <w:r w:rsidR="00311D42" w:rsidRPr="00311D42">
        <w:t xml:space="preserve"> </w:t>
      </w:r>
      <w:r w:rsidR="00311D42" w:rsidRPr="00311D42">
        <w:rPr>
          <w:i/>
        </w:rPr>
        <w:t>Public Administration, 81</w:t>
      </w:r>
      <w:r w:rsidR="00311D42" w:rsidRPr="00311D42">
        <w:t xml:space="preserve">(3), 533-553. </w:t>
      </w:r>
      <w:bookmarkEnd w:id="30"/>
    </w:p>
    <w:p w:rsidR="00F14AED" w:rsidRDefault="00F14AED" w:rsidP="00F67166">
      <w:pPr>
        <w:jc w:val="both"/>
      </w:pPr>
      <w:r w:rsidRPr="00F14AED">
        <w:t xml:space="preserve">Woolfson C and Sommers J. (2006) Labour Mobility in Construction: European Implications of the Laval un Partneri Dispute with Swedish Labour. </w:t>
      </w:r>
      <w:proofErr w:type="gramStart"/>
      <w:r w:rsidRPr="00F14AED">
        <w:rPr>
          <w:i/>
        </w:rPr>
        <w:t>European Journal of Industrial Relations</w:t>
      </w:r>
      <w:r w:rsidR="00AC0DC0">
        <w:t xml:space="preserve">, </w:t>
      </w:r>
      <w:r w:rsidRPr="00F14AED">
        <w:t>12: 49-68.</w:t>
      </w:r>
      <w:proofErr w:type="gramEnd"/>
    </w:p>
    <w:p w:rsidR="00F14AED" w:rsidRPr="00311D42" w:rsidRDefault="00F14AED" w:rsidP="00F67166">
      <w:pPr>
        <w:jc w:val="both"/>
      </w:pPr>
      <w:r w:rsidRPr="00F14AED">
        <w:t xml:space="preserve">Woolfson C and Sommers J. (2016) Austerity and the Demise of Social Europe: The Baltic Model versus the European Social Model. </w:t>
      </w:r>
      <w:r w:rsidRPr="002D5BE3">
        <w:rPr>
          <w:i/>
        </w:rPr>
        <w:t>Globalizations</w:t>
      </w:r>
      <w:r w:rsidR="00AC0DC0">
        <w:t>,</w:t>
      </w:r>
      <w:r w:rsidRPr="00F14AED">
        <w:t xml:space="preserve"> 13: 78-93.</w:t>
      </w:r>
    </w:p>
    <w:p w:rsidR="00311D42" w:rsidRPr="00311D42" w:rsidRDefault="00311D42" w:rsidP="00F67166">
      <w:pPr>
        <w:jc w:val="both"/>
      </w:pPr>
    </w:p>
    <w:p w:rsidR="00F67166" w:rsidRDefault="00C11EB3">
      <w:pPr>
        <w:jc w:val="both"/>
      </w:pPr>
      <w:r w:rsidRPr="00311D42">
        <w:fldChar w:fldCharType="end"/>
      </w:r>
    </w:p>
    <w:sectPr w:rsidR="00F67166" w:rsidSect="00C11EB3">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DD1" w:rsidRDefault="007E3DD1" w:rsidP="000E3EBE">
      <w:pPr>
        <w:spacing w:after="0" w:line="240" w:lineRule="auto"/>
      </w:pPr>
      <w:r>
        <w:separator/>
      </w:r>
    </w:p>
  </w:endnote>
  <w:endnote w:type="continuationSeparator" w:id="0">
    <w:p w:rsidR="007E3DD1" w:rsidRDefault="007E3DD1" w:rsidP="000E3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DD1" w:rsidRDefault="007E3DD1" w:rsidP="000E3EBE">
      <w:pPr>
        <w:spacing w:after="0" w:line="240" w:lineRule="auto"/>
      </w:pPr>
      <w:r>
        <w:separator/>
      </w:r>
    </w:p>
  </w:footnote>
  <w:footnote w:type="continuationSeparator" w:id="0">
    <w:p w:rsidR="007E3DD1" w:rsidRDefault="007E3DD1" w:rsidP="000E3EBE">
      <w:pPr>
        <w:spacing w:after="0" w:line="240" w:lineRule="auto"/>
      </w:pPr>
      <w:r>
        <w:continuationSeparator/>
      </w:r>
    </w:p>
  </w:footnote>
  <w:footnote w:id="1">
    <w:p w:rsidR="007E3DD1" w:rsidRDefault="007E3DD1">
      <w:pPr>
        <w:pStyle w:val="FootnoteText"/>
      </w:pPr>
      <w:r>
        <w:rPr>
          <w:rStyle w:val="FootnoteReference"/>
        </w:rPr>
        <w:footnoteRef/>
      </w:r>
      <w:r>
        <w:t xml:space="preserve"> </w:t>
      </w:r>
      <w:proofErr w:type="gramStart"/>
      <w:r>
        <w:t>The Treaty of Rome.</w:t>
      </w:r>
      <w:proofErr w:type="gramEnd"/>
      <w:r>
        <w:t xml:space="preserve"> Accessible from:  http://</w:t>
      </w:r>
      <w:r w:rsidRPr="00FE1D88">
        <w:t>ec.europa.eu/archives/emu_history/documents/treaties/rometreaty2.pdf</w:t>
      </w:r>
    </w:p>
  </w:footnote>
  <w:footnote w:id="2">
    <w:p w:rsidR="007E3DD1" w:rsidRDefault="007E3DD1">
      <w:pPr>
        <w:pStyle w:val="FootnoteText"/>
      </w:pPr>
      <w:r>
        <w:rPr>
          <w:rStyle w:val="FootnoteReference"/>
        </w:rPr>
        <w:footnoteRef/>
      </w:r>
      <w:r>
        <w:t xml:space="preserve"> The ECJ does not have any political authority over the enforcement of the rulings. It is for Member States and national courts to respond and respect its rulings. Failure to respond can lead to financial sanctions (Conant, 2002).</w:t>
      </w:r>
    </w:p>
  </w:footnote>
  <w:footnote w:id="3">
    <w:p w:rsidR="007E3DD1" w:rsidRDefault="007E3DD1">
      <w:pPr>
        <w:pStyle w:val="FootnoteText"/>
      </w:pPr>
      <w:r>
        <w:rPr>
          <w:rStyle w:val="FootnoteReference"/>
        </w:rPr>
        <w:footnoteRef/>
      </w:r>
      <w:r>
        <w:t xml:space="preserve"> </w:t>
      </w:r>
      <w:r w:rsidRPr="00B254AD">
        <w:t xml:space="preserve">Meta-regulation concerns the governing of transnational interactions between a) the collective rights inscribed in </w:t>
      </w:r>
      <w:r>
        <w:t>Member States</w:t>
      </w:r>
      <w:r w:rsidRPr="00B254AD">
        <w:t xml:space="preserve">’ labour laws, and between b) the principles and norms embodied in these laws vs. the principles and norms regarding the regulation of the free movement of services in all EU </w:t>
      </w:r>
      <w:r>
        <w:t xml:space="preserve">Member States (see Papadopoulos and </w:t>
      </w:r>
      <w:proofErr w:type="spellStart"/>
      <w:r>
        <w:t>Roumpakis</w:t>
      </w:r>
      <w:proofErr w:type="spellEnd"/>
      <w:r>
        <w:t>, 2013a)</w:t>
      </w:r>
      <w:r w:rsidRPr="00B254AD">
        <w:t>.</w:t>
      </w:r>
    </w:p>
  </w:footnote>
  <w:footnote w:id="4">
    <w:p w:rsidR="007E3DD1" w:rsidRDefault="007E3DD1" w:rsidP="005E4F85">
      <w:pPr>
        <w:pStyle w:val="FootnoteText"/>
      </w:pPr>
      <w:r>
        <w:rPr>
          <w:rStyle w:val="FootnoteReference"/>
        </w:rPr>
        <w:footnoteRef/>
      </w:r>
      <w:r>
        <w:t xml:space="preserve"> On the ‘principle of proportionality’ see </w:t>
      </w:r>
      <w:proofErr w:type="spellStart"/>
      <w:r>
        <w:t>Martinsen</w:t>
      </w:r>
      <w:proofErr w:type="spellEnd"/>
      <w:r>
        <w:t xml:space="preserve"> (2011: 947).  Essentially it reaffirms the role of ECJ as the judge of what is reasonable and where the balance strikes.</w:t>
      </w:r>
    </w:p>
  </w:footnote>
  <w:footnote w:id="5">
    <w:p w:rsidR="007E3DD1" w:rsidRDefault="007E3DD1" w:rsidP="005E4F85">
      <w:pPr>
        <w:pStyle w:val="FootnoteText"/>
      </w:pPr>
      <w:r>
        <w:rPr>
          <w:rStyle w:val="FootnoteReference"/>
        </w:rPr>
        <w:footnoteRef/>
      </w:r>
      <w:r w:rsidR="001F2C12">
        <w:t xml:space="preserve"> The cases refer</w:t>
      </w:r>
      <w:r>
        <w:t xml:space="preserve"> to the rulings on </w:t>
      </w:r>
      <w:proofErr w:type="spellStart"/>
      <w:r w:rsidRPr="00F779F1">
        <w:rPr>
          <w:i/>
        </w:rPr>
        <w:t>Centros</w:t>
      </w:r>
      <w:proofErr w:type="spellEnd"/>
      <w:r w:rsidRPr="00F779F1">
        <w:rPr>
          <w:i/>
        </w:rPr>
        <w:t xml:space="preserve"> Ltd</w:t>
      </w:r>
      <w:r>
        <w:t xml:space="preserve"> and</w:t>
      </w:r>
      <w:r w:rsidRPr="00D909E6">
        <w:t xml:space="preserve"> </w:t>
      </w:r>
      <w:r w:rsidRPr="00F779F1">
        <w:rPr>
          <w:i/>
        </w:rPr>
        <w:t>Inspire Art Ltd</w:t>
      </w:r>
      <w:r w:rsidRPr="00D909E6">
        <w:t>.</w:t>
      </w:r>
      <w:r>
        <w:t xml:space="preserve"> (see </w:t>
      </w:r>
      <w:proofErr w:type="spellStart"/>
      <w:r w:rsidRPr="00D909E6">
        <w:t>Höpner</w:t>
      </w:r>
      <w:proofErr w:type="spellEnd"/>
      <w:r w:rsidRPr="00D909E6">
        <w:t xml:space="preserve"> and </w:t>
      </w:r>
      <w:proofErr w:type="spellStart"/>
      <w:r w:rsidRPr="00D909E6">
        <w:t>Schäfer</w:t>
      </w:r>
      <w:proofErr w:type="spellEnd"/>
      <w:r>
        <w:t>, 2007).</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68B"/>
    <w:multiLevelType w:val="hybridMultilevel"/>
    <w:tmpl w:val="5B30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7B35A37"/>
    <w:multiLevelType w:val="hybridMultilevel"/>
    <w:tmpl w:val="8EA27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oNotTrackMoves/>
  <w:defaultTabStop w:val="720"/>
  <w:characterSpacingControl w:val="doNotCompress"/>
  <w:footnotePr>
    <w:footnote w:id="-1"/>
    <w:footnote w:id="0"/>
  </w:footnotePr>
  <w:endnotePr>
    <w:endnote w:id="-1"/>
    <w:endnote w:id="0"/>
  </w:endnotePr>
  <w:compat/>
  <w:rsids>
    <w:rsidRoot w:val="00935A6A"/>
    <w:rsid w:val="000166F9"/>
    <w:rsid w:val="000176F5"/>
    <w:rsid w:val="000215CD"/>
    <w:rsid w:val="00021B74"/>
    <w:rsid w:val="00026527"/>
    <w:rsid w:val="00026AF6"/>
    <w:rsid w:val="00030727"/>
    <w:rsid w:val="000326BD"/>
    <w:rsid w:val="00033A23"/>
    <w:rsid w:val="00040D6E"/>
    <w:rsid w:val="00053253"/>
    <w:rsid w:val="0006244B"/>
    <w:rsid w:val="00063A4A"/>
    <w:rsid w:val="0006496A"/>
    <w:rsid w:val="00066FB1"/>
    <w:rsid w:val="00077897"/>
    <w:rsid w:val="000812A0"/>
    <w:rsid w:val="0008282D"/>
    <w:rsid w:val="0009143E"/>
    <w:rsid w:val="000A175B"/>
    <w:rsid w:val="000A2A11"/>
    <w:rsid w:val="000A3350"/>
    <w:rsid w:val="000A788C"/>
    <w:rsid w:val="000C0E82"/>
    <w:rsid w:val="000D4764"/>
    <w:rsid w:val="000E0244"/>
    <w:rsid w:val="000E3EBE"/>
    <w:rsid w:val="000E7E4F"/>
    <w:rsid w:val="00105CA3"/>
    <w:rsid w:val="00107D9A"/>
    <w:rsid w:val="00113240"/>
    <w:rsid w:val="0011776D"/>
    <w:rsid w:val="001218E9"/>
    <w:rsid w:val="00121DB2"/>
    <w:rsid w:val="0012336D"/>
    <w:rsid w:val="001378F1"/>
    <w:rsid w:val="00141FE5"/>
    <w:rsid w:val="00157526"/>
    <w:rsid w:val="00160C46"/>
    <w:rsid w:val="001615C3"/>
    <w:rsid w:val="00163FD0"/>
    <w:rsid w:val="00165E18"/>
    <w:rsid w:val="00167B21"/>
    <w:rsid w:val="00176D56"/>
    <w:rsid w:val="00180E89"/>
    <w:rsid w:val="001A1783"/>
    <w:rsid w:val="001A784B"/>
    <w:rsid w:val="001C2EF8"/>
    <w:rsid w:val="001C34AF"/>
    <w:rsid w:val="001D04D3"/>
    <w:rsid w:val="001D61C1"/>
    <w:rsid w:val="001D7FA0"/>
    <w:rsid w:val="001E0AB5"/>
    <w:rsid w:val="001E31AF"/>
    <w:rsid w:val="001F2C12"/>
    <w:rsid w:val="001F5CF2"/>
    <w:rsid w:val="002036FE"/>
    <w:rsid w:val="00215EFD"/>
    <w:rsid w:val="00221A8D"/>
    <w:rsid w:val="002235DC"/>
    <w:rsid w:val="0023382F"/>
    <w:rsid w:val="00236C30"/>
    <w:rsid w:val="002407AD"/>
    <w:rsid w:val="00245271"/>
    <w:rsid w:val="002463B9"/>
    <w:rsid w:val="00256D33"/>
    <w:rsid w:val="00257812"/>
    <w:rsid w:val="00257ACA"/>
    <w:rsid w:val="0026635D"/>
    <w:rsid w:val="002664F1"/>
    <w:rsid w:val="00273CA3"/>
    <w:rsid w:val="00282FB5"/>
    <w:rsid w:val="00285001"/>
    <w:rsid w:val="0028652D"/>
    <w:rsid w:val="00292439"/>
    <w:rsid w:val="002A72F0"/>
    <w:rsid w:val="002B51FF"/>
    <w:rsid w:val="002B55B8"/>
    <w:rsid w:val="002C1AF2"/>
    <w:rsid w:val="002C1DD8"/>
    <w:rsid w:val="002C1F2C"/>
    <w:rsid w:val="002D00CD"/>
    <w:rsid w:val="002D5606"/>
    <w:rsid w:val="002D5BE3"/>
    <w:rsid w:val="002E6666"/>
    <w:rsid w:val="002F2AED"/>
    <w:rsid w:val="002F4511"/>
    <w:rsid w:val="002F4B76"/>
    <w:rsid w:val="00300577"/>
    <w:rsid w:val="003047B8"/>
    <w:rsid w:val="003118CE"/>
    <w:rsid w:val="00311D42"/>
    <w:rsid w:val="0031377B"/>
    <w:rsid w:val="00315B38"/>
    <w:rsid w:val="00317A44"/>
    <w:rsid w:val="00317AC2"/>
    <w:rsid w:val="00320F0B"/>
    <w:rsid w:val="0032170C"/>
    <w:rsid w:val="00324372"/>
    <w:rsid w:val="003264CC"/>
    <w:rsid w:val="0034605D"/>
    <w:rsid w:val="003519A7"/>
    <w:rsid w:val="00351A94"/>
    <w:rsid w:val="00353439"/>
    <w:rsid w:val="00361711"/>
    <w:rsid w:val="00367024"/>
    <w:rsid w:val="003716EF"/>
    <w:rsid w:val="00371C67"/>
    <w:rsid w:val="0038198B"/>
    <w:rsid w:val="00382239"/>
    <w:rsid w:val="00382A77"/>
    <w:rsid w:val="00391A8E"/>
    <w:rsid w:val="0039535F"/>
    <w:rsid w:val="003A23B7"/>
    <w:rsid w:val="003A579F"/>
    <w:rsid w:val="003B1188"/>
    <w:rsid w:val="003B45DF"/>
    <w:rsid w:val="003C4707"/>
    <w:rsid w:val="003C7A6C"/>
    <w:rsid w:val="003D08AE"/>
    <w:rsid w:val="003D181E"/>
    <w:rsid w:val="003D448A"/>
    <w:rsid w:val="003D45AB"/>
    <w:rsid w:val="003D5D79"/>
    <w:rsid w:val="003E0620"/>
    <w:rsid w:val="003E23E6"/>
    <w:rsid w:val="003E248E"/>
    <w:rsid w:val="003E2FF1"/>
    <w:rsid w:val="003F254D"/>
    <w:rsid w:val="003F3DFC"/>
    <w:rsid w:val="00400164"/>
    <w:rsid w:val="00402417"/>
    <w:rsid w:val="00407144"/>
    <w:rsid w:val="004121F7"/>
    <w:rsid w:val="004124D0"/>
    <w:rsid w:val="004176E7"/>
    <w:rsid w:val="0041798B"/>
    <w:rsid w:val="004263D9"/>
    <w:rsid w:val="0043051B"/>
    <w:rsid w:val="0044545F"/>
    <w:rsid w:val="00450290"/>
    <w:rsid w:val="004559E6"/>
    <w:rsid w:val="00457C6C"/>
    <w:rsid w:val="00463E57"/>
    <w:rsid w:val="00464DA0"/>
    <w:rsid w:val="00465D89"/>
    <w:rsid w:val="0046688F"/>
    <w:rsid w:val="00466DE9"/>
    <w:rsid w:val="004746AC"/>
    <w:rsid w:val="00475402"/>
    <w:rsid w:val="00475C0D"/>
    <w:rsid w:val="004877BA"/>
    <w:rsid w:val="004956B6"/>
    <w:rsid w:val="0049781D"/>
    <w:rsid w:val="004A136D"/>
    <w:rsid w:val="004B2CDA"/>
    <w:rsid w:val="004C40B2"/>
    <w:rsid w:val="004E3926"/>
    <w:rsid w:val="004E7276"/>
    <w:rsid w:val="004F1015"/>
    <w:rsid w:val="004F699A"/>
    <w:rsid w:val="004F7994"/>
    <w:rsid w:val="00501DF9"/>
    <w:rsid w:val="005022CE"/>
    <w:rsid w:val="00502EA7"/>
    <w:rsid w:val="00503A4C"/>
    <w:rsid w:val="0050442D"/>
    <w:rsid w:val="005155EC"/>
    <w:rsid w:val="005248DE"/>
    <w:rsid w:val="005318E7"/>
    <w:rsid w:val="00537267"/>
    <w:rsid w:val="00537442"/>
    <w:rsid w:val="00540713"/>
    <w:rsid w:val="005470AD"/>
    <w:rsid w:val="00551101"/>
    <w:rsid w:val="00552203"/>
    <w:rsid w:val="00553208"/>
    <w:rsid w:val="005564F0"/>
    <w:rsid w:val="00562B69"/>
    <w:rsid w:val="00563544"/>
    <w:rsid w:val="00587353"/>
    <w:rsid w:val="005A3823"/>
    <w:rsid w:val="005A6987"/>
    <w:rsid w:val="005A6F28"/>
    <w:rsid w:val="005C6825"/>
    <w:rsid w:val="005D0051"/>
    <w:rsid w:val="005D056C"/>
    <w:rsid w:val="005D18F6"/>
    <w:rsid w:val="005D251B"/>
    <w:rsid w:val="005D2E38"/>
    <w:rsid w:val="005D786A"/>
    <w:rsid w:val="005E4F85"/>
    <w:rsid w:val="005F0F1D"/>
    <w:rsid w:val="00601CDE"/>
    <w:rsid w:val="00605F22"/>
    <w:rsid w:val="006104B7"/>
    <w:rsid w:val="00611679"/>
    <w:rsid w:val="00613351"/>
    <w:rsid w:val="00622682"/>
    <w:rsid w:val="006314BB"/>
    <w:rsid w:val="00631CAB"/>
    <w:rsid w:val="006368F5"/>
    <w:rsid w:val="006410C8"/>
    <w:rsid w:val="006443A2"/>
    <w:rsid w:val="00652624"/>
    <w:rsid w:val="00653072"/>
    <w:rsid w:val="00656464"/>
    <w:rsid w:val="00661E1F"/>
    <w:rsid w:val="00663796"/>
    <w:rsid w:val="006651E1"/>
    <w:rsid w:val="00672C74"/>
    <w:rsid w:val="00695B18"/>
    <w:rsid w:val="006A15F1"/>
    <w:rsid w:val="006A6574"/>
    <w:rsid w:val="006B4037"/>
    <w:rsid w:val="006B4368"/>
    <w:rsid w:val="006C03ED"/>
    <w:rsid w:val="006C10BD"/>
    <w:rsid w:val="006D3EDE"/>
    <w:rsid w:val="006D3F65"/>
    <w:rsid w:val="006D42BE"/>
    <w:rsid w:val="006D439E"/>
    <w:rsid w:val="006D688C"/>
    <w:rsid w:val="006E66F8"/>
    <w:rsid w:val="006E7451"/>
    <w:rsid w:val="006F3346"/>
    <w:rsid w:val="006F3384"/>
    <w:rsid w:val="007002B5"/>
    <w:rsid w:val="007017CD"/>
    <w:rsid w:val="00702B3F"/>
    <w:rsid w:val="00703305"/>
    <w:rsid w:val="0071018C"/>
    <w:rsid w:val="0073026A"/>
    <w:rsid w:val="00733AB4"/>
    <w:rsid w:val="00740A8D"/>
    <w:rsid w:val="0075096C"/>
    <w:rsid w:val="00753A39"/>
    <w:rsid w:val="0075466E"/>
    <w:rsid w:val="00756BF6"/>
    <w:rsid w:val="007600F0"/>
    <w:rsid w:val="00760102"/>
    <w:rsid w:val="0076090E"/>
    <w:rsid w:val="00762A0C"/>
    <w:rsid w:val="00762A4E"/>
    <w:rsid w:val="00764E18"/>
    <w:rsid w:val="007714B9"/>
    <w:rsid w:val="007869EC"/>
    <w:rsid w:val="00786DEF"/>
    <w:rsid w:val="00790254"/>
    <w:rsid w:val="0079057E"/>
    <w:rsid w:val="007928E8"/>
    <w:rsid w:val="00792C6F"/>
    <w:rsid w:val="00793EBD"/>
    <w:rsid w:val="007A05B8"/>
    <w:rsid w:val="007B24FE"/>
    <w:rsid w:val="007C08F5"/>
    <w:rsid w:val="007D72B4"/>
    <w:rsid w:val="007E3DD1"/>
    <w:rsid w:val="007F0E56"/>
    <w:rsid w:val="007F22AD"/>
    <w:rsid w:val="007F251C"/>
    <w:rsid w:val="007F2D51"/>
    <w:rsid w:val="00802A63"/>
    <w:rsid w:val="008144C4"/>
    <w:rsid w:val="0081570A"/>
    <w:rsid w:val="008233A9"/>
    <w:rsid w:val="008505F9"/>
    <w:rsid w:val="00857391"/>
    <w:rsid w:val="008641D2"/>
    <w:rsid w:val="008701F6"/>
    <w:rsid w:val="00871974"/>
    <w:rsid w:val="00872351"/>
    <w:rsid w:val="0087457D"/>
    <w:rsid w:val="00876B5E"/>
    <w:rsid w:val="00880C43"/>
    <w:rsid w:val="0088503E"/>
    <w:rsid w:val="00887002"/>
    <w:rsid w:val="008A1B15"/>
    <w:rsid w:val="008A3C56"/>
    <w:rsid w:val="008B030D"/>
    <w:rsid w:val="008B687B"/>
    <w:rsid w:val="008B6D93"/>
    <w:rsid w:val="008B78DC"/>
    <w:rsid w:val="008B7AF2"/>
    <w:rsid w:val="008C7C73"/>
    <w:rsid w:val="008C7E0A"/>
    <w:rsid w:val="008D2550"/>
    <w:rsid w:val="008D44AC"/>
    <w:rsid w:val="008D5E77"/>
    <w:rsid w:val="008D7A6E"/>
    <w:rsid w:val="008E4BD6"/>
    <w:rsid w:val="008E7F2B"/>
    <w:rsid w:val="009054D5"/>
    <w:rsid w:val="00906CAD"/>
    <w:rsid w:val="00906F4A"/>
    <w:rsid w:val="00917AAE"/>
    <w:rsid w:val="00924676"/>
    <w:rsid w:val="00927D86"/>
    <w:rsid w:val="00935A6A"/>
    <w:rsid w:val="00935C31"/>
    <w:rsid w:val="0094387D"/>
    <w:rsid w:val="00945B96"/>
    <w:rsid w:val="00952F51"/>
    <w:rsid w:val="00953198"/>
    <w:rsid w:val="0095722F"/>
    <w:rsid w:val="00961994"/>
    <w:rsid w:val="0097519A"/>
    <w:rsid w:val="00987C4B"/>
    <w:rsid w:val="009B0E3B"/>
    <w:rsid w:val="009B1FBC"/>
    <w:rsid w:val="009B5A9B"/>
    <w:rsid w:val="009B7854"/>
    <w:rsid w:val="009C0C7E"/>
    <w:rsid w:val="009C548A"/>
    <w:rsid w:val="009D58AB"/>
    <w:rsid w:val="009E10F7"/>
    <w:rsid w:val="009E1496"/>
    <w:rsid w:val="009E5971"/>
    <w:rsid w:val="009E71B7"/>
    <w:rsid w:val="009F2176"/>
    <w:rsid w:val="009F4605"/>
    <w:rsid w:val="00A004C3"/>
    <w:rsid w:val="00A03251"/>
    <w:rsid w:val="00A04BDE"/>
    <w:rsid w:val="00A1085D"/>
    <w:rsid w:val="00A1139A"/>
    <w:rsid w:val="00A231A3"/>
    <w:rsid w:val="00A305E3"/>
    <w:rsid w:val="00A37CA2"/>
    <w:rsid w:val="00A409C1"/>
    <w:rsid w:val="00A412F2"/>
    <w:rsid w:val="00A429E6"/>
    <w:rsid w:val="00A43C22"/>
    <w:rsid w:val="00A526BF"/>
    <w:rsid w:val="00A53AAC"/>
    <w:rsid w:val="00A60637"/>
    <w:rsid w:val="00A620EF"/>
    <w:rsid w:val="00A625CF"/>
    <w:rsid w:val="00A67960"/>
    <w:rsid w:val="00A75AB5"/>
    <w:rsid w:val="00A8173D"/>
    <w:rsid w:val="00A84FA5"/>
    <w:rsid w:val="00A916F1"/>
    <w:rsid w:val="00A91B1B"/>
    <w:rsid w:val="00AC0DC0"/>
    <w:rsid w:val="00AC4681"/>
    <w:rsid w:val="00AC4DEA"/>
    <w:rsid w:val="00AC5F99"/>
    <w:rsid w:val="00AD2392"/>
    <w:rsid w:val="00AD2B6F"/>
    <w:rsid w:val="00AD3CA1"/>
    <w:rsid w:val="00AD7EBB"/>
    <w:rsid w:val="00AD7FAD"/>
    <w:rsid w:val="00AE08DE"/>
    <w:rsid w:val="00AE48E5"/>
    <w:rsid w:val="00AF2B14"/>
    <w:rsid w:val="00AF3FD6"/>
    <w:rsid w:val="00AF7C4A"/>
    <w:rsid w:val="00B036E4"/>
    <w:rsid w:val="00B03B54"/>
    <w:rsid w:val="00B059EA"/>
    <w:rsid w:val="00B064B6"/>
    <w:rsid w:val="00B066AC"/>
    <w:rsid w:val="00B177A9"/>
    <w:rsid w:val="00B254AD"/>
    <w:rsid w:val="00B2673A"/>
    <w:rsid w:val="00B2683A"/>
    <w:rsid w:val="00B27997"/>
    <w:rsid w:val="00B27999"/>
    <w:rsid w:val="00B426F7"/>
    <w:rsid w:val="00B431B3"/>
    <w:rsid w:val="00B44E72"/>
    <w:rsid w:val="00B47329"/>
    <w:rsid w:val="00B57136"/>
    <w:rsid w:val="00B656FC"/>
    <w:rsid w:val="00B762E8"/>
    <w:rsid w:val="00B90F41"/>
    <w:rsid w:val="00B972A2"/>
    <w:rsid w:val="00BA4FA7"/>
    <w:rsid w:val="00BA71AA"/>
    <w:rsid w:val="00BB1E22"/>
    <w:rsid w:val="00BB41BF"/>
    <w:rsid w:val="00BB6893"/>
    <w:rsid w:val="00BC1543"/>
    <w:rsid w:val="00BC704C"/>
    <w:rsid w:val="00BE47EB"/>
    <w:rsid w:val="00BF2A9E"/>
    <w:rsid w:val="00BF7C5A"/>
    <w:rsid w:val="00C01A09"/>
    <w:rsid w:val="00C03455"/>
    <w:rsid w:val="00C042E2"/>
    <w:rsid w:val="00C04CBC"/>
    <w:rsid w:val="00C06430"/>
    <w:rsid w:val="00C11EB3"/>
    <w:rsid w:val="00C3019E"/>
    <w:rsid w:val="00C30735"/>
    <w:rsid w:val="00C31BD8"/>
    <w:rsid w:val="00C42F18"/>
    <w:rsid w:val="00C61557"/>
    <w:rsid w:val="00C61D92"/>
    <w:rsid w:val="00C6420A"/>
    <w:rsid w:val="00C72EFF"/>
    <w:rsid w:val="00C73FEE"/>
    <w:rsid w:val="00C7584B"/>
    <w:rsid w:val="00C823B2"/>
    <w:rsid w:val="00C94253"/>
    <w:rsid w:val="00C9700C"/>
    <w:rsid w:val="00C97AE4"/>
    <w:rsid w:val="00CA1DF1"/>
    <w:rsid w:val="00CA30A9"/>
    <w:rsid w:val="00CA5A29"/>
    <w:rsid w:val="00CB59CA"/>
    <w:rsid w:val="00CC0AD9"/>
    <w:rsid w:val="00CE30C4"/>
    <w:rsid w:val="00CE3ECC"/>
    <w:rsid w:val="00D33C28"/>
    <w:rsid w:val="00D413DC"/>
    <w:rsid w:val="00D5206E"/>
    <w:rsid w:val="00D6242C"/>
    <w:rsid w:val="00D67126"/>
    <w:rsid w:val="00D727FD"/>
    <w:rsid w:val="00D83277"/>
    <w:rsid w:val="00D909E6"/>
    <w:rsid w:val="00D93E92"/>
    <w:rsid w:val="00DA7B84"/>
    <w:rsid w:val="00DC141A"/>
    <w:rsid w:val="00DC1633"/>
    <w:rsid w:val="00DC1922"/>
    <w:rsid w:val="00DC4ABE"/>
    <w:rsid w:val="00DD365D"/>
    <w:rsid w:val="00DD49E3"/>
    <w:rsid w:val="00DD58BA"/>
    <w:rsid w:val="00DE15F2"/>
    <w:rsid w:val="00DE4E34"/>
    <w:rsid w:val="00DF1DD2"/>
    <w:rsid w:val="00DF2BCB"/>
    <w:rsid w:val="00E06123"/>
    <w:rsid w:val="00E20026"/>
    <w:rsid w:val="00E27EC9"/>
    <w:rsid w:val="00E43BA4"/>
    <w:rsid w:val="00E46AE1"/>
    <w:rsid w:val="00E5157C"/>
    <w:rsid w:val="00E51EC6"/>
    <w:rsid w:val="00E53F6D"/>
    <w:rsid w:val="00E601D5"/>
    <w:rsid w:val="00E62B59"/>
    <w:rsid w:val="00E62C8E"/>
    <w:rsid w:val="00E634F2"/>
    <w:rsid w:val="00E70F12"/>
    <w:rsid w:val="00E826DE"/>
    <w:rsid w:val="00E84BD7"/>
    <w:rsid w:val="00E85445"/>
    <w:rsid w:val="00E91920"/>
    <w:rsid w:val="00EA0E59"/>
    <w:rsid w:val="00EA2D29"/>
    <w:rsid w:val="00EA304D"/>
    <w:rsid w:val="00EA5DD4"/>
    <w:rsid w:val="00EA644B"/>
    <w:rsid w:val="00EA66FB"/>
    <w:rsid w:val="00EA6FF7"/>
    <w:rsid w:val="00EB4252"/>
    <w:rsid w:val="00EC1FA9"/>
    <w:rsid w:val="00EC23AB"/>
    <w:rsid w:val="00EC28EB"/>
    <w:rsid w:val="00EC42B1"/>
    <w:rsid w:val="00EC529C"/>
    <w:rsid w:val="00ED0B99"/>
    <w:rsid w:val="00ED33DE"/>
    <w:rsid w:val="00ED5021"/>
    <w:rsid w:val="00EE34EA"/>
    <w:rsid w:val="00EE43BE"/>
    <w:rsid w:val="00EE4929"/>
    <w:rsid w:val="00EE5117"/>
    <w:rsid w:val="00EE5E42"/>
    <w:rsid w:val="00EE76CD"/>
    <w:rsid w:val="00EF5F95"/>
    <w:rsid w:val="00F05587"/>
    <w:rsid w:val="00F14AED"/>
    <w:rsid w:val="00F2170C"/>
    <w:rsid w:val="00F263EB"/>
    <w:rsid w:val="00F30789"/>
    <w:rsid w:val="00F32469"/>
    <w:rsid w:val="00F32CCA"/>
    <w:rsid w:val="00F33180"/>
    <w:rsid w:val="00F36CF7"/>
    <w:rsid w:val="00F4007F"/>
    <w:rsid w:val="00F417E0"/>
    <w:rsid w:val="00F476FE"/>
    <w:rsid w:val="00F47C9E"/>
    <w:rsid w:val="00F5274C"/>
    <w:rsid w:val="00F67166"/>
    <w:rsid w:val="00F70B22"/>
    <w:rsid w:val="00F717FD"/>
    <w:rsid w:val="00F779F1"/>
    <w:rsid w:val="00FB2FB5"/>
    <w:rsid w:val="00FB64C1"/>
    <w:rsid w:val="00FC5C6C"/>
    <w:rsid w:val="00FD5354"/>
    <w:rsid w:val="00FD5DE9"/>
    <w:rsid w:val="00FE1D88"/>
    <w:rsid w:val="00FE3D15"/>
    <w:rsid w:val="00FE41F1"/>
    <w:rsid w:val="00FF1E19"/>
  </w:rsids>
  <m:mathPr>
    <m:mathFont m:val="Calibri Ligh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C11EB3"/>
  </w:style>
  <w:style w:type="paragraph" w:styleId="Heading1">
    <w:name w:val="heading 1"/>
    <w:basedOn w:val="Normal"/>
    <w:next w:val="Normal"/>
    <w:link w:val="Heading1Char"/>
    <w:uiPriority w:val="9"/>
    <w:qFormat/>
    <w:rsid w:val="00553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32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32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dnoteText">
    <w:name w:val="endnote text"/>
    <w:basedOn w:val="Normal"/>
    <w:link w:val="EndnoteTextChar"/>
    <w:uiPriority w:val="99"/>
    <w:semiHidden/>
    <w:unhideWhenUsed/>
    <w:rsid w:val="000E3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3EBE"/>
    <w:rPr>
      <w:sz w:val="20"/>
      <w:szCs w:val="20"/>
    </w:rPr>
  </w:style>
  <w:style w:type="character" w:styleId="EndnoteReference">
    <w:name w:val="endnote reference"/>
    <w:basedOn w:val="DefaultParagraphFont"/>
    <w:uiPriority w:val="99"/>
    <w:semiHidden/>
    <w:unhideWhenUsed/>
    <w:rsid w:val="000E3EBE"/>
    <w:rPr>
      <w:vertAlign w:val="superscript"/>
    </w:rPr>
  </w:style>
  <w:style w:type="character" w:styleId="CommentReference">
    <w:name w:val="annotation reference"/>
    <w:basedOn w:val="DefaultParagraphFont"/>
    <w:uiPriority w:val="99"/>
    <w:semiHidden/>
    <w:unhideWhenUsed/>
    <w:rsid w:val="000E3EBE"/>
    <w:rPr>
      <w:sz w:val="16"/>
      <w:szCs w:val="16"/>
    </w:rPr>
  </w:style>
  <w:style w:type="paragraph" w:styleId="CommentText">
    <w:name w:val="annotation text"/>
    <w:basedOn w:val="Normal"/>
    <w:link w:val="CommentTextChar"/>
    <w:uiPriority w:val="99"/>
    <w:semiHidden/>
    <w:unhideWhenUsed/>
    <w:rsid w:val="000E3EBE"/>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0E3EBE"/>
    <w:rPr>
      <w:rFonts w:ascii="Calibri" w:eastAsia="Calibri" w:hAnsi="Calibri" w:cs="Calibri"/>
      <w:sz w:val="20"/>
      <w:szCs w:val="20"/>
    </w:rPr>
  </w:style>
  <w:style w:type="paragraph" w:styleId="BalloonText">
    <w:name w:val="Balloon Text"/>
    <w:basedOn w:val="Normal"/>
    <w:link w:val="BalloonTextChar"/>
    <w:uiPriority w:val="99"/>
    <w:semiHidden/>
    <w:unhideWhenUsed/>
    <w:rsid w:val="000E3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EBE"/>
    <w:rPr>
      <w:rFonts w:ascii="Tahoma" w:hAnsi="Tahoma" w:cs="Tahoma"/>
      <w:sz w:val="16"/>
      <w:szCs w:val="16"/>
    </w:rPr>
  </w:style>
  <w:style w:type="paragraph" w:styleId="FootnoteText">
    <w:name w:val="footnote text"/>
    <w:basedOn w:val="Normal"/>
    <w:link w:val="FootnoteTextChar"/>
    <w:uiPriority w:val="99"/>
    <w:semiHidden/>
    <w:unhideWhenUsed/>
    <w:rsid w:val="009C0C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C7E"/>
    <w:rPr>
      <w:sz w:val="20"/>
      <w:szCs w:val="20"/>
    </w:rPr>
  </w:style>
  <w:style w:type="character" w:styleId="FootnoteReference">
    <w:name w:val="footnote reference"/>
    <w:basedOn w:val="DefaultParagraphFont"/>
    <w:uiPriority w:val="99"/>
    <w:semiHidden/>
    <w:unhideWhenUsed/>
    <w:rsid w:val="009C0C7E"/>
    <w:rPr>
      <w:vertAlign w:val="superscript"/>
    </w:rPr>
  </w:style>
  <w:style w:type="paragraph" w:styleId="Header">
    <w:name w:val="header"/>
    <w:basedOn w:val="Normal"/>
    <w:link w:val="HeaderChar"/>
    <w:uiPriority w:val="99"/>
    <w:unhideWhenUsed/>
    <w:rsid w:val="005D0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56C"/>
  </w:style>
  <w:style w:type="paragraph" w:styleId="Footer">
    <w:name w:val="footer"/>
    <w:basedOn w:val="Normal"/>
    <w:link w:val="FooterChar"/>
    <w:uiPriority w:val="99"/>
    <w:unhideWhenUsed/>
    <w:rsid w:val="005D0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56C"/>
  </w:style>
  <w:style w:type="table" w:styleId="TableGrid">
    <w:name w:val="Table Grid"/>
    <w:basedOn w:val="TableNormal"/>
    <w:uiPriority w:val="59"/>
    <w:rsid w:val="00026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6">
    <w:name w:val="Light Grid Accent 6"/>
    <w:basedOn w:val="TableNormal"/>
    <w:uiPriority w:val="62"/>
    <w:rsid w:val="0041798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1798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798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41798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2-Accent2">
    <w:name w:val="Medium Shading 2 Accent 2"/>
    <w:basedOn w:val="TableNormal"/>
    <w:uiPriority w:val="64"/>
    <w:rsid w:val="0041798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1798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41798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41798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41798B"/>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3">
    <w:name w:val="Light Shading Accent 3"/>
    <w:basedOn w:val="TableNormal"/>
    <w:uiPriority w:val="60"/>
    <w:rsid w:val="00160C4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Hyperlink">
    <w:name w:val="Hyperlink"/>
    <w:basedOn w:val="DefaultParagraphFont"/>
    <w:uiPriority w:val="99"/>
    <w:unhideWhenUsed/>
    <w:rsid w:val="00160C46"/>
    <w:rPr>
      <w:color w:val="0000FF" w:themeColor="hyperlink"/>
      <w:u w:val="single"/>
    </w:rPr>
  </w:style>
  <w:style w:type="paragraph" w:styleId="ListParagraph">
    <w:name w:val="List Paragraph"/>
    <w:basedOn w:val="Normal"/>
    <w:uiPriority w:val="34"/>
    <w:qFormat/>
    <w:rsid w:val="006D688C"/>
    <w:pPr>
      <w:ind w:left="720"/>
      <w:contextualSpacing/>
    </w:pPr>
  </w:style>
  <w:style w:type="paragraph" w:styleId="CommentSubject">
    <w:name w:val="annotation subject"/>
    <w:basedOn w:val="CommentText"/>
    <w:next w:val="CommentText"/>
    <w:link w:val="CommentSubjectChar"/>
    <w:uiPriority w:val="99"/>
    <w:semiHidden/>
    <w:unhideWhenUsed/>
    <w:rsid w:val="0075466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5466E"/>
    <w:rPr>
      <w:rFonts w:ascii="Calibri" w:eastAsia="Calibri" w:hAnsi="Calibri" w:cs="Calibri"/>
      <w:b/>
      <w:bCs/>
      <w:sz w:val="20"/>
      <w:szCs w:val="20"/>
    </w:rPr>
  </w:style>
  <w:style w:type="character" w:customStyle="1" w:styleId="Heading1Char">
    <w:name w:val="Heading 1 Char"/>
    <w:basedOn w:val="DefaultParagraphFont"/>
    <w:link w:val="Heading1"/>
    <w:uiPriority w:val="9"/>
    <w:rsid w:val="005532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32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320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04409483">
      <w:bodyDiv w:val="1"/>
      <w:marLeft w:val="0"/>
      <w:marRight w:val="0"/>
      <w:marTop w:val="0"/>
      <w:marBottom w:val="0"/>
      <w:divBdr>
        <w:top w:val="none" w:sz="0" w:space="0" w:color="auto"/>
        <w:left w:val="none" w:sz="0" w:space="0" w:color="auto"/>
        <w:bottom w:val="none" w:sz="0" w:space="0" w:color="auto"/>
        <w:right w:val="none" w:sz="0" w:space="0" w:color="auto"/>
      </w:divBdr>
    </w:div>
    <w:div w:id="1024598821">
      <w:bodyDiv w:val="1"/>
      <w:marLeft w:val="0"/>
      <w:marRight w:val="0"/>
      <w:marTop w:val="0"/>
      <w:marBottom w:val="0"/>
      <w:divBdr>
        <w:top w:val="none" w:sz="0" w:space="0" w:color="auto"/>
        <w:left w:val="none" w:sz="0" w:space="0" w:color="auto"/>
        <w:bottom w:val="none" w:sz="0" w:space="0" w:color="auto"/>
        <w:right w:val="none" w:sz="0" w:space="0" w:color="auto"/>
      </w:divBdr>
      <w:divsChild>
        <w:div w:id="447703986">
          <w:marLeft w:val="0"/>
          <w:marRight w:val="0"/>
          <w:marTop w:val="0"/>
          <w:marBottom w:val="0"/>
          <w:divBdr>
            <w:top w:val="none" w:sz="0" w:space="0" w:color="auto"/>
            <w:left w:val="none" w:sz="0" w:space="0" w:color="auto"/>
            <w:bottom w:val="none" w:sz="0" w:space="0" w:color="auto"/>
            <w:right w:val="none" w:sz="0" w:space="0" w:color="auto"/>
          </w:divBdr>
        </w:div>
      </w:divsChild>
    </w:div>
    <w:div w:id="17116072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F695-416E-804B-90DB-7C98E3E0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6887</Words>
  <Characters>39474</Characters>
  <Application>Microsoft Macintosh Word</Application>
  <DocSecurity>0</DocSecurity>
  <Lines>560</Lines>
  <Paragraphs>122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Antonios Roumpakis</dc:creator>
  <cp:lastModifiedBy>Antonio</cp:lastModifiedBy>
  <cp:revision>10</cp:revision>
  <cp:lastPrinted>2016-11-29T16:06:00Z</cp:lastPrinted>
  <dcterms:created xsi:type="dcterms:W3CDTF">2016-12-03T13:04:00Z</dcterms:created>
  <dcterms:modified xsi:type="dcterms:W3CDTF">2016-12-03T14:29:00Z</dcterms:modified>
</cp:coreProperties>
</file>