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2C8B" w:rsidRPr="00196E2E" w:rsidRDefault="000F3A41" w:rsidP="004C531E">
      <w:pPr>
        <w:pStyle w:val="RSCM01ReceivedAccepted"/>
      </w:pPr>
      <w:r w:rsidRPr="00196E2E">
        <mc:AlternateContent>
          <mc:Choice Requires="wps">
            <w:drawing>
              <wp:anchor distT="180340" distB="0" distL="114300" distR="114300" simplePos="0" relativeHeight="251662336" behindDoc="1" locked="1" layoutInCell="0" allowOverlap="0" wp14:anchorId="3EA6CF5E" wp14:editId="206E30B4">
                <wp:simplePos x="0" y="0"/>
                <wp:positionH relativeFrom="column">
                  <wp:posOffset>0</wp:posOffset>
                </wp:positionH>
                <wp:positionV relativeFrom="margin">
                  <wp:posOffset>6992620</wp:posOffset>
                </wp:positionV>
                <wp:extent cx="3158490" cy="1627505"/>
                <wp:effectExtent l="0" t="0" r="3810" b="508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490" cy="1627505"/>
                        </a:xfrm>
                        <a:prstGeom prst="rect">
                          <a:avLst/>
                        </a:prstGeom>
                        <a:solidFill>
                          <a:srgbClr val="FFFFFF"/>
                        </a:solidFill>
                        <a:ln w="9525">
                          <a:noFill/>
                          <a:miter lim="800000"/>
                          <a:headEnd/>
                          <a:tailEnd/>
                        </a:ln>
                      </wps:spPr>
                      <wps:txbx>
                        <w:txbxContent>
                          <w:p w:rsidR="006903D0" w:rsidRPr="00241ACD" w:rsidRDefault="006903D0" w:rsidP="004474F3">
                            <w:pPr>
                              <w:pStyle w:val="RSCF01FootnoteAuthorAddress"/>
                            </w:pPr>
                            <w:r>
                              <w:t>Green Chemistry Center of Excellence, Department of Chemistry, University of York, York, UK, Y10 5DD. E-mail: Michael.north@york.ac.uk</w:t>
                            </w:r>
                            <w:r w:rsidRPr="00241ACD">
                              <w:t xml:space="preserve"> </w:t>
                            </w:r>
                          </w:p>
                          <w:p w:rsidR="006903D0" w:rsidRPr="00241ACD" w:rsidRDefault="006903D0" w:rsidP="00241ACD">
                            <w:pPr>
                              <w:pStyle w:val="RSCF02FootnotestoTitleAuthors"/>
                            </w:pPr>
                            <w:r w:rsidRPr="00241ACD">
                              <w:t xml:space="preserve">Electronic Supplementary Information (ESI) available: </w:t>
                            </w:r>
                            <w:r w:rsidRPr="0037563E">
                              <w:rPr>
                                <w:color w:val="000000" w:themeColor="text1"/>
                              </w:rPr>
                              <w:t>[characterising data including copies of NMR spectra and HPLC traces</w:t>
                            </w:r>
                            <w:r w:rsidRPr="00241ACD">
                              <w:t>].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550.6pt;width:248.7pt;height:128.15pt;z-index:-251654144;visibility:visible;mso-wrap-style:square;mso-width-percent:0;mso-height-percent:200;mso-wrap-distance-left:9pt;mso-wrap-distance-top:14.2pt;mso-wrap-distance-right:9pt;mso-wrap-distance-bottom:0;mso-position-horizontal:absolute;mso-position-horizontal-relative:text;mso-position-vertical:absolute;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" o:allowincell="f" o:allowoverlap="f" stroked="f">
                <o:lock v:ext="edit" aspectratio="t"/>
                <v:textbox style="mso-fit-shape-to-text:t" inset="0,1mm,0,1mm">
                  <w:txbxContent>
                    <w:p w:rsidR="006903D0" w:rsidRPr="00241ACD" w:rsidRDefault="006903D0" w:rsidP="004474F3">
                      <w:pPr>
                        <w:pStyle w:val="RSCF01FootnoteAuthorAddress"/>
                      </w:pPr>
                      <w:r>
                        <w:t xml:space="preserve">Green Chemistry </w:t>
                      </w:r>
                      <w:proofErr w:type="spellStart"/>
                      <w:r>
                        <w:t>Center</w:t>
                      </w:r>
                      <w:proofErr w:type="spellEnd"/>
                      <w:r>
                        <w:t xml:space="preserve"> of Excellence, Department of Chemistry, University of York, York, UK, Y10 5DD. E-mail: Michael.north@york.ac.uk</w:t>
                      </w:r>
                      <w:r w:rsidRPr="00241ACD">
                        <w:t xml:space="preserve"> </w:t>
                      </w:r>
                    </w:p>
                    <w:p w:rsidR="006903D0" w:rsidRPr="00241ACD" w:rsidRDefault="006903D0" w:rsidP="00241ACD">
                      <w:pPr>
                        <w:pStyle w:val="RSCF02FootnotestoTitleAuthors"/>
                      </w:pPr>
                      <w:r w:rsidRPr="00241ACD">
                        <w:t xml:space="preserve">Electronic Supplementary Information (ESI) available: </w:t>
                      </w:r>
                      <w:r w:rsidRPr="0037563E">
                        <w:rPr>
                          <w:color w:val="000000" w:themeColor="text1"/>
                        </w:rPr>
                        <w:t>[characterising data including copies of NMR spectra and HPLC traces</w:t>
                      </w:r>
                      <w:r w:rsidRPr="00241ACD">
                        <w:t>]. See DOI: 10.1039/x0xx00000x</w:t>
                      </w:r>
                    </w:p>
                  </w:txbxContent>
                </v:textbox>
                <w10:wrap type="topAndBottom" anchory="margin"/>
                <w10:anchorlock/>
              </v:shape>
            </w:pict>
          </mc:Fallback>
        </mc:AlternateContent>
      </w:r>
      <w:r w:rsidR="00F62C8B" w:rsidRPr="00196E2E">
        <w:t>Received 00th January 20</w:t>
      </w:r>
      <w:r w:rsidR="00F15F90" w:rsidRPr="00196E2E">
        <w:t>xx</w:t>
      </w:r>
      <w:r w:rsidR="00F62C8B" w:rsidRPr="00196E2E">
        <w:t>,</w:t>
      </w:r>
    </w:p>
    <w:p w:rsidR="00F62C8B" w:rsidRPr="00196E2E" w:rsidRDefault="00F62C8B" w:rsidP="004C531E">
      <w:pPr>
        <w:pStyle w:val="RSCM01ReceivedAccepted"/>
      </w:pPr>
      <w:r w:rsidRPr="00196E2E">
        <w:t>Accepted 00th January 20</w:t>
      </w:r>
      <w:r w:rsidR="00F15F90" w:rsidRPr="00196E2E">
        <w:t>xx</w:t>
      </w:r>
    </w:p>
    <w:p w:rsidR="00F62C8B" w:rsidRPr="00196E2E" w:rsidRDefault="00F62C8B" w:rsidP="004C531E">
      <w:pPr>
        <w:pStyle w:val="RSCM02DOI"/>
      </w:pPr>
      <w:r w:rsidRPr="00196E2E">
        <w:t>DOI: 10.1039/x0xx00000x</w:t>
      </w:r>
    </w:p>
    <w:p w:rsidR="00A9649E" w:rsidRPr="00196E2E" w:rsidRDefault="00A9649E" w:rsidP="004C531E">
      <w:pPr>
        <w:pStyle w:val="RSCM03Website"/>
      </w:pPr>
      <w:r w:rsidRPr="00196E2E">
        <w:t>www.rsc.org/</w:t>
      </w:r>
    </w:p>
    <w:p w:rsidR="004414A5" w:rsidRPr="00196E2E" w:rsidRDefault="00F62C8B" w:rsidP="00C32EDF">
      <w:pPr>
        <w:pStyle w:val="RSCH01PaperTitle"/>
      </w:pPr>
      <w:r w:rsidRPr="00196E2E">
        <w:br w:type="column"/>
      </w:r>
      <w:r w:rsidR="004474F3" w:rsidRPr="00196E2E">
        <w:lastRenderedPageBreak/>
        <w:t>The Greening of Peptide Synthesis</w:t>
      </w:r>
      <w:r w:rsidR="004414A5" w:rsidRPr="00196E2E">
        <w:t xml:space="preserve"> </w:t>
      </w:r>
    </w:p>
    <w:p w:rsidR="00FA2DA2" w:rsidRPr="00196E2E" w:rsidRDefault="004474F3" w:rsidP="00F21465">
      <w:pPr>
        <w:pStyle w:val="RSCH02PaperAuthorsandByline"/>
        <w:rPr>
          <w:vertAlign w:val="superscript"/>
        </w:rPr>
      </w:pPr>
      <w:r w:rsidRPr="00196E2E">
        <w:t>Stefan B. Lawrenson</w:t>
      </w:r>
      <w:r w:rsidRPr="00196E2E">
        <w:rPr>
          <w:vertAlign w:val="superscript"/>
        </w:rPr>
        <w:t xml:space="preserve"> a</w:t>
      </w:r>
      <w:r w:rsidRPr="00196E2E">
        <w:t>, Roy Arav</w:t>
      </w:r>
      <w:r w:rsidRPr="00196E2E">
        <w:rPr>
          <w:vertAlign w:val="superscript"/>
        </w:rPr>
        <w:t>a</w:t>
      </w:r>
      <w:r w:rsidRPr="00196E2E">
        <w:t xml:space="preserve"> and Michael North</w:t>
      </w:r>
      <w:r w:rsidRPr="00196E2E">
        <w:rPr>
          <w:vertAlign w:val="superscript"/>
        </w:rPr>
        <w:t>a</w:t>
      </w:r>
      <w:r w:rsidRPr="00196E2E">
        <w:t>*</w:t>
      </w:r>
    </w:p>
    <w:p w:rsidR="00FA2DA2" w:rsidRPr="00196E2E" w:rsidRDefault="004474F3" w:rsidP="00FA2DA2">
      <w:pPr>
        <w:pStyle w:val="RSCB01ARTAbstract"/>
      </w:pPr>
      <w:r w:rsidRPr="00196E2E">
        <w:t>The synthesis of peptides by amide bond formation between suitably protected amino acids is a fundamental part of the drug discovery process. However, the required coupling and deprotection reactions are routinely carried out in dichloromethane and DMF, both of which have serious toxicity concerns and generate waste solvent which constitutes the vast majority of the waste generated during peptide synthesis. In this work, propylene carbonate has been shown to be a green polar aprotic solvent which can be used to replace dichloromethane and DMF in both solution</w:t>
      </w:r>
      <w:r w:rsidR="00FB7858" w:rsidRPr="00196E2E">
        <w:t>-</w:t>
      </w:r>
      <w:r w:rsidRPr="00196E2E">
        <w:t xml:space="preserve"> and </w:t>
      </w:r>
      <w:r w:rsidR="00FB7858" w:rsidRPr="00196E2E">
        <w:t>solid-</w:t>
      </w:r>
      <w:r w:rsidRPr="00196E2E">
        <w:t>ph</w:t>
      </w:r>
      <w:r w:rsidR="00FB7858" w:rsidRPr="00196E2E">
        <w:t>ase peptide synthesis. Solution-</w:t>
      </w:r>
      <w:r w:rsidRPr="00196E2E">
        <w:t>phase chemistry was carried out with Boc/benzyl protecting groups to the</w:t>
      </w:r>
      <w:r w:rsidR="004745E3" w:rsidRPr="00196E2E">
        <w:t xml:space="preserve"> tetrapeptide stage, no epimeris</w:t>
      </w:r>
      <w:r w:rsidRPr="00196E2E">
        <w:t xml:space="preserve">ation occurred during these </w:t>
      </w:r>
      <w:r w:rsidRPr="00196E2E">
        <w:rPr>
          <w:color w:val="000000" w:themeColor="text1"/>
        </w:rPr>
        <w:t xml:space="preserve">syntheses and chemical yields for both coupling and deprotection reactions </w:t>
      </w:r>
      <w:r w:rsidR="003415E9" w:rsidRPr="00196E2E">
        <w:rPr>
          <w:color w:val="000000" w:themeColor="text1"/>
        </w:rPr>
        <w:t xml:space="preserve">in propylene carbonate </w:t>
      </w:r>
      <w:r w:rsidRPr="00196E2E">
        <w:rPr>
          <w:color w:val="000000" w:themeColor="text1"/>
        </w:rPr>
        <w:t xml:space="preserve">were </w:t>
      </w:r>
      <w:r w:rsidR="003415E9" w:rsidRPr="00196E2E">
        <w:rPr>
          <w:color w:val="000000" w:themeColor="text1"/>
        </w:rPr>
        <w:t>at least comparable</w:t>
      </w:r>
      <w:r w:rsidRPr="00196E2E">
        <w:rPr>
          <w:color w:val="000000" w:themeColor="text1"/>
        </w:rPr>
        <w:t xml:space="preserve"> </w:t>
      </w:r>
      <w:r w:rsidR="003415E9" w:rsidRPr="00196E2E">
        <w:rPr>
          <w:color w:val="000000" w:themeColor="text1"/>
        </w:rPr>
        <w:t>to those obtained</w:t>
      </w:r>
      <w:r w:rsidRPr="00196E2E">
        <w:rPr>
          <w:color w:val="000000" w:themeColor="text1"/>
        </w:rPr>
        <w:t xml:space="preserve"> in conventional solvents.</w:t>
      </w:r>
      <w:r w:rsidR="00FB7858" w:rsidRPr="00196E2E">
        <w:rPr>
          <w:color w:val="000000" w:themeColor="text1"/>
        </w:rPr>
        <w:t xml:space="preserve"> Solid-</w:t>
      </w:r>
      <w:r w:rsidRPr="00196E2E">
        <w:rPr>
          <w:color w:val="000000" w:themeColor="text1"/>
        </w:rPr>
        <w:t>phase peptide synthesis was carried out using Fmoc protected amino acids on a ChemMatrix resin and was used to prepare the biologically relevant nonapeptide Bradykinin</w:t>
      </w:r>
      <w:r w:rsidR="003415E9" w:rsidRPr="00196E2E">
        <w:rPr>
          <w:color w:val="000000" w:themeColor="text1"/>
        </w:rPr>
        <w:t xml:space="preserve"> with comparable purity to a sample prepared in DMF</w:t>
      </w:r>
      <w:r w:rsidRPr="00196E2E">
        <w:rPr>
          <w:color w:val="000000" w:themeColor="text1"/>
        </w:rPr>
        <w:t>.</w:t>
      </w:r>
    </w:p>
    <w:p w:rsidR="003415E9" w:rsidRPr="00196E2E" w:rsidRDefault="003415E9" w:rsidP="00FA2DA2">
      <w:pPr>
        <w:pStyle w:val="RSCB01ARTAbstract"/>
        <w:sectPr w:rsidR="003415E9" w:rsidRPr="00196E2E" w:rsidSect="00514CBA">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009" w:right="851" w:bottom="1758" w:left="851" w:header="851" w:footer="1049" w:gutter="0"/>
          <w:cols w:num="2" w:space="227" w:equalWidth="0">
            <w:col w:w="1985" w:space="227"/>
            <w:col w:w="7993"/>
          </w:cols>
          <w:titlePg/>
          <w:docGrid w:linePitch="360"/>
        </w:sectPr>
      </w:pPr>
    </w:p>
    <w:p w:rsidR="00FA2DA2" w:rsidRPr="00196E2E" w:rsidRDefault="004474F3" w:rsidP="004474F3">
      <w:pPr>
        <w:pStyle w:val="RSCB04AHeadingSection"/>
      </w:pPr>
      <w:r w:rsidRPr="00196E2E">
        <w:lastRenderedPageBreak/>
        <w:t>Introduction</w:t>
      </w:r>
    </w:p>
    <w:p w:rsidR="004474F3" w:rsidRPr="00196E2E" w:rsidRDefault="004474F3" w:rsidP="00B9392D">
      <w:pPr>
        <w:pStyle w:val="RSCB02ArticleText"/>
      </w:pPr>
      <w:r w:rsidRPr="00196E2E">
        <w:t>Peptides are central compounds in the pharmaceutical industry, providing both final medications and lead compounds for the preparation of peptidomimetic or non-peptidic pharmacauticals.</w:t>
      </w:r>
      <w:r w:rsidRPr="00196E2E">
        <w:rPr>
          <w:vertAlign w:val="superscript"/>
        </w:rPr>
        <w:endnoteReference w:id="2"/>
      </w:r>
      <w:r w:rsidRPr="00196E2E">
        <w:t xml:space="preserve"> Therapeutic peptides are recogni</w:t>
      </w:r>
      <w:r w:rsidR="003415E9" w:rsidRPr="00196E2E">
        <w:t>s</w:t>
      </w:r>
      <w:r w:rsidRPr="00196E2E">
        <w:t>ed as being extremely specific in their binding to in vivo targets, resulting in them often being highly potent and very selective, whilst having very few negative side effects.</w:t>
      </w:r>
      <w:bookmarkStart w:id="0" w:name="_Ref457459246"/>
      <w:r w:rsidRPr="00196E2E">
        <w:rPr>
          <w:vertAlign w:val="superscript"/>
        </w:rPr>
        <w:endnoteReference w:id="3"/>
      </w:r>
      <w:bookmarkEnd w:id="0"/>
      <w:r w:rsidRPr="00196E2E">
        <w:rPr>
          <w:vertAlign w:val="superscript"/>
        </w:rPr>
        <w:t>,</w:t>
      </w:r>
      <w:r w:rsidRPr="00196E2E">
        <w:rPr>
          <w:vertAlign w:val="superscript"/>
        </w:rPr>
        <w:endnoteReference w:id="4"/>
      </w:r>
      <w:r w:rsidRPr="00196E2E">
        <w:t xml:space="preserve"> They are therefore expected to play a major role in the future of drug discovery.</w:t>
      </w:r>
      <w:r w:rsidRPr="00196E2E">
        <w:rPr>
          <w:vertAlign w:val="superscript"/>
        </w:rPr>
        <w:endnoteReference w:id="5"/>
      </w:r>
      <w:r w:rsidRPr="00196E2E">
        <w:rPr>
          <w:rFonts w:ascii="Times New Roman" w:hAnsi="Times New Roman"/>
        </w:rPr>
        <w:t xml:space="preserve"> </w:t>
      </w:r>
      <w:r w:rsidRPr="00196E2E">
        <w:t>Currently there are more than 60 peptide based medicines approved for use by the US Food &amp; Drug Administration, around 140 peptide drugs currently in clinical trials and over 500 in preclinical trials.</w:t>
      </w:r>
      <w:r w:rsidRPr="00196E2E">
        <w:rPr>
          <w:vertAlign w:val="superscript"/>
        </w:rPr>
        <w:fldChar w:fldCharType="begin"/>
      </w:r>
      <w:r w:rsidRPr="00196E2E">
        <w:rPr>
          <w:vertAlign w:val="superscript"/>
        </w:rPr>
        <w:instrText xml:space="preserve"> NOTEREF _Ref457459246 \h  \* MERGEFORMAT </w:instrText>
      </w:r>
      <w:r w:rsidRPr="00196E2E">
        <w:rPr>
          <w:vertAlign w:val="superscript"/>
        </w:rPr>
      </w:r>
      <w:r w:rsidRPr="00196E2E">
        <w:rPr>
          <w:vertAlign w:val="superscript"/>
        </w:rPr>
        <w:fldChar w:fldCharType="separate"/>
      </w:r>
      <w:r w:rsidR="009A73E3" w:rsidRPr="00196E2E">
        <w:rPr>
          <w:vertAlign w:val="superscript"/>
        </w:rPr>
        <w:t>2</w:t>
      </w:r>
      <w:r w:rsidRPr="00196E2E">
        <w:rPr>
          <w:vertAlign w:val="superscript"/>
        </w:rPr>
        <w:fldChar w:fldCharType="end"/>
      </w:r>
      <w:r w:rsidRPr="00196E2E">
        <w:rPr>
          <w:vertAlign w:val="superscript"/>
        </w:rPr>
        <w:t>,</w:t>
      </w:r>
      <w:r w:rsidRPr="00196E2E">
        <w:rPr>
          <w:vertAlign w:val="superscript"/>
        </w:rPr>
        <w:endnoteReference w:id="6"/>
      </w:r>
      <w:r w:rsidRPr="00196E2E">
        <w:rPr>
          <w:vertAlign w:val="superscript"/>
        </w:rPr>
        <w:t xml:space="preserve"> </w:t>
      </w:r>
      <w:r w:rsidRPr="00196E2E">
        <w:t>Consequently, the peptide medicines market is currently worth an estimated US$ 14.1 billion, and is predicted to grow to around US$ 25.4 billion by 2018.</w:t>
      </w:r>
      <w:r w:rsidRPr="00196E2E">
        <w:rPr>
          <w:vertAlign w:val="superscript"/>
        </w:rPr>
        <w:fldChar w:fldCharType="begin"/>
      </w:r>
      <w:r w:rsidRPr="00196E2E">
        <w:rPr>
          <w:vertAlign w:val="superscript"/>
        </w:rPr>
        <w:instrText xml:space="preserve"> NOTEREF _Ref457459246 \h  \* MERGEFORMAT </w:instrText>
      </w:r>
      <w:r w:rsidRPr="00196E2E">
        <w:rPr>
          <w:vertAlign w:val="superscript"/>
        </w:rPr>
      </w:r>
      <w:r w:rsidRPr="00196E2E">
        <w:rPr>
          <w:vertAlign w:val="superscript"/>
        </w:rPr>
        <w:fldChar w:fldCharType="separate"/>
      </w:r>
      <w:r w:rsidR="009A73E3" w:rsidRPr="00196E2E">
        <w:rPr>
          <w:vertAlign w:val="superscript"/>
        </w:rPr>
        <w:t>2</w:t>
      </w:r>
      <w:r w:rsidRPr="00196E2E">
        <w:rPr>
          <w:vertAlign w:val="superscript"/>
        </w:rPr>
        <w:fldChar w:fldCharType="end"/>
      </w:r>
      <w:r w:rsidRPr="00196E2E">
        <w:t xml:space="preserve"> As such, there is a resurgence of interest in the synthesis of synthetic peptides.</w:t>
      </w:r>
    </w:p>
    <w:p w:rsidR="004474F3" w:rsidRPr="00196E2E" w:rsidRDefault="004474F3" w:rsidP="004474F3">
      <w:pPr>
        <w:pStyle w:val="RSCB02ArticleText"/>
        <w:ind w:firstLine="284"/>
        <w:rPr>
          <w:vertAlign w:val="superscript"/>
        </w:rPr>
      </w:pPr>
      <w:r w:rsidRPr="00196E2E">
        <w:t>The synthesis of peptides by amide bond formation between partially protected amino acid derivatives is however, one of the most wasteful and least green chemical processes.</w:t>
      </w:r>
      <w:r w:rsidR="00B15EFC" w:rsidRPr="00196E2E">
        <w:rPr>
          <w:rStyle w:val="EndnoteReference"/>
        </w:rPr>
        <w:endnoteReference w:id="7"/>
      </w:r>
      <w:r w:rsidRPr="00196E2E">
        <w:t xml:space="preserve"> Numerous auxiliary reagents in the form of protecting groups and coupling agents are required,</w:t>
      </w:r>
      <w:r w:rsidRPr="00196E2E">
        <w:rPr>
          <w:vertAlign w:val="superscript"/>
        </w:rPr>
        <w:endnoteReference w:id="8"/>
      </w:r>
      <w:r w:rsidRPr="00196E2E">
        <w:t xml:space="preserve"> </w:t>
      </w:r>
      <w:r w:rsidRPr="00196E2E">
        <w:rPr>
          <w:color w:val="000000" w:themeColor="text1"/>
        </w:rPr>
        <w:t>giving the</w:t>
      </w:r>
      <w:r w:rsidR="003415E9" w:rsidRPr="00196E2E">
        <w:rPr>
          <w:color w:val="000000" w:themeColor="text1"/>
        </w:rPr>
        <w:t xml:space="preserve"> process low atom efficiency. Additionally,</w:t>
      </w:r>
      <w:r w:rsidRPr="00196E2E">
        <w:rPr>
          <w:color w:val="000000" w:themeColor="text1"/>
        </w:rPr>
        <w:t xml:space="preserve"> peptide</w:t>
      </w:r>
      <w:r w:rsidRPr="00196E2E">
        <w:t xml:space="preserve"> synthesis is almost universally carried out in toxic solvents such as DMF or DMF/dichloromethane mixtures.</w:t>
      </w:r>
      <w:bookmarkStart w:id="1" w:name="_Ref458770134"/>
      <w:r w:rsidRPr="00196E2E">
        <w:rPr>
          <w:vertAlign w:val="superscript"/>
        </w:rPr>
        <w:endnoteReference w:id="9"/>
      </w:r>
      <w:bookmarkEnd w:id="1"/>
      <w:r w:rsidRPr="00196E2E">
        <w:t xml:space="preserve"> Thes</w:t>
      </w:r>
      <w:r w:rsidR="00FB7858" w:rsidRPr="00196E2E">
        <w:t>e issues are amplified in solid-</w:t>
      </w:r>
      <w:r w:rsidRPr="00196E2E">
        <w:t>phase peptide synthesis</w:t>
      </w:r>
      <w:r w:rsidRPr="00196E2E">
        <w:rPr>
          <w:vertAlign w:val="superscript"/>
        </w:rPr>
        <w:fldChar w:fldCharType="begin"/>
      </w:r>
      <w:r w:rsidRPr="00196E2E">
        <w:rPr>
          <w:vertAlign w:val="superscript"/>
        </w:rPr>
        <w:instrText xml:space="preserve"> NOTEREF _Ref458770134 \h  \* MERGEFORMAT </w:instrText>
      </w:r>
      <w:r w:rsidRPr="00196E2E">
        <w:rPr>
          <w:vertAlign w:val="superscript"/>
        </w:rPr>
      </w:r>
      <w:r w:rsidRPr="00196E2E">
        <w:rPr>
          <w:vertAlign w:val="superscript"/>
        </w:rPr>
        <w:fldChar w:fldCharType="separate"/>
      </w:r>
      <w:r w:rsidR="009A73E3" w:rsidRPr="00196E2E">
        <w:rPr>
          <w:vertAlign w:val="superscript"/>
        </w:rPr>
        <w:t>7</w:t>
      </w:r>
      <w:r w:rsidRPr="00196E2E">
        <w:rPr>
          <w:vertAlign w:val="superscript"/>
        </w:rPr>
        <w:fldChar w:fldCharType="end"/>
      </w:r>
      <w:r w:rsidRPr="00196E2E">
        <w:rPr>
          <w:vertAlign w:val="superscript"/>
        </w:rPr>
        <w:t>,</w:t>
      </w:r>
      <w:r w:rsidRPr="00196E2E">
        <w:rPr>
          <w:vertAlign w:val="superscript"/>
        </w:rPr>
        <w:endnoteReference w:id="10"/>
      </w:r>
      <w:r w:rsidRPr="00196E2E">
        <w:t xml:space="preserve"> where large excesses of reagents are used and resins are washed multiple times with toxic solvents. The use of polar aprotic solvents such as DMF or </w:t>
      </w:r>
      <w:r w:rsidRPr="00196E2E">
        <w:lastRenderedPageBreak/>
        <w:t>NMP is a particular concern as these solvents are known to be reprotoxic,</w:t>
      </w:r>
      <w:r w:rsidRPr="00196E2E">
        <w:rPr>
          <w:vertAlign w:val="superscript"/>
        </w:rPr>
        <w:endnoteReference w:id="11"/>
      </w:r>
      <w:r w:rsidRPr="00196E2E">
        <w:rPr>
          <w:vertAlign w:val="superscript"/>
        </w:rPr>
        <w:t xml:space="preserve"> </w:t>
      </w:r>
      <w:r w:rsidRPr="00196E2E">
        <w:t>cause environmental problems when present in waste</w:t>
      </w:r>
      <w:bookmarkStart w:id="2" w:name="_Ref457465477"/>
      <w:r w:rsidRPr="00196E2E">
        <w:rPr>
          <w:vertAlign w:val="superscript"/>
        </w:rPr>
        <w:endnoteReference w:id="12"/>
      </w:r>
      <w:bookmarkEnd w:id="2"/>
      <w:r w:rsidRPr="00196E2E">
        <w:t xml:space="preserve"> and are two of the six chemicals of highest concern under EU REACh (Registration, Evaluation and Authorisation of Chemicals)</w:t>
      </w:r>
      <w:r w:rsidRPr="00196E2E">
        <w:rPr>
          <w:b/>
          <w:smallCaps/>
        </w:rPr>
        <w:t xml:space="preserve"> </w:t>
      </w:r>
      <w:r w:rsidRPr="00196E2E">
        <w:t>regulations.</w:t>
      </w:r>
      <w:r w:rsidRPr="00196E2E">
        <w:rPr>
          <w:vertAlign w:val="superscript"/>
        </w:rPr>
        <w:endnoteReference w:id="13"/>
      </w:r>
      <w:r w:rsidRPr="00196E2E">
        <w:t xml:space="preserve"> As a result, green solvent selection guides have repeatedly highlighted the need to replace DMF with a greener alternative in all chemical processes.</w:t>
      </w:r>
      <w:bookmarkStart w:id="3" w:name="_Ref457470902"/>
      <w:r w:rsidRPr="00196E2E">
        <w:rPr>
          <w:vertAlign w:val="superscript"/>
        </w:rPr>
        <w:endnoteReference w:id="14"/>
      </w:r>
      <w:bookmarkEnd w:id="3"/>
      <w:r w:rsidRPr="00196E2E">
        <w:rPr>
          <w:vertAlign w:val="superscript"/>
        </w:rPr>
        <w:t>,</w:t>
      </w:r>
      <w:bookmarkStart w:id="4" w:name="_Ref457474306"/>
      <w:r w:rsidRPr="00196E2E">
        <w:rPr>
          <w:vertAlign w:val="superscript"/>
        </w:rPr>
        <w:endnoteReference w:id="15"/>
      </w:r>
      <w:bookmarkEnd w:id="4"/>
    </w:p>
    <w:p w:rsidR="00560080" w:rsidRPr="00196E2E" w:rsidRDefault="004474F3" w:rsidP="00560080">
      <w:pPr>
        <w:pStyle w:val="RSCB02ArticleText"/>
        <w:ind w:firstLine="284"/>
        <w:rPr>
          <w:color w:val="000000" w:themeColor="text1"/>
        </w:rPr>
      </w:pPr>
      <w:r w:rsidRPr="00196E2E">
        <w:t>As for most chemical transformations,</w:t>
      </w:r>
      <w:r w:rsidRPr="00196E2E">
        <w:rPr>
          <w:vertAlign w:val="superscript"/>
        </w:rPr>
        <w:fldChar w:fldCharType="begin"/>
      </w:r>
      <w:r w:rsidRPr="00196E2E">
        <w:rPr>
          <w:vertAlign w:val="superscript"/>
        </w:rPr>
        <w:instrText xml:space="preserve"> NOTEREF _Ref457465477 \h  \* MERGEFORMAT </w:instrText>
      </w:r>
      <w:r w:rsidRPr="00196E2E">
        <w:rPr>
          <w:vertAlign w:val="superscript"/>
        </w:rPr>
      </w:r>
      <w:r w:rsidRPr="00196E2E">
        <w:rPr>
          <w:vertAlign w:val="superscript"/>
        </w:rPr>
        <w:fldChar w:fldCharType="separate"/>
      </w:r>
      <w:r w:rsidR="009A73E3" w:rsidRPr="00196E2E">
        <w:rPr>
          <w:vertAlign w:val="superscript"/>
        </w:rPr>
        <w:t>10</w:t>
      </w:r>
      <w:r w:rsidRPr="00196E2E">
        <w:rPr>
          <w:vertAlign w:val="superscript"/>
        </w:rPr>
        <w:fldChar w:fldCharType="end"/>
      </w:r>
      <w:r w:rsidRPr="00196E2E">
        <w:t xml:space="preserve"> by far the largest source of waste in either solu</w:t>
      </w:r>
      <w:r w:rsidR="00FB7858" w:rsidRPr="00196E2E">
        <w:t>tion- or solid-</w:t>
      </w:r>
      <w:r w:rsidRPr="00196E2E">
        <w:t>phase peptide synthesis is the solvent, but only a few attempts have previously been made to avoid the use of DMF. Acetonitrile</w:t>
      </w:r>
      <w:bookmarkStart w:id="5" w:name="_Ref457471445"/>
      <w:r w:rsidRPr="00196E2E">
        <w:rPr>
          <w:vertAlign w:val="superscript"/>
        </w:rPr>
        <w:endnoteReference w:id="16"/>
      </w:r>
      <w:bookmarkEnd w:id="5"/>
      <w:r w:rsidRPr="00196E2E">
        <w:rPr>
          <w:vertAlign w:val="superscript"/>
        </w:rPr>
        <w:t>,</w:t>
      </w:r>
      <w:bookmarkStart w:id="6" w:name="_Ref457470832"/>
      <w:r w:rsidRPr="00196E2E">
        <w:rPr>
          <w:vertAlign w:val="superscript"/>
        </w:rPr>
        <w:endnoteReference w:id="17"/>
      </w:r>
      <w:bookmarkEnd w:id="6"/>
      <w:r w:rsidRPr="00196E2E">
        <w:t xml:space="preserve"> and THF</w:t>
      </w:r>
      <w:r w:rsidRPr="00196E2E">
        <w:rPr>
          <w:vertAlign w:val="superscript"/>
        </w:rPr>
        <w:fldChar w:fldCharType="begin"/>
      </w:r>
      <w:r w:rsidRPr="00196E2E">
        <w:rPr>
          <w:vertAlign w:val="superscript"/>
        </w:rPr>
        <w:instrText xml:space="preserve"> NOTEREF _Ref457470832 \h  \* MERGEFORMAT </w:instrText>
      </w:r>
      <w:r w:rsidRPr="00196E2E">
        <w:rPr>
          <w:vertAlign w:val="superscript"/>
        </w:rPr>
      </w:r>
      <w:r w:rsidRPr="00196E2E">
        <w:rPr>
          <w:vertAlign w:val="superscript"/>
        </w:rPr>
        <w:fldChar w:fldCharType="separate"/>
      </w:r>
      <w:r w:rsidR="009A73E3" w:rsidRPr="00196E2E">
        <w:rPr>
          <w:vertAlign w:val="superscript"/>
        </w:rPr>
        <w:t>15</w:t>
      </w:r>
      <w:r w:rsidRPr="00196E2E">
        <w:rPr>
          <w:vertAlign w:val="superscript"/>
        </w:rPr>
        <w:fldChar w:fldCharType="end"/>
      </w:r>
      <w:r w:rsidRPr="00196E2E">
        <w:t xml:space="preserve"> have been used as replacements for DMF in peptide bond formations and acetonitrile has also been used as a solvent </w:t>
      </w:r>
      <w:r w:rsidR="00FB7858" w:rsidRPr="00196E2E">
        <w:t>for Fmoc deprotections in solid-</w:t>
      </w:r>
      <w:r w:rsidRPr="00196E2E">
        <w:t>phase peptide synthesis,</w:t>
      </w:r>
      <w:r w:rsidRPr="00196E2E">
        <w:rPr>
          <w:vertAlign w:val="superscript"/>
        </w:rPr>
        <w:fldChar w:fldCharType="begin"/>
      </w:r>
      <w:r w:rsidRPr="00196E2E">
        <w:rPr>
          <w:vertAlign w:val="superscript"/>
        </w:rPr>
        <w:instrText xml:space="preserve"> NOTEREF _Ref457471445 \h  \* MERGEFORMAT </w:instrText>
      </w:r>
      <w:r w:rsidRPr="00196E2E">
        <w:rPr>
          <w:vertAlign w:val="superscript"/>
        </w:rPr>
      </w:r>
      <w:r w:rsidRPr="00196E2E">
        <w:rPr>
          <w:vertAlign w:val="superscript"/>
        </w:rPr>
        <w:fldChar w:fldCharType="separate"/>
      </w:r>
      <w:r w:rsidR="009A73E3" w:rsidRPr="00196E2E">
        <w:rPr>
          <w:vertAlign w:val="superscript"/>
        </w:rPr>
        <w:t>14</w:t>
      </w:r>
      <w:r w:rsidRPr="00196E2E">
        <w:rPr>
          <w:vertAlign w:val="superscript"/>
        </w:rPr>
        <w:fldChar w:fldCharType="end"/>
      </w:r>
      <w:r w:rsidRPr="00196E2E">
        <w:t xml:space="preserve"> but neither of these are considered to be green solvents</w:t>
      </w:r>
      <w:r w:rsidRPr="00196E2E">
        <w:rPr>
          <w:color w:val="000000" w:themeColor="text1"/>
        </w:rPr>
        <w:t>.</w:t>
      </w:r>
      <w:r w:rsidRPr="00196E2E">
        <w:rPr>
          <w:color w:val="000000" w:themeColor="text1"/>
          <w:vertAlign w:val="superscript"/>
        </w:rPr>
        <w:fldChar w:fldCharType="begin"/>
      </w:r>
      <w:r w:rsidRPr="00196E2E">
        <w:rPr>
          <w:color w:val="000000" w:themeColor="text1"/>
          <w:vertAlign w:val="superscript"/>
        </w:rPr>
        <w:instrText xml:space="preserve"> NOTEREF _Ref457470902 \h  \* MERGEFORMAT </w:instrText>
      </w:r>
      <w:r w:rsidRPr="00196E2E">
        <w:rPr>
          <w:color w:val="000000" w:themeColor="text1"/>
          <w:vertAlign w:val="superscript"/>
        </w:rPr>
      </w:r>
      <w:r w:rsidRPr="00196E2E">
        <w:rPr>
          <w:color w:val="000000" w:themeColor="text1"/>
          <w:vertAlign w:val="superscript"/>
        </w:rPr>
        <w:fldChar w:fldCharType="separate"/>
      </w:r>
      <w:r w:rsidR="009A73E3" w:rsidRPr="00196E2E">
        <w:rPr>
          <w:color w:val="000000" w:themeColor="text1"/>
          <w:vertAlign w:val="superscript"/>
        </w:rPr>
        <w:t>12</w:t>
      </w:r>
      <w:r w:rsidRPr="00196E2E">
        <w:rPr>
          <w:color w:val="000000" w:themeColor="text1"/>
          <w:vertAlign w:val="superscript"/>
        </w:rPr>
        <w:fldChar w:fldCharType="end"/>
      </w:r>
      <w:r w:rsidRPr="00196E2E">
        <w:rPr>
          <w:color w:val="000000" w:themeColor="text1"/>
          <w:vertAlign w:val="superscript"/>
        </w:rPr>
        <w:t>,</w:t>
      </w:r>
      <w:r w:rsidRPr="00196E2E">
        <w:rPr>
          <w:color w:val="000000" w:themeColor="text1"/>
          <w:vertAlign w:val="superscript"/>
        </w:rPr>
        <w:fldChar w:fldCharType="begin"/>
      </w:r>
      <w:r w:rsidRPr="00196E2E">
        <w:rPr>
          <w:color w:val="000000" w:themeColor="text1"/>
          <w:vertAlign w:val="superscript"/>
        </w:rPr>
        <w:instrText xml:space="preserve"> NOTEREF _Ref457474306 \h  \* MERGEFORMAT </w:instrText>
      </w:r>
      <w:r w:rsidRPr="00196E2E">
        <w:rPr>
          <w:color w:val="000000" w:themeColor="text1"/>
          <w:vertAlign w:val="superscript"/>
        </w:rPr>
      </w:r>
      <w:r w:rsidRPr="00196E2E">
        <w:rPr>
          <w:color w:val="000000" w:themeColor="text1"/>
          <w:vertAlign w:val="superscript"/>
        </w:rPr>
        <w:fldChar w:fldCharType="separate"/>
      </w:r>
      <w:r w:rsidR="009A73E3" w:rsidRPr="00196E2E">
        <w:rPr>
          <w:color w:val="000000" w:themeColor="text1"/>
          <w:vertAlign w:val="superscript"/>
        </w:rPr>
        <w:t>13</w:t>
      </w:r>
      <w:r w:rsidRPr="00196E2E">
        <w:rPr>
          <w:color w:val="000000" w:themeColor="text1"/>
          <w:vertAlign w:val="superscript"/>
        </w:rPr>
        <w:fldChar w:fldCharType="end"/>
      </w:r>
      <w:r w:rsidRPr="00196E2E">
        <w:rPr>
          <w:color w:val="000000" w:themeColor="text1"/>
        </w:rPr>
        <w:t xml:space="preserve"> Recently, the use of 2-MeTHF as a solvent for </w:t>
      </w:r>
      <w:r w:rsidR="00FB7858" w:rsidRPr="00196E2E">
        <w:rPr>
          <w:color w:val="000000" w:themeColor="text1"/>
        </w:rPr>
        <w:t>coupling reactions during solid-</w:t>
      </w:r>
      <w:r w:rsidRPr="00196E2E">
        <w:rPr>
          <w:color w:val="000000" w:themeColor="text1"/>
        </w:rPr>
        <w:t>phase peptide synthesis was reported</w:t>
      </w:r>
      <w:r w:rsidR="003D4266" w:rsidRPr="00196E2E">
        <w:rPr>
          <w:color w:val="000000" w:themeColor="text1"/>
        </w:rPr>
        <w:t xml:space="preserve"> though the Fmoc deprotection steps were still performed in DMF</w:t>
      </w:r>
      <w:r w:rsidRPr="00196E2E">
        <w:rPr>
          <w:color w:val="000000" w:themeColor="text1"/>
        </w:rPr>
        <w:t>.</w:t>
      </w:r>
      <w:r w:rsidRPr="00196E2E">
        <w:rPr>
          <w:color w:val="000000" w:themeColor="text1"/>
          <w:vertAlign w:val="superscript"/>
        </w:rPr>
        <w:endnoteReference w:id="18"/>
      </w:r>
      <w:r w:rsidRPr="00196E2E">
        <w:rPr>
          <w:color w:val="000000" w:themeColor="text1"/>
        </w:rPr>
        <w:t xml:space="preserve"> 2-MeTHF is a sustainable but not very green solvent</w:t>
      </w:r>
      <w:r w:rsidR="003D4266" w:rsidRPr="00196E2E">
        <w:rPr>
          <w:color w:val="000000" w:themeColor="text1"/>
        </w:rPr>
        <w:t xml:space="preserve"> due to concerns about its </w:t>
      </w:r>
      <w:r w:rsidR="00EC141A" w:rsidRPr="00196E2E">
        <w:rPr>
          <w:color w:val="000000" w:themeColor="text1"/>
        </w:rPr>
        <w:t>effect on</w:t>
      </w:r>
      <w:r w:rsidR="003D4266" w:rsidRPr="00196E2E">
        <w:rPr>
          <w:color w:val="000000" w:themeColor="text1"/>
        </w:rPr>
        <w:t xml:space="preserve"> health, safety and the environment.</w:t>
      </w:r>
      <w:r w:rsidRPr="00196E2E">
        <w:rPr>
          <w:color w:val="000000" w:themeColor="text1"/>
          <w:vertAlign w:val="superscript"/>
        </w:rPr>
        <w:fldChar w:fldCharType="begin"/>
      </w:r>
      <w:r w:rsidRPr="00196E2E">
        <w:rPr>
          <w:color w:val="000000" w:themeColor="text1"/>
          <w:vertAlign w:val="superscript"/>
        </w:rPr>
        <w:instrText xml:space="preserve"> NOTEREF _Ref457470902 \h  \* MERGEFORMAT </w:instrText>
      </w:r>
      <w:r w:rsidRPr="00196E2E">
        <w:rPr>
          <w:color w:val="000000" w:themeColor="text1"/>
          <w:vertAlign w:val="superscript"/>
        </w:rPr>
      </w:r>
      <w:r w:rsidRPr="00196E2E">
        <w:rPr>
          <w:color w:val="000000" w:themeColor="text1"/>
          <w:vertAlign w:val="superscript"/>
        </w:rPr>
        <w:fldChar w:fldCharType="separate"/>
      </w:r>
      <w:r w:rsidR="009A73E3" w:rsidRPr="00196E2E">
        <w:rPr>
          <w:color w:val="000000" w:themeColor="text1"/>
          <w:vertAlign w:val="superscript"/>
        </w:rPr>
        <w:t>12</w:t>
      </w:r>
      <w:r w:rsidRPr="00196E2E">
        <w:rPr>
          <w:color w:val="000000" w:themeColor="text1"/>
          <w:vertAlign w:val="superscript"/>
        </w:rPr>
        <w:fldChar w:fldCharType="end"/>
      </w:r>
      <w:r w:rsidRPr="00196E2E">
        <w:rPr>
          <w:color w:val="000000" w:themeColor="text1"/>
          <w:vertAlign w:val="superscript"/>
        </w:rPr>
        <w:t>,</w:t>
      </w:r>
      <w:r w:rsidRPr="00196E2E">
        <w:rPr>
          <w:color w:val="000000" w:themeColor="text1"/>
          <w:vertAlign w:val="superscript"/>
        </w:rPr>
        <w:fldChar w:fldCharType="begin"/>
      </w:r>
      <w:r w:rsidRPr="00196E2E">
        <w:rPr>
          <w:color w:val="000000" w:themeColor="text1"/>
          <w:vertAlign w:val="superscript"/>
        </w:rPr>
        <w:instrText xml:space="preserve"> NOTEREF _Ref457474306 \h  \* MERGEFORMAT </w:instrText>
      </w:r>
      <w:r w:rsidRPr="00196E2E">
        <w:rPr>
          <w:color w:val="000000" w:themeColor="text1"/>
          <w:vertAlign w:val="superscript"/>
        </w:rPr>
      </w:r>
      <w:r w:rsidRPr="00196E2E">
        <w:rPr>
          <w:color w:val="000000" w:themeColor="text1"/>
          <w:vertAlign w:val="superscript"/>
        </w:rPr>
        <w:fldChar w:fldCharType="separate"/>
      </w:r>
      <w:r w:rsidR="009A73E3" w:rsidRPr="00196E2E">
        <w:rPr>
          <w:color w:val="000000" w:themeColor="text1"/>
          <w:vertAlign w:val="superscript"/>
        </w:rPr>
        <w:t>13</w:t>
      </w:r>
      <w:r w:rsidRPr="00196E2E">
        <w:rPr>
          <w:color w:val="000000" w:themeColor="text1"/>
          <w:vertAlign w:val="superscript"/>
        </w:rPr>
        <w:fldChar w:fldCharType="end"/>
      </w:r>
      <w:r w:rsidRPr="00196E2E">
        <w:rPr>
          <w:color w:val="000000" w:themeColor="text1"/>
        </w:rPr>
        <w:t xml:space="preserve"> Whilst </w:t>
      </w:r>
      <w:r w:rsidRPr="00196E2E">
        <w:t>this paper was being written, the use of a mixture of 2-MeTHF and ethyl acetate for both coupling and Fmoc deprotection steps was reported.</w:t>
      </w:r>
      <w:r w:rsidRPr="00196E2E">
        <w:rPr>
          <w:rStyle w:val="EndnoteReference"/>
        </w:rPr>
        <w:endnoteReference w:id="19"/>
      </w:r>
      <w:r w:rsidRPr="00196E2E">
        <w:t xml:space="preserve"> However, in some cases elevated temperatures were required and the production of mixed solvent waste is undesirable as it complicates solvent recycling especially when the solvents have virtually identical boiling points (77 and 78 </w:t>
      </w:r>
      <w:r w:rsidRPr="00196E2E">
        <w:rPr>
          <w:vertAlign w:val="superscript"/>
        </w:rPr>
        <w:t>o</w:t>
      </w:r>
      <w:r w:rsidRPr="00196E2E">
        <w:t xml:space="preserve">C for ethyl acetate and 2-MeTHF </w:t>
      </w:r>
      <w:r w:rsidRPr="00196E2E">
        <w:rPr>
          <w:color w:val="000000" w:themeColor="text1"/>
        </w:rPr>
        <w:t xml:space="preserve">respectively). </w:t>
      </w:r>
      <w:r w:rsidR="0082054C" w:rsidRPr="00196E2E">
        <w:rPr>
          <w:color w:val="000000" w:themeColor="text1"/>
        </w:rPr>
        <w:t xml:space="preserve">There are also a few reports of use of water as a solvent for </w:t>
      </w:r>
      <w:r w:rsidR="00D27731" w:rsidRPr="00196E2E">
        <w:rPr>
          <w:color w:val="000000" w:themeColor="text1"/>
        </w:rPr>
        <w:t xml:space="preserve">solid-phase </w:t>
      </w:r>
      <w:r w:rsidR="0082054C" w:rsidRPr="00196E2E">
        <w:rPr>
          <w:color w:val="000000" w:themeColor="text1"/>
        </w:rPr>
        <w:t xml:space="preserve">peptide </w:t>
      </w:r>
      <w:r w:rsidR="006903D0" w:rsidRPr="00196E2E">
        <w:rPr>
          <w:color w:val="000000" w:themeColor="text1"/>
        </w:rPr>
        <w:t>bond formations</w:t>
      </w:r>
      <w:r w:rsidR="0082054C" w:rsidRPr="00196E2E">
        <w:rPr>
          <w:color w:val="000000" w:themeColor="text1"/>
        </w:rPr>
        <w:t xml:space="preserve"> using coupling agents</w:t>
      </w:r>
      <w:r w:rsidR="0082054C" w:rsidRPr="00196E2E">
        <w:rPr>
          <w:rStyle w:val="EndnoteReference"/>
          <w:rFonts w:asciiTheme="minorHAnsi" w:hAnsiTheme="minorHAnsi"/>
          <w:color w:val="000000" w:themeColor="text1"/>
        </w:rPr>
        <w:endnoteReference w:id="20"/>
      </w:r>
      <w:r w:rsidR="0082054C" w:rsidRPr="00196E2E">
        <w:rPr>
          <w:color w:val="000000" w:themeColor="text1"/>
        </w:rPr>
        <w:t xml:space="preserve"> or enzymes</w:t>
      </w:r>
      <w:r w:rsidR="0082054C" w:rsidRPr="00196E2E">
        <w:rPr>
          <w:rStyle w:val="EndnoteReference"/>
          <w:rFonts w:asciiTheme="minorHAnsi" w:hAnsiTheme="minorHAnsi"/>
          <w:color w:val="000000" w:themeColor="text1"/>
        </w:rPr>
        <w:endnoteReference w:id="21"/>
      </w:r>
      <w:r w:rsidR="0082054C" w:rsidRPr="00196E2E">
        <w:rPr>
          <w:color w:val="000000" w:themeColor="text1"/>
        </w:rPr>
        <w:t xml:space="preserve"> and of solvent free </w:t>
      </w:r>
      <w:r w:rsidR="00D27731" w:rsidRPr="00196E2E">
        <w:rPr>
          <w:color w:val="000000" w:themeColor="text1"/>
        </w:rPr>
        <w:t xml:space="preserve">non-resin supported </w:t>
      </w:r>
      <w:r w:rsidR="0082054C" w:rsidRPr="00196E2E">
        <w:rPr>
          <w:color w:val="000000" w:themeColor="text1"/>
        </w:rPr>
        <w:t>peptide synthesis by ball-milling.</w:t>
      </w:r>
      <w:r w:rsidR="0082054C" w:rsidRPr="00196E2E">
        <w:rPr>
          <w:rStyle w:val="EndnoteReference"/>
          <w:rFonts w:asciiTheme="minorHAnsi" w:hAnsiTheme="minorHAnsi"/>
          <w:color w:val="000000" w:themeColor="text1"/>
        </w:rPr>
        <w:endnoteReference w:id="22"/>
      </w:r>
      <w:r w:rsidR="0082054C" w:rsidRPr="00196E2E">
        <w:rPr>
          <w:color w:val="000000" w:themeColor="text1"/>
        </w:rPr>
        <w:t xml:space="preserve"> However</w:t>
      </w:r>
      <w:r w:rsidRPr="00196E2E">
        <w:rPr>
          <w:color w:val="000000" w:themeColor="text1"/>
        </w:rPr>
        <w:t xml:space="preserve">, </w:t>
      </w:r>
      <w:r w:rsidR="00FB7858" w:rsidRPr="00196E2E">
        <w:rPr>
          <w:color w:val="000000" w:themeColor="text1"/>
        </w:rPr>
        <w:t xml:space="preserve">the development of a green solvent for </w:t>
      </w:r>
      <w:r w:rsidR="00D27731" w:rsidRPr="00196E2E">
        <w:rPr>
          <w:color w:val="000000" w:themeColor="text1"/>
        </w:rPr>
        <w:t xml:space="preserve">both </w:t>
      </w:r>
      <w:r w:rsidR="00FB7858" w:rsidRPr="00196E2E">
        <w:rPr>
          <w:color w:val="000000" w:themeColor="text1"/>
        </w:rPr>
        <w:t>solution- and solid-phase peptide synthesis remains an unsolved challenge</w:t>
      </w:r>
      <w:r w:rsidRPr="00196E2E">
        <w:rPr>
          <w:color w:val="000000" w:themeColor="text1"/>
        </w:rPr>
        <w:t>.</w:t>
      </w:r>
    </w:p>
    <w:p w:rsidR="00CF539D" w:rsidRPr="00196E2E" w:rsidRDefault="00CF539D" w:rsidP="00560080">
      <w:pPr>
        <w:pStyle w:val="RSCT02Tabletitlewithouttopbar"/>
        <w:rPr>
          <w:sz w:val="18"/>
        </w:rPr>
      </w:pPr>
      <w:bookmarkStart w:id="7" w:name="_Ref444247862"/>
      <w:r w:rsidRPr="00196E2E">
        <w:rPr>
          <w:b/>
        </w:rPr>
        <w:lastRenderedPageBreak/>
        <w:t xml:space="preserve">Table </w:t>
      </w:r>
      <w:bookmarkEnd w:id="7"/>
      <w:r w:rsidRPr="00196E2E">
        <w:rPr>
          <w:b/>
        </w:rPr>
        <w:t>1:</w:t>
      </w:r>
      <w:r w:rsidRPr="00196E2E">
        <w:t xml:space="preserve"> Physical properties of polar aprotic solvents</w:t>
      </w:r>
    </w:p>
    <w:tbl>
      <w:tblPr>
        <w:tblStyle w:val="TableGrid"/>
        <w:tblW w:w="5000" w:type="pct"/>
        <w:tblLook w:val="04A0" w:firstRow="1" w:lastRow="0" w:firstColumn="1" w:lastColumn="0" w:noHBand="0" w:noVBand="1"/>
      </w:tblPr>
      <w:tblGrid>
        <w:gridCol w:w="796"/>
        <w:gridCol w:w="1002"/>
        <w:gridCol w:w="1670"/>
        <w:gridCol w:w="1737"/>
      </w:tblGrid>
      <w:tr w:rsidR="00CF539D" w:rsidRPr="00196E2E" w:rsidTr="00CF539D">
        <w:tc>
          <w:tcPr>
            <w:tcW w:w="764" w:type="pct"/>
            <w:tcBorders>
              <w:top w:val="nil"/>
              <w:left w:val="nil"/>
              <w:bottom w:val="single" w:sz="4" w:space="0" w:color="auto"/>
              <w:right w:val="nil"/>
            </w:tcBorders>
          </w:tcPr>
          <w:p w:rsidR="00CF539D" w:rsidRPr="00196E2E" w:rsidRDefault="00CF539D" w:rsidP="00410F47">
            <w:pPr>
              <w:pStyle w:val="TCTableBody"/>
            </w:pPr>
            <w:r w:rsidRPr="00196E2E">
              <w:t>Solvent</w:t>
            </w:r>
          </w:p>
        </w:tc>
        <w:tc>
          <w:tcPr>
            <w:tcW w:w="963" w:type="pct"/>
            <w:tcBorders>
              <w:top w:val="nil"/>
              <w:left w:val="nil"/>
              <w:bottom w:val="single" w:sz="4" w:space="0" w:color="auto"/>
              <w:right w:val="nil"/>
            </w:tcBorders>
          </w:tcPr>
          <w:p w:rsidR="00CF539D" w:rsidRPr="00196E2E" w:rsidRDefault="00CF539D" w:rsidP="00410F47">
            <w:pPr>
              <w:pStyle w:val="TCTableBody"/>
            </w:pPr>
            <w:r w:rsidRPr="00196E2E">
              <w:t xml:space="preserve">Bp (Mp) </w:t>
            </w:r>
            <w:r w:rsidRPr="00196E2E">
              <w:rPr>
                <w:vertAlign w:val="superscript"/>
              </w:rPr>
              <w:t>o</w:t>
            </w:r>
            <w:r w:rsidRPr="00196E2E">
              <w:t>C</w:t>
            </w:r>
          </w:p>
        </w:tc>
        <w:tc>
          <w:tcPr>
            <w:tcW w:w="1604" w:type="pct"/>
            <w:tcBorders>
              <w:top w:val="nil"/>
              <w:left w:val="nil"/>
              <w:bottom w:val="single" w:sz="4" w:space="0" w:color="auto"/>
              <w:right w:val="nil"/>
            </w:tcBorders>
          </w:tcPr>
          <w:p w:rsidR="00CF539D" w:rsidRPr="00196E2E" w:rsidRDefault="00CF539D" w:rsidP="00410F47">
            <w:pPr>
              <w:pStyle w:val="TCTableBody"/>
            </w:pPr>
            <w:r w:rsidRPr="00196E2E">
              <w:t>Dipole moment (D)</w:t>
            </w:r>
          </w:p>
        </w:tc>
        <w:tc>
          <w:tcPr>
            <w:tcW w:w="1669" w:type="pct"/>
            <w:tcBorders>
              <w:top w:val="nil"/>
              <w:left w:val="nil"/>
              <w:bottom w:val="single" w:sz="4" w:space="0" w:color="auto"/>
              <w:right w:val="nil"/>
            </w:tcBorders>
          </w:tcPr>
          <w:p w:rsidR="00CF539D" w:rsidRPr="00196E2E" w:rsidRDefault="00CF539D" w:rsidP="00410F47">
            <w:pPr>
              <w:pStyle w:val="TCTableBody"/>
            </w:pPr>
            <w:r w:rsidRPr="00196E2E">
              <w:t>Dielectric constant</w:t>
            </w:r>
          </w:p>
        </w:tc>
      </w:tr>
      <w:tr w:rsidR="00CF539D" w:rsidRPr="00196E2E" w:rsidTr="00CF539D">
        <w:tc>
          <w:tcPr>
            <w:tcW w:w="764" w:type="pct"/>
            <w:tcBorders>
              <w:top w:val="single" w:sz="4" w:space="0" w:color="auto"/>
              <w:left w:val="nil"/>
              <w:bottom w:val="nil"/>
              <w:right w:val="nil"/>
            </w:tcBorders>
          </w:tcPr>
          <w:p w:rsidR="00CF539D" w:rsidRPr="00196E2E" w:rsidRDefault="00CF539D" w:rsidP="00410F47">
            <w:pPr>
              <w:pStyle w:val="TCTableBody"/>
            </w:pPr>
            <w:r w:rsidRPr="00196E2E">
              <w:t>DMF</w:t>
            </w:r>
          </w:p>
        </w:tc>
        <w:tc>
          <w:tcPr>
            <w:tcW w:w="963" w:type="pct"/>
            <w:tcBorders>
              <w:top w:val="single" w:sz="4" w:space="0" w:color="auto"/>
              <w:left w:val="nil"/>
              <w:bottom w:val="nil"/>
              <w:right w:val="nil"/>
            </w:tcBorders>
          </w:tcPr>
          <w:p w:rsidR="00CF539D" w:rsidRPr="00196E2E" w:rsidRDefault="00CF539D" w:rsidP="00410F47">
            <w:pPr>
              <w:pStyle w:val="TCTableBody"/>
            </w:pPr>
            <w:r w:rsidRPr="00196E2E">
              <w:t>153</w:t>
            </w:r>
          </w:p>
        </w:tc>
        <w:tc>
          <w:tcPr>
            <w:tcW w:w="1604" w:type="pct"/>
            <w:tcBorders>
              <w:top w:val="single" w:sz="4" w:space="0" w:color="auto"/>
              <w:left w:val="nil"/>
              <w:bottom w:val="nil"/>
              <w:right w:val="nil"/>
            </w:tcBorders>
          </w:tcPr>
          <w:p w:rsidR="00CF539D" w:rsidRPr="00196E2E" w:rsidRDefault="00CF539D" w:rsidP="00410F47">
            <w:pPr>
              <w:pStyle w:val="TCTableBody"/>
            </w:pPr>
            <w:r w:rsidRPr="00196E2E">
              <w:t>3.8</w:t>
            </w:r>
          </w:p>
        </w:tc>
        <w:tc>
          <w:tcPr>
            <w:tcW w:w="1669" w:type="pct"/>
            <w:tcBorders>
              <w:top w:val="single" w:sz="4" w:space="0" w:color="auto"/>
              <w:left w:val="nil"/>
              <w:bottom w:val="nil"/>
              <w:right w:val="nil"/>
            </w:tcBorders>
          </w:tcPr>
          <w:p w:rsidR="00CF539D" w:rsidRPr="00196E2E" w:rsidRDefault="00CF539D" w:rsidP="00410F47">
            <w:pPr>
              <w:pStyle w:val="TCTableBody"/>
            </w:pPr>
            <w:r w:rsidRPr="00196E2E">
              <w:t>38</w:t>
            </w:r>
          </w:p>
        </w:tc>
      </w:tr>
      <w:tr w:rsidR="00CF539D" w:rsidRPr="00196E2E" w:rsidTr="00CF539D">
        <w:tc>
          <w:tcPr>
            <w:tcW w:w="764" w:type="pct"/>
            <w:tcBorders>
              <w:top w:val="nil"/>
              <w:left w:val="nil"/>
              <w:bottom w:val="nil"/>
              <w:right w:val="nil"/>
            </w:tcBorders>
          </w:tcPr>
          <w:p w:rsidR="00CF539D" w:rsidRPr="00196E2E" w:rsidRDefault="00CF539D" w:rsidP="00410F47">
            <w:pPr>
              <w:pStyle w:val="TCTableBody"/>
            </w:pPr>
            <w:r w:rsidRPr="00196E2E">
              <w:t>NMP</w:t>
            </w:r>
          </w:p>
        </w:tc>
        <w:tc>
          <w:tcPr>
            <w:tcW w:w="963" w:type="pct"/>
            <w:tcBorders>
              <w:top w:val="nil"/>
              <w:left w:val="nil"/>
              <w:bottom w:val="nil"/>
              <w:right w:val="nil"/>
            </w:tcBorders>
          </w:tcPr>
          <w:p w:rsidR="00CF539D" w:rsidRPr="00196E2E" w:rsidRDefault="00CF539D" w:rsidP="00410F47">
            <w:pPr>
              <w:pStyle w:val="TCTableBody"/>
            </w:pPr>
            <w:r w:rsidRPr="00196E2E">
              <w:t>204</w:t>
            </w:r>
          </w:p>
        </w:tc>
        <w:tc>
          <w:tcPr>
            <w:tcW w:w="1604" w:type="pct"/>
            <w:tcBorders>
              <w:top w:val="nil"/>
              <w:left w:val="nil"/>
              <w:bottom w:val="nil"/>
              <w:right w:val="nil"/>
            </w:tcBorders>
          </w:tcPr>
          <w:p w:rsidR="00CF539D" w:rsidRPr="00196E2E" w:rsidRDefault="00CF539D" w:rsidP="00410F47">
            <w:pPr>
              <w:pStyle w:val="TCTableBody"/>
            </w:pPr>
            <w:r w:rsidRPr="00196E2E">
              <w:t>4.1</w:t>
            </w:r>
          </w:p>
        </w:tc>
        <w:tc>
          <w:tcPr>
            <w:tcW w:w="1669" w:type="pct"/>
            <w:tcBorders>
              <w:top w:val="nil"/>
              <w:left w:val="nil"/>
              <w:bottom w:val="nil"/>
              <w:right w:val="nil"/>
            </w:tcBorders>
          </w:tcPr>
          <w:p w:rsidR="00CF539D" w:rsidRPr="00196E2E" w:rsidRDefault="00CF539D" w:rsidP="00410F47">
            <w:pPr>
              <w:pStyle w:val="TCTableBody"/>
            </w:pPr>
            <w:r w:rsidRPr="00196E2E">
              <w:t>32</w:t>
            </w:r>
          </w:p>
        </w:tc>
      </w:tr>
      <w:tr w:rsidR="00CF539D" w:rsidRPr="00196E2E" w:rsidTr="00CF539D">
        <w:tc>
          <w:tcPr>
            <w:tcW w:w="764" w:type="pct"/>
            <w:tcBorders>
              <w:top w:val="nil"/>
              <w:left w:val="nil"/>
              <w:bottom w:val="nil"/>
              <w:right w:val="nil"/>
            </w:tcBorders>
          </w:tcPr>
          <w:p w:rsidR="00CF539D" w:rsidRPr="00196E2E" w:rsidRDefault="00CF539D" w:rsidP="00410F47">
            <w:pPr>
              <w:pStyle w:val="TCTableBody"/>
            </w:pPr>
            <w:r w:rsidRPr="00196E2E">
              <w:t>MeCN</w:t>
            </w:r>
          </w:p>
        </w:tc>
        <w:tc>
          <w:tcPr>
            <w:tcW w:w="963" w:type="pct"/>
            <w:tcBorders>
              <w:top w:val="nil"/>
              <w:left w:val="nil"/>
              <w:bottom w:val="nil"/>
              <w:right w:val="nil"/>
            </w:tcBorders>
          </w:tcPr>
          <w:p w:rsidR="00CF539D" w:rsidRPr="00196E2E" w:rsidRDefault="00CF539D" w:rsidP="00410F47">
            <w:pPr>
              <w:pStyle w:val="TCTableBody"/>
            </w:pPr>
            <w:r w:rsidRPr="00196E2E">
              <w:t>82</w:t>
            </w:r>
          </w:p>
        </w:tc>
        <w:tc>
          <w:tcPr>
            <w:tcW w:w="1604" w:type="pct"/>
            <w:tcBorders>
              <w:top w:val="nil"/>
              <w:left w:val="nil"/>
              <w:bottom w:val="nil"/>
              <w:right w:val="nil"/>
            </w:tcBorders>
          </w:tcPr>
          <w:p w:rsidR="00CF539D" w:rsidRPr="00196E2E" w:rsidRDefault="00CF539D" w:rsidP="00410F47">
            <w:pPr>
              <w:pStyle w:val="TCTableBody"/>
            </w:pPr>
            <w:r w:rsidRPr="00196E2E">
              <w:t>3.4</w:t>
            </w:r>
          </w:p>
        </w:tc>
        <w:tc>
          <w:tcPr>
            <w:tcW w:w="1669" w:type="pct"/>
            <w:tcBorders>
              <w:top w:val="nil"/>
              <w:left w:val="nil"/>
              <w:bottom w:val="nil"/>
              <w:right w:val="nil"/>
            </w:tcBorders>
          </w:tcPr>
          <w:p w:rsidR="00CF539D" w:rsidRPr="00196E2E" w:rsidRDefault="00CF539D" w:rsidP="00410F47">
            <w:pPr>
              <w:pStyle w:val="TCTableBody"/>
            </w:pPr>
            <w:r w:rsidRPr="00196E2E">
              <w:t>38</w:t>
            </w:r>
          </w:p>
        </w:tc>
      </w:tr>
      <w:tr w:rsidR="00CF539D" w:rsidRPr="00196E2E" w:rsidTr="00CF539D">
        <w:tc>
          <w:tcPr>
            <w:tcW w:w="764" w:type="pct"/>
            <w:tcBorders>
              <w:top w:val="nil"/>
              <w:left w:val="nil"/>
              <w:bottom w:val="nil"/>
              <w:right w:val="nil"/>
            </w:tcBorders>
          </w:tcPr>
          <w:p w:rsidR="00CF539D" w:rsidRPr="00196E2E" w:rsidRDefault="00CF539D" w:rsidP="00410F47">
            <w:pPr>
              <w:pStyle w:val="TCTableBody"/>
            </w:pPr>
            <w:r w:rsidRPr="00196E2E">
              <w:t>DMSO</w:t>
            </w:r>
          </w:p>
        </w:tc>
        <w:tc>
          <w:tcPr>
            <w:tcW w:w="963" w:type="pct"/>
            <w:tcBorders>
              <w:top w:val="nil"/>
              <w:left w:val="nil"/>
              <w:bottom w:val="nil"/>
              <w:right w:val="nil"/>
            </w:tcBorders>
          </w:tcPr>
          <w:p w:rsidR="00CF539D" w:rsidRPr="00196E2E" w:rsidRDefault="00CF539D" w:rsidP="00410F47">
            <w:pPr>
              <w:pStyle w:val="TCTableBody"/>
            </w:pPr>
            <w:r w:rsidRPr="00196E2E">
              <w:t>189</w:t>
            </w:r>
          </w:p>
        </w:tc>
        <w:tc>
          <w:tcPr>
            <w:tcW w:w="1604" w:type="pct"/>
            <w:tcBorders>
              <w:top w:val="nil"/>
              <w:left w:val="nil"/>
              <w:bottom w:val="nil"/>
              <w:right w:val="nil"/>
            </w:tcBorders>
          </w:tcPr>
          <w:p w:rsidR="00CF539D" w:rsidRPr="00196E2E" w:rsidRDefault="00CF539D" w:rsidP="00410F47">
            <w:pPr>
              <w:pStyle w:val="TCTableBody"/>
            </w:pPr>
            <w:r w:rsidRPr="00196E2E">
              <w:t>3.9</w:t>
            </w:r>
          </w:p>
        </w:tc>
        <w:tc>
          <w:tcPr>
            <w:tcW w:w="1669" w:type="pct"/>
            <w:tcBorders>
              <w:top w:val="nil"/>
              <w:left w:val="nil"/>
              <w:bottom w:val="nil"/>
              <w:right w:val="nil"/>
            </w:tcBorders>
          </w:tcPr>
          <w:p w:rsidR="00CF539D" w:rsidRPr="00196E2E" w:rsidRDefault="00CF539D" w:rsidP="00410F47">
            <w:pPr>
              <w:pStyle w:val="TCTableBody"/>
            </w:pPr>
            <w:r w:rsidRPr="00196E2E">
              <w:t>47</w:t>
            </w:r>
          </w:p>
        </w:tc>
      </w:tr>
      <w:tr w:rsidR="00CF539D" w:rsidRPr="00196E2E" w:rsidTr="00CF539D">
        <w:tc>
          <w:tcPr>
            <w:tcW w:w="764" w:type="pct"/>
            <w:tcBorders>
              <w:top w:val="nil"/>
              <w:left w:val="nil"/>
              <w:bottom w:val="nil"/>
              <w:right w:val="nil"/>
            </w:tcBorders>
          </w:tcPr>
          <w:p w:rsidR="00CF539D" w:rsidRPr="00196E2E" w:rsidRDefault="004C2253" w:rsidP="00410F47">
            <w:pPr>
              <w:pStyle w:val="TCTableBody"/>
              <w:rPr>
                <w:b/>
              </w:rPr>
            </w:pPr>
            <w:r w:rsidRPr="00196E2E">
              <w:t xml:space="preserve">PC </w:t>
            </w:r>
            <w:r w:rsidR="00CF539D" w:rsidRPr="00196E2E">
              <w:rPr>
                <w:b/>
              </w:rPr>
              <w:t>1</w:t>
            </w:r>
          </w:p>
        </w:tc>
        <w:tc>
          <w:tcPr>
            <w:tcW w:w="963" w:type="pct"/>
            <w:tcBorders>
              <w:top w:val="nil"/>
              <w:left w:val="nil"/>
              <w:bottom w:val="nil"/>
              <w:right w:val="nil"/>
            </w:tcBorders>
          </w:tcPr>
          <w:p w:rsidR="00CF539D" w:rsidRPr="00196E2E" w:rsidRDefault="00CF539D" w:rsidP="00410F47">
            <w:pPr>
              <w:pStyle w:val="TCTableBody"/>
            </w:pPr>
            <w:r w:rsidRPr="00196E2E">
              <w:t>242</w:t>
            </w:r>
          </w:p>
        </w:tc>
        <w:tc>
          <w:tcPr>
            <w:tcW w:w="1604" w:type="pct"/>
            <w:tcBorders>
              <w:top w:val="nil"/>
              <w:left w:val="nil"/>
              <w:bottom w:val="nil"/>
              <w:right w:val="nil"/>
            </w:tcBorders>
          </w:tcPr>
          <w:p w:rsidR="00CF539D" w:rsidRPr="00196E2E" w:rsidRDefault="00CF539D" w:rsidP="00410F47">
            <w:pPr>
              <w:pStyle w:val="TCTableBody"/>
            </w:pPr>
            <w:r w:rsidRPr="00196E2E">
              <w:t>4.9</w:t>
            </w:r>
          </w:p>
        </w:tc>
        <w:tc>
          <w:tcPr>
            <w:tcW w:w="1669" w:type="pct"/>
            <w:tcBorders>
              <w:top w:val="nil"/>
              <w:left w:val="nil"/>
              <w:bottom w:val="nil"/>
              <w:right w:val="nil"/>
            </w:tcBorders>
          </w:tcPr>
          <w:p w:rsidR="00CF539D" w:rsidRPr="00196E2E" w:rsidRDefault="00CF539D" w:rsidP="00410F47">
            <w:pPr>
              <w:pStyle w:val="TCTableBody"/>
            </w:pPr>
            <w:r w:rsidRPr="00196E2E">
              <w:t>65</w:t>
            </w:r>
          </w:p>
        </w:tc>
      </w:tr>
      <w:tr w:rsidR="00CF539D" w:rsidRPr="00196E2E" w:rsidTr="00CF539D">
        <w:tc>
          <w:tcPr>
            <w:tcW w:w="764" w:type="pct"/>
            <w:tcBorders>
              <w:top w:val="nil"/>
              <w:left w:val="nil"/>
              <w:bottom w:val="single" w:sz="4" w:space="0" w:color="auto"/>
              <w:right w:val="nil"/>
            </w:tcBorders>
          </w:tcPr>
          <w:p w:rsidR="00CF539D" w:rsidRPr="00196E2E" w:rsidRDefault="004C2253" w:rsidP="00410F47">
            <w:pPr>
              <w:pStyle w:val="TCTableBody"/>
              <w:rPr>
                <w:b/>
              </w:rPr>
            </w:pPr>
            <w:r w:rsidRPr="00196E2E">
              <w:t xml:space="preserve">EC </w:t>
            </w:r>
            <w:r w:rsidR="00CF539D" w:rsidRPr="00196E2E">
              <w:rPr>
                <w:b/>
              </w:rPr>
              <w:t>2</w:t>
            </w:r>
          </w:p>
        </w:tc>
        <w:tc>
          <w:tcPr>
            <w:tcW w:w="963" w:type="pct"/>
            <w:tcBorders>
              <w:top w:val="nil"/>
              <w:left w:val="nil"/>
              <w:bottom w:val="single" w:sz="4" w:space="0" w:color="auto"/>
              <w:right w:val="nil"/>
            </w:tcBorders>
          </w:tcPr>
          <w:p w:rsidR="00CF539D" w:rsidRPr="00196E2E" w:rsidRDefault="00CF539D" w:rsidP="00410F47">
            <w:pPr>
              <w:pStyle w:val="TCTableBody"/>
            </w:pPr>
            <w:r w:rsidRPr="00196E2E">
              <w:t>248 (36)</w:t>
            </w:r>
          </w:p>
        </w:tc>
        <w:tc>
          <w:tcPr>
            <w:tcW w:w="1604" w:type="pct"/>
            <w:tcBorders>
              <w:top w:val="nil"/>
              <w:left w:val="nil"/>
              <w:bottom w:val="single" w:sz="4" w:space="0" w:color="auto"/>
              <w:right w:val="nil"/>
            </w:tcBorders>
          </w:tcPr>
          <w:p w:rsidR="00CF539D" w:rsidRPr="00196E2E" w:rsidRDefault="00CF539D" w:rsidP="00410F47">
            <w:pPr>
              <w:pStyle w:val="TCTableBody"/>
            </w:pPr>
            <w:r w:rsidRPr="00196E2E">
              <w:t>4.9</w:t>
            </w:r>
          </w:p>
        </w:tc>
        <w:tc>
          <w:tcPr>
            <w:tcW w:w="1669" w:type="pct"/>
            <w:tcBorders>
              <w:top w:val="nil"/>
              <w:left w:val="nil"/>
              <w:bottom w:val="single" w:sz="4" w:space="0" w:color="auto"/>
              <w:right w:val="nil"/>
            </w:tcBorders>
          </w:tcPr>
          <w:p w:rsidR="00CF539D" w:rsidRPr="00196E2E" w:rsidRDefault="00CF539D" w:rsidP="00410F47">
            <w:pPr>
              <w:pStyle w:val="TCTableBody"/>
            </w:pPr>
            <w:r w:rsidRPr="00196E2E">
              <w:t>90</w:t>
            </w:r>
          </w:p>
        </w:tc>
      </w:tr>
    </w:tbl>
    <w:p w:rsidR="00CF539D" w:rsidRPr="00196E2E" w:rsidRDefault="00CF539D" w:rsidP="00CF539D">
      <w:pPr>
        <w:pStyle w:val="RSCT04TableFootnotewithbottombar"/>
        <w:spacing w:before="0" w:after="0" w:line="20" w:lineRule="exact"/>
        <w:rPr>
          <w:sz w:val="16"/>
          <w:szCs w:val="16"/>
          <w:lang w:val="pt-BR"/>
        </w:rPr>
      </w:pPr>
      <w:r w:rsidRPr="00196E2E">
        <w:rPr>
          <w:noProof/>
          <w:lang w:val="en-US"/>
        </w:rPr>
        <w:t xml:space="preserve"> </w:t>
      </w:r>
    </w:p>
    <w:p w:rsidR="00CF539D" w:rsidRPr="00196E2E" w:rsidRDefault="00995391" w:rsidP="00560080">
      <w:pPr>
        <w:pStyle w:val="RSCI03FigureSchemeChartUncaptioned"/>
        <w:rPr>
          <w:color w:val="FF0000"/>
        </w:rPr>
      </w:pPr>
      <w:r w:rsidRPr="00196E2E">
        <w:object w:dxaOrig="3932" w:dyaOrig="10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6pt;height:50.05pt" o:ole="">
            <v:imagedata r:id="rId15" o:title=""/>
          </v:shape>
          <o:OLEObject Type="Embed" ProgID="ChemDraw.Document.6.0" ShapeID="_x0000_i1025" DrawAspect="Content" ObjectID="_1549877744" r:id="rId16"/>
        </w:object>
      </w:r>
    </w:p>
    <w:p w:rsidR="00CF539D" w:rsidRPr="00196E2E" w:rsidRDefault="00CF539D" w:rsidP="00CF539D">
      <w:pPr>
        <w:pStyle w:val="RSCI05CaptiontoFigureSchemeChartwithbottombar"/>
        <w:rPr>
          <w:color w:val="000000" w:themeColor="text1"/>
        </w:rPr>
      </w:pPr>
      <w:r w:rsidRPr="00196E2E">
        <w:rPr>
          <w:b/>
          <w:color w:val="000000" w:themeColor="text1"/>
        </w:rPr>
        <w:t>Scheme 1:</w:t>
      </w:r>
      <w:r w:rsidRPr="00196E2E">
        <w:rPr>
          <w:color w:val="000000" w:themeColor="text1"/>
        </w:rPr>
        <w:t xml:space="preserve"> </w:t>
      </w:r>
      <w:r w:rsidRPr="00196E2E">
        <w:t>Synthesis of cyclic carbonates</w:t>
      </w:r>
      <w:r w:rsidRPr="00196E2E">
        <w:rPr>
          <w:color w:val="000000" w:themeColor="text1"/>
        </w:rPr>
        <w:t>.</w:t>
      </w:r>
    </w:p>
    <w:p w:rsidR="004474F3" w:rsidRPr="00196E2E" w:rsidRDefault="00560080" w:rsidP="00560080">
      <w:pPr>
        <w:pStyle w:val="RSCB02ArticleText"/>
        <w:ind w:firstLine="284"/>
      </w:pPr>
      <w:r w:rsidRPr="00196E2E">
        <w:t xml:space="preserve">Cyclic carbonates, especially propylene carbonate (PC) </w:t>
      </w:r>
      <w:r w:rsidRPr="00196E2E">
        <w:rPr>
          <w:b/>
        </w:rPr>
        <w:t>1</w:t>
      </w:r>
      <w:r w:rsidRPr="00196E2E">
        <w:t xml:space="preserve"> and ethylene carbonate (EC) </w:t>
      </w:r>
      <w:r w:rsidRPr="00196E2E">
        <w:rPr>
          <w:b/>
        </w:rPr>
        <w:t>2</w:t>
      </w:r>
      <w:r w:rsidRPr="00196E2E">
        <w:t xml:space="preserve"> are remarkably polar aprotic compounds with dipole moments and dielectric constants </w:t>
      </w:r>
      <w:r w:rsidR="00FB7858" w:rsidRPr="00196E2E">
        <w:t>higher than those of conventional polar aprotic solvents</w:t>
      </w:r>
      <w:r w:rsidR="00FB7858" w:rsidRPr="00196E2E">
        <w:rPr>
          <w:vertAlign w:val="superscript"/>
        </w:rPr>
        <w:endnoteReference w:id="23"/>
      </w:r>
      <w:r w:rsidR="00FB7858" w:rsidRPr="00196E2E">
        <w:t xml:space="preserve"> (Table 1). Unlike conventional polar aprotic compounds, they contain only carbon, hydrogen and oxygen and so generate no </w:t>
      </w:r>
      <w:r w:rsidR="004C2253" w:rsidRPr="00196E2E">
        <w:t xml:space="preserve">NOx or SOx </w:t>
      </w:r>
      <w:r w:rsidR="004474F3" w:rsidRPr="00196E2E">
        <w:t xml:space="preserve">on incineration and </w:t>
      </w:r>
      <w:r w:rsidR="00C66115" w:rsidRPr="00196E2E">
        <w:t>PC</w:t>
      </w:r>
      <w:r w:rsidR="004474F3" w:rsidRPr="00196E2E">
        <w:t xml:space="preserve"> is known to be non-toxic and is used in topically applied medical products</w:t>
      </w:r>
      <w:r w:rsidR="004474F3" w:rsidRPr="00196E2E">
        <w:rPr>
          <w:vertAlign w:val="superscript"/>
        </w:rPr>
        <w:endnoteReference w:id="24"/>
      </w:r>
      <w:r w:rsidR="004474F3" w:rsidRPr="00196E2E">
        <w:t xml:space="preserve"> and cosmetics.</w:t>
      </w:r>
      <w:bookmarkStart w:id="8" w:name="_Ref458760502"/>
      <w:r w:rsidR="004474F3" w:rsidRPr="00196E2E">
        <w:rPr>
          <w:vertAlign w:val="superscript"/>
        </w:rPr>
        <w:endnoteReference w:id="25"/>
      </w:r>
      <w:bookmarkEnd w:id="8"/>
      <w:r w:rsidR="004474F3" w:rsidRPr="00196E2E">
        <w:rPr>
          <w:vertAlign w:val="superscript"/>
        </w:rPr>
        <w:t xml:space="preserve"> </w:t>
      </w:r>
      <w:r w:rsidR="000F0086" w:rsidRPr="00196E2E">
        <w:t>PC is al</w:t>
      </w:r>
      <w:r w:rsidR="009C2D36" w:rsidRPr="00196E2E">
        <w:t>so less expensive than DMF</w:t>
      </w:r>
      <w:r w:rsidR="000F0086" w:rsidRPr="00196E2E">
        <w:rPr>
          <w:rStyle w:val="EndnoteReference"/>
        </w:rPr>
        <w:endnoteReference w:id="26"/>
      </w:r>
      <w:r w:rsidR="009C2D36" w:rsidRPr="00196E2E">
        <w:t xml:space="preserve"> and unlike DMF is not significantly hygroscopic.</w:t>
      </w:r>
      <w:r w:rsidR="002033DE" w:rsidRPr="00196E2E">
        <w:rPr>
          <w:rStyle w:val="EndnoteReference"/>
        </w:rPr>
        <w:endnoteReference w:id="27"/>
      </w:r>
      <w:r w:rsidR="000F0086" w:rsidRPr="00196E2E">
        <w:t xml:space="preserve"> </w:t>
      </w:r>
      <w:r w:rsidR="004474F3" w:rsidRPr="00196E2E">
        <w:t xml:space="preserve">Cyclic carbonates, including </w:t>
      </w:r>
      <w:r w:rsidR="00995391" w:rsidRPr="00196E2E">
        <w:t>PC</w:t>
      </w:r>
      <w:r w:rsidR="004474F3" w:rsidRPr="00196E2E">
        <w:t xml:space="preserve"> and </w:t>
      </w:r>
      <w:r w:rsidR="00995391" w:rsidRPr="00196E2E">
        <w:t>EC</w:t>
      </w:r>
      <w:r w:rsidR="004474F3" w:rsidRPr="00196E2E">
        <w:t>, can be prepared by the 100% atom economical reaction between epoxides and carbon dioxide (Scheme 1),</w:t>
      </w:r>
      <w:r w:rsidR="004474F3" w:rsidRPr="00196E2E">
        <w:rPr>
          <w:vertAlign w:val="superscript"/>
        </w:rPr>
        <w:endnoteReference w:id="28"/>
      </w:r>
      <w:r w:rsidR="004474F3" w:rsidRPr="00196E2E">
        <w:t xml:space="preserve"> a reaction which is currently attracting considerable attention due to its ability to utilize waste carbon dioxide in chemical synthesis.</w:t>
      </w:r>
      <w:r w:rsidR="004474F3" w:rsidRPr="00196E2E">
        <w:rPr>
          <w:vertAlign w:val="superscript"/>
        </w:rPr>
        <w:endnoteReference w:id="29"/>
      </w:r>
      <w:r w:rsidR="004474F3" w:rsidRPr="00196E2E">
        <w:t xml:space="preserve"> Cyclic carbonates </w:t>
      </w:r>
      <w:r w:rsidR="00C66115" w:rsidRPr="00196E2E">
        <w:t>including PC and EC</w:t>
      </w:r>
      <w:r w:rsidR="004474F3" w:rsidRPr="00196E2E">
        <w:t xml:space="preserve"> are already produced commercially</w:t>
      </w:r>
      <w:r w:rsidR="004474F3" w:rsidRPr="00196E2E">
        <w:rPr>
          <w:vertAlign w:val="superscript"/>
        </w:rPr>
        <w:endnoteReference w:id="30"/>
      </w:r>
      <w:r w:rsidR="004474F3" w:rsidRPr="00196E2E">
        <w:t xml:space="preserve"> and have a number of applications, including as electrolytes in lithium ion batteries.</w:t>
      </w:r>
      <w:r w:rsidR="004474F3" w:rsidRPr="00196E2E">
        <w:rPr>
          <w:vertAlign w:val="superscript"/>
        </w:rPr>
        <w:endnoteReference w:id="31"/>
      </w:r>
      <w:r w:rsidR="004474F3" w:rsidRPr="00196E2E">
        <w:t xml:space="preserve"> </w:t>
      </w:r>
      <w:r w:rsidR="00C66115" w:rsidRPr="00196E2E">
        <w:t>PC</w:t>
      </w:r>
      <w:r w:rsidR="004474F3" w:rsidRPr="00196E2E">
        <w:t xml:space="preserve"> was ranked as the greenest solvent in the latest green solvents guide</w:t>
      </w:r>
      <w:r w:rsidR="004474F3" w:rsidRPr="00196E2E">
        <w:rPr>
          <w:vertAlign w:val="superscript"/>
        </w:rPr>
        <w:fldChar w:fldCharType="begin"/>
      </w:r>
      <w:r w:rsidR="004474F3" w:rsidRPr="00196E2E">
        <w:rPr>
          <w:vertAlign w:val="superscript"/>
        </w:rPr>
        <w:instrText xml:space="preserve"> NOTEREF _Ref457474306 \h  \* MERGEFORMAT </w:instrText>
      </w:r>
      <w:r w:rsidR="004474F3" w:rsidRPr="00196E2E">
        <w:rPr>
          <w:vertAlign w:val="superscript"/>
        </w:rPr>
      </w:r>
      <w:r w:rsidR="004474F3" w:rsidRPr="00196E2E">
        <w:rPr>
          <w:vertAlign w:val="superscript"/>
        </w:rPr>
        <w:fldChar w:fldCharType="separate"/>
      </w:r>
      <w:r w:rsidR="009A73E3" w:rsidRPr="00196E2E">
        <w:rPr>
          <w:vertAlign w:val="superscript"/>
        </w:rPr>
        <w:t>13</w:t>
      </w:r>
      <w:r w:rsidR="004474F3" w:rsidRPr="00196E2E">
        <w:rPr>
          <w:vertAlign w:val="superscript"/>
        </w:rPr>
        <w:fldChar w:fldCharType="end"/>
      </w:r>
      <w:r w:rsidR="004474F3" w:rsidRPr="00196E2E">
        <w:t xml:space="preserve"> and has previously been used as a solvent for cycloaddition reactions</w:t>
      </w:r>
      <w:r w:rsidR="004474F3" w:rsidRPr="00196E2E">
        <w:rPr>
          <w:vertAlign w:val="superscript"/>
        </w:rPr>
        <w:endnoteReference w:id="32"/>
      </w:r>
      <w:r w:rsidR="004474F3" w:rsidRPr="00196E2E">
        <w:rPr>
          <w:vertAlign w:val="superscript"/>
        </w:rPr>
        <w:t xml:space="preserve"> </w:t>
      </w:r>
      <w:r w:rsidR="004745E3" w:rsidRPr="00196E2E">
        <w:t>and for metal catalys</w:t>
      </w:r>
      <w:r w:rsidR="004474F3" w:rsidRPr="00196E2E">
        <w:t>ed</w:t>
      </w:r>
      <w:r w:rsidR="004474F3" w:rsidRPr="00196E2E">
        <w:rPr>
          <w:vertAlign w:val="superscript"/>
        </w:rPr>
        <w:fldChar w:fldCharType="begin"/>
      </w:r>
      <w:r w:rsidR="004474F3" w:rsidRPr="00196E2E">
        <w:rPr>
          <w:vertAlign w:val="superscript"/>
        </w:rPr>
        <w:instrText xml:space="preserve"> NOTEREF _Ref458760502 \h  \* MERGEFORMAT </w:instrText>
      </w:r>
      <w:r w:rsidR="004474F3" w:rsidRPr="00196E2E">
        <w:rPr>
          <w:vertAlign w:val="superscript"/>
        </w:rPr>
      </w:r>
      <w:r w:rsidR="004474F3" w:rsidRPr="00196E2E">
        <w:rPr>
          <w:vertAlign w:val="superscript"/>
        </w:rPr>
        <w:fldChar w:fldCharType="separate"/>
      </w:r>
      <w:r w:rsidR="009A73E3" w:rsidRPr="00196E2E">
        <w:rPr>
          <w:vertAlign w:val="superscript"/>
        </w:rPr>
        <w:t>20</w:t>
      </w:r>
      <w:r w:rsidR="004474F3" w:rsidRPr="00196E2E">
        <w:rPr>
          <w:vertAlign w:val="superscript"/>
        </w:rPr>
        <w:fldChar w:fldCharType="end"/>
      </w:r>
      <w:r w:rsidR="004474F3" w:rsidRPr="00196E2E">
        <w:rPr>
          <w:vertAlign w:val="superscript"/>
        </w:rPr>
        <w:t>,</w:t>
      </w:r>
      <w:r w:rsidR="004474F3" w:rsidRPr="00196E2E">
        <w:rPr>
          <w:vertAlign w:val="superscript"/>
        </w:rPr>
        <w:endnoteReference w:id="33"/>
      </w:r>
      <w:r w:rsidR="004474F3" w:rsidRPr="00196E2E">
        <w:rPr>
          <w:vertAlign w:val="superscript"/>
        </w:rPr>
        <w:t xml:space="preserve"> </w:t>
      </w:r>
      <w:r w:rsidR="004745E3" w:rsidRPr="00196E2E">
        <w:t>and organocatalys</w:t>
      </w:r>
      <w:r w:rsidR="004474F3" w:rsidRPr="00196E2E">
        <w:t>ed</w:t>
      </w:r>
      <w:bookmarkStart w:id="9" w:name="_Ref458767752"/>
      <w:r w:rsidR="004474F3" w:rsidRPr="00196E2E">
        <w:rPr>
          <w:vertAlign w:val="superscript"/>
        </w:rPr>
        <w:endnoteReference w:id="34"/>
      </w:r>
      <w:bookmarkEnd w:id="9"/>
      <w:r w:rsidR="004474F3" w:rsidRPr="00196E2E">
        <w:t xml:space="preserve"> transformations. Therefore we decided to investigate the use of </w:t>
      </w:r>
      <w:r w:rsidR="00C66115" w:rsidRPr="00196E2E">
        <w:t>PC and EC</w:t>
      </w:r>
      <w:r w:rsidR="004474F3" w:rsidRPr="00196E2E">
        <w:t xml:space="preserve"> as solvents for both coupling and deprotection steps in both solution</w:t>
      </w:r>
      <w:r w:rsidR="00FB7858" w:rsidRPr="00196E2E">
        <w:t>-</w:t>
      </w:r>
      <w:r w:rsidR="004474F3" w:rsidRPr="00196E2E">
        <w:t xml:space="preserve"> and solid-phase peptide synthesis using a range of common protecting groups and coupling agents.</w:t>
      </w:r>
    </w:p>
    <w:p w:rsidR="00E604F6" w:rsidRPr="00196E2E" w:rsidRDefault="00E604F6" w:rsidP="00E604F6">
      <w:pPr>
        <w:pStyle w:val="RSCB04AHeadingSection"/>
      </w:pPr>
      <w:r w:rsidRPr="00196E2E">
        <w:t>Results and Discussion</w:t>
      </w:r>
    </w:p>
    <w:p w:rsidR="00E105B9" w:rsidRPr="00196E2E" w:rsidRDefault="00C66115" w:rsidP="00E604F6">
      <w:pPr>
        <w:pStyle w:val="RSCB02ArticleText"/>
        <w:ind w:firstLine="284"/>
      </w:pPr>
      <w:r w:rsidRPr="00196E2E">
        <w:t xml:space="preserve">To </w:t>
      </w:r>
      <w:r w:rsidR="00E604F6" w:rsidRPr="00196E2E">
        <w:t>investigate the feasibility of peptide synthesis in cyclic carbonate solvents, the known</w:t>
      </w:r>
      <w:bookmarkStart w:id="10" w:name="_Ref458766864"/>
      <w:r w:rsidR="00E604F6" w:rsidRPr="00196E2E">
        <w:rPr>
          <w:vertAlign w:val="superscript"/>
        </w:rPr>
        <w:endnoteReference w:id="35"/>
      </w:r>
      <w:bookmarkEnd w:id="10"/>
      <w:r w:rsidR="00E604F6" w:rsidRPr="00196E2E">
        <w:t xml:space="preserve"> coupling reaction between Boc-alanine </w:t>
      </w:r>
      <w:r w:rsidR="00E604F6" w:rsidRPr="00196E2E">
        <w:rPr>
          <w:b/>
        </w:rPr>
        <w:t xml:space="preserve">3a </w:t>
      </w:r>
      <w:r w:rsidR="00E604F6" w:rsidRPr="00196E2E">
        <w:t xml:space="preserve">and phenylalanine benzyl ester </w:t>
      </w:r>
      <w:r w:rsidR="00E604F6" w:rsidRPr="00196E2E">
        <w:rPr>
          <w:b/>
        </w:rPr>
        <w:t xml:space="preserve">4a </w:t>
      </w:r>
      <w:r w:rsidR="00E604F6" w:rsidRPr="00196E2E">
        <w:t>was studied (Scheme 2) and the results are presented in Table 2. Entry 1 gives the literature conditions</w:t>
      </w:r>
      <w:r w:rsidR="00E604F6" w:rsidRPr="00196E2E">
        <w:rPr>
          <w:vertAlign w:val="superscript"/>
        </w:rPr>
        <w:fldChar w:fldCharType="begin"/>
      </w:r>
      <w:r w:rsidR="00E604F6" w:rsidRPr="00196E2E">
        <w:rPr>
          <w:vertAlign w:val="superscript"/>
        </w:rPr>
        <w:instrText xml:space="preserve"> NOTEREF _Ref458766864 \h  \* MERGEFORMAT </w:instrText>
      </w:r>
      <w:r w:rsidR="00E604F6" w:rsidRPr="00196E2E">
        <w:rPr>
          <w:vertAlign w:val="superscript"/>
        </w:rPr>
      </w:r>
      <w:r w:rsidR="00E604F6" w:rsidRPr="00196E2E">
        <w:rPr>
          <w:vertAlign w:val="superscript"/>
        </w:rPr>
        <w:fldChar w:fldCharType="separate"/>
      </w:r>
      <w:r w:rsidR="009A73E3" w:rsidRPr="00196E2E">
        <w:rPr>
          <w:vertAlign w:val="superscript"/>
        </w:rPr>
        <w:t>29</w:t>
      </w:r>
      <w:r w:rsidR="00E604F6" w:rsidRPr="00196E2E">
        <w:rPr>
          <w:vertAlign w:val="superscript"/>
        </w:rPr>
        <w:fldChar w:fldCharType="end"/>
      </w:r>
      <w:r w:rsidR="00E604F6" w:rsidRPr="00196E2E">
        <w:t xml:space="preserve"> using a conventional dichloromethane and DMF solvent system. Entry 2 shows that changing the coupling agent, additive and base to give a less costly and homogeneous reaction whilst still using the conventional solvent system results in a 10% reduction in the yield of dipeptide </w:t>
      </w:r>
      <w:r w:rsidR="00E604F6" w:rsidRPr="00196E2E">
        <w:rPr>
          <w:b/>
        </w:rPr>
        <w:t>5a</w:t>
      </w:r>
      <w:r w:rsidR="00E604F6" w:rsidRPr="00196E2E">
        <w:t xml:space="preserve">. However, as shown in entry 3, simply changing the solvent to </w:t>
      </w:r>
      <w:r w:rsidRPr="00196E2E">
        <w:t>PC</w:t>
      </w:r>
      <w:r w:rsidR="00E604F6" w:rsidRPr="00196E2E">
        <w:t xml:space="preserve"> virtually restored the yield of dipeptide </w:t>
      </w:r>
      <w:r w:rsidR="00E604F6" w:rsidRPr="00196E2E">
        <w:rPr>
          <w:b/>
        </w:rPr>
        <w:t>5a</w:t>
      </w:r>
      <w:r w:rsidR="00E604F6" w:rsidRPr="00196E2E">
        <w:t xml:space="preserve"> to the literature value and use of </w:t>
      </w:r>
      <w:r w:rsidRPr="00196E2E">
        <w:t>EC</w:t>
      </w:r>
      <w:r w:rsidR="00E604F6" w:rsidRPr="00196E2E">
        <w:t xml:space="preserve"> as solvent </w:t>
      </w:r>
    </w:p>
    <w:p w:rsidR="00E105B9" w:rsidRPr="00196E2E" w:rsidRDefault="0091261B" w:rsidP="00560080">
      <w:pPr>
        <w:pStyle w:val="RSCI03FigureSchemeChartUncaptioned"/>
        <w:rPr>
          <w:color w:val="FF0000"/>
        </w:rPr>
      </w:pPr>
      <w:r w:rsidRPr="00196E2E">
        <w:object w:dxaOrig="4589" w:dyaOrig="3101">
          <v:shape id="_x0000_i1026" type="#_x0000_t75" style="width:229.45pt;height:155.05pt" o:ole="">
            <v:imagedata r:id="rId17" o:title=""/>
          </v:shape>
          <o:OLEObject Type="Embed" ProgID="ChemDraw.Document.6.0" ShapeID="_x0000_i1026" DrawAspect="Content" ObjectID="_1549877745" r:id="rId18"/>
        </w:object>
      </w:r>
    </w:p>
    <w:p w:rsidR="00E105B9" w:rsidRPr="00196E2E" w:rsidRDefault="00E105B9" w:rsidP="00E105B9">
      <w:pPr>
        <w:pStyle w:val="RSCI05CaptiontoFigureSchemeChartwithbottombar"/>
        <w:rPr>
          <w:color w:val="000000" w:themeColor="text1"/>
        </w:rPr>
      </w:pPr>
      <w:r w:rsidRPr="00196E2E">
        <w:rPr>
          <w:b/>
          <w:color w:val="000000" w:themeColor="text1"/>
        </w:rPr>
        <w:t>Scheme 2:</w:t>
      </w:r>
      <w:r w:rsidRPr="00196E2E">
        <w:rPr>
          <w:color w:val="000000" w:themeColor="text1"/>
        </w:rPr>
        <w:t xml:space="preserve"> </w:t>
      </w:r>
      <w:r w:rsidRPr="00196E2E">
        <w:rPr>
          <w:rStyle w:val="RSCI04CaptiontoFigureSchemeChartChar"/>
        </w:rPr>
        <w:t>Synthesis of dipeptides</w:t>
      </w:r>
      <w:r w:rsidRPr="00196E2E">
        <w:t xml:space="preserve"> </w:t>
      </w:r>
      <w:r w:rsidRPr="00196E2E">
        <w:rPr>
          <w:b/>
        </w:rPr>
        <w:t>5-6a,b</w:t>
      </w:r>
      <w:r w:rsidRPr="00196E2E">
        <w:t xml:space="preserve"> in </w:t>
      </w:r>
      <w:r w:rsidR="0037108F" w:rsidRPr="00196E2E">
        <w:t>PC</w:t>
      </w:r>
      <w:r w:rsidRPr="00196E2E">
        <w:t>.</w:t>
      </w:r>
    </w:p>
    <w:p w:rsidR="00E105B9" w:rsidRPr="00196E2E" w:rsidRDefault="00E105B9" w:rsidP="00560080">
      <w:pPr>
        <w:pStyle w:val="RSCT02Tabletitlewithouttopbar"/>
        <w:rPr>
          <w:sz w:val="18"/>
        </w:rPr>
      </w:pPr>
      <w:r w:rsidRPr="00196E2E">
        <w:rPr>
          <w:b/>
        </w:rPr>
        <w:t>Table 2:</w:t>
      </w:r>
      <w:r w:rsidRPr="00196E2E">
        <w:t xml:space="preserve"> </w:t>
      </w:r>
      <w:r w:rsidRPr="00196E2E">
        <w:rPr>
          <w:rStyle w:val="RSCT02TabletitlewithouttopbarChar"/>
        </w:rPr>
        <w:t>Synthesis of dipeptide</w:t>
      </w:r>
      <w:r w:rsidRPr="00196E2E">
        <w:t xml:space="preserve"> </w:t>
      </w:r>
      <w:r w:rsidRPr="00196E2E">
        <w:rPr>
          <w:b/>
        </w:rPr>
        <w:t>5a</w:t>
      </w:r>
      <w:r w:rsidRPr="00196E2E">
        <w:rPr>
          <w:vertAlign w:val="superscript"/>
        </w:rPr>
        <w:t>a</w:t>
      </w:r>
    </w:p>
    <w:tbl>
      <w:tblPr>
        <w:tblStyle w:val="TableGrid"/>
        <w:tblW w:w="5000" w:type="pct"/>
        <w:tblLook w:val="04A0" w:firstRow="1" w:lastRow="0" w:firstColumn="1" w:lastColumn="0" w:noHBand="0" w:noVBand="1"/>
      </w:tblPr>
      <w:tblGrid>
        <w:gridCol w:w="540"/>
        <w:gridCol w:w="1721"/>
        <w:gridCol w:w="575"/>
        <w:gridCol w:w="705"/>
        <w:gridCol w:w="924"/>
        <w:gridCol w:w="740"/>
      </w:tblGrid>
      <w:tr w:rsidR="00105FF9" w:rsidRPr="00196E2E" w:rsidTr="00105FF9">
        <w:tc>
          <w:tcPr>
            <w:tcW w:w="519" w:type="pct"/>
            <w:tcBorders>
              <w:top w:val="nil"/>
              <w:left w:val="nil"/>
              <w:bottom w:val="single" w:sz="4" w:space="0" w:color="auto"/>
              <w:right w:val="nil"/>
            </w:tcBorders>
          </w:tcPr>
          <w:p w:rsidR="00105FF9" w:rsidRPr="00196E2E" w:rsidRDefault="00105FF9" w:rsidP="00410F47">
            <w:pPr>
              <w:pStyle w:val="TCTableBody"/>
            </w:pPr>
            <w:r w:rsidRPr="00196E2E">
              <w:t>Entry</w:t>
            </w:r>
          </w:p>
        </w:tc>
        <w:tc>
          <w:tcPr>
            <w:tcW w:w="1653" w:type="pct"/>
            <w:tcBorders>
              <w:top w:val="nil"/>
              <w:left w:val="nil"/>
              <w:bottom w:val="single" w:sz="4" w:space="0" w:color="auto"/>
              <w:right w:val="nil"/>
            </w:tcBorders>
          </w:tcPr>
          <w:p w:rsidR="00105FF9" w:rsidRPr="00196E2E" w:rsidRDefault="00105FF9" w:rsidP="00410F47">
            <w:pPr>
              <w:pStyle w:val="TCTableBody"/>
            </w:pPr>
            <w:r w:rsidRPr="00196E2E">
              <w:t>Coupling agent / additive</w:t>
            </w:r>
          </w:p>
        </w:tc>
        <w:tc>
          <w:tcPr>
            <w:tcW w:w="552" w:type="pct"/>
            <w:tcBorders>
              <w:top w:val="nil"/>
              <w:left w:val="nil"/>
              <w:bottom w:val="single" w:sz="4" w:space="0" w:color="auto"/>
              <w:right w:val="nil"/>
            </w:tcBorders>
          </w:tcPr>
          <w:p w:rsidR="00105FF9" w:rsidRPr="00196E2E" w:rsidRDefault="00105FF9" w:rsidP="00410F47">
            <w:pPr>
              <w:pStyle w:val="TCTableBody"/>
            </w:pPr>
            <w:r w:rsidRPr="00196E2E">
              <w:t>T (</w:t>
            </w:r>
            <w:r w:rsidRPr="00196E2E">
              <w:rPr>
                <w:vertAlign w:val="superscript"/>
              </w:rPr>
              <w:t>o</w:t>
            </w:r>
            <w:r w:rsidRPr="00196E2E">
              <w:t>C)</w:t>
            </w:r>
          </w:p>
        </w:tc>
        <w:tc>
          <w:tcPr>
            <w:tcW w:w="677" w:type="pct"/>
            <w:tcBorders>
              <w:top w:val="nil"/>
              <w:left w:val="nil"/>
              <w:bottom w:val="single" w:sz="4" w:space="0" w:color="auto"/>
              <w:right w:val="nil"/>
            </w:tcBorders>
          </w:tcPr>
          <w:p w:rsidR="00105FF9" w:rsidRPr="00196E2E" w:rsidRDefault="00105FF9" w:rsidP="00410F47">
            <w:pPr>
              <w:pStyle w:val="TCTableBody"/>
            </w:pPr>
            <w:r w:rsidRPr="00196E2E">
              <w:t>Base</w:t>
            </w:r>
          </w:p>
        </w:tc>
        <w:tc>
          <w:tcPr>
            <w:tcW w:w="888" w:type="pct"/>
            <w:tcBorders>
              <w:top w:val="nil"/>
              <w:left w:val="nil"/>
              <w:bottom w:val="single" w:sz="4" w:space="0" w:color="auto"/>
              <w:right w:val="nil"/>
            </w:tcBorders>
          </w:tcPr>
          <w:p w:rsidR="00105FF9" w:rsidRPr="00196E2E" w:rsidRDefault="00105FF9" w:rsidP="00410F47">
            <w:pPr>
              <w:pStyle w:val="TCTableBody"/>
            </w:pPr>
            <w:r w:rsidRPr="00196E2E">
              <w:t>Solvent</w:t>
            </w:r>
          </w:p>
        </w:tc>
        <w:tc>
          <w:tcPr>
            <w:tcW w:w="711" w:type="pct"/>
            <w:tcBorders>
              <w:top w:val="nil"/>
              <w:left w:val="nil"/>
              <w:bottom w:val="single" w:sz="4" w:space="0" w:color="auto"/>
              <w:right w:val="nil"/>
            </w:tcBorders>
          </w:tcPr>
          <w:p w:rsidR="00105FF9" w:rsidRPr="00196E2E" w:rsidRDefault="00105FF9" w:rsidP="00410F47">
            <w:pPr>
              <w:pStyle w:val="TCTableBody"/>
            </w:pPr>
            <w:r w:rsidRPr="00196E2E">
              <w:t>Yield (%)</w:t>
            </w:r>
          </w:p>
        </w:tc>
      </w:tr>
      <w:tr w:rsidR="00105FF9" w:rsidRPr="00196E2E" w:rsidTr="00105FF9">
        <w:tc>
          <w:tcPr>
            <w:tcW w:w="519" w:type="pct"/>
            <w:tcBorders>
              <w:top w:val="single" w:sz="4" w:space="0" w:color="auto"/>
              <w:left w:val="nil"/>
              <w:bottom w:val="nil"/>
              <w:right w:val="nil"/>
            </w:tcBorders>
          </w:tcPr>
          <w:p w:rsidR="00105FF9" w:rsidRPr="00196E2E" w:rsidRDefault="00105FF9" w:rsidP="00410F47">
            <w:pPr>
              <w:pStyle w:val="TCTableBody"/>
            </w:pPr>
            <w:r w:rsidRPr="00196E2E">
              <w:t>1</w:t>
            </w:r>
          </w:p>
        </w:tc>
        <w:tc>
          <w:tcPr>
            <w:tcW w:w="1653" w:type="pct"/>
            <w:tcBorders>
              <w:top w:val="single" w:sz="4" w:space="0" w:color="auto"/>
              <w:left w:val="nil"/>
              <w:bottom w:val="nil"/>
              <w:right w:val="nil"/>
            </w:tcBorders>
          </w:tcPr>
          <w:p w:rsidR="00105FF9" w:rsidRPr="00196E2E" w:rsidRDefault="00105FF9" w:rsidP="00410F47">
            <w:pPr>
              <w:pStyle w:val="TCTableBody"/>
            </w:pPr>
            <w:r w:rsidRPr="00196E2E">
              <w:t>EDC / HOAt</w:t>
            </w:r>
          </w:p>
        </w:tc>
        <w:tc>
          <w:tcPr>
            <w:tcW w:w="552" w:type="pct"/>
            <w:tcBorders>
              <w:top w:val="single" w:sz="4" w:space="0" w:color="auto"/>
              <w:left w:val="nil"/>
              <w:bottom w:val="nil"/>
              <w:right w:val="nil"/>
            </w:tcBorders>
          </w:tcPr>
          <w:p w:rsidR="00105FF9" w:rsidRPr="00196E2E" w:rsidRDefault="00105FF9" w:rsidP="00410F47">
            <w:pPr>
              <w:pStyle w:val="TCTableBody"/>
            </w:pPr>
            <w:r w:rsidRPr="00196E2E">
              <w:t>20</w:t>
            </w:r>
          </w:p>
        </w:tc>
        <w:tc>
          <w:tcPr>
            <w:tcW w:w="677" w:type="pct"/>
            <w:tcBorders>
              <w:top w:val="single" w:sz="4" w:space="0" w:color="auto"/>
              <w:left w:val="nil"/>
              <w:bottom w:val="nil"/>
              <w:right w:val="nil"/>
            </w:tcBorders>
          </w:tcPr>
          <w:p w:rsidR="00105FF9" w:rsidRPr="00196E2E" w:rsidRDefault="00105FF9" w:rsidP="00410F47">
            <w:pPr>
              <w:pStyle w:val="TCTableBody"/>
            </w:pPr>
            <w:r w:rsidRPr="00196E2E">
              <w:t>NaHCO</w:t>
            </w:r>
            <w:r w:rsidRPr="00196E2E">
              <w:rPr>
                <w:vertAlign w:val="subscript"/>
              </w:rPr>
              <w:t>3</w:t>
            </w:r>
          </w:p>
        </w:tc>
        <w:tc>
          <w:tcPr>
            <w:tcW w:w="888" w:type="pct"/>
            <w:tcBorders>
              <w:top w:val="single" w:sz="4" w:space="0" w:color="auto"/>
              <w:left w:val="nil"/>
              <w:bottom w:val="nil"/>
              <w:right w:val="nil"/>
            </w:tcBorders>
          </w:tcPr>
          <w:p w:rsidR="00105FF9" w:rsidRPr="00196E2E" w:rsidRDefault="00105FF9" w:rsidP="00410F47">
            <w:pPr>
              <w:pStyle w:val="TCTableBody"/>
            </w:pPr>
            <w:r w:rsidRPr="00196E2E">
              <w:t>CH</w:t>
            </w:r>
            <w:r w:rsidRPr="00196E2E">
              <w:rPr>
                <w:vertAlign w:val="subscript"/>
              </w:rPr>
              <w:t>2</w:t>
            </w:r>
            <w:r w:rsidRPr="00196E2E">
              <w:t>Cl</w:t>
            </w:r>
            <w:r w:rsidRPr="00196E2E">
              <w:rPr>
                <w:vertAlign w:val="subscript"/>
              </w:rPr>
              <w:t>2</w:t>
            </w:r>
            <w:r w:rsidRPr="00196E2E">
              <w:t>:DMF</w:t>
            </w:r>
          </w:p>
        </w:tc>
        <w:tc>
          <w:tcPr>
            <w:tcW w:w="711" w:type="pct"/>
            <w:tcBorders>
              <w:top w:val="single" w:sz="4" w:space="0" w:color="auto"/>
              <w:left w:val="nil"/>
              <w:bottom w:val="nil"/>
              <w:right w:val="nil"/>
            </w:tcBorders>
          </w:tcPr>
          <w:p w:rsidR="00105FF9" w:rsidRPr="00196E2E" w:rsidRDefault="00105FF9" w:rsidP="00410F47">
            <w:pPr>
              <w:pStyle w:val="TCTableBody"/>
              <w:rPr>
                <w:vertAlign w:val="superscript"/>
              </w:rPr>
            </w:pPr>
            <w:r w:rsidRPr="00196E2E">
              <w:t>86</w:t>
            </w:r>
            <w:r w:rsidRPr="00196E2E">
              <w:rPr>
                <w:vertAlign w:val="superscript"/>
              </w:rPr>
              <w:fldChar w:fldCharType="begin"/>
            </w:r>
            <w:r w:rsidRPr="00196E2E">
              <w:rPr>
                <w:vertAlign w:val="superscript"/>
              </w:rPr>
              <w:instrText xml:space="preserve"> NOTEREF _Ref458766864 \h  \* MERGEFORMAT </w:instrText>
            </w:r>
            <w:r w:rsidRPr="00196E2E">
              <w:rPr>
                <w:vertAlign w:val="superscript"/>
              </w:rPr>
            </w:r>
            <w:r w:rsidRPr="00196E2E">
              <w:rPr>
                <w:vertAlign w:val="superscript"/>
              </w:rPr>
              <w:fldChar w:fldCharType="separate"/>
            </w:r>
            <w:r w:rsidR="009A73E3" w:rsidRPr="00196E2E">
              <w:rPr>
                <w:vertAlign w:val="superscript"/>
              </w:rPr>
              <w:t>29</w:t>
            </w:r>
            <w:r w:rsidRPr="00196E2E">
              <w:rPr>
                <w:vertAlign w:val="superscript"/>
              </w:rPr>
              <w:fldChar w:fldCharType="end"/>
            </w:r>
          </w:p>
        </w:tc>
      </w:tr>
      <w:tr w:rsidR="00105FF9" w:rsidRPr="00196E2E" w:rsidTr="00105FF9">
        <w:tc>
          <w:tcPr>
            <w:tcW w:w="519" w:type="pct"/>
            <w:tcBorders>
              <w:top w:val="nil"/>
              <w:left w:val="nil"/>
              <w:bottom w:val="nil"/>
              <w:right w:val="nil"/>
            </w:tcBorders>
          </w:tcPr>
          <w:p w:rsidR="00105FF9" w:rsidRPr="00196E2E" w:rsidRDefault="00105FF9" w:rsidP="00410F47">
            <w:pPr>
              <w:pStyle w:val="TCTableBody"/>
            </w:pPr>
            <w:r w:rsidRPr="00196E2E">
              <w:t>2</w:t>
            </w:r>
          </w:p>
        </w:tc>
        <w:tc>
          <w:tcPr>
            <w:tcW w:w="1653" w:type="pct"/>
            <w:tcBorders>
              <w:top w:val="nil"/>
              <w:left w:val="nil"/>
              <w:bottom w:val="nil"/>
              <w:right w:val="nil"/>
            </w:tcBorders>
          </w:tcPr>
          <w:p w:rsidR="00105FF9" w:rsidRPr="00196E2E" w:rsidRDefault="00105FF9" w:rsidP="00410F47">
            <w:pPr>
              <w:pStyle w:val="TCTableBody"/>
            </w:pPr>
            <w:r w:rsidRPr="00196E2E">
              <w:t>DCC / PFP</w:t>
            </w:r>
          </w:p>
        </w:tc>
        <w:tc>
          <w:tcPr>
            <w:tcW w:w="552" w:type="pct"/>
            <w:tcBorders>
              <w:top w:val="nil"/>
              <w:left w:val="nil"/>
              <w:bottom w:val="nil"/>
              <w:right w:val="nil"/>
            </w:tcBorders>
          </w:tcPr>
          <w:p w:rsidR="00105FF9" w:rsidRPr="00196E2E" w:rsidRDefault="00105FF9" w:rsidP="00410F47">
            <w:pPr>
              <w:pStyle w:val="TCTableBody"/>
            </w:pPr>
            <w:r w:rsidRPr="00196E2E">
              <w:t>20</w:t>
            </w:r>
          </w:p>
        </w:tc>
        <w:tc>
          <w:tcPr>
            <w:tcW w:w="677" w:type="pct"/>
            <w:tcBorders>
              <w:top w:val="nil"/>
              <w:left w:val="nil"/>
              <w:bottom w:val="nil"/>
              <w:right w:val="nil"/>
            </w:tcBorders>
          </w:tcPr>
          <w:p w:rsidR="00105FF9" w:rsidRPr="00196E2E" w:rsidRDefault="00105FF9" w:rsidP="00410F47">
            <w:pPr>
              <w:pStyle w:val="TCTableBody"/>
            </w:pPr>
            <w:r w:rsidRPr="00196E2E">
              <w:t>Et</w:t>
            </w:r>
            <w:r w:rsidRPr="00196E2E">
              <w:rPr>
                <w:vertAlign w:val="subscript"/>
              </w:rPr>
              <w:t>3</w:t>
            </w:r>
            <w:r w:rsidRPr="00196E2E">
              <w:t>N</w:t>
            </w:r>
          </w:p>
        </w:tc>
        <w:tc>
          <w:tcPr>
            <w:tcW w:w="888" w:type="pct"/>
            <w:tcBorders>
              <w:top w:val="nil"/>
              <w:left w:val="nil"/>
              <w:bottom w:val="nil"/>
              <w:right w:val="nil"/>
            </w:tcBorders>
          </w:tcPr>
          <w:p w:rsidR="00105FF9" w:rsidRPr="00196E2E" w:rsidRDefault="00105FF9" w:rsidP="00410F47">
            <w:pPr>
              <w:pStyle w:val="TCTableBody"/>
            </w:pPr>
            <w:r w:rsidRPr="00196E2E">
              <w:t>CH</w:t>
            </w:r>
            <w:r w:rsidRPr="00196E2E">
              <w:rPr>
                <w:vertAlign w:val="subscript"/>
              </w:rPr>
              <w:t>2</w:t>
            </w:r>
            <w:r w:rsidRPr="00196E2E">
              <w:t>Cl</w:t>
            </w:r>
            <w:r w:rsidRPr="00196E2E">
              <w:rPr>
                <w:vertAlign w:val="subscript"/>
              </w:rPr>
              <w:t>2</w:t>
            </w:r>
            <w:r w:rsidRPr="00196E2E">
              <w:t>:DMF</w:t>
            </w:r>
          </w:p>
        </w:tc>
        <w:tc>
          <w:tcPr>
            <w:tcW w:w="711" w:type="pct"/>
            <w:tcBorders>
              <w:top w:val="nil"/>
              <w:left w:val="nil"/>
              <w:bottom w:val="nil"/>
              <w:right w:val="nil"/>
            </w:tcBorders>
          </w:tcPr>
          <w:p w:rsidR="00105FF9" w:rsidRPr="00196E2E" w:rsidRDefault="00105FF9" w:rsidP="00410F47">
            <w:pPr>
              <w:pStyle w:val="TCTableBody"/>
            </w:pPr>
            <w:r w:rsidRPr="00196E2E">
              <w:t>76</w:t>
            </w:r>
          </w:p>
        </w:tc>
      </w:tr>
      <w:tr w:rsidR="00105FF9" w:rsidRPr="00196E2E" w:rsidTr="00105FF9">
        <w:tc>
          <w:tcPr>
            <w:tcW w:w="519" w:type="pct"/>
            <w:tcBorders>
              <w:top w:val="nil"/>
              <w:left w:val="nil"/>
              <w:bottom w:val="nil"/>
              <w:right w:val="nil"/>
            </w:tcBorders>
          </w:tcPr>
          <w:p w:rsidR="00105FF9" w:rsidRPr="00196E2E" w:rsidRDefault="00105FF9" w:rsidP="00410F47">
            <w:pPr>
              <w:pStyle w:val="TCTableBody"/>
            </w:pPr>
            <w:r w:rsidRPr="00196E2E">
              <w:t>3</w:t>
            </w:r>
          </w:p>
        </w:tc>
        <w:tc>
          <w:tcPr>
            <w:tcW w:w="1653" w:type="pct"/>
            <w:tcBorders>
              <w:top w:val="nil"/>
              <w:left w:val="nil"/>
              <w:bottom w:val="nil"/>
              <w:right w:val="nil"/>
            </w:tcBorders>
          </w:tcPr>
          <w:p w:rsidR="00105FF9" w:rsidRPr="00196E2E" w:rsidRDefault="00105FF9" w:rsidP="00410F47">
            <w:pPr>
              <w:pStyle w:val="TCTableBody"/>
            </w:pPr>
            <w:r w:rsidRPr="00196E2E">
              <w:t>DCC / PFP</w:t>
            </w:r>
          </w:p>
        </w:tc>
        <w:tc>
          <w:tcPr>
            <w:tcW w:w="552" w:type="pct"/>
            <w:tcBorders>
              <w:top w:val="nil"/>
              <w:left w:val="nil"/>
              <w:bottom w:val="nil"/>
              <w:right w:val="nil"/>
            </w:tcBorders>
          </w:tcPr>
          <w:p w:rsidR="00105FF9" w:rsidRPr="00196E2E" w:rsidRDefault="00105FF9" w:rsidP="00410F47">
            <w:pPr>
              <w:pStyle w:val="TCTableBody"/>
            </w:pPr>
            <w:r w:rsidRPr="00196E2E">
              <w:t>20</w:t>
            </w:r>
          </w:p>
        </w:tc>
        <w:tc>
          <w:tcPr>
            <w:tcW w:w="677" w:type="pct"/>
            <w:tcBorders>
              <w:top w:val="nil"/>
              <w:left w:val="nil"/>
              <w:bottom w:val="nil"/>
              <w:right w:val="nil"/>
            </w:tcBorders>
          </w:tcPr>
          <w:p w:rsidR="00105FF9" w:rsidRPr="00196E2E" w:rsidRDefault="00105FF9" w:rsidP="00410F47">
            <w:pPr>
              <w:pStyle w:val="TCTableBody"/>
            </w:pPr>
            <w:r w:rsidRPr="00196E2E">
              <w:t>Et</w:t>
            </w:r>
            <w:r w:rsidRPr="00196E2E">
              <w:rPr>
                <w:vertAlign w:val="subscript"/>
              </w:rPr>
              <w:t>3</w:t>
            </w:r>
            <w:r w:rsidRPr="00196E2E">
              <w:t>N</w:t>
            </w:r>
          </w:p>
        </w:tc>
        <w:tc>
          <w:tcPr>
            <w:tcW w:w="888" w:type="pct"/>
            <w:tcBorders>
              <w:top w:val="nil"/>
              <w:left w:val="nil"/>
              <w:bottom w:val="nil"/>
              <w:right w:val="nil"/>
            </w:tcBorders>
          </w:tcPr>
          <w:p w:rsidR="00105FF9" w:rsidRPr="00196E2E" w:rsidRDefault="00105FF9" w:rsidP="00410F47">
            <w:pPr>
              <w:pStyle w:val="TCTableBody"/>
            </w:pPr>
            <w:r w:rsidRPr="00196E2E">
              <w:t>PC</w:t>
            </w:r>
          </w:p>
        </w:tc>
        <w:tc>
          <w:tcPr>
            <w:tcW w:w="711" w:type="pct"/>
            <w:tcBorders>
              <w:top w:val="nil"/>
              <w:left w:val="nil"/>
              <w:bottom w:val="nil"/>
              <w:right w:val="nil"/>
            </w:tcBorders>
          </w:tcPr>
          <w:p w:rsidR="00105FF9" w:rsidRPr="00196E2E" w:rsidRDefault="00105FF9" w:rsidP="00410F47">
            <w:pPr>
              <w:pStyle w:val="TCTableBody"/>
            </w:pPr>
            <w:r w:rsidRPr="00196E2E">
              <w:t>83</w:t>
            </w:r>
          </w:p>
        </w:tc>
      </w:tr>
      <w:tr w:rsidR="00105FF9" w:rsidRPr="00196E2E" w:rsidTr="00105FF9">
        <w:tc>
          <w:tcPr>
            <w:tcW w:w="519" w:type="pct"/>
            <w:tcBorders>
              <w:top w:val="nil"/>
              <w:left w:val="nil"/>
              <w:bottom w:val="nil"/>
              <w:right w:val="nil"/>
            </w:tcBorders>
          </w:tcPr>
          <w:p w:rsidR="00105FF9" w:rsidRPr="00196E2E" w:rsidRDefault="00105FF9" w:rsidP="00410F47">
            <w:pPr>
              <w:pStyle w:val="TCTableBody"/>
              <w:rPr>
                <w:vertAlign w:val="superscript"/>
              </w:rPr>
            </w:pPr>
            <w:r w:rsidRPr="00196E2E">
              <w:t>4</w:t>
            </w:r>
          </w:p>
        </w:tc>
        <w:tc>
          <w:tcPr>
            <w:tcW w:w="1653" w:type="pct"/>
            <w:tcBorders>
              <w:top w:val="nil"/>
              <w:left w:val="nil"/>
              <w:bottom w:val="nil"/>
              <w:right w:val="nil"/>
            </w:tcBorders>
          </w:tcPr>
          <w:p w:rsidR="00105FF9" w:rsidRPr="00196E2E" w:rsidRDefault="00105FF9" w:rsidP="00410F47">
            <w:pPr>
              <w:pStyle w:val="TCTableBody"/>
            </w:pPr>
            <w:r w:rsidRPr="00196E2E">
              <w:t>DCC / PFP</w:t>
            </w:r>
          </w:p>
        </w:tc>
        <w:tc>
          <w:tcPr>
            <w:tcW w:w="552" w:type="pct"/>
            <w:tcBorders>
              <w:top w:val="nil"/>
              <w:left w:val="nil"/>
              <w:bottom w:val="nil"/>
              <w:right w:val="nil"/>
            </w:tcBorders>
          </w:tcPr>
          <w:p w:rsidR="00105FF9" w:rsidRPr="00196E2E" w:rsidRDefault="00105FF9" w:rsidP="00410F47">
            <w:pPr>
              <w:pStyle w:val="TCTableBody"/>
            </w:pPr>
            <w:r w:rsidRPr="00196E2E">
              <w:t>40</w:t>
            </w:r>
          </w:p>
        </w:tc>
        <w:tc>
          <w:tcPr>
            <w:tcW w:w="677" w:type="pct"/>
            <w:tcBorders>
              <w:top w:val="nil"/>
              <w:left w:val="nil"/>
              <w:bottom w:val="nil"/>
              <w:right w:val="nil"/>
            </w:tcBorders>
          </w:tcPr>
          <w:p w:rsidR="00105FF9" w:rsidRPr="00196E2E" w:rsidRDefault="00105FF9" w:rsidP="00410F47">
            <w:pPr>
              <w:pStyle w:val="TCTableBody"/>
            </w:pPr>
            <w:r w:rsidRPr="00196E2E">
              <w:t>Et</w:t>
            </w:r>
            <w:r w:rsidRPr="00196E2E">
              <w:rPr>
                <w:vertAlign w:val="subscript"/>
              </w:rPr>
              <w:t>3</w:t>
            </w:r>
            <w:r w:rsidRPr="00196E2E">
              <w:t>N</w:t>
            </w:r>
          </w:p>
        </w:tc>
        <w:tc>
          <w:tcPr>
            <w:tcW w:w="888" w:type="pct"/>
            <w:tcBorders>
              <w:top w:val="nil"/>
              <w:left w:val="nil"/>
              <w:bottom w:val="nil"/>
              <w:right w:val="nil"/>
            </w:tcBorders>
          </w:tcPr>
          <w:p w:rsidR="00105FF9" w:rsidRPr="00196E2E" w:rsidRDefault="00105FF9" w:rsidP="00410F47">
            <w:pPr>
              <w:pStyle w:val="TCTableBody"/>
            </w:pPr>
            <w:r w:rsidRPr="00196E2E">
              <w:t>EC</w:t>
            </w:r>
          </w:p>
        </w:tc>
        <w:tc>
          <w:tcPr>
            <w:tcW w:w="711" w:type="pct"/>
            <w:tcBorders>
              <w:top w:val="nil"/>
              <w:left w:val="nil"/>
              <w:bottom w:val="nil"/>
              <w:right w:val="nil"/>
            </w:tcBorders>
          </w:tcPr>
          <w:p w:rsidR="00105FF9" w:rsidRPr="00196E2E" w:rsidRDefault="00105FF9" w:rsidP="00410F47">
            <w:pPr>
              <w:pStyle w:val="TCTableBody"/>
            </w:pPr>
            <w:r w:rsidRPr="00196E2E">
              <w:t>96</w:t>
            </w:r>
          </w:p>
        </w:tc>
      </w:tr>
      <w:tr w:rsidR="00105FF9" w:rsidRPr="00196E2E" w:rsidTr="00105FF9">
        <w:tc>
          <w:tcPr>
            <w:tcW w:w="519" w:type="pct"/>
            <w:tcBorders>
              <w:top w:val="nil"/>
              <w:left w:val="nil"/>
              <w:bottom w:val="nil"/>
              <w:right w:val="nil"/>
            </w:tcBorders>
          </w:tcPr>
          <w:p w:rsidR="00105FF9" w:rsidRPr="00196E2E" w:rsidRDefault="00105FF9" w:rsidP="00410F47">
            <w:pPr>
              <w:pStyle w:val="TCTableBody"/>
            </w:pPr>
            <w:r w:rsidRPr="00196E2E">
              <w:t>5</w:t>
            </w:r>
          </w:p>
        </w:tc>
        <w:tc>
          <w:tcPr>
            <w:tcW w:w="1653" w:type="pct"/>
            <w:tcBorders>
              <w:top w:val="nil"/>
              <w:left w:val="nil"/>
              <w:bottom w:val="nil"/>
              <w:right w:val="nil"/>
            </w:tcBorders>
          </w:tcPr>
          <w:p w:rsidR="00105FF9" w:rsidRPr="00196E2E" w:rsidRDefault="00105FF9" w:rsidP="00410F47">
            <w:pPr>
              <w:pStyle w:val="TCTableBody"/>
            </w:pPr>
            <w:r w:rsidRPr="00196E2E">
              <w:t>EDC / HOBt</w:t>
            </w:r>
          </w:p>
        </w:tc>
        <w:tc>
          <w:tcPr>
            <w:tcW w:w="552" w:type="pct"/>
            <w:tcBorders>
              <w:top w:val="nil"/>
              <w:left w:val="nil"/>
              <w:bottom w:val="nil"/>
              <w:right w:val="nil"/>
            </w:tcBorders>
          </w:tcPr>
          <w:p w:rsidR="00105FF9" w:rsidRPr="00196E2E" w:rsidRDefault="00105FF9" w:rsidP="00410F47">
            <w:pPr>
              <w:pStyle w:val="TCTableBody"/>
            </w:pPr>
            <w:r w:rsidRPr="00196E2E">
              <w:t>20</w:t>
            </w:r>
          </w:p>
        </w:tc>
        <w:tc>
          <w:tcPr>
            <w:tcW w:w="677" w:type="pct"/>
            <w:tcBorders>
              <w:top w:val="nil"/>
              <w:left w:val="nil"/>
              <w:bottom w:val="nil"/>
              <w:right w:val="nil"/>
            </w:tcBorders>
          </w:tcPr>
          <w:p w:rsidR="00105FF9" w:rsidRPr="00196E2E" w:rsidRDefault="00105FF9" w:rsidP="00410F47">
            <w:pPr>
              <w:pStyle w:val="TCTableBody"/>
            </w:pPr>
            <w:r w:rsidRPr="00196E2E">
              <w:rPr>
                <w:vertAlign w:val="superscript"/>
              </w:rPr>
              <w:t>i</w:t>
            </w:r>
            <w:r w:rsidRPr="00196E2E">
              <w:t>Pr</w:t>
            </w:r>
            <w:r w:rsidRPr="00196E2E">
              <w:rPr>
                <w:vertAlign w:val="subscript"/>
              </w:rPr>
              <w:t>2</w:t>
            </w:r>
            <w:r w:rsidRPr="00196E2E">
              <w:t>EtN</w:t>
            </w:r>
          </w:p>
        </w:tc>
        <w:tc>
          <w:tcPr>
            <w:tcW w:w="888" w:type="pct"/>
            <w:tcBorders>
              <w:top w:val="nil"/>
              <w:left w:val="nil"/>
              <w:bottom w:val="nil"/>
              <w:right w:val="nil"/>
            </w:tcBorders>
          </w:tcPr>
          <w:p w:rsidR="00105FF9" w:rsidRPr="00196E2E" w:rsidRDefault="00105FF9" w:rsidP="00410F47">
            <w:pPr>
              <w:pStyle w:val="TCTableBody"/>
            </w:pPr>
            <w:r w:rsidRPr="00196E2E">
              <w:t>PC</w:t>
            </w:r>
          </w:p>
        </w:tc>
        <w:tc>
          <w:tcPr>
            <w:tcW w:w="711" w:type="pct"/>
            <w:tcBorders>
              <w:top w:val="nil"/>
              <w:left w:val="nil"/>
              <w:bottom w:val="nil"/>
              <w:right w:val="nil"/>
            </w:tcBorders>
          </w:tcPr>
          <w:p w:rsidR="00105FF9" w:rsidRPr="00196E2E" w:rsidRDefault="00105FF9" w:rsidP="00410F47">
            <w:pPr>
              <w:pStyle w:val="TCTableBody"/>
            </w:pPr>
            <w:r w:rsidRPr="00196E2E">
              <w:t>93</w:t>
            </w:r>
          </w:p>
        </w:tc>
      </w:tr>
      <w:tr w:rsidR="00105FF9" w:rsidRPr="00196E2E" w:rsidTr="00105FF9">
        <w:tc>
          <w:tcPr>
            <w:tcW w:w="519" w:type="pct"/>
            <w:tcBorders>
              <w:top w:val="nil"/>
              <w:left w:val="nil"/>
              <w:bottom w:val="nil"/>
              <w:right w:val="nil"/>
            </w:tcBorders>
          </w:tcPr>
          <w:p w:rsidR="00105FF9" w:rsidRPr="00196E2E" w:rsidRDefault="00105FF9" w:rsidP="006903D0">
            <w:pPr>
              <w:pStyle w:val="TCTableBody"/>
            </w:pPr>
            <w:r w:rsidRPr="00196E2E">
              <w:t>6</w:t>
            </w:r>
          </w:p>
        </w:tc>
        <w:tc>
          <w:tcPr>
            <w:tcW w:w="1653" w:type="pct"/>
            <w:tcBorders>
              <w:top w:val="nil"/>
              <w:left w:val="nil"/>
              <w:bottom w:val="nil"/>
              <w:right w:val="nil"/>
            </w:tcBorders>
          </w:tcPr>
          <w:p w:rsidR="00105FF9" w:rsidRPr="00196E2E" w:rsidRDefault="00105FF9" w:rsidP="006903D0">
            <w:pPr>
              <w:pStyle w:val="TCTableBody"/>
            </w:pPr>
            <w:r w:rsidRPr="00196E2E">
              <w:t>EDC / HOBt</w:t>
            </w:r>
          </w:p>
        </w:tc>
        <w:tc>
          <w:tcPr>
            <w:tcW w:w="552" w:type="pct"/>
            <w:tcBorders>
              <w:top w:val="nil"/>
              <w:left w:val="nil"/>
              <w:bottom w:val="nil"/>
              <w:right w:val="nil"/>
            </w:tcBorders>
          </w:tcPr>
          <w:p w:rsidR="00105FF9" w:rsidRPr="00196E2E" w:rsidRDefault="00105FF9" w:rsidP="006903D0">
            <w:pPr>
              <w:pStyle w:val="TCTableBody"/>
              <w:rPr>
                <w:vertAlign w:val="superscript"/>
              </w:rPr>
            </w:pPr>
            <w:r w:rsidRPr="00196E2E">
              <w:t>20</w:t>
            </w:r>
          </w:p>
        </w:tc>
        <w:tc>
          <w:tcPr>
            <w:tcW w:w="677" w:type="pct"/>
            <w:tcBorders>
              <w:top w:val="nil"/>
              <w:left w:val="nil"/>
              <w:bottom w:val="nil"/>
              <w:right w:val="nil"/>
            </w:tcBorders>
          </w:tcPr>
          <w:p w:rsidR="00105FF9" w:rsidRPr="00196E2E" w:rsidRDefault="00105FF9" w:rsidP="006903D0">
            <w:pPr>
              <w:pStyle w:val="TCTableBody"/>
            </w:pPr>
            <w:r w:rsidRPr="00196E2E">
              <w:rPr>
                <w:vertAlign w:val="superscript"/>
              </w:rPr>
              <w:t>i</w:t>
            </w:r>
            <w:r w:rsidRPr="00196E2E">
              <w:t>Pr</w:t>
            </w:r>
            <w:r w:rsidRPr="00196E2E">
              <w:rPr>
                <w:vertAlign w:val="subscript"/>
              </w:rPr>
              <w:t>2</w:t>
            </w:r>
            <w:r w:rsidRPr="00196E2E">
              <w:t>EtN</w:t>
            </w:r>
          </w:p>
        </w:tc>
        <w:tc>
          <w:tcPr>
            <w:tcW w:w="888" w:type="pct"/>
            <w:tcBorders>
              <w:top w:val="nil"/>
              <w:left w:val="nil"/>
              <w:bottom w:val="nil"/>
              <w:right w:val="nil"/>
            </w:tcBorders>
          </w:tcPr>
          <w:p w:rsidR="00105FF9" w:rsidRPr="00196E2E" w:rsidRDefault="00105FF9" w:rsidP="006903D0">
            <w:pPr>
              <w:pStyle w:val="TCTableBody"/>
            </w:pPr>
            <w:r w:rsidRPr="00196E2E">
              <w:t>CH</w:t>
            </w:r>
            <w:r w:rsidRPr="00196E2E">
              <w:rPr>
                <w:vertAlign w:val="subscript"/>
              </w:rPr>
              <w:t>2</w:t>
            </w:r>
            <w:r w:rsidRPr="00196E2E">
              <w:t>Cl</w:t>
            </w:r>
            <w:r w:rsidRPr="00196E2E">
              <w:rPr>
                <w:vertAlign w:val="subscript"/>
              </w:rPr>
              <w:t>2</w:t>
            </w:r>
            <w:r w:rsidRPr="00196E2E">
              <w:t>:DMF</w:t>
            </w:r>
          </w:p>
        </w:tc>
        <w:tc>
          <w:tcPr>
            <w:tcW w:w="711" w:type="pct"/>
            <w:tcBorders>
              <w:top w:val="nil"/>
              <w:left w:val="nil"/>
              <w:bottom w:val="nil"/>
              <w:right w:val="nil"/>
            </w:tcBorders>
          </w:tcPr>
          <w:p w:rsidR="00105FF9" w:rsidRPr="00196E2E" w:rsidRDefault="00105FF9" w:rsidP="006903D0">
            <w:pPr>
              <w:pStyle w:val="TCTableBody"/>
            </w:pPr>
            <w:r w:rsidRPr="00196E2E">
              <w:t>81</w:t>
            </w:r>
          </w:p>
        </w:tc>
      </w:tr>
      <w:tr w:rsidR="00105FF9" w:rsidRPr="00196E2E" w:rsidTr="00105FF9">
        <w:tc>
          <w:tcPr>
            <w:tcW w:w="519" w:type="pct"/>
            <w:tcBorders>
              <w:top w:val="nil"/>
              <w:left w:val="nil"/>
              <w:bottom w:val="nil"/>
              <w:right w:val="nil"/>
            </w:tcBorders>
          </w:tcPr>
          <w:p w:rsidR="00105FF9" w:rsidRPr="00196E2E" w:rsidRDefault="00105FF9" w:rsidP="006903D0">
            <w:pPr>
              <w:pStyle w:val="TCTableBody"/>
            </w:pPr>
            <w:r w:rsidRPr="00196E2E">
              <w:t>7</w:t>
            </w:r>
          </w:p>
        </w:tc>
        <w:tc>
          <w:tcPr>
            <w:tcW w:w="1653" w:type="pct"/>
            <w:tcBorders>
              <w:top w:val="nil"/>
              <w:left w:val="nil"/>
              <w:bottom w:val="nil"/>
              <w:right w:val="nil"/>
            </w:tcBorders>
          </w:tcPr>
          <w:p w:rsidR="00105FF9" w:rsidRPr="00196E2E" w:rsidRDefault="00105FF9" w:rsidP="006903D0">
            <w:pPr>
              <w:pStyle w:val="TCTableBody"/>
            </w:pPr>
            <w:r w:rsidRPr="00196E2E">
              <w:t>EDC / HOBt</w:t>
            </w:r>
          </w:p>
        </w:tc>
        <w:tc>
          <w:tcPr>
            <w:tcW w:w="552" w:type="pct"/>
            <w:tcBorders>
              <w:top w:val="nil"/>
              <w:left w:val="nil"/>
              <w:bottom w:val="nil"/>
              <w:right w:val="nil"/>
            </w:tcBorders>
          </w:tcPr>
          <w:p w:rsidR="00105FF9" w:rsidRPr="00196E2E" w:rsidRDefault="00105FF9" w:rsidP="006903D0">
            <w:pPr>
              <w:pStyle w:val="TCTableBody"/>
              <w:rPr>
                <w:vertAlign w:val="superscript"/>
              </w:rPr>
            </w:pPr>
            <w:r w:rsidRPr="00196E2E">
              <w:t>20</w:t>
            </w:r>
          </w:p>
        </w:tc>
        <w:tc>
          <w:tcPr>
            <w:tcW w:w="677" w:type="pct"/>
            <w:tcBorders>
              <w:top w:val="nil"/>
              <w:left w:val="nil"/>
              <w:bottom w:val="nil"/>
              <w:right w:val="nil"/>
            </w:tcBorders>
          </w:tcPr>
          <w:p w:rsidR="00105FF9" w:rsidRPr="00196E2E" w:rsidRDefault="00105FF9" w:rsidP="006903D0">
            <w:pPr>
              <w:pStyle w:val="TCTableBody"/>
            </w:pPr>
            <w:r w:rsidRPr="00196E2E">
              <w:rPr>
                <w:vertAlign w:val="superscript"/>
              </w:rPr>
              <w:t>i</w:t>
            </w:r>
            <w:r w:rsidRPr="00196E2E">
              <w:t>Pr</w:t>
            </w:r>
            <w:r w:rsidRPr="00196E2E">
              <w:rPr>
                <w:vertAlign w:val="subscript"/>
              </w:rPr>
              <w:t>2</w:t>
            </w:r>
            <w:r w:rsidRPr="00196E2E">
              <w:t>EtN</w:t>
            </w:r>
          </w:p>
        </w:tc>
        <w:tc>
          <w:tcPr>
            <w:tcW w:w="888" w:type="pct"/>
            <w:tcBorders>
              <w:top w:val="nil"/>
              <w:left w:val="nil"/>
              <w:bottom w:val="nil"/>
              <w:right w:val="nil"/>
            </w:tcBorders>
          </w:tcPr>
          <w:p w:rsidR="00105FF9" w:rsidRPr="00196E2E" w:rsidRDefault="00105FF9" w:rsidP="006903D0">
            <w:pPr>
              <w:pStyle w:val="TCTableBody"/>
            </w:pPr>
            <w:r w:rsidRPr="00196E2E">
              <w:t>DMF</w:t>
            </w:r>
          </w:p>
        </w:tc>
        <w:tc>
          <w:tcPr>
            <w:tcW w:w="711" w:type="pct"/>
            <w:tcBorders>
              <w:top w:val="nil"/>
              <w:left w:val="nil"/>
              <w:bottom w:val="nil"/>
              <w:right w:val="nil"/>
            </w:tcBorders>
          </w:tcPr>
          <w:p w:rsidR="00105FF9" w:rsidRPr="00196E2E" w:rsidRDefault="00105FF9" w:rsidP="006903D0">
            <w:pPr>
              <w:pStyle w:val="TCTableBody"/>
            </w:pPr>
            <w:r w:rsidRPr="00196E2E">
              <w:t>83</w:t>
            </w:r>
          </w:p>
        </w:tc>
      </w:tr>
      <w:tr w:rsidR="00105FF9" w:rsidRPr="00196E2E" w:rsidTr="00105FF9">
        <w:tc>
          <w:tcPr>
            <w:tcW w:w="519" w:type="pct"/>
            <w:tcBorders>
              <w:top w:val="nil"/>
              <w:left w:val="nil"/>
              <w:bottom w:val="nil"/>
              <w:right w:val="nil"/>
            </w:tcBorders>
          </w:tcPr>
          <w:p w:rsidR="00105FF9" w:rsidRPr="00196E2E" w:rsidRDefault="00105FF9" w:rsidP="00410F47">
            <w:pPr>
              <w:pStyle w:val="TCTableBody"/>
            </w:pPr>
            <w:r w:rsidRPr="00196E2E">
              <w:t>8</w:t>
            </w:r>
          </w:p>
        </w:tc>
        <w:tc>
          <w:tcPr>
            <w:tcW w:w="1653" w:type="pct"/>
            <w:tcBorders>
              <w:top w:val="nil"/>
              <w:left w:val="nil"/>
              <w:bottom w:val="nil"/>
              <w:right w:val="nil"/>
            </w:tcBorders>
          </w:tcPr>
          <w:p w:rsidR="00105FF9" w:rsidRPr="00196E2E" w:rsidRDefault="00105FF9" w:rsidP="006903D0">
            <w:pPr>
              <w:pStyle w:val="TCTableBody"/>
            </w:pPr>
            <w:r w:rsidRPr="00196E2E">
              <w:t>EDC / HOBt</w:t>
            </w:r>
          </w:p>
        </w:tc>
        <w:tc>
          <w:tcPr>
            <w:tcW w:w="552" w:type="pct"/>
            <w:tcBorders>
              <w:top w:val="nil"/>
              <w:left w:val="nil"/>
              <w:bottom w:val="nil"/>
              <w:right w:val="nil"/>
            </w:tcBorders>
          </w:tcPr>
          <w:p w:rsidR="00105FF9" w:rsidRPr="00196E2E" w:rsidRDefault="00105FF9" w:rsidP="006903D0">
            <w:pPr>
              <w:pStyle w:val="TCTableBody"/>
              <w:rPr>
                <w:vertAlign w:val="superscript"/>
              </w:rPr>
            </w:pPr>
            <w:r w:rsidRPr="00196E2E">
              <w:t>70</w:t>
            </w:r>
          </w:p>
        </w:tc>
        <w:tc>
          <w:tcPr>
            <w:tcW w:w="677" w:type="pct"/>
            <w:tcBorders>
              <w:top w:val="nil"/>
              <w:left w:val="nil"/>
              <w:bottom w:val="nil"/>
              <w:right w:val="nil"/>
            </w:tcBorders>
          </w:tcPr>
          <w:p w:rsidR="00105FF9" w:rsidRPr="00196E2E" w:rsidRDefault="00105FF9" w:rsidP="006903D0">
            <w:pPr>
              <w:pStyle w:val="TCTableBody"/>
            </w:pPr>
            <w:r w:rsidRPr="00196E2E">
              <w:rPr>
                <w:vertAlign w:val="superscript"/>
              </w:rPr>
              <w:t>i</w:t>
            </w:r>
            <w:r w:rsidRPr="00196E2E">
              <w:t>Pr</w:t>
            </w:r>
            <w:r w:rsidRPr="00196E2E">
              <w:rPr>
                <w:vertAlign w:val="subscript"/>
              </w:rPr>
              <w:t>2</w:t>
            </w:r>
            <w:r w:rsidRPr="00196E2E">
              <w:t>EtN</w:t>
            </w:r>
          </w:p>
        </w:tc>
        <w:tc>
          <w:tcPr>
            <w:tcW w:w="888" w:type="pct"/>
            <w:tcBorders>
              <w:top w:val="nil"/>
              <w:left w:val="nil"/>
              <w:bottom w:val="nil"/>
              <w:right w:val="nil"/>
            </w:tcBorders>
          </w:tcPr>
          <w:p w:rsidR="00105FF9" w:rsidRPr="00196E2E" w:rsidRDefault="00105FF9" w:rsidP="00410F47">
            <w:pPr>
              <w:pStyle w:val="TCTableBody"/>
            </w:pPr>
            <w:r w:rsidRPr="00196E2E">
              <w:t>DMF</w:t>
            </w:r>
          </w:p>
        </w:tc>
        <w:tc>
          <w:tcPr>
            <w:tcW w:w="711" w:type="pct"/>
            <w:tcBorders>
              <w:top w:val="nil"/>
              <w:left w:val="nil"/>
              <w:bottom w:val="nil"/>
              <w:right w:val="nil"/>
            </w:tcBorders>
          </w:tcPr>
          <w:p w:rsidR="00105FF9" w:rsidRPr="00196E2E" w:rsidRDefault="00105FF9" w:rsidP="00410F47">
            <w:pPr>
              <w:pStyle w:val="TCTableBody"/>
            </w:pPr>
            <w:r w:rsidRPr="00196E2E">
              <w:t>78</w:t>
            </w:r>
          </w:p>
        </w:tc>
      </w:tr>
      <w:tr w:rsidR="00105FF9" w:rsidRPr="00196E2E" w:rsidTr="00105FF9">
        <w:tc>
          <w:tcPr>
            <w:tcW w:w="519" w:type="pct"/>
            <w:tcBorders>
              <w:top w:val="nil"/>
              <w:left w:val="nil"/>
              <w:bottom w:val="single" w:sz="4" w:space="0" w:color="auto"/>
              <w:right w:val="nil"/>
            </w:tcBorders>
          </w:tcPr>
          <w:p w:rsidR="00105FF9" w:rsidRPr="00196E2E" w:rsidRDefault="00105FF9" w:rsidP="00410F47">
            <w:pPr>
              <w:pStyle w:val="TCTableBody"/>
            </w:pPr>
            <w:r w:rsidRPr="00196E2E">
              <w:t>9</w:t>
            </w:r>
          </w:p>
        </w:tc>
        <w:tc>
          <w:tcPr>
            <w:tcW w:w="1653" w:type="pct"/>
            <w:tcBorders>
              <w:top w:val="nil"/>
              <w:left w:val="nil"/>
              <w:bottom w:val="single" w:sz="4" w:space="0" w:color="auto"/>
              <w:right w:val="nil"/>
            </w:tcBorders>
          </w:tcPr>
          <w:p w:rsidR="00105FF9" w:rsidRPr="00196E2E" w:rsidRDefault="00105FF9" w:rsidP="006903D0">
            <w:pPr>
              <w:pStyle w:val="TCTableBody"/>
            </w:pPr>
            <w:r w:rsidRPr="00196E2E">
              <w:t>EDC / HOBt</w:t>
            </w:r>
          </w:p>
        </w:tc>
        <w:tc>
          <w:tcPr>
            <w:tcW w:w="552" w:type="pct"/>
            <w:tcBorders>
              <w:top w:val="nil"/>
              <w:left w:val="nil"/>
              <w:bottom w:val="single" w:sz="4" w:space="0" w:color="auto"/>
              <w:right w:val="nil"/>
            </w:tcBorders>
          </w:tcPr>
          <w:p w:rsidR="00105FF9" w:rsidRPr="00196E2E" w:rsidRDefault="00105FF9" w:rsidP="006903D0">
            <w:pPr>
              <w:pStyle w:val="TCTableBody"/>
              <w:rPr>
                <w:vertAlign w:val="superscript"/>
              </w:rPr>
            </w:pPr>
            <w:r w:rsidRPr="00196E2E">
              <w:t>70</w:t>
            </w:r>
          </w:p>
        </w:tc>
        <w:tc>
          <w:tcPr>
            <w:tcW w:w="677" w:type="pct"/>
            <w:tcBorders>
              <w:top w:val="nil"/>
              <w:left w:val="nil"/>
              <w:bottom w:val="single" w:sz="4" w:space="0" w:color="auto"/>
              <w:right w:val="nil"/>
            </w:tcBorders>
          </w:tcPr>
          <w:p w:rsidR="00105FF9" w:rsidRPr="00196E2E" w:rsidRDefault="00105FF9" w:rsidP="006903D0">
            <w:pPr>
              <w:pStyle w:val="TCTableBody"/>
            </w:pPr>
            <w:r w:rsidRPr="00196E2E">
              <w:rPr>
                <w:vertAlign w:val="superscript"/>
              </w:rPr>
              <w:t>i</w:t>
            </w:r>
            <w:r w:rsidRPr="00196E2E">
              <w:t>Pr</w:t>
            </w:r>
            <w:r w:rsidRPr="00196E2E">
              <w:rPr>
                <w:vertAlign w:val="subscript"/>
              </w:rPr>
              <w:t>2</w:t>
            </w:r>
            <w:r w:rsidRPr="00196E2E">
              <w:t>EtN</w:t>
            </w:r>
          </w:p>
        </w:tc>
        <w:tc>
          <w:tcPr>
            <w:tcW w:w="888" w:type="pct"/>
            <w:tcBorders>
              <w:top w:val="nil"/>
              <w:left w:val="nil"/>
              <w:bottom w:val="single" w:sz="4" w:space="0" w:color="auto"/>
              <w:right w:val="nil"/>
            </w:tcBorders>
          </w:tcPr>
          <w:p w:rsidR="00105FF9" w:rsidRPr="00196E2E" w:rsidRDefault="00105FF9" w:rsidP="006903D0">
            <w:pPr>
              <w:pStyle w:val="TCTableBody"/>
            </w:pPr>
            <w:r w:rsidRPr="00196E2E">
              <w:t>PC</w:t>
            </w:r>
          </w:p>
        </w:tc>
        <w:tc>
          <w:tcPr>
            <w:tcW w:w="711" w:type="pct"/>
            <w:tcBorders>
              <w:top w:val="nil"/>
              <w:left w:val="nil"/>
              <w:bottom w:val="single" w:sz="4" w:space="0" w:color="auto"/>
              <w:right w:val="nil"/>
            </w:tcBorders>
          </w:tcPr>
          <w:p w:rsidR="00105FF9" w:rsidRPr="00196E2E" w:rsidRDefault="00105FF9" w:rsidP="006903D0">
            <w:pPr>
              <w:pStyle w:val="TCTableBody"/>
            </w:pPr>
            <w:r w:rsidRPr="00196E2E">
              <w:t>82</w:t>
            </w:r>
          </w:p>
        </w:tc>
      </w:tr>
    </w:tbl>
    <w:p w:rsidR="00E105B9" w:rsidRPr="00196E2E" w:rsidRDefault="00E105B9" w:rsidP="00E105B9">
      <w:pPr>
        <w:pStyle w:val="RSCT04TableFootnotewithbottombar"/>
        <w:spacing w:before="0" w:after="0" w:line="20" w:lineRule="exact"/>
        <w:rPr>
          <w:sz w:val="16"/>
          <w:szCs w:val="16"/>
          <w:lang w:val="pt-BR"/>
        </w:rPr>
      </w:pPr>
      <w:r w:rsidRPr="00196E2E">
        <w:rPr>
          <w:noProof/>
          <w:lang w:val="en-US"/>
        </w:rPr>
        <w:t xml:space="preserve"> </w:t>
      </w:r>
    </w:p>
    <w:p w:rsidR="00E105B9" w:rsidRPr="00196E2E" w:rsidRDefault="00E105B9" w:rsidP="00E105B9">
      <w:pPr>
        <w:pStyle w:val="RSCT04TableFootnotewithbottombar"/>
      </w:pPr>
      <w:r w:rsidRPr="00196E2E">
        <w:t xml:space="preserve">a) </w:t>
      </w:r>
      <w:r w:rsidRPr="00196E2E">
        <w:rPr>
          <w:vertAlign w:val="superscript"/>
        </w:rPr>
        <w:t>a</w:t>
      </w:r>
      <w:r w:rsidRPr="00196E2E">
        <w:t xml:space="preserve">EDC = </w:t>
      </w:r>
      <w:r w:rsidRPr="00196E2E">
        <w:rPr>
          <w:i/>
        </w:rPr>
        <w:t>N</w:t>
      </w:r>
      <w:r w:rsidRPr="00196E2E">
        <w:t>-Ethyl-</w:t>
      </w:r>
      <w:r w:rsidRPr="00196E2E">
        <w:rPr>
          <w:i/>
        </w:rPr>
        <w:t>N</w:t>
      </w:r>
      <w:r w:rsidRPr="00196E2E">
        <w:t xml:space="preserve">-(3-dimethylaminopropyl)carbodiimide; DCC = </w:t>
      </w:r>
      <w:r w:rsidRPr="00196E2E">
        <w:rPr>
          <w:i/>
        </w:rPr>
        <w:t>N,N</w:t>
      </w:r>
      <w:r w:rsidRPr="00196E2E">
        <w:t>-Dicyclohexylcarbodiimide; HOAt = 1-Hydroxy-7-azabenzotriazole; HOBt = Hydroxybenzotriazole; PFP = Pentafluorophenol</w:t>
      </w:r>
      <w:r w:rsidR="00105FF9" w:rsidRPr="00196E2E">
        <w:t>.</w:t>
      </w:r>
    </w:p>
    <w:p w:rsidR="00F77DB7" w:rsidRPr="00196E2E" w:rsidRDefault="00560080" w:rsidP="00E105B9">
      <w:pPr>
        <w:pStyle w:val="RSCB02ArticleText"/>
      </w:pPr>
      <w:r w:rsidRPr="00196E2E">
        <w:t xml:space="preserve">(entry 4) gave a significantly higher yield of </w:t>
      </w:r>
      <w:r w:rsidRPr="00196E2E">
        <w:rPr>
          <w:b/>
        </w:rPr>
        <w:t>5a</w:t>
      </w:r>
      <w:r w:rsidRPr="00196E2E">
        <w:t xml:space="preserve"> than that obtained in the conventional solvent system. However, whilst other reactions have been successfully carried out in EC at </w:t>
      </w:r>
      <w:r w:rsidR="002033DE" w:rsidRPr="00196E2E">
        <w:t>ambient temperature,</w:t>
      </w:r>
      <w:r w:rsidR="002033DE" w:rsidRPr="00196E2E">
        <w:rPr>
          <w:vertAlign w:val="superscript"/>
        </w:rPr>
        <w:fldChar w:fldCharType="begin"/>
      </w:r>
      <w:r w:rsidR="002033DE" w:rsidRPr="00196E2E">
        <w:rPr>
          <w:vertAlign w:val="superscript"/>
        </w:rPr>
        <w:instrText xml:space="preserve"> NOTEREF _Ref458767752 \h  \* MERGEFORMAT </w:instrText>
      </w:r>
      <w:r w:rsidR="002033DE" w:rsidRPr="00196E2E">
        <w:rPr>
          <w:vertAlign w:val="superscript"/>
        </w:rPr>
      </w:r>
      <w:r w:rsidR="002033DE" w:rsidRPr="00196E2E">
        <w:rPr>
          <w:vertAlign w:val="superscript"/>
        </w:rPr>
        <w:fldChar w:fldCharType="separate"/>
      </w:r>
      <w:r w:rsidR="002033DE" w:rsidRPr="00196E2E">
        <w:rPr>
          <w:vertAlign w:val="superscript"/>
        </w:rPr>
        <w:t>28</w:t>
      </w:r>
      <w:r w:rsidR="002033DE" w:rsidRPr="00196E2E">
        <w:rPr>
          <w:vertAlign w:val="superscript"/>
        </w:rPr>
        <w:fldChar w:fldCharType="end"/>
      </w:r>
      <w:r w:rsidR="002033DE" w:rsidRPr="00196E2E">
        <w:rPr>
          <w:vertAlign w:val="superscript"/>
        </w:rPr>
        <w:t xml:space="preserve"> </w:t>
      </w:r>
      <w:r w:rsidR="002033DE" w:rsidRPr="00196E2E">
        <w:t>this peptide coupling had to be carried</w:t>
      </w:r>
      <w:r w:rsidR="002033DE" w:rsidRPr="00196E2E">
        <w:rPr>
          <w:color w:val="000000" w:themeColor="text1"/>
        </w:rPr>
        <w:t xml:space="preserve"> </w:t>
      </w:r>
      <w:r w:rsidR="00FB7858" w:rsidRPr="00196E2E">
        <w:rPr>
          <w:color w:val="000000" w:themeColor="text1"/>
        </w:rPr>
        <w:t xml:space="preserve">out at 40 </w:t>
      </w:r>
      <w:r w:rsidR="00FB7858" w:rsidRPr="00196E2E">
        <w:rPr>
          <w:color w:val="000000" w:themeColor="text1"/>
          <w:vertAlign w:val="superscript"/>
        </w:rPr>
        <w:t>o</w:t>
      </w:r>
      <w:r w:rsidR="00FB7858" w:rsidRPr="00196E2E">
        <w:rPr>
          <w:color w:val="000000" w:themeColor="text1"/>
        </w:rPr>
        <w:t xml:space="preserve">C to keep the reaction mixture liquid. </w:t>
      </w:r>
      <w:r w:rsidR="000F0086" w:rsidRPr="00196E2E">
        <w:rPr>
          <w:color w:val="000000" w:themeColor="text1"/>
        </w:rPr>
        <w:t xml:space="preserve">Therefore, the </w:t>
      </w:r>
      <w:r w:rsidR="000F0086" w:rsidRPr="00196E2E">
        <w:t xml:space="preserve">coupling reaction in PC was further </w:t>
      </w:r>
      <w:r w:rsidR="004745E3" w:rsidRPr="00196E2E">
        <w:t>optimis</w:t>
      </w:r>
      <w:r w:rsidR="00E604F6" w:rsidRPr="00196E2E">
        <w:t xml:space="preserve">ed (entry 5) and this allowed the literature yield of dipeptide </w:t>
      </w:r>
      <w:r w:rsidR="00E604F6" w:rsidRPr="00196E2E">
        <w:rPr>
          <w:b/>
        </w:rPr>
        <w:t xml:space="preserve">5a </w:t>
      </w:r>
      <w:r w:rsidR="00E604F6" w:rsidRPr="00196E2E">
        <w:t>to be exceeded.</w:t>
      </w:r>
      <w:r w:rsidR="00410F47" w:rsidRPr="00196E2E">
        <w:t xml:space="preserve"> To allow a direct comparison between PC and conventional solvent systems to be made, the use of EDC, HOBt and diisopropylethylamine in a dichloromethane and DMF mixed solvent and in just DMF was also carried out (entries 6 and 7). In both cases the yield of peptide </w:t>
      </w:r>
      <w:r w:rsidR="00410F47" w:rsidRPr="00196E2E">
        <w:rPr>
          <w:b/>
        </w:rPr>
        <w:t>5a</w:t>
      </w:r>
      <w:r w:rsidR="00410F47" w:rsidRPr="00196E2E">
        <w:t xml:space="preserve"> was inferior to that obtained in PC.</w:t>
      </w:r>
      <w:r w:rsidR="00CE6E6E" w:rsidRPr="00196E2E">
        <w:t xml:space="preserve"> </w:t>
      </w:r>
    </w:p>
    <w:p w:rsidR="00E604F6" w:rsidRPr="00196E2E" w:rsidRDefault="00CE6E6E" w:rsidP="00F77DB7">
      <w:pPr>
        <w:pStyle w:val="RSCB02ArticleText"/>
        <w:ind w:firstLine="284"/>
      </w:pPr>
      <w:r w:rsidRPr="00196E2E">
        <w:t>It is becoming increasingly common to carry out peptide synthesis at elevated temperatures, often with microwave heating.</w:t>
      </w:r>
      <w:r w:rsidRPr="00196E2E">
        <w:rPr>
          <w:rStyle w:val="EndnoteReference"/>
        </w:rPr>
        <w:endnoteReference w:id="36"/>
      </w:r>
      <w:r w:rsidRPr="00196E2E">
        <w:t xml:space="preserve"> Therefore, the synthesis of peptide </w:t>
      </w:r>
      <w:r w:rsidRPr="00196E2E">
        <w:rPr>
          <w:b/>
        </w:rPr>
        <w:t>5a</w:t>
      </w:r>
      <w:r w:rsidRPr="00196E2E">
        <w:t xml:space="preserve"> in both DMF and PC was also carried out at 70 </w:t>
      </w:r>
      <w:r w:rsidRPr="00196E2E">
        <w:rPr>
          <w:vertAlign w:val="superscript"/>
        </w:rPr>
        <w:t>o</w:t>
      </w:r>
      <w:r w:rsidRPr="00196E2E">
        <w:t xml:space="preserve">C in a microwave reactor (entries 8 and 9). In both cases high yields of peptide </w:t>
      </w:r>
      <w:r w:rsidRPr="00196E2E">
        <w:rPr>
          <w:b/>
        </w:rPr>
        <w:t>5a</w:t>
      </w:r>
      <w:r w:rsidRPr="00196E2E">
        <w:t xml:space="preserve"> were again obtained. No evidence for reaction of amine </w:t>
      </w:r>
      <w:r w:rsidRPr="00196E2E">
        <w:rPr>
          <w:b/>
        </w:rPr>
        <w:t>4a</w:t>
      </w:r>
      <w:r w:rsidRPr="00196E2E">
        <w:t xml:space="preserve"> with the propylene carbonate was seen in </w:t>
      </w:r>
      <w:r w:rsidRPr="00196E2E">
        <w:rPr>
          <w:color w:val="000000" w:themeColor="text1"/>
        </w:rPr>
        <w:t>these reaction</w:t>
      </w:r>
      <w:r w:rsidR="00AF3267" w:rsidRPr="00196E2E">
        <w:rPr>
          <w:color w:val="000000" w:themeColor="text1"/>
        </w:rPr>
        <w:t>s</w:t>
      </w:r>
      <w:r w:rsidR="00F77DB7" w:rsidRPr="00196E2E">
        <w:rPr>
          <w:color w:val="000000" w:themeColor="text1"/>
        </w:rPr>
        <w:t xml:space="preserve"> even though there is literature precedent for the reaction of amines with </w:t>
      </w:r>
      <w:r w:rsidR="009A73E3" w:rsidRPr="00196E2E">
        <w:rPr>
          <w:color w:val="000000" w:themeColor="text1"/>
        </w:rPr>
        <w:t>cyclic carbonates</w:t>
      </w:r>
      <w:r w:rsidR="00AF3267" w:rsidRPr="00196E2E">
        <w:rPr>
          <w:color w:val="000000" w:themeColor="text1"/>
        </w:rPr>
        <w:t>.</w:t>
      </w:r>
      <w:r w:rsidR="009A73E3" w:rsidRPr="00196E2E">
        <w:rPr>
          <w:rStyle w:val="EndnoteReference"/>
          <w:color w:val="000000" w:themeColor="text1"/>
        </w:rPr>
        <w:endnoteReference w:id="37"/>
      </w:r>
      <w:r w:rsidR="00AF3267" w:rsidRPr="00196E2E">
        <w:rPr>
          <w:color w:val="000000" w:themeColor="text1"/>
        </w:rPr>
        <w:t xml:space="preserve"> A </w:t>
      </w:r>
      <w:r w:rsidR="00AF3267" w:rsidRPr="00196E2E">
        <w:t>control experiment was therefore</w:t>
      </w:r>
      <w:r w:rsidRPr="00196E2E">
        <w:t xml:space="preserve"> carried out in which amine </w:t>
      </w:r>
      <w:r w:rsidRPr="00196E2E">
        <w:rPr>
          <w:b/>
        </w:rPr>
        <w:t>4a</w:t>
      </w:r>
      <w:r w:rsidRPr="00196E2E">
        <w:t xml:space="preserve"> was dissolved in PC and heated to 70 </w:t>
      </w:r>
      <w:r w:rsidRPr="00196E2E">
        <w:rPr>
          <w:vertAlign w:val="superscript"/>
        </w:rPr>
        <w:t>o</w:t>
      </w:r>
      <w:r w:rsidRPr="00196E2E">
        <w:t xml:space="preserve">C in a microwave reactor in the absence of any other reagents. Even under these conditions, only 1% </w:t>
      </w:r>
      <w:r w:rsidR="00AF3267" w:rsidRPr="00196E2E">
        <w:t xml:space="preserve">reaction </w:t>
      </w:r>
      <w:r w:rsidR="00AF3267" w:rsidRPr="00196E2E">
        <w:lastRenderedPageBreak/>
        <w:t xml:space="preserve">between the amine and solvent was detected. Thus, reaction of amino acid derivatives with PC does not occur to any significant extent under the reaction conditions used for peptide synthesis, even at 70 </w:t>
      </w:r>
      <w:r w:rsidR="00AF3267" w:rsidRPr="00196E2E">
        <w:rPr>
          <w:vertAlign w:val="superscript"/>
        </w:rPr>
        <w:t>o</w:t>
      </w:r>
      <w:r w:rsidR="00AF3267" w:rsidRPr="00196E2E">
        <w:t xml:space="preserve">C and cannot compete with peptide synthesis.  </w:t>
      </w:r>
      <w:r w:rsidRPr="00196E2E">
        <w:t xml:space="preserve">    </w:t>
      </w:r>
    </w:p>
    <w:p w:rsidR="00E105B9" w:rsidRPr="00196E2E" w:rsidRDefault="00E105B9" w:rsidP="00E105B9">
      <w:pPr>
        <w:pStyle w:val="RSCB02ArticleText"/>
        <w:ind w:firstLine="284"/>
        <w:rPr>
          <w:color w:val="000000" w:themeColor="text1"/>
        </w:rPr>
      </w:pPr>
      <w:r w:rsidRPr="00196E2E">
        <w:rPr>
          <w:color w:val="000000" w:themeColor="text1"/>
        </w:rPr>
        <w:t>Activated amino acid derivatives generated during peptid</w:t>
      </w:r>
      <w:r w:rsidR="004745E3" w:rsidRPr="00196E2E">
        <w:rPr>
          <w:color w:val="000000" w:themeColor="text1"/>
        </w:rPr>
        <w:t>e synthesis are prone to racemis</w:t>
      </w:r>
      <w:r w:rsidRPr="00196E2E">
        <w:rPr>
          <w:color w:val="000000" w:themeColor="text1"/>
        </w:rPr>
        <w:t>ation.</w:t>
      </w:r>
      <w:r w:rsidRPr="00196E2E">
        <w:rPr>
          <w:color w:val="000000" w:themeColor="text1"/>
          <w:vertAlign w:val="superscript"/>
        </w:rPr>
        <w:fldChar w:fldCharType="begin"/>
      </w:r>
      <w:r w:rsidRPr="00196E2E">
        <w:rPr>
          <w:color w:val="000000" w:themeColor="text1"/>
          <w:vertAlign w:val="superscript"/>
        </w:rPr>
        <w:instrText xml:space="preserve"> NOTEREF _Ref458770134 \h  \* MERGEFORMAT </w:instrText>
      </w:r>
      <w:r w:rsidRPr="00196E2E">
        <w:rPr>
          <w:color w:val="000000" w:themeColor="text1"/>
          <w:vertAlign w:val="superscript"/>
        </w:rPr>
      </w:r>
      <w:r w:rsidRPr="00196E2E">
        <w:rPr>
          <w:color w:val="000000" w:themeColor="text1"/>
          <w:vertAlign w:val="superscript"/>
        </w:rPr>
        <w:fldChar w:fldCharType="separate"/>
      </w:r>
      <w:r w:rsidR="009A73E3" w:rsidRPr="00196E2E">
        <w:rPr>
          <w:color w:val="000000" w:themeColor="text1"/>
          <w:vertAlign w:val="superscript"/>
        </w:rPr>
        <w:t>7</w:t>
      </w:r>
      <w:r w:rsidRPr="00196E2E">
        <w:rPr>
          <w:color w:val="000000" w:themeColor="text1"/>
          <w:vertAlign w:val="superscript"/>
        </w:rPr>
        <w:fldChar w:fldCharType="end"/>
      </w:r>
      <w:r w:rsidRPr="00196E2E">
        <w:rPr>
          <w:color w:val="000000" w:themeColor="text1"/>
        </w:rPr>
        <w:t xml:space="preserve"> To </w:t>
      </w:r>
      <w:r w:rsidR="004745E3" w:rsidRPr="00196E2E">
        <w:rPr>
          <w:color w:val="000000" w:themeColor="text1"/>
        </w:rPr>
        <w:t>demonstrate that no such racemis</w:t>
      </w:r>
      <w:r w:rsidRPr="00196E2E">
        <w:rPr>
          <w:color w:val="000000" w:themeColor="text1"/>
        </w:rPr>
        <w:t xml:space="preserve">ation occurs when the coupling reactions are carried out in </w:t>
      </w:r>
      <w:r w:rsidR="00410F47" w:rsidRPr="00196E2E">
        <w:rPr>
          <w:color w:val="000000" w:themeColor="text1"/>
        </w:rPr>
        <w:t>PC</w:t>
      </w:r>
      <w:r w:rsidRPr="00196E2E">
        <w:rPr>
          <w:color w:val="000000" w:themeColor="text1"/>
        </w:rPr>
        <w:t xml:space="preserve">, diastereomeric dipeptide </w:t>
      </w:r>
      <w:r w:rsidRPr="00196E2E">
        <w:rPr>
          <w:b/>
          <w:color w:val="000000" w:themeColor="text1"/>
        </w:rPr>
        <w:t>5a</w:t>
      </w:r>
      <w:r w:rsidRPr="00196E2E">
        <w:rPr>
          <w:rFonts w:ascii="Constantia" w:hAnsi="Constantia"/>
          <w:b/>
          <w:color w:val="000000" w:themeColor="text1"/>
        </w:rPr>
        <w:t>'</w:t>
      </w:r>
      <w:r w:rsidRPr="00196E2E">
        <w:rPr>
          <w:color w:val="000000" w:themeColor="text1"/>
        </w:rPr>
        <w:t xml:space="preserve"> was prepared from Boc-(</w:t>
      </w:r>
      <w:r w:rsidRPr="00196E2E">
        <w:rPr>
          <w:i/>
          <w:color w:val="000000" w:themeColor="text1"/>
        </w:rPr>
        <w:t>R</w:t>
      </w:r>
      <w:r w:rsidRPr="00196E2E">
        <w:rPr>
          <w:color w:val="000000" w:themeColor="text1"/>
        </w:rPr>
        <w:t xml:space="preserve">)-alanine </w:t>
      </w:r>
      <w:r w:rsidRPr="00196E2E">
        <w:rPr>
          <w:b/>
          <w:color w:val="000000" w:themeColor="text1"/>
        </w:rPr>
        <w:t xml:space="preserve">3a </w:t>
      </w:r>
      <w:r w:rsidRPr="00196E2E">
        <w:rPr>
          <w:color w:val="000000" w:themeColor="text1"/>
        </w:rPr>
        <w:t xml:space="preserve">and ester </w:t>
      </w:r>
      <w:r w:rsidRPr="00196E2E">
        <w:rPr>
          <w:b/>
          <w:color w:val="000000" w:themeColor="text1"/>
        </w:rPr>
        <w:t>4a</w:t>
      </w:r>
      <w:r w:rsidRPr="00196E2E">
        <w:rPr>
          <w:color w:val="000000" w:themeColor="text1"/>
        </w:rPr>
        <w:t xml:space="preserve"> in 87% yield using the conditions of Table 1, entry 5. HPLC analysis of dipeptides </w:t>
      </w:r>
      <w:r w:rsidRPr="00196E2E">
        <w:rPr>
          <w:b/>
          <w:color w:val="000000" w:themeColor="text1"/>
        </w:rPr>
        <w:t>5a</w:t>
      </w:r>
      <w:r w:rsidRPr="00196E2E">
        <w:rPr>
          <w:color w:val="000000" w:themeColor="text1"/>
        </w:rPr>
        <w:t xml:space="preserve"> and </w:t>
      </w:r>
      <w:r w:rsidRPr="00196E2E">
        <w:rPr>
          <w:b/>
          <w:color w:val="000000" w:themeColor="text1"/>
        </w:rPr>
        <w:t>5a</w:t>
      </w:r>
      <w:r w:rsidRPr="00196E2E">
        <w:rPr>
          <w:rFonts w:ascii="Constantia" w:hAnsi="Constantia"/>
          <w:b/>
          <w:color w:val="000000" w:themeColor="text1"/>
        </w:rPr>
        <w:t>'</w:t>
      </w:r>
      <w:r w:rsidRPr="00196E2E">
        <w:rPr>
          <w:color w:val="000000" w:themeColor="text1"/>
        </w:rPr>
        <w:t xml:space="preserve"> as well as a 1:1 mixture of the two dipeptides confirmed that they had stereochemical purities of greater than 99:1</w:t>
      </w:r>
      <w:r w:rsidR="00AF3267" w:rsidRPr="00196E2E">
        <w:rPr>
          <w:color w:val="000000" w:themeColor="text1"/>
        </w:rPr>
        <w:t xml:space="preserve"> even when the peptide synthesis was carried out at 70 </w:t>
      </w:r>
      <w:r w:rsidR="00AF3267" w:rsidRPr="00196E2E">
        <w:rPr>
          <w:color w:val="000000" w:themeColor="text1"/>
          <w:vertAlign w:val="superscript"/>
        </w:rPr>
        <w:t>o</w:t>
      </w:r>
      <w:r w:rsidR="00AF3267" w:rsidRPr="00196E2E">
        <w:rPr>
          <w:color w:val="000000" w:themeColor="text1"/>
        </w:rPr>
        <w:t>C</w:t>
      </w:r>
      <w:r w:rsidRPr="00196E2E">
        <w:rPr>
          <w:color w:val="000000" w:themeColor="text1"/>
        </w:rPr>
        <w:t>.</w:t>
      </w:r>
      <w:bookmarkStart w:id="11" w:name="_Ref459033547"/>
      <w:r w:rsidRPr="00196E2E">
        <w:rPr>
          <w:color w:val="000000" w:themeColor="text1"/>
          <w:vertAlign w:val="superscript"/>
        </w:rPr>
        <w:endnoteReference w:id="38"/>
      </w:r>
      <w:bookmarkEnd w:id="11"/>
    </w:p>
    <w:p w:rsidR="003E3E5B" w:rsidRPr="00196E2E" w:rsidRDefault="00391A99" w:rsidP="003E3E5B">
      <w:pPr>
        <w:pStyle w:val="RSCB02ArticleText"/>
        <w:ind w:firstLine="284"/>
        <w:rPr>
          <w:color w:val="000000" w:themeColor="text1"/>
        </w:rPr>
      </w:pPr>
      <w:r w:rsidRPr="00196E2E">
        <w:rPr>
          <w:color w:val="000000" w:themeColor="text1"/>
        </w:rPr>
        <w:t>The other key step for solution-</w:t>
      </w:r>
      <w:r w:rsidR="00E105B9" w:rsidRPr="00196E2E">
        <w:rPr>
          <w:color w:val="000000" w:themeColor="text1"/>
        </w:rPr>
        <w:t xml:space="preserve">phase peptide synthesis is selective removal of the </w:t>
      </w:r>
      <w:r w:rsidR="00E105B9" w:rsidRPr="00196E2E">
        <w:rPr>
          <w:i/>
          <w:color w:val="000000" w:themeColor="text1"/>
        </w:rPr>
        <w:t>N</w:t>
      </w:r>
      <w:r w:rsidR="00E105B9" w:rsidRPr="00196E2E">
        <w:rPr>
          <w:color w:val="000000" w:themeColor="text1"/>
        </w:rPr>
        <w:t xml:space="preserve">-terminal Boc protecting group </w:t>
      </w:r>
      <w:r w:rsidR="00410F47" w:rsidRPr="00196E2E">
        <w:rPr>
          <w:color w:val="000000" w:themeColor="text1"/>
        </w:rPr>
        <w:t xml:space="preserve">to </w:t>
      </w:r>
      <w:r w:rsidR="00E105B9" w:rsidRPr="00196E2E">
        <w:rPr>
          <w:color w:val="000000" w:themeColor="text1"/>
        </w:rPr>
        <w:t xml:space="preserve">allow subsequent chain elongation. This is usually achieved by use of a strong acid such as hydrogen chloride or trifluoroacetic acid in solvents such as 1,4-dioxane, dichloromethane, THF, acetonitrile or DMF. Therefore, the use of </w:t>
      </w:r>
      <w:r w:rsidR="00410F47" w:rsidRPr="00196E2E">
        <w:rPr>
          <w:color w:val="000000" w:themeColor="text1"/>
        </w:rPr>
        <w:t>PC</w:t>
      </w:r>
      <w:r w:rsidR="00E105B9" w:rsidRPr="00196E2E">
        <w:rPr>
          <w:color w:val="000000" w:themeColor="text1"/>
        </w:rPr>
        <w:t xml:space="preserve"> as solvent for Boc deprotection reactions was also investigated</w:t>
      </w:r>
      <w:r w:rsidR="003E3E5B" w:rsidRPr="00196E2E">
        <w:rPr>
          <w:color w:val="000000" w:themeColor="text1"/>
        </w:rPr>
        <w:t xml:space="preserve">. Initially, hydrogen chloride was generated in PC and used to convert fully protected dipeptide </w:t>
      </w:r>
      <w:r w:rsidR="003E3E5B" w:rsidRPr="00196E2E">
        <w:rPr>
          <w:b/>
          <w:color w:val="000000" w:themeColor="text1"/>
        </w:rPr>
        <w:t>5a</w:t>
      </w:r>
      <w:r w:rsidR="003E3E5B" w:rsidRPr="00196E2E">
        <w:rPr>
          <w:color w:val="000000" w:themeColor="text1"/>
        </w:rPr>
        <w:t xml:space="preserve"> into the hydrochloride salt of Ala-Phe-OBn in 76% yield. However, as a solution of hydrogen chloride in PC is not commercially available, it was more convenient to use trifluoroacetic acid in PC</w:t>
      </w:r>
      <w:r w:rsidR="00E105B9" w:rsidRPr="00196E2E">
        <w:rPr>
          <w:color w:val="000000" w:themeColor="text1"/>
        </w:rPr>
        <w:t xml:space="preserve"> and </w:t>
      </w:r>
      <w:r w:rsidR="003E3E5B" w:rsidRPr="00196E2E">
        <w:rPr>
          <w:color w:val="000000" w:themeColor="text1"/>
        </w:rPr>
        <w:t>this</w:t>
      </w:r>
      <w:r w:rsidR="00E105B9" w:rsidRPr="00196E2E">
        <w:rPr>
          <w:color w:val="000000" w:themeColor="text1"/>
        </w:rPr>
        <w:t xml:space="preserve"> converted fully protected dipeptide </w:t>
      </w:r>
      <w:r w:rsidR="00E105B9" w:rsidRPr="00196E2E">
        <w:rPr>
          <w:b/>
          <w:color w:val="000000" w:themeColor="text1"/>
        </w:rPr>
        <w:t>5a</w:t>
      </w:r>
      <w:r w:rsidR="00E105B9" w:rsidRPr="00196E2E">
        <w:rPr>
          <w:color w:val="000000" w:themeColor="text1"/>
        </w:rPr>
        <w:t xml:space="preserve"> into </w:t>
      </w:r>
      <w:r w:rsidR="003E3E5B" w:rsidRPr="00196E2E">
        <w:rPr>
          <w:color w:val="000000" w:themeColor="text1"/>
        </w:rPr>
        <w:t xml:space="preserve">trifluoroacetate salt </w:t>
      </w:r>
      <w:r w:rsidR="003E3E5B" w:rsidRPr="00196E2E">
        <w:rPr>
          <w:b/>
          <w:color w:val="000000" w:themeColor="text1"/>
        </w:rPr>
        <w:t>6a</w:t>
      </w:r>
      <w:r w:rsidR="003E3E5B" w:rsidRPr="00196E2E">
        <w:rPr>
          <w:color w:val="000000" w:themeColor="text1"/>
        </w:rPr>
        <w:t xml:space="preserve"> in 99% yield. In contrast, use of 4M</w:t>
      </w:r>
    </w:p>
    <w:p w:rsidR="00915B9E" w:rsidRPr="00196E2E" w:rsidRDefault="00E433E2" w:rsidP="00915B9E">
      <w:pPr>
        <w:pStyle w:val="RSCI02FigureSchemeChartwithtopbar"/>
        <w:rPr>
          <w:color w:val="FF0000"/>
        </w:rPr>
      </w:pPr>
      <w:r w:rsidRPr="00196E2E">
        <w:object w:dxaOrig="4260" w:dyaOrig="6264">
          <v:shape id="_x0000_i1027" type="#_x0000_t75" style="width:213pt;height:313.2pt" o:ole="">
            <v:imagedata r:id="rId19" o:title=""/>
          </v:shape>
          <o:OLEObject Type="Embed" ProgID="ChemDraw.Document.6.0" ShapeID="_x0000_i1027" DrawAspect="Content" ObjectID="_1549877746" r:id="rId20"/>
        </w:object>
      </w:r>
    </w:p>
    <w:p w:rsidR="00915B9E" w:rsidRPr="00196E2E" w:rsidRDefault="00915B9E" w:rsidP="00560080">
      <w:pPr>
        <w:pStyle w:val="RSCI04CaptiontoFigureSchemeChart"/>
      </w:pPr>
      <w:r w:rsidRPr="00196E2E">
        <w:rPr>
          <w:b/>
        </w:rPr>
        <w:t>Scheme 3:</w:t>
      </w:r>
      <w:r w:rsidRPr="00196E2E">
        <w:t xml:space="preserve"> Synthesis of tetrapeptides in </w:t>
      </w:r>
      <w:r w:rsidR="0037108F" w:rsidRPr="00196E2E">
        <w:t>PC</w:t>
      </w:r>
      <w:r w:rsidRPr="00196E2E">
        <w:t>.</w:t>
      </w:r>
    </w:p>
    <w:p w:rsidR="003E3E5B" w:rsidRPr="00196E2E" w:rsidRDefault="003E3E5B" w:rsidP="003E3E5B">
      <w:pPr>
        <w:pStyle w:val="RSCB02ArticleText"/>
        <w:rPr>
          <w:color w:val="000000" w:themeColor="text1"/>
        </w:rPr>
      </w:pPr>
      <w:r w:rsidRPr="00196E2E">
        <w:rPr>
          <w:color w:val="000000" w:themeColor="text1"/>
        </w:rPr>
        <w:lastRenderedPageBreak/>
        <w:t xml:space="preserve">hydrogen chloride in dioxane gave the corresponding chloride salt </w:t>
      </w:r>
      <w:r w:rsidRPr="00196E2E">
        <w:rPr>
          <w:b/>
          <w:color w:val="000000" w:themeColor="text1"/>
        </w:rPr>
        <w:t>6b</w:t>
      </w:r>
      <w:r w:rsidRPr="00196E2E">
        <w:rPr>
          <w:color w:val="000000" w:themeColor="text1"/>
        </w:rPr>
        <w:t xml:space="preserve"> in just 93% yield. Thus, both coupling and deprotection reactions could be carried out in PC in higher yield than the yields obtained using DMF, dichloromethane and dioxane.</w:t>
      </w:r>
    </w:p>
    <w:p w:rsidR="003B2288" w:rsidRPr="00196E2E" w:rsidRDefault="00560080" w:rsidP="00560080">
      <w:pPr>
        <w:pStyle w:val="RSCB02ArticleText"/>
        <w:ind w:firstLine="284"/>
        <w:rPr>
          <w:color w:val="000000" w:themeColor="text1"/>
        </w:rPr>
      </w:pPr>
      <w:r w:rsidRPr="00196E2E">
        <w:rPr>
          <w:color w:val="000000" w:themeColor="text1"/>
        </w:rPr>
        <w:t xml:space="preserve">To illustrate the generality of this process, five fully protected tetrapeptides </w:t>
      </w:r>
      <w:r w:rsidRPr="00196E2E">
        <w:rPr>
          <w:b/>
          <w:color w:val="000000" w:themeColor="text1"/>
        </w:rPr>
        <w:t>9a-e</w:t>
      </w:r>
      <w:r w:rsidRPr="00196E2E">
        <w:rPr>
          <w:color w:val="000000" w:themeColor="text1"/>
        </w:rPr>
        <w:t xml:space="preserve"> were prepared as shown in Scheme 3. Peptide sequences </w:t>
      </w:r>
      <w:r w:rsidRPr="00196E2E">
        <w:rPr>
          <w:b/>
          <w:color w:val="000000" w:themeColor="text1"/>
        </w:rPr>
        <w:t>5-9a,b</w:t>
      </w:r>
      <w:r w:rsidRPr="00196E2E">
        <w:rPr>
          <w:color w:val="000000" w:themeColor="text1"/>
        </w:rPr>
        <w:t xml:space="preserve"> contain only unhindered </w:t>
      </w:r>
      <w:r w:rsidR="009A73E3" w:rsidRPr="00196E2E">
        <w:rPr>
          <w:color w:val="000000" w:themeColor="text1"/>
        </w:rPr>
        <w:t xml:space="preserve">and unfunctionalised amino acids. However, sequences </w:t>
      </w:r>
      <w:r w:rsidR="009A73E3" w:rsidRPr="00196E2E">
        <w:rPr>
          <w:b/>
          <w:color w:val="000000" w:themeColor="text1"/>
        </w:rPr>
        <w:t>5-9c-e</w:t>
      </w:r>
      <w:r w:rsidR="009A73E3" w:rsidRPr="00196E2E">
        <w:rPr>
          <w:color w:val="000000" w:themeColor="text1"/>
        </w:rPr>
        <w:t xml:space="preserve"> were chosen to include the sterically hindered amino acids</w:t>
      </w:r>
      <w:r w:rsidR="009A73E3" w:rsidRPr="00196E2E">
        <w:t xml:space="preserve"> </w:t>
      </w:r>
      <w:r w:rsidR="000F0086" w:rsidRPr="00196E2E">
        <w:t xml:space="preserve">valine and aminoisobutyric acid (Aib), functionalised amino acids with their functional groups unprotected (methionine </w:t>
      </w:r>
      <w:r w:rsidR="003B2288" w:rsidRPr="00196E2E">
        <w:t xml:space="preserve">and tryptophan) and functionalised amino acids with their functional groups protected using standard protecting groups (serine, lysine, aspartic acid </w:t>
      </w:r>
      <w:r w:rsidR="003B2288" w:rsidRPr="00196E2E">
        <w:rPr>
          <w:color w:val="000000" w:themeColor="text1"/>
        </w:rPr>
        <w:t xml:space="preserve">and glutamine). All five tetrapeptides were successfully prepared using PC as the only solvent. To further prove that no racemisation of the activated amino acids occurs during peptide synthesis in PC, diastereomeric dipeptide </w:t>
      </w:r>
      <w:r w:rsidR="003B2288" w:rsidRPr="00196E2E">
        <w:rPr>
          <w:b/>
          <w:color w:val="000000" w:themeColor="text1"/>
        </w:rPr>
        <w:t>5b</w:t>
      </w:r>
      <w:r w:rsidR="003B2288" w:rsidRPr="00196E2E">
        <w:rPr>
          <w:rFonts w:ascii="Constantia" w:hAnsi="Constantia"/>
          <w:b/>
          <w:color w:val="000000" w:themeColor="text1"/>
        </w:rPr>
        <w:t>'</w:t>
      </w:r>
      <w:r w:rsidR="003B2288" w:rsidRPr="00196E2E">
        <w:rPr>
          <w:color w:val="000000" w:themeColor="text1"/>
        </w:rPr>
        <w:t xml:space="preserve"> and tripeptide </w:t>
      </w:r>
      <w:r w:rsidR="003B2288" w:rsidRPr="00196E2E">
        <w:rPr>
          <w:b/>
          <w:color w:val="000000" w:themeColor="text1"/>
        </w:rPr>
        <w:t>7a</w:t>
      </w:r>
      <w:r w:rsidR="003B2288" w:rsidRPr="00196E2E">
        <w:rPr>
          <w:rFonts w:ascii="Constantia" w:hAnsi="Constantia"/>
          <w:b/>
          <w:color w:val="000000" w:themeColor="text1"/>
        </w:rPr>
        <w:t>'</w:t>
      </w:r>
      <w:r w:rsidR="003B2288" w:rsidRPr="00196E2E">
        <w:rPr>
          <w:color w:val="000000" w:themeColor="text1"/>
        </w:rPr>
        <w:t xml:space="preserve"> were prepared using Boc-(</w:t>
      </w:r>
      <w:r w:rsidR="003B2288" w:rsidRPr="00196E2E">
        <w:rPr>
          <w:i/>
          <w:color w:val="000000" w:themeColor="text1"/>
        </w:rPr>
        <w:t>R</w:t>
      </w:r>
      <w:r w:rsidR="003B2288" w:rsidRPr="00196E2E">
        <w:rPr>
          <w:color w:val="000000" w:themeColor="text1"/>
        </w:rPr>
        <w:t xml:space="preserve">)-leucine and HPLC analysis of the diastereomers </w:t>
      </w:r>
      <w:r w:rsidR="003B2288" w:rsidRPr="00196E2E">
        <w:rPr>
          <w:b/>
          <w:color w:val="000000" w:themeColor="text1"/>
        </w:rPr>
        <w:t>5b</w:t>
      </w:r>
      <w:r w:rsidR="003B2288" w:rsidRPr="00196E2E">
        <w:rPr>
          <w:color w:val="000000" w:themeColor="text1"/>
        </w:rPr>
        <w:t>/</w:t>
      </w:r>
      <w:r w:rsidR="003B2288" w:rsidRPr="00196E2E">
        <w:rPr>
          <w:b/>
          <w:color w:val="000000" w:themeColor="text1"/>
        </w:rPr>
        <w:t>5b</w:t>
      </w:r>
      <w:r w:rsidR="003B2288" w:rsidRPr="00196E2E">
        <w:rPr>
          <w:rFonts w:ascii="Constantia" w:hAnsi="Constantia"/>
          <w:b/>
          <w:color w:val="000000" w:themeColor="text1"/>
        </w:rPr>
        <w:t>'</w:t>
      </w:r>
      <w:r w:rsidR="003B2288" w:rsidRPr="00196E2E">
        <w:rPr>
          <w:color w:val="000000" w:themeColor="text1"/>
        </w:rPr>
        <w:t xml:space="preserve"> and </w:t>
      </w:r>
      <w:r w:rsidR="003B2288" w:rsidRPr="00196E2E">
        <w:rPr>
          <w:b/>
          <w:color w:val="000000" w:themeColor="text1"/>
        </w:rPr>
        <w:t>7a</w:t>
      </w:r>
      <w:r w:rsidR="003B2288" w:rsidRPr="00196E2E">
        <w:rPr>
          <w:color w:val="000000" w:themeColor="text1"/>
        </w:rPr>
        <w:t>/</w:t>
      </w:r>
      <w:r w:rsidR="003B2288" w:rsidRPr="00196E2E">
        <w:rPr>
          <w:b/>
          <w:color w:val="000000" w:themeColor="text1"/>
        </w:rPr>
        <w:t>7a</w:t>
      </w:r>
      <w:r w:rsidR="003B2288" w:rsidRPr="00196E2E">
        <w:rPr>
          <w:rFonts w:ascii="Constantia" w:hAnsi="Constantia"/>
          <w:b/>
          <w:color w:val="000000" w:themeColor="text1"/>
        </w:rPr>
        <w:t>'</w:t>
      </w:r>
      <w:r w:rsidR="003B2288" w:rsidRPr="00196E2E">
        <w:rPr>
          <w:color w:val="000000" w:themeColor="text1"/>
        </w:rPr>
        <w:t xml:space="preserve"> again showed stereochemical purities of greater than 99:1.</w:t>
      </w:r>
      <w:r w:rsidR="003B2288" w:rsidRPr="00196E2E">
        <w:rPr>
          <w:color w:val="000000" w:themeColor="text1"/>
          <w:vertAlign w:val="superscript"/>
        </w:rPr>
        <w:fldChar w:fldCharType="begin"/>
      </w:r>
      <w:r w:rsidR="003B2288" w:rsidRPr="00196E2E">
        <w:rPr>
          <w:color w:val="000000" w:themeColor="text1"/>
          <w:vertAlign w:val="superscript"/>
        </w:rPr>
        <w:instrText xml:space="preserve"> NOTEREF _Ref459033547 \h  \* MERGEFORMAT </w:instrText>
      </w:r>
      <w:r w:rsidR="003B2288" w:rsidRPr="00196E2E">
        <w:rPr>
          <w:color w:val="000000" w:themeColor="text1"/>
          <w:vertAlign w:val="superscript"/>
        </w:rPr>
      </w:r>
      <w:r w:rsidR="003B2288" w:rsidRPr="00196E2E">
        <w:rPr>
          <w:color w:val="000000" w:themeColor="text1"/>
          <w:vertAlign w:val="superscript"/>
        </w:rPr>
        <w:fldChar w:fldCharType="separate"/>
      </w:r>
      <w:r w:rsidR="009A73E3" w:rsidRPr="00196E2E">
        <w:rPr>
          <w:color w:val="000000" w:themeColor="text1"/>
          <w:vertAlign w:val="superscript"/>
        </w:rPr>
        <w:t>32</w:t>
      </w:r>
      <w:r w:rsidR="003B2288" w:rsidRPr="00196E2E">
        <w:rPr>
          <w:color w:val="000000" w:themeColor="text1"/>
          <w:vertAlign w:val="superscript"/>
        </w:rPr>
        <w:fldChar w:fldCharType="end"/>
      </w:r>
      <w:r w:rsidR="003B2288" w:rsidRPr="00196E2E">
        <w:rPr>
          <w:color w:val="000000" w:themeColor="text1"/>
        </w:rPr>
        <w:t xml:space="preserve"> Finally, to show that the methodology was compatible with the palladium on carbon used to remove benzyl based protecting groups, tripeptide </w:t>
      </w:r>
      <w:r w:rsidR="003B2288" w:rsidRPr="00196E2E">
        <w:rPr>
          <w:b/>
          <w:color w:val="000000" w:themeColor="text1"/>
        </w:rPr>
        <w:t>7a</w:t>
      </w:r>
      <w:r w:rsidR="003B2288" w:rsidRPr="00196E2E">
        <w:rPr>
          <w:color w:val="000000" w:themeColor="text1"/>
        </w:rPr>
        <w:t xml:space="preserve"> was subjected to hydrogenolysis to give acid </w:t>
      </w:r>
      <w:r w:rsidR="003B2288" w:rsidRPr="00196E2E">
        <w:rPr>
          <w:b/>
          <w:color w:val="000000" w:themeColor="text1"/>
        </w:rPr>
        <w:t>10a</w:t>
      </w:r>
      <w:r w:rsidR="003B2288" w:rsidRPr="00196E2E">
        <w:rPr>
          <w:color w:val="000000" w:themeColor="text1"/>
        </w:rPr>
        <w:t xml:space="preserve"> in 96% yield and then treated with trifluoroacetic acid in PC to give fully deprotected tripeptide </w:t>
      </w:r>
      <w:r w:rsidR="003B2288" w:rsidRPr="00196E2E">
        <w:rPr>
          <w:b/>
          <w:color w:val="000000" w:themeColor="text1"/>
        </w:rPr>
        <w:t xml:space="preserve">11a </w:t>
      </w:r>
      <w:r w:rsidR="003B2288" w:rsidRPr="00196E2E">
        <w:rPr>
          <w:color w:val="000000" w:themeColor="text1"/>
        </w:rPr>
        <w:t>in quantitative yield.</w:t>
      </w:r>
    </w:p>
    <w:p w:rsidR="00915B9E" w:rsidRPr="00196E2E" w:rsidRDefault="003B2288" w:rsidP="005712D1">
      <w:pPr>
        <w:pStyle w:val="RSCB02ArticleText"/>
        <w:ind w:firstLine="284"/>
        <w:rPr>
          <w:color w:val="000000" w:themeColor="text1"/>
        </w:rPr>
      </w:pPr>
      <w:r w:rsidRPr="00196E2E">
        <w:rPr>
          <w:color w:val="000000" w:themeColor="text1"/>
        </w:rPr>
        <w:t xml:space="preserve">Having demonstrated that PC could be </w:t>
      </w:r>
      <w:r w:rsidR="00391A99" w:rsidRPr="00196E2E">
        <w:rPr>
          <w:color w:val="000000" w:themeColor="text1"/>
        </w:rPr>
        <w:t>used as a solvent for solution-</w:t>
      </w:r>
      <w:r w:rsidRPr="00196E2E">
        <w:rPr>
          <w:color w:val="000000" w:themeColor="text1"/>
        </w:rPr>
        <w:t>phase peptide synthesis, its application to solid</w:t>
      </w:r>
      <w:r w:rsidR="00D704BA" w:rsidRPr="00196E2E">
        <w:rPr>
          <w:color w:val="000000" w:themeColor="text1"/>
        </w:rPr>
        <w:t>-</w:t>
      </w:r>
      <w:r w:rsidRPr="00196E2E">
        <w:rPr>
          <w:color w:val="000000" w:themeColor="text1"/>
        </w:rPr>
        <w:t xml:space="preserve">phase peptide synthesis was investigated. This presented a new challenge: the solvent must swell the resin upon which </w:t>
      </w:r>
      <w:r w:rsidR="00915B9E" w:rsidRPr="00196E2E">
        <w:rPr>
          <w:color w:val="000000" w:themeColor="text1"/>
        </w:rPr>
        <w:t>the peptide is being constructed</w:t>
      </w:r>
      <w:r w:rsidR="00E433E2" w:rsidRPr="00196E2E">
        <w:rPr>
          <w:color w:val="000000" w:themeColor="text1"/>
        </w:rPr>
        <w:t>. We have recently reported a study of the swelling o</w:t>
      </w:r>
      <w:r w:rsidR="00D704BA" w:rsidRPr="00196E2E">
        <w:rPr>
          <w:color w:val="000000" w:themeColor="text1"/>
        </w:rPr>
        <w:t>f various resins used for solid-</w:t>
      </w:r>
      <w:r w:rsidR="00E433E2" w:rsidRPr="00196E2E">
        <w:rPr>
          <w:color w:val="000000" w:themeColor="text1"/>
        </w:rPr>
        <w:t>phase synthesis in over 20 green solvents including PC and EC.</w:t>
      </w:r>
      <w:bookmarkStart w:id="12" w:name="_Ref475444348"/>
      <w:r w:rsidR="00E433E2" w:rsidRPr="00196E2E">
        <w:rPr>
          <w:rStyle w:val="EndnoteReference"/>
          <w:color w:val="000000" w:themeColor="text1"/>
        </w:rPr>
        <w:endnoteReference w:id="39"/>
      </w:r>
      <w:bookmarkEnd w:id="12"/>
      <w:r w:rsidR="00E433E2" w:rsidRPr="00196E2E">
        <w:rPr>
          <w:color w:val="000000" w:themeColor="text1"/>
        </w:rPr>
        <w:t xml:space="preserve"> </w:t>
      </w:r>
      <w:r w:rsidR="00915B9E" w:rsidRPr="00196E2E">
        <w:rPr>
          <w:color w:val="000000" w:themeColor="text1"/>
        </w:rPr>
        <w:t xml:space="preserve">This showed that </w:t>
      </w:r>
      <w:r w:rsidR="00C350F7" w:rsidRPr="00196E2E">
        <w:rPr>
          <w:color w:val="000000" w:themeColor="text1"/>
        </w:rPr>
        <w:t xml:space="preserve">polystyrene based resins such as </w:t>
      </w:r>
      <w:r w:rsidR="00915B9E" w:rsidRPr="00196E2E">
        <w:rPr>
          <w:color w:val="000000" w:themeColor="text1"/>
        </w:rPr>
        <w:t>2% cross linked polystyrene (Merrifield resin</w:t>
      </w:r>
      <w:r w:rsidR="00915B9E" w:rsidRPr="00196E2E">
        <w:rPr>
          <w:color w:val="000000" w:themeColor="text1"/>
          <w:vertAlign w:val="superscript"/>
        </w:rPr>
        <w:endnoteReference w:id="40"/>
      </w:r>
      <w:r w:rsidR="00915B9E" w:rsidRPr="00196E2E">
        <w:rPr>
          <w:color w:val="000000" w:themeColor="text1"/>
        </w:rPr>
        <w:t xml:space="preserve">) did not swell </w:t>
      </w:r>
      <w:r w:rsidR="00C350F7" w:rsidRPr="00196E2E">
        <w:rPr>
          <w:color w:val="000000" w:themeColor="text1"/>
        </w:rPr>
        <w:t xml:space="preserve">adequately </w:t>
      </w:r>
      <w:r w:rsidR="00915B9E" w:rsidRPr="00196E2E">
        <w:rPr>
          <w:color w:val="000000" w:themeColor="text1"/>
        </w:rPr>
        <w:t xml:space="preserve">in </w:t>
      </w:r>
      <w:r w:rsidR="00E433E2" w:rsidRPr="00196E2E">
        <w:rPr>
          <w:color w:val="000000" w:themeColor="text1"/>
        </w:rPr>
        <w:t>PC</w:t>
      </w:r>
      <w:r w:rsidR="00915B9E" w:rsidRPr="00196E2E">
        <w:rPr>
          <w:color w:val="000000" w:themeColor="text1"/>
        </w:rPr>
        <w:t>. However, a cross-linked polyethylene glycol (ChemMatrix resin</w:t>
      </w:r>
      <w:r w:rsidR="00915B9E" w:rsidRPr="00196E2E">
        <w:rPr>
          <w:color w:val="000000" w:themeColor="text1"/>
          <w:vertAlign w:val="superscript"/>
        </w:rPr>
        <w:endnoteReference w:id="41"/>
      </w:r>
      <w:r w:rsidR="00915B9E" w:rsidRPr="00196E2E">
        <w:rPr>
          <w:color w:val="000000" w:themeColor="text1"/>
        </w:rPr>
        <w:t>) did swell (to 6.0 mL g</w:t>
      </w:r>
      <w:r w:rsidR="00915B9E" w:rsidRPr="00196E2E">
        <w:rPr>
          <w:color w:val="000000" w:themeColor="text1"/>
          <w:vertAlign w:val="superscript"/>
        </w:rPr>
        <w:t>-1</w:t>
      </w:r>
      <w:r w:rsidR="00915B9E" w:rsidRPr="00196E2E">
        <w:rPr>
          <w:color w:val="000000" w:themeColor="text1"/>
        </w:rPr>
        <w:t xml:space="preserve">) in </w:t>
      </w:r>
      <w:r w:rsidR="00E433E2" w:rsidRPr="00196E2E">
        <w:rPr>
          <w:color w:val="000000" w:themeColor="text1"/>
        </w:rPr>
        <w:t>PC</w:t>
      </w:r>
      <w:r w:rsidR="00915B9E" w:rsidRPr="00196E2E">
        <w:rPr>
          <w:color w:val="000000" w:themeColor="text1"/>
        </w:rPr>
        <w:t xml:space="preserve"> which is well above the 4.0 mL g</w:t>
      </w:r>
      <w:r w:rsidR="00915B9E" w:rsidRPr="00196E2E">
        <w:rPr>
          <w:color w:val="000000" w:themeColor="text1"/>
          <w:vertAlign w:val="superscript"/>
        </w:rPr>
        <w:t>-1</w:t>
      </w:r>
      <w:r w:rsidR="00915B9E" w:rsidRPr="00196E2E">
        <w:rPr>
          <w:color w:val="000000" w:themeColor="text1"/>
        </w:rPr>
        <w:t xml:space="preserve"> required for a resin to be considered as well swollen.</w:t>
      </w:r>
      <w:r w:rsidR="00E433E2" w:rsidRPr="00196E2E">
        <w:rPr>
          <w:rStyle w:val="EndnoteReference"/>
          <w:color w:val="000000" w:themeColor="text1"/>
        </w:rPr>
        <w:endnoteReference w:id="42"/>
      </w:r>
      <w:r w:rsidR="00D704BA" w:rsidRPr="00196E2E">
        <w:rPr>
          <w:color w:val="000000" w:themeColor="text1"/>
        </w:rPr>
        <w:t xml:space="preserve"> </w:t>
      </w:r>
      <w:r w:rsidR="000E6941" w:rsidRPr="00196E2E">
        <w:rPr>
          <w:color w:val="000000" w:themeColor="text1"/>
        </w:rPr>
        <w:t>If a resin swells too much in a particular solvent, this can also be a problem for solid-phase peptide synthesis as it can cause blockages and result in over-filling of resin holding vessels. It is thus advantageous that whilst PC swelled ChemMatrix resin to 6.0 mL g</w:t>
      </w:r>
      <w:r w:rsidR="000E6941" w:rsidRPr="00196E2E">
        <w:rPr>
          <w:color w:val="000000" w:themeColor="text1"/>
          <w:vertAlign w:val="superscript"/>
        </w:rPr>
        <w:t>-1</w:t>
      </w:r>
      <w:r w:rsidR="000E6941" w:rsidRPr="00196E2E">
        <w:rPr>
          <w:color w:val="000000" w:themeColor="text1"/>
        </w:rPr>
        <w:t xml:space="preserve"> this is less than the 7.6</w:t>
      </w:r>
      <w:r w:rsidR="000E6941" w:rsidRPr="00196E2E">
        <w:rPr>
          <w:color w:val="000000" w:themeColor="text1"/>
        </w:rPr>
        <w:softHyphen/>
        <w:t>–7.8 mL g</w:t>
      </w:r>
      <w:r w:rsidR="000E6941" w:rsidRPr="00196E2E">
        <w:rPr>
          <w:color w:val="000000" w:themeColor="text1"/>
          <w:vertAlign w:val="superscript"/>
        </w:rPr>
        <w:t>-1</w:t>
      </w:r>
      <w:r w:rsidR="000E6941" w:rsidRPr="00196E2E">
        <w:rPr>
          <w:color w:val="000000" w:themeColor="text1"/>
        </w:rPr>
        <w:t xml:space="preserve"> swelling observed in DMF and NMP.</w:t>
      </w:r>
      <w:r w:rsidR="000E6941" w:rsidRPr="00196E2E">
        <w:rPr>
          <w:color w:val="000000" w:themeColor="text1"/>
          <w:vertAlign w:val="superscript"/>
        </w:rPr>
        <w:fldChar w:fldCharType="begin"/>
      </w:r>
      <w:r w:rsidR="000E6941" w:rsidRPr="00196E2E">
        <w:rPr>
          <w:color w:val="000000" w:themeColor="text1"/>
          <w:vertAlign w:val="superscript"/>
        </w:rPr>
        <w:instrText xml:space="preserve"> NOTEREF _Ref475444348 \h  \* MERGEFORMAT </w:instrText>
      </w:r>
      <w:r w:rsidR="000E6941" w:rsidRPr="00196E2E">
        <w:rPr>
          <w:color w:val="000000" w:themeColor="text1"/>
          <w:vertAlign w:val="superscript"/>
        </w:rPr>
      </w:r>
      <w:r w:rsidR="000E6941" w:rsidRPr="00196E2E">
        <w:rPr>
          <w:color w:val="000000" w:themeColor="text1"/>
          <w:vertAlign w:val="superscript"/>
        </w:rPr>
        <w:fldChar w:fldCharType="separate"/>
      </w:r>
      <w:r w:rsidR="000E6941" w:rsidRPr="00196E2E">
        <w:rPr>
          <w:color w:val="000000" w:themeColor="text1"/>
          <w:vertAlign w:val="superscript"/>
        </w:rPr>
        <w:t>38</w:t>
      </w:r>
      <w:r w:rsidR="000E6941" w:rsidRPr="00196E2E">
        <w:rPr>
          <w:color w:val="000000" w:themeColor="text1"/>
          <w:vertAlign w:val="superscript"/>
        </w:rPr>
        <w:fldChar w:fldCharType="end"/>
      </w:r>
      <w:r w:rsidR="000E6941" w:rsidRPr="00196E2E">
        <w:rPr>
          <w:color w:val="000000" w:themeColor="text1"/>
        </w:rPr>
        <w:t xml:space="preserve"> </w:t>
      </w:r>
      <w:r w:rsidR="00D704BA" w:rsidRPr="00196E2E">
        <w:rPr>
          <w:color w:val="000000" w:themeColor="text1"/>
        </w:rPr>
        <w:t>Hence, all solid-</w:t>
      </w:r>
      <w:r w:rsidR="00915B9E" w:rsidRPr="00196E2E">
        <w:rPr>
          <w:color w:val="000000" w:themeColor="text1"/>
        </w:rPr>
        <w:t>phase peptide synthesis was carried out on ChemMatrix resin.</w:t>
      </w:r>
    </w:p>
    <w:p w:rsidR="003977A8" w:rsidRPr="00196E2E" w:rsidRDefault="00915B9E" w:rsidP="00AF7AF1">
      <w:pPr>
        <w:pStyle w:val="RSCB02ArticleText"/>
        <w:ind w:firstLine="284"/>
        <w:rPr>
          <w:color w:val="000000" w:themeColor="text1"/>
        </w:rPr>
      </w:pPr>
      <w:r w:rsidRPr="00196E2E">
        <w:rPr>
          <w:color w:val="000000" w:themeColor="text1"/>
        </w:rPr>
        <w:t xml:space="preserve">The synthesis of the tripeptide TFA.H-Leu-Ala-Phe-OH </w:t>
      </w:r>
      <w:r w:rsidRPr="00196E2E">
        <w:rPr>
          <w:b/>
          <w:color w:val="000000" w:themeColor="text1"/>
        </w:rPr>
        <w:t xml:space="preserve">11a </w:t>
      </w:r>
      <w:r w:rsidRPr="00196E2E">
        <w:rPr>
          <w:color w:val="000000" w:themeColor="text1"/>
        </w:rPr>
        <w:t xml:space="preserve">was chosen as a test sequence and its solid-phase preparation was undertaken in both DMF and </w:t>
      </w:r>
      <w:r w:rsidR="004345AF" w:rsidRPr="00196E2E">
        <w:rPr>
          <w:color w:val="000000" w:themeColor="text1"/>
        </w:rPr>
        <w:t>PC</w:t>
      </w:r>
      <w:r w:rsidRPr="00196E2E">
        <w:rPr>
          <w:color w:val="000000" w:themeColor="text1"/>
        </w:rPr>
        <w:t xml:space="preserve"> (Scheme 4). The synthesis started with commercially available ChemMatrix resin preloaded with an acid-labile HMPB (4-(4-hydroxymethyl-3- methoxyphenoxy)butyric acid) linker</w:t>
      </w:r>
      <w:r w:rsidRPr="00196E2E">
        <w:rPr>
          <w:color w:val="000000" w:themeColor="text1"/>
          <w:vertAlign w:val="superscript"/>
        </w:rPr>
        <w:endnoteReference w:id="43"/>
      </w:r>
      <w:r w:rsidRPr="00196E2E">
        <w:rPr>
          <w:color w:val="000000" w:themeColor="text1"/>
        </w:rPr>
        <w:t xml:space="preserve"> and a phenylalanine residue with a free amino group. Each coupling reaction was carried out using three equivalents each of an Fmoc-protected amino acid, HBTU</w:t>
      </w:r>
      <w:r w:rsidRPr="00196E2E">
        <w:rPr>
          <w:color w:val="000000" w:themeColor="text1"/>
          <w:vertAlign w:val="superscript"/>
        </w:rPr>
        <w:endnoteReference w:id="44"/>
      </w:r>
      <w:r w:rsidR="004345AF" w:rsidRPr="00196E2E">
        <w:rPr>
          <w:color w:val="000000" w:themeColor="text1"/>
        </w:rPr>
        <w:t xml:space="preserve"> (3-[Bis(dimethylamino)methyliumyl]-3</w:t>
      </w:r>
      <w:r w:rsidR="004345AF" w:rsidRPr="00196E2E">
        <w:rPr>
          <w:i/>
          <w:color w:val="000000" w:themeColor="text1"/>
        </w:rPr>
        <w:t>H</w:t>
      </w:r>
      <w:r w:rsidR="004345AF" w:rsidRPr="00196E2E">
        <w:rPr>
          <w:color w:val="000000" w:themeColor="text1"/>
        </w:rPr>
        <w:t xml:space="preserve">-benzotriazol-1-oxide hexaﬂuorophosphate) </w:t>
      </w:r>
      <w:r w:rsidRPr="00196E2E">
        <w:rPr>
          <w:color w:val="000000" w:themeColor="text1"/>
        </w:rPr>
        <w:t xml:space="preserve">and HOBt and six equivalents of diisopropylethylamine. At the end of each coupling and deprotection reaction, the resin was only washed </w:t>
      </w:r>
    </w:p>
    <w:p w:rsidR="00915B9E" w:rsidRPr="00196E2E" w:rsidRDefault="00060389" w:rsidP="00560080">
      <w:pPr>
        <w:pStyle w:val="RSCI03FigureSchemeChartUncaptioned"/>
        <w:rPr>
          <w:color w:val="FF0000"/>
        </w:rPr>
      </w:pPr>
      <w:r w:rsidRPr="00196E2E">
        <w:object w:dxaOrig="4496" w:dyaOrig="4544">
          <v:shape id="_x0000_i1028" type="#_x0000_t75" style="width:224.8pt;height:227.2pt" o:ole="">
            <v:imagedata r:id="rId21" o:title=""/>
          </v:shape>
          <o:OLEObject Type="Embed" ProgID="ChemDraw.Document.6.0" ShapeID="_x0000_i1028" DrawAspect="Content" ObjectID="_1549877747" r:id="rId22"/>
        </w:object>
      </w:r>
    </w:p>
    <w:p w:rsidR="00915B9E" w:rsidRPr="00196E2E" w:rsidRDefault="00915B9E" w:rsidP="00915B9E">
      <w:pPr>
        <w:pStyle w:val="RSCI05CaptiontoFigureSchemeChartwithbottombar"/>
        <w:rPr>
          <w:color w:val="000000" w:themeColor="text1"/>
        </w:rPr>
      </w:pPr>
      <w:r w:rsidRPr="00196E2E">
        <w:rPr>
          <w:b/>
          <w:color w:val="000000" w:themeColor="text1"/>
        </w:rPr>
        <w:t>Scheme 4:</w:t>
      </w:r>
      <w:r w:rsidRPr="00196E2E">
        <w:rPr>
          <w:color w:val="000000" w:themeColor="text1"/>
        </w:rPr>
        <w:t xml:space="preserve"> </w:t>
      </w:r>
      <w:r w:rsidR="00F93C7B" w:rsidRPr="00196E2E">
        <w:rPr>
          <w:color w:val="000000" w:themeColor="text1"/>
        </w:rPr>
        <w:t>Solid-phase synthesis</w:t>
      </w:r>
      <w:r w:rsidR="0037108F" w:rsidRPr="00196E2E">
        <w:t xml:space="preserve"> of tetrapeptide </w:t>
      </w:r>
      <w:r w:rsidR="0037108F" w:rsidRPr="00196E2E">
        <w:rPr>
          <w:b/>
          <w:color w:val="000000" w:themeColor="text1"/>
        </w:rPr>
        <w:t>11a</w:t>
      </w:r>
      <w:r w:rsidRPr="00196E2E">
        <w:rPr>
          <w:color w:val="000000" w:themeColor="text1"/>
        </w:rPr>
        <w:t>.</w:t>
      </w:r>
    </w:p>
    <w:p w:rsidR="00560080" w:rsidRPr="00196E2E" w:rsidRDefault="003E3E5B" w:rsidP="00560080">
      <w:pPr>
        <w:pStyle w:val="RSCB02ArticleText"/>
        <w:rPr>
          <w:color w:val="000000" w:themeColor="text1"/>
        </w:rPr>
      </w:pPr>
      <w:r w:rsidRPr="00196E2E">
        <w:rPr>
          <w:color w:val="000000" w:themeColor="text1"/>
        </w:rPr>
        <w:t xml:space="preserve">with the solvent being used for the synthesis rather than with a range of solvents (usually including DMF, dichloromethane and methanol) to ensure that the use of non-green solvents was completely avoided. The tripeptide was cleaved from the </w:t>
      </w:r>
      <w:r w:rsidR="008F2E78" w:rsidRPr="00196E2E">
        <w:rPr>
          <w:color w:val="000000" w:themeColor="text1"/>
        </w:rPr>
        <w:t>resin by treatment with trifluoroacetic acid in the presence of TIPS (triisopropylsilane) and water as cation scavengers,</w:t>
      </w:r>
      <w:r w:rsidR="008F2E78" w:rsidRPr="00196E2E">
        <w:rPr>
          <w:color w:val="000000" w:themeColor="text1"/>
          <w:vertAlign w:val="superscript"/>
        </w:rPr>
        <w:endnoteReference w:id="45"/>
      </w:r>
      <w:r w:rsidR="008F2E78" w:rsidRPr="00196E2E">
        <w:rPr>
          <w:color w:val="000000" w:themeColor="text1"/>
        </w:rPr>
        <w:t xml:space="preserve"> then precipitated from and triturated with diethyl ether. Analysis of </w:t>
      </w:r>
    </w:p>
    <w:p w:rsidR="0011050F" w:rsidRPr="00196E2E" w:rsidRDefault="00AA4D36" w:rsidP="0011050F">
      <w:pPr>
        <w:pStyle w:val="RSCI02FigureSchemeChartwithtopbar"/>
        <w:rPr>
          <w:color w:val="FF0000"/>
        </w:rPr>
      </w:pPr>
      <w:r w:rsidRPr="00196E2E">
        <w:object w:dxaOrig="4827" w:dyaOrig="6224">
          <v:shape id="_x0000_i1029" type="#_x0000_t75" style="width:241.35pt;height:311.2pt" o:ole="">
            <v:imagedata r:id="rId23" o:title=""/>
          </v:shape>
          <o:OLEObject Type="Embed" ProgID="ChemDraw.Document.6.0" ShapeID="_x0000_i1029" DrawAspect="Content" ObjectID="_1549877748" r:id="rId24"/>
        </w:object>
      </w:r>
    </w:p>
    <w:p w:rsidR="0011050F" w:rsidRPr="00196E2E" w:rsidRDefault="0011050F" w:rsidP="00AA4D36">
      <w:pPr>
        <w:pStyle w:val="RSCI04CaptiontoFigureSchemeChart"/>
      </w:pPr>
      <w:r w:rsidRPr="00196E2E">
        <w:rPr>
          <w:b/>
        </w:rPr>
        <w:t>Scheme 5:</w:t>
      </w:r>
      <w:r w:rsidRPr="00196E2E">
        <w:t xml:space="preserve"> Solid-phase synthesis of bradykinin in PC.</w:t>
      </w:r>
    </w:p>
    <w:p w:rsidR="00A23F2A" w:rsidRPr="00196E2E" w:rsidRDefault="00A52AD4" w:rsidP="00F23E7C">
      <w:pPr>
        <w:pStyle w:val="RSCI03FigureSchemeChartUncaptioned"/>
      </w:pPr>
      <w:r w:rsidRPr="00196E2E">
        <w:rPr>
          <w:noProof/>
          <w:lang w:eastAsia="en-GB"/>
        </w:rPr>
        <w:lastRenderedPageBreak/>
        <w:drawing>
          <wp:inline distT="0" distB="0" distL="0" distR="0" wp14:anchorId="3E4F1DEA" wp14:editId="7C3B8082">
            <wp:extent cx="3154045" cy="1251585"/>
            <wp:effectExtent l="0" t="0" r="8255" b="5715"/>
            <wp:docPr id="8" name="Picture 8" descr="C:\Users\Mike\Documents\York 2016\papers in preparation\peptide\green\revised\Fig1 commer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ke\Documents\York 2016\papers in preparation\peptide\green\revised\Fig1 commerci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54045" cy="1251585"/>
                    </a:xfrm>
                    <a:prstGeom prst="rect">
                      <a:avLst/>
                    </a:prstGeom>
                    <a:noFill/>
                    <a:ln>
                      <a:noFill/>
                    </a:ln>
                  </pic:spPr>
                </pic:pic>
              </a:graphicData>
            </a:graphic>
          </wp:inline>
        </w:drawing>
      </w:r>
    </w:p>
    <w:p w:rsidR="00A52AD4" w:rsidRPr="00196E2E" w:rsidRDefault="00A52AD4" w:rsidP="00F23E7C">
      <w:pPr>
        <w:pStyle w:val="RSCI03FigureSchemeChartUncaptioned"/>
      </w:pPr>
      <w:r w:rsidRPr="00196E2E">
        <w:rPr>
          <w:noProof/>
          <w:lang w:eastAsia="en-GB"/>
        </w:rPr>
        <w:drawing>
          <wp:inline distT="0" distB="0" distL="0" distR="0" wp14:anchorId="11BDE7A7" wp14:editId="3D6C9EDA">
            <wp:extent cx="3163570" cy="1236980"/>
            <wp:effectExtent l="0" t="0" r="0" b="1270"/>
            <wp:docPr id="9" name="Picture 9" descr="C:\Users\Mike\Documents\York 2016\papers in preparation\peptide\green\revised\Fig1 D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ke\Documents\York 2016\papers in preparation\peptide\green\revised\Fig1 DMF.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63570" cy="1236980"/>
                    </a:xfrm>
                    <a:prstGeom prst="rect">
                      <a:avLst/>
                    </a:prstGeom>
                    <a:noFill/>
                    <a:ln>
                      <a:noFill/>
                    </a:ln>
                  </pic:spPr>
                </pic:pic>
              </a:graphicData>
            </a:graphic>
          </wp:inline>
        </w:drawing>
      </w:r>
    </w:p>
    <w:p w:rsidR="00A52AD4" w:rsidRPr="00196E2E" w:rsidRDefault="00A52AD4" w:rsidP="00F23E7C">
      <w:pPr>
        <w:pStyle w:val="RSCI03FigureSchemeChartUncaptioned"/>
      </w:pPr>
      <w:r w:rsidRPr="00196E2E">
        <w:rPr>
          <w:noProof/>
          <w:lang w:eastAsia="en-GB"/>
        </w:rPr>
        <w:drawing>
          <wp:inline distT="0" distB="0" distL="0" distR="0" wp14:anchorId="0B16D8FB" wp14:editId="068EC91D">
            <wp:extent cx="3163570" cy="1251585"/>
            <wp:effectExtent l="0" t="0" r="0" b="5715"/>
            <wp:docPr id="12" name="Picture 12" descr="C:\Users\Mike\Documents\York 2016\papers in preparation\peptide\green\revised\Fig1 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ke\Documents\York 2016\papers in preparation\peptide\green\revised\Fig1 PC.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63570" cy="1251585"/>
                    </a:xfrm>
                    <a:prstGeom prst="rect">
                      <a:avLst/>
                    </a:prstGeom>
                    <a:noFill/>
                    <a:ln>
                      <a:noFill/>
                    </a:ln>
                  </pic:spPr>
                </pic:pic>
              </a:graphicData>
            </a:graphic>
          </wp:inline>
        </w:drawing>
      </w:r>
    </w:p>
    <w:p w:rsidR="00F51BF5" w:rsidRPr="00196E2E" w:rsidRDefault="00F51BF5" w:rsidP="00F51BF5">
      <w:pPr>
        <w:pStyle w:val="RSCI05CaptiontoFigureSchemeChartwithbottombar"/>
        <w:rPr>
          <w:color w:val="000000" w:themeColor="text1"/>
        </w:rPr>
      </w:pPr>
      <w:r w:rsidRPr="00196E2E">
        <w:rPr>
          <w:b/>
        </w:rPr>
        <w:t xml:space="preserve">Figure </w:t>
      </w:r>
      <w:r w:rsidR="00A2213A" w:rsidRPr="00196E2E">
        <w:rPr>
          <w:b/>
        </w:rPr>
        <w:t>1</w:t>
      </w:r>
      <w:r w:rsidRPr="00196E2E">
        <w:rPr>
          <w:b/>
        </w:rPr>
        <w:t>:</w:t>
      </w:r>
      <w:r w:rsidRPr="00196E2E">
        <w:t xml:space="preserve"> </w:t>
      </w:r>
      <w:r w:rsidR="00A23F2A" w:rsidRPr="00196E2E">
        <w:rPr>
          <w:color w:val="000000" w:themeColor="text1"/>
        </w:rPr>
        <w:t xml:space="preserve">HPLC-UV traces of bradykinin. </w:t>
      </w:r>
      <w:r w:rsidR="003D2778" w:rsidRPr="00196E2E">
        <w:rPr>
          <w:color w:val="000000" w:themeColor="text1"/>
        </w:rPr>
        <w:t>A</w:t>
      </w:r>
      <w:r w:rsidR="00A23F2A" w:rsidRPr="00196E2E">
        <w:rPr>
          <w:color w:val="000000" w:themeColor="text1"/>
        </w:rPr>
        <w:t xml:space="preserve">: commercial sample, </w:t>
      </w:r>
      <w:r w:rsidR="003D2778" w:rsidRPr="00196E2E">
        <w:rPr>
          <w:color w:val="000000" w:themeColor="text1"/>
        </w:rPr>
        <w:t>B</w:t>
      </w:r>
      <w:r w:rsidR="00A23F2A" w:rsidRPr="00196E2E">
        <w:rPr>
          <w:color w:val="000000" w:themeColor="text1"/>
        </w:rPr>
        <w:t xml:space="preserve">: sample prepared in DMF, </w:t>
      </w:r>
      <w:r w:rsidR="003D2778" w:rsidRPr="00196E2E">
        <w:rPr>
          <w:color w:val="000000" w:themeColor="text1"/>
        </w:rPr>
        <w:t>C:</w:t>
      </w:r>
      <w:r w:rsidR="00A23F2A" w:rsidRPr="00196E2E">
        <w:rPr>
          <w:color w:val="000000" w:themeColor="text1"/>
        </w:rPr>
        <w:t xml:space="preserve"> sample prepared in PC</w:t>
      </w:r>
      <w:r w:rsidR="00F0156E" w:rsidRPr="00196E2E">
        <w:rPr>
          <w:color w:val="000000" w:themeColor="text1"/>
        </w:rPr>
        <w:t>.</w:t>
      </w:r>
      <w:r w:rsidR="00D67C9B" w:rsidRPr="00196E2E">
        <w:rPr>
          <w:color w:val="000000" w:themeColor="text1"/>
        </w:rPr>
        <w:t xml:space="preserve"> Chromatograms were eluted with a gradient </w:t>
      </w:r>
      <w:r w:rsidR="00EB1E55" w:rsidRPr="00196E2E">
        <w:rPr>
          <w:color w:val="000000" w:themeColor="text1"/>
        </w:rPr>
        <w:t>from 1:9 MeCN:H</w:t>
      </w:r>
      <w:r w:rsidR="00EB1E55" w:rsidRPr="00196E2E">
        <w:rPr>
          <w:color w:val="000000" w:themeColor="text1"/>
          <w:vertAlign w:val="subscript"/>
        </w:rPr>
        <w:t>2</w:t>
      </w:r>
      <w:r w:rsidR="00EB1E55" w:rsidRPr="00196E2E">
        <w:rPr>
          <w:color w:val="000000" w:themeColor="text1"/>
        </w:rPr>
        <w:t>O to 1:1 MeCN:H</w:t>
      </w:r>
      <w:r w:rsidR="00EB1E55" w:rsidRPr="00196E2E">
        <w:rPr>
          <w:color w:val="000000" w:themeColor="text1"/>
          <w:vertAlign w:val="subscript"/>
        </w:rPr>
        <w:t>2</w:t>
      </w:r>
      <w:r w:rsidR="00EB1E55" w:rsidRPr="00196E2E">
        <w:rPr>
          <w:color w:val="000000" w:themeColor="text1"/>
        </w:rPr>
        <w:t>O.</w:t>
      </w:r>
      <w:r w:rsidR="00EB1E55" w:rsidRPr="00196E2E">
        <w:rPr>
          <w:color w:val="000000" w:themeColor="text1"/>
          <w:vertAlign w:val="superscript"/>
        </w:rPr>
        <w:fldChar w:fldCharType="begin"/>
      </w:r>
      <w:r w:rsidR="00EB1E55" w:rsidRPr="00196E2E">
        <w:rPr>
          <w:color w:val="000000" w:themeColor="text1"/>
          <w:vertAlign w:val="superscript"/>
        </w:rPr>
        <w:instrText xml:space="preserve"> NOTEREF _Ref459033547 \h  \* MERGEFORMAT </w:instrText>
      </w:r>
      <w:r w:rsidR="00EB1E55" w:rsidRPr="00196E2E">
        <w:rPr>
          <w:color w:val="000000" w:themeColor="text1"/>
          <w:vertAlign w:val="superscript"/>
        </w:rPr>
      </w:r>
      <w:r w:rsidR="00EB1E55" w:rsidRPr="00196E2E">
        <w:rPr>
          <w:color w:val="000000" w:themeColor="text1"/>
          <w:vertAlign w:val="superscript"/>
        </w:rPr>
        <w:fldChar w:fldCharType="separate"/>
      </w:r>
      <w:r w:rsidR="00EB1E55" w:rsidRPr="00196E2E">
        <w:rPr>
          <w:color w:val="000000" w:themeColor="text1"/>
          <w:vertAlign w:val="superscript"/>
        </w:rPr>
        <w:t>37</w:t>
      </w:r>
      <w:r w:rsidR="00EB1E55" w:rsidRPr="00196E2E">
        <w:rPr>
          <w:color w:val="000000" w:themeColor="text1"/>
          <w:vertAlign w:val="superscript"/>
        </w:rPr>
        <w:fldChar w:fldCharType="end"/>
      </w:r>
    </w:p>
    <w:p w:rsidR="00134DE2" w:rsidRPr="00196E2E" w:rsidRDefault="00134DE2" w:rsidP="00134DE2">
      <w:pPr>
        <w:pStyle w:val="RSCB02ArticleText"/>
        <w:rPr>
          <w:color w:val="000000" w:themeColor="text1"/>
        </w:rPr>
      </w:pPr>
      <w:r w:rsidRPr="00196E2E">
        <w:rPr>
          <w:color w:val="000000" w:themeColor="text1"/>
        </w:rPr>
        <w:t xml:space="preserve">both samples by </w:t>
      </w:r>
      <w:r w:rsidRPr="00196E2E">
        <w:rPr>
          <w:color w:val="000000" w:themeColor="text1"/>
          <w:vertAlign w:val="superscript"/>
        </w:rPr>
        <w:t>1</w:t>
      </w:r>
      <w:r w:rsidRPr="00196E2E">
        <w:rPr>
          <w:color w:val="000000" w:themeColor="text1"/>
        </w:rPr>
        <w:t xml:space="preserve">H NMR spectroscopy showed that TFA.H-Leu-Ala-Phe-OH </w:t>
      </w:r>
      <w:r w:rsidRPr="00196E2E">
        <w:rPr>
          <w:b/>
          <w:color w:val="000000" w:themeColor="text1"/>
        </w:rPr>
        <w:t>11a</w:t>
      </w:r>
      <w:r w:rsidRPr="00196E2E">
        <w:rPr>
          <w:color w:val="000000" w:themeColor="text1"/>
        </w:rPr>
        <w:t xml:space="preserve"> had been successfully prepared in both solvents.</w:t>
      </w:r>
    </w:p>
    <w:p w:rsidR="00AF7AF1" w:rsidRPr="00196E2E" w:rsidRDefault="008F2E78" w:rsidP="008F2E78">
      <w:pPr>
        <w:pStyle w:val="RSCB02ArticleText"/>
        <w:ind w:firstLine="284"/>
      </w:pPr>
      <w:r w:rsidRPr="00196E2E">
        <w:t xml:space="preserve">Having demonstrated </w:t>
      </w:r>
      <w:r w:rsidRPr="00196E2E">
        <w:rPr>
          <w:color w:val="000000" w:themeColor="text1"/>
        </w:rPr>
        <w:t>that PC could be used as a solvent for solid-phase peptide synthesis, the synthesis of a biologically relevant peptide was undertaken. The naturally occurring nonapeptide bradykinin (H-</w:t>
      </w:r>
      <w:hyperlink r:id="rId28" w:tooltip="Arginine" w:history="1">
        <w:r w:rsidRPr="00196E2E">
          <w:rPr>
            <w:color w:val="000000" w:themeColor="text1"/>
          </w:rPr>
          <w:t>Arg</w:t>
        </w:r>
      </w:hyperlink>
      <w:r w:rsidRPr="00196E2E">
        <w:rPr>
          <w:color w:val="000000" w:themeColor="text1"/>
        </w:rPr>
        <w:t>-</w:t>
      </w:r>
      <w:hyperlink r:id="rId29" w:tooltip="Proline" w:history="1">
        <w:r w:rsidRPr="00196E2E">
          <w:rPr>
            <w:color w:val="000000" w:themeColor="text1"/>
          </w:rPr>
          <w:t>Pro</w:t>
        </w:r>
      </w:hyperlink>
      <w:r w:rsidRPr="00196E2E">
        <w:rPr>
          <w:color w:val="000000" w:themeColor="text1"/>
        </w:rPr>
        <w:t>-</w:t>
      </w:r>
      <w:hyperlink r:id="rId30" w:tooltip="Proline" w:history="1">
        <w:r w:rsidRPr="00196E2E">
          <w:rPr>
            <w:color w:val="000000" w:themeColor="text1"/>
          </w:rPr>
          <w:t>Pro</w:t>
        </w:r>
      </w:hyperlink>
      <w:r w:rsidRPr="00196E2E">
        <w:rPr>
          <w:color w:val="000000" w:themeColor="text1"/>
        </w:rPr>
        <w:t>-</w:t>
      </w:r>
      <w:hyperlink r:id="rId31" w:tooltip="Glycine" w:history="1">
        <w:r w:rsidRPr="00196E2E">
          <w:rPr>
            <w:color w:val="000000" w:themeColor="text1"/>
          </w:rPr>
          <w:t>Gly</w:t>
        </w:r>
      </w:hyperlink>
      <w:r w:rsidRPr="00196E2E">
        <w:rPr>
          <w:color w:val="000000" w:themeColor="text1"/>
        </w:rPr>
        <w:t>-</w:t>
      </w:r>
      <w:hyperlink r:id="rId32" w:tooltip="Phenylalanine" w:history="1">
        <w:r w:rsidRPr="00196E2E">
          <w:rPr>
            <w:color w:val="000000" w:themeColor="text1"/>
          </w:rPr>
          <w:t>Phe</w:t>
        </w:r>
      </w:hyperlink>
      <w:r w:rsidRPr="00196E2E">
        <w:rPr>
          <w:color w:val="000000" w:themeColor="text1"/>
        </w:rPr>
        <w:t>-</w:t>
      </w:r>
      <w:hyperlink r:id="rId33" w:tooltip="Serine" w:history="1">
        <w:r w:rsidRPr="00196E2E">
          <w:rPr>
            <w:color w:val="000000" w:themeColor="text1"/>
          </w:rPr>
          <w:t>Ser</w:t>
        </w:r>
      </w:hyperlink>
      <w:r w:rsidRPr="00196E2E">
        <w:rPr>
          <w:color w:val="000000" w:themeColor="text1"/>
        </w:rPr>
        <w:t>-</w:t>
      </w:r>
      <w:hyperlink r:id="rId34" w:tooltip="Proline" w:history="1">
        <w:r w:rsidRPr="00196E2E">
          <w:rPr>
            <w:color w:val="000000" w:themeColor="text1"/>
          </w:rPr>
          <w:t>Pro</w:t>
        </w:r>
      </w:hyperlink>
      <w:r w:rsidRPr="00196E2E">
        <w:rPr>
          <w:color w:val="000000" w:themeColor="text1"/>
        </w:rPr>
        <w:t>-</w:t>
      </w:r>
      <w:hyperlink r:id="rId35" w:tooltip="Phenylalanine" w:history="1">
        <w:r w:rsidRPr="00196E2E">
          <w:rPr>
            <w:color w:val="000000" w:themeColor="text1"/>
          </w:rPr>
          <w:t>Phe</w:t>
        </w:r>
      </w:hyperlink>
      <w:r w:rsidRPr="00196E2E">
        <w:rPr>
          <w:color w:val="000000" w:themeColor="text1"/>
        </w:rPr>
        <w:t>-</w:t>
      </w:r>
      <w:hyperlink r:id="rId36" w:tooltip="Arginine" w:history="1">
        <w:r w:rsidRPr="00196E2E">
          <w:rPr>
            <w:color w:val="000000" w:themeColor="text1"/>
          </w:rPr>
          <w:t>Arg</w:t>
        </w:r>
      </w:hyperlink>
      <w:r w:rsidRPr="00196E2E">
        <w:rPr>
          <w:color w:val="000000" w:themeColor="text1"/>
        </w:rPr>
        <w:t>-OH) which is a vasodilator the concentration of which is increased by ACE-inhibitors</w:t>
      </w:r>
      <w:r w:rsidRPr="00196E2E">
        <w:rPr>
          <w:color w:val="000000" w:themeColor="text1"/>
          <w:vertAlign w:val="superscript"/>
        </w:rPr>
        <w:endnoteReference w:id="46"/>
      </w:r>
      <w:r w:rsidRPr="00196E2E">
        <w:rPr>
          <w:color w:val="000000" w:themeColor="text1"/>
        </w:rPr>
        <w:t xml:space="preserve"> was selected as a suitable test as it is of moderate length and contains a mixture of functionalised and </w:t>
      </w:r>
      <w:r w:rsidR="00AF7AF1" w:rsidRPr="00196E2E">
        <w:rPr>
          <w:color w:val="000000" w:themeColor="text1"/>
        </w:rPr>
        <w:t xml:space="preserve">unfunctionalised amino acids. The synthesis of bradykinin starting from H-Arg-HMPB-ChemMatrix was </w:t>
      </w:r>
      <w:r w:rsidR="00AF7AF1" w:rsidRPr="00196E2E">
        <w:t>carried out using the coupling and deprotection reactions given in Scheme 5.</w:t>
      </w:r>
      <w:r w:rsidR="00AF7AF1" w:rsidRPr="00196E2E">
        <w:rPr>
          <w:vertAlign w:val="superscript"/>
        </w:rPr>
        <w:fldChar w:fldCharType="begin"/>
      </w:r>
      <w:r w:rsidR="00AF7AF1" w:rsidRPr="00196E2E">
        <w:rPr>
          <w:vertAlign w:val="superscript"/>
        </w:rPr>
        <w:instrText xml:space="preserve"> NOTEREF _Ref459033547 \h  \* MERGEFORMAT </w:instrText>
      </w:r>
      <w:r w:rsidR="00AF7AF1" w:rsidRPr="00196E2E">
        <w:rPr>
          <w:vertAlign w:val="superscript"/>
        </w:rPr>
      </w:r>
      <w:r w:rsidR="00AF7AF1" w:rsidRPr="00196E2E">
        <w:rPr>
          <w:vertAlign w:val="superscript"/>
        </w:rPr>
        <w:fldChar w:fldCharType="separate"/>
      </w:r>
      <w:r w:rsidR="00AF7AF1" w:rsidRPr="00196E2E">
        <w:rPr>
          <w:vertAlign w:val="superscript"/>
        </w:rPr>
        <w:t>32</w:t>
      </w:r>
      <w:r w:rsidR="00AF7AF1" w:rsidRPr="00196E2E">
        <w:rPr>
          <w:vertAlign w:val="superscript"/>
        </w:rPr>
        <w:fldChar w:fldCharType="end"/>
      </w:r>
    </w:p>
    <w:p w:rsidR="00F51BF5" w:rsidRPr="00196E2E" w:rsidRDefault="003977A8" w:rsidP="003977A8">
      <w:pPr>
        <w:pStyle w:val="RSCB02ArticleText"/>
        <w:ind w:firstLine="284"/>
        <w:rPr>
          <w:color w:val="000000" w:themeColor="text1"/>
        </w:rPr>
      </w:pPr>
      <w:r w:rsidRPr="00196E2E">
        <w:t>The cleaved peptide was precipitated into cold diethyl ether, triturated and lyophilised. To allow a comparison with conventional methodology to be undertaken, the synthesis was also carried out in DMF and both synthetic samples were compared with commercially available bradykinin by HPLC-UV-</w:t>
      </w:r>
      <w:r w:rsidRPr="00196E2E">
        <w:rPr>
          <w:color w:val="000000" w:themeColor="text1"/>
        </w:rPr>
        <w:t>HRMS (Figure 1).</w:t>
      </w:r>
      <w:r w:rsidRPr="00196E2E">
        <w:rPr>
          <w:color w:val="000000" w:themeColor="text1"/>
          <w:vertAlign w:val="superscript"/>
        </w:rPr>
        <w:fldChar w:fldCharType="begin"/>
      </w:r>
      <w:r w:rsidRPr="00196E2E">
        <w:rPr>
          <w:color w:val="000000" w:themeColor="text1"/>
          <w:vertAlign w:val="superscript"/>
        </w:rPr>
        <w:instrText xml:space="preserve"> NOTEREF _Ref459033547 \h  \* MERGEFORMAT </w:instrText>
      </w:r>
      <w:r w:rsidRPr="00196E2E">
        <w:rPr>
          <w:color w:val="000000" w:themeColor="text1"/>
          <w:vertAlign w:val="superscript"/>
        </w:rPr>
      </w:r>
      <w:r w:rsidRPr="00196E2E">
        <w:rPr>
          <w:color w:val="000000" w:themeColor="text1"/>
          <w:vertAlign w:val="superscript"/>
        </w:rPr>
        <w:fldChar w:fldCharType="separate"/>
      </w:r>
      <w:r w:rsidRPr="00196E2E">
        <w:rPr>
          <w:color w:val="000000" w:themeColor="text1"/>
          <w:vertAlign w:val="superscript"/>
        </w:rPr>
        <w:t>32</w:t>
      </w:r>
      <w:r w:rsidRPr="00196E2E">
        <w:rPr>
          <w:color w:val="000000" w:themeColor="text1"/>
          <w:vertAlign w:val="superscript"/>
        </w:rPr>
        <w:fldChar w:fldCharType="end"/>
      </w:r>
      <w:r w:rsidRPr="00196E2E">
        <w:rPr>
          <w:color w:val="000000" w:themeColor="text1"/>
        </w:rPr>
        <w:t xml:space="preserve"> The bradykinin samples prepared in PC and DMF were found to have purities of 77 and 79% respectively, showing that use of PC as solvent had no significant detrimental effect on the synthesis. The sample prepared in DMF (Figure 1B) contained a single impurity peak which overlapped with the bradykinin peak and so would be difficult to separate by preparative HPLC. Analysis of the mass spectrum of this impurity peak showed that it was actually a </w:t>
      </w:r>
      <w:r w:rsidRPr="00196E2E">
        <w:rPr>
          <w:color w:val="000000" w:themeColor="text1"/>
        </w:rPr>
        <w:lastRenderedPageBreak/>
        <w:t>mixture of the premature chain termination sequences H-</w:t>
      </w:r>
      <w:hyperlink r:id="rId37" w:tooltip="Serine" w:history="1">
        <w:r w:rsidRPr="00196E2E">
          <w:rPr>
            <w:color w:val="000000" w:themeColor="text1"/>
          </w:rPr>
          <w:t>Ser</w:t>
        </w:r>
      </w:hyperlink>
      <w:r w:rsidRPr="00196E2E">
        <w:rPr>
          <w:color w:val="000000" w:themeColor="text1"/>
        </w:rPr>
        <w:t>-</w:t>
      </w:r>
      <w:hyperlink r:id="rId38" w:tooltip="Proline" w:history="1">
        <w:r w:rsidRPr="00196E2E">
          <w:rPr>
            <w:color w:val="000000" w:themeColor="text1"/>
          </w:rPr>
          <w:t>Pro</w:t>
        </w:r>
      </w:hyperlink>
      <w:r w:rsidRPr="00196E2E">
        <w:rPr>
          <w:color w:val="000000" w:themeColor="text1"/>
        </w:rPr>
        <w:t>-</w:t>
      </w:r>
      <w:hyperlink r:id="rId39" w:tooltip="Phenylalanine" w:history="1">
        <w:r w:rsidRPr="00196E2E">
          <w:rPr>
            <w:color w:val="000000" w:themeColor="text1"/>
          </w:rPr>
          <w:t>Phe</w:t>
        </w:r>
      </w:hyperlink>
      <w:r w:rsidRPr="00196E2E">
        <w:rPr>
          <w:color w:val="000000" w:themeColor="text1"/>
        </w:rPr>
        <w:t>-</w:t>
      </w:r>
      <w:hyperlink r:id="rId40" w:tooltip="Arginine" w:history="1">
        <w:r w:rsidRPr="00196E2E">
          <w:rPr>
            <w:color w:val="000000" w:themeColor="text1"/>
          </w:rPr>
          <w:t>Arg</w:t>
        </w:r>
      </w:hyperlink>
      <w:r w:rsidRPr="00196E2E">
        <w:rPr>
          <w:color w:val="000000" w:themeColor="text1"/>
        </w:rPr>
        <w:t>-OH and H-</w:t>
      </w:r>
      <w:hyperlink r:id="rId41" w:tooltip="Proline" w:history="1">
        <w:r w:rsidRPr="00196E2E">
          <w:rPr>
            <w:color w:val="000000" w:themeColor="text1"/>
          </w:rPr>
          <w:t>Pro</w:t>
        </w:r>
      </w:hyperlink>
      <w:r w:rsidRPr="00196E2E">
        <w:rPr>
          <w:color w:val="000000" w:themeColor="text1"/>
        </w:rPr>
        <w:t>-</w:t>
      </w:r>
      <w:hyperlink r:id="rId42" w:tooltip="Phenylalanine" w:history="1">
        <w:r w:rsidRPr="00196E2E">
          <w:rPr>
            <w:color w:val="000000" w:themeColor="text1"/>
          </w:rPr>
          <w:t>Phe</w:t>
        </w:r>
      </w:hyperlink>
      <w:r w:rsidRPr="00196E2E">
        <w:rPr>
          <w:color w:val="000000" w:themeColor="text1"/>
        </w:rPr>
        <w:t>-</w:t>
      </w:r>
      <w:hyperlink r:id="rId43" w:tooltip="Arginine" w:history="1">
        <w:r w:rsidRPr="00196E2E">
          <w:rPr>
            <w:color w:val="000000" w:themeColor="text1"/>
          </w:rPr>
          <w:t>Arg</w:t>
        </w:r>
      </w:hyperlink>
      <w:r w:rsidRPr="00196E2E">
        <w:rPr>
          <w:color w:val="000000" w:themeColor="text1"/>
        </w:rPr>
        <w:t xml:space="preserve">-OH. In contrast, this impurity was not present in the sample prepared in PC (Figure 1C) and the impurity peaks that were present were well separated from the bradykinin peak, thus facilitating purification </w:t>
      </w:r>
      <w:r w:rsidR="00E80BAC" w:rsidRPr="00196E2E">
        <w:rPr>
          <w:color w:val="000000" w:themeColor="text1"/>
        </w:rPr>
        <w:t>by preparative HPLC if desired.</w:t>
      </w:r>
    </w:p>
    <w:p w:rsidR="0037563E" w:rsidRPr="00196E2E" w:rsidRDefault="0037563E" w:rsidP="0037563E">
      <w:pPr>
        <w:pStyle w:val="RSCB04AHeadingSection"/>
      </w:pPr>
      <w:r w:rsidRPr="00196E2E">
        <w:t>Experimental</w:t>
      </w:r>
    </w:p>
    <w:p w:rsidR="0037563E" w:rsidRPr="00196E2E" w:rsidRDefault="0037563E" w:rsidP="003B2288">
      <w:pPr>
        <w:pStyle w:val="RSCB02ArticleText"/>
        <w:rPr>
          <w:rStyle w:val="06CHeading"/>
          <w:rFonts w:asciiTheme="minorHAnsi" w:hAnsiTheme="minorHAnsi"/>
          <w:b w:val="0"/>
          <w:smallCaps w:val="0"/>
        </w:rPr>
      </w:pPr>
      <w:r w:rsidRPr="00196E2E">
        <w:rPr>
          <w:rStyle w:val="06CHeading"/>
          <w:rFonts w:asciiTheme="minorHAnsi" w:hAnsiTheme="minorHAnsi"/>
          <w:b w:val="0"/>
          <w:smallCaps w:val="0"/>
        </w:rPr>
        <w:t>Details of instrumentation are given in the supplementary information.</w:t>
      </w:r>
    </w:p>
    <w:p w:rsidR="0037563E" w:rsidRPr="00196E2E" w:rsidRDefault="0037563E" w:rsidP="003422A7">
      <w:pPr>
        <w:pStyle w:val="RSCB02ArticleText"/>
        <w:ind w:firstLine="284"/>
        <w:rPr>
          <w:rStyle w:val="06CHeading"/>
          <w:rFonts w:asciiTheme="minorHAnsi" w:hAnsiTheme="minorHAnsi"/>
          <w:b w:val="0"/>
          <w:smallCaps w:val="0"/>
        </w:rPr>
      </w:pPr>
    </w:p>
    <w:p w:rsidR="0037563E" w:rsidRPr="00196E2E" w:rsidRDefault="0037563E" w:rsidP="00692291">
      <w:pPr>
        <w:pStyle w:val="RSCB06BHeadingSub-Section"/>
        <w:rPr>
          <w:color w:val="000000" w:themeColor="text1"/>
        </w:rPr>
      </w:pPr>
      <w:r w:rsidRPr="00196E2E">
        <w:t xml:space="preserve">General procedure for peptide coupling reactions </w:t>
      </w:r>
      <w:r w:rsidRPr="00196E2E">
        <w:rPr>
          <w:color w:val="000000" w:themeColor="text1"/>
        </w:rPr>
        <w:t xml:space="preserve">in </w:t>
      </w:r>
      <w:r w:rsidR="00054FB8" w:rsidRPr="00196E2E">
        <w:rPr>
          <w:color w:val="000000" w:themeColor="text1"/>
        </w:rPr>
        <w:t>PC</w:t>
      </w:r>
    </w:p>
    <w:p w:rsidR="0037563E" w:rsidRPr="00196E2E" w:rsidRDefault="0037563E" w:rsidP="0037563E">
      <w:pPr>
        <w:pStyle w:val="RSCB02ArticleText"/>
        <w:rPr>
          <w:color w:val="000000" w:themeColor="text1"/>
        </w:rPr>
      </w:pPr>
      <w:r w:rsidRPr="00196E2E">
        <w:rPr>
          <w:color w:val="000000" w:themeColor="text1"/>
        </w:rPr>
        <w:t xml:space="preserve">To a suspension of an </w:t>
      </w:r>
      <w:r w:rsidRPr="00196E2E">
        <w:rPr>
          <w:i/>
          <w:color w:val="000000" w:themeColor="text1"/>
        </w:rPr>
        <w:t>N</w:t>
      </w:r>
      <w:r w:rsidRPr="00196E2E">
        <w:rPr>
          <w:color w:val="000000" w:themeColor="text1"/>
        </w:rPr>
        <w:t>-Boc-amino acid (1.0 eq</w:t>
      </w:r>
      <w:r w:rsidR="00692291" w:rsidRPr="00196E2E">
        <w:rPr>
          <w:color w:val="000000" w:themeColor="text1"/>
        </w:rPr>
        <w:t>.</w:t>
      </w:r>
      <w:r w:rsidRPr="00196E2E">
        <w:rPr>
          <w:color w:val="000000" w:themeColor="text1"/>
        </w:rPr>
        <w:t>) and an amino acid or peptide benzyl ester (1.0 eq</w:t>
      </w:r>
      <w:r w:rsidR="00692291" w:rsidRPr="00196E2E">
        <w:rPr>
          <w:color w:val="000000" w:themeColor="text1"/>
        </w:rPr>
        <w:t>.</w:t>
      </w:r>
      <w:r w:rsidRPr="00196E2E">
        <w:rPr>
          <w:color w:val="000000" w:themeColor="text1"/>
        </w:rPr>
        <w:t xml:space="preserve">) in </w:t>
      </w:r>
      <w:r w:rsidR="00054FB8" w:rsidRPr="00196E2E">
        <w:rPr>
          <w:color w:val="000000" w:themeColor="text1"/>
        </w:rPr>
        <w:t>PC</w:t>
      </w:r>
      <w:r w:rsidRPr="00196E2E">
        <w:rPr>
          <w:color w:val="000000" w:themeColor="text1"/>
        </w:rPr>
        <w:t xml:space="preserve"> (5 mL mmol</w:t>
      </w:r>
      <w:r w:rsidRPr="00196E2E">
        <w:rPr>
          <w:color w:val="000000" w:themeColor="text1"/>
          <w:vertAlign w:val="superscript"/>
        </w:rPr>
        <w:t>-1</w:t>
      </w:r>
      <w:r w:rsidRPr="00196E2E">
        <w:rPr>
          <w:color w:val="000000" w:themeColor="text1"/>
        </w:rPr>
        <w:t>), at 0 °C, was added a solution of HOBt (1.1 eq</w:t>
      </w:r>
      <w:r w:rsidR="00692291" w:rsidRPr="00196E2E">
        <w:rPr>
          <w:color w:val="000000" w:themeColor="text1"/>
        </w:rPr>
        <w:t>.</w:t>
      </w:r>
      <w:r w:rsidRPr="00196E2E">
        <w:rPr>
          <w:color w:val="000000" w:themeColor="text1"/>
        </w:rPr>
        <w:t xml:space="preserve">) and </w:t>
      </w:r>
      <w:r w:rsidRPr="00196E2E">
        <w:rPr>
          <w:color w:val="000000" w:themeColor="text1"/>
          <w:vertAlign w:val="superscript"/>
        </w:rPr>
        <w:t>i</w:t>
      </w:r>
      <w:r w:rsidRPr="00196E2E">
        <w:rPr>
          <w:color w:val="000000" w:themeColor="text1"/>
        </w:rPr>
        <w:t>Pr</w:t>
      </w:r>
      <w:r w:rsidRPr="00196E2E">
        <w:rPr>
          <w:color w:val="000000" w:themeColor="text1"/>
          <w:vertAlign w:val="subscript"/>
        </w:rPr>
        <w:t>2</w:t>
      </w:r>
      <w:r w:rsidRPr="00196E2E">
        <w:rPr>
          <w:color w:val="000000" w:themeColor="text1"/>
        </w:rPr>
        <w:t>EtN (3.0 eq</w:t>
      </w:r>
      <w:r w:rsidR="00692291" w:rsidRPr="00196E2E">
        <w:rPr>
          <w:color w:val="000000" w:themeColor="text1"/>
        </w:rPr>
        <w:t>.</w:t>
      </w:r>
      <w:r w:rsidRPr="00196E2E">
        <w:rPr>
          <w:color w:val="000000" w:themeColor="text1"/>
        </w:rPr>
        <w:t xml:space="preserve">) in a minimal quantity of </w:t>
      </w:r>
      <w:r w:rsidR="00054FB8" w:rsidRPr="00196E2E">
        <w:rPr>
          <w:color w:val="000000" w:themeColor="text1"/>
        </w:rPr>
        <w:t>PC</w:t>
      </w:r>
      <w:r w:rsidRPr="00196E2E">
        <w:rPr>
          <w:color w:val="000000" w:themeColor="text1"/>
        </w:rPr>
        <w:t>. EDC (1.1 eq</w:t>
      </w:r>
      <w:r w:rsidR="00692291" w:rsidRPr="00196E2E">
        <w:rPr>
          <w:color w:val="000000" w:themeColor="text1"/>
        </w:rPr>
        <w:t>.</w:t>
      </w:r>
      <w:r w:rsidRPr="00196E2E">
        <w:rPr>
          <w:color w:val="000000" w:themeColor="text1"/>
        </w:rPr>
        <w:t>) was added dropwise and the reaction mixture was allowed to stir at room temperature for 16h. The reaction mixture was then diluted using EtOAc (50 mL) and washed with 1M HCl</w:t>
      </w:r>
      <w:r w:rsidRPr="00196E2E">
        <w:rPr>
          <w:color w:val="000000" w:themeColor="text1"/>
          <w:vertAlign w:val="subscript"/>
        </w:rPr>
        <w:t>aq</w:t>
      </w:r>
      <w:r w:rsidRPr="00196E2E">
        <w:rPr>
          <w:color w:val="000000" w:themeColor="text1"/>
        </w:rPr>
        <w:t xml:space="preserve"> (3 × 25 mL), saturated Na</w:t>
      </w:r>
      <w:r w:rsidRPr="00196E2E">
        <w:rPr>
          <w:color w:val="000000" w:themeColor="text1"/>
          <w:vertAlign w:val="subscript"/>
        </w:rPr>
        <w:t>2</w:t>
      </w:r>
      <w:r w:rsidRPr="00196E2E">
        <w:rPr>
          <w:color w:val="000000" w:themeColor="text1"/>
        </w:rPr>
        <w:t>CO</w:t>
      </w:r>
      <w:r w:rsidRPr="00196E2E">
        <w:rPr>
          <w:color w:val="000000" w:themeColor="text1"/>
          <w:vertAlign w:val="subscript"/>
        </w:rPr>
        <w:t>3</w:t>
      </w:r>
      <w:r w:rsidRPr="00196E2E">
        <w:rPr>
          <w:color w:val="000000" w:themeColor="text1"/>
        </w:rPr>
        <w:t xml:space="preserve"> (3 × 25 mL) and H</w:t>
      </w:r>
      <w:r w:rsidRPr="00196E2E">
        <w:rPr>
          <w:color w:val="000000" w:themeColor="text1"/>
          <w:vertAlign w:val="subscript"/>
        </w:rPr>
        <w:t>2</w:t>
      </w:r>
      <w:r w:rsidRPr="00196E2E">
        <w:rPr>
          <w:color w:val="000000" w:themeColor="text1"/>
        </w:rPr>
        <w:t>O (3 × 25 mL). The organic layer was dried (MgSO</w:t>
      </w:r>
      <w:r w:rsidRPr="00196E2E">
        <w:rPr>
          <w:color w:val="000000" w:themeColor="text1"/>
          <w:vertAlign w:val="subscript"/>
        </w:rPr>
        <w:t>4</w:t>
      </w:r>
      <w:r w:rsidRPr="00196E2E">
        <w:rPr>
          <w:color w:val="000000" w:themeColor="text1"/>
        </w:rPr>
        <w:t xml:space="preserve">), filtered and concentrated in vacuo. Any residual </w:t>
      </w:r>
      <w:r w:rsidR="00054FB8" w:rsidRPr="00196E2E">
        <w:rPr>
          <w:color w:val="000000" w:themeColor="text1"/>
        </w:rPr>
        <w:t>PC</w:t>
      </w:r>
      <w:r w:rsidRPr="00196E2E">
        <w:rPr>
          <w:color w:val="000000" w:themeColor="text1"/>
        </w:rPr>
        <w:t xml:space="preserve"> was </w:t>
      </w:r>
      <w:r w:rsidRPr="00196E2E">
        <w:t>removed via short path distillation.</w:t>
      </w:r>
      <w:r w:rsidR="00692291" w:rsidRPr="00196E2E">
        <w:t xml:space="preserve"> Purification details for </w:t>
      </w:r>
      <w:r w:rsidR="00692291" w:rsidRPr="00196E2E">
        <w:rPr>
          <w:color w:val="000000" w:themeColor="text1"/>
        </w:rPr>
        <w:t xml:space="preserve">each peptide and characterising data are given in </w:t>
      </w:r>
      <w:r w:rsidR="00692291" w:rsidRPr="00196E2E">
        <w:rPr>
          <w:rStyle w:val="06CHeading"/>
          <w:rFonts w:asciiTheme="minorHAnsi" w:hAnsiTheme="minorHAnsi"/>
          <w:b w:val="0"/>
          <w:smallCaps w:val="0"/>
          <w:color w:val="000000" w:themeColor="text1"/>
        </w:rPr>
        <w:t>the supplementary information.</w:t>
      </w:r>
    </w:p>
    <w:p w:rsidR="0037563E" w:rsidRPr="00196E2E" w:rsidRDefault="0037563E" w:rsidP="0037563E">
      <w:pPr>
        <w:pStyle w:val="RSCB02ArticleText"/>
        <w:rPr>
          <w:color w:val="000000" w:themeColor="text1"/>
        </w:rPr>
      </w:pPr>
    </w:p>
    <w:p w:rsidR="0037563E" w:rsidRPr="00196E2E" w:rsidRDefault="0037563E" w:rsidP="00692291">
      <w:pPr>
        <w:pStyle w:val="RSCB06BHeadingSub-Section"/>
        <w:rPr>
          <w:color w:val="000000" w:themeColor="text1"/>
        </w:rPr>
      </w:pPr>
      <w:r w:rsidRPr="00196E2E">
        <w:rPr>
          <w:color w:val="000000" w:themeColor="text1"/>
        </w:rPr>
        <w:t xml:space="preserve">General procedure for Boc deprotections in </w:t>
      </w:r>
      <w:r w:rsidR="00054FB8" w:rsidRPr="00196E2E">
        <w:rPr>
          <w:color w:val="000000" w:themeColor="text1"/>
        </w:rPr>
        <w:t>PC</w:t>
      </w:r>
    </w:p>
    <w:p w:rsidR="0037563E" w:rsidRPr="00196E2E" w:rsidRDefault="0037563E" w:rsidP="0037563E">
      <w:pPr>
        <w:pStyle w:val="RSCB02ArticleText"/>
        <w:rPr>
          <w:rStyle w:val="06CHeading"/>
          <w:rFonts w:asciiTheme="minorHAnsi" w:hAnsiTheme="minorHAnsi"/>
          <w:b w:val="0"/>
          <w:smallCaps w:val="0"/>
        </w:rPr>
      </w:pPr>
      <w:r w:rsidRPr="00196E2E">
        <w:rPr>
          <w:color w:val="000000" w:themeColor="text1"/>
        </w:rPr>
        <w:t xml:space="preserve">An </w:t>
      </w:r>
      <w:r w:rsidRPr="00196E2E">
        <w:rPr>
          <w:i/>
          <w:color w:val="000000" w:themeColor="text1"/>
        </w:rPr>
        <w:t>N</w:t>
      </w:r>
      <w:r w:rsidRPr="00196E2E">
        <w:rPr>
          <w:color w:val="000000" w:themeColor="text1"/>
        </w:rPr>
        <w:t>-Boc-peptide benzyl ester (1.0 eq</w:t>
      </w:r>
      <w:r w:rsidR="00692291" w:rsidRPr="00196E2E">
        <w:rPr>
          <w:color w:val="000000" w:themeColor="text1"/>
        </w:rPr>
        <w:t>.</w:t>
      </w:r>
      <w:r w:rsidRPr="00196E2E">
        <w:rPr>
          <w:color w:val="000000" w:themeColor="text1"/>
        </w:rPr>
        <w:t xml:space="preserve">) was dissolved in a minimum amount of </w:t>
      </w:r>
      <w:r w:rsidR="00054FB8" w:rsidRPr="00196E2E">
        <w:rPr>
          <w:color w:val="000000" w:themeColor="text1"/>
        </w:rPr>
        <w:t>PC</w:t>
      </w:r>
      <w:r w:rsidRPr="00196E2E">
        <w:rPr>
          <w:color w:val="000000" w:themeColor="text1"/>
        </w:rPr>
        <w:t xml:space="preserve"> and trifluoroacetic acid (60 eq</w:t>
      </w:r>
      <w:r w:rsidR="00692291" w:rsidRPr="00196E2E">
        <w:rPr>
          <w:color w:val="000000" w:themeColor="text1"/>
        </w:rPr>
        <w:t>.</w:t>
      </w:r>
      <w:r w:rsidRPr="00196E2E">
        <w:rPr>
          <w:color w:val="000000" w:themeColor="text1"/>
        </w:rPr>
        <w:t>) was added. The reaction mixture was allowed to stir for 3h</w:t>
      </w:r>
      <w:r w:rsidR="00692291" w:rsidRPr="00196E2E">
        <w:rPr>
          <w:color w:val="000000" w:themeColor="text1"/>
        </w:rPr>
        <w:t>.</w:t>
      </w:r>
      <w:r w:rsidRPr="00196E2E">
        <w:rPr>
          <w:color w:val="000000" w:themeColor="text1"/>
        </w:rPr>
        <w:t xml:space="preserve"> at room temperature before being concentrated in vacuo. Any residual </w:t>
      </w:r>
      <w:r w:rsidR="00054FB8" w:rsidRPr="00196E2E">
        <w:rPr>
          <w:color w:val="000000" w:themeColor="text1"/>
        </w:rPr>
        <w:t>PC</w:t>
      </w:r>
      <w:r w:rsidRPr="00196E2E">
        <w:rPr>
          <w:color w:val="000000" w:themeColor="text1"/>
        </w:rPr>
        <w:t xml:space="preserve"> was removed </w:t>
      </w:r>
      <w:r w:rsidRPr="00196E2E">
        <w:t>via short path distillation.</w:t>
      </w:r>
      <w:r w:rsidR="00692291" w:rsidRPr="00196E2E">
        <w:t xml:space="preserve"> Characterising data for each deprotected peptide are given in </w:t>
      </w:r>
      <w:r w:rsidR="00692291" w:rsidRPr="00196E2E">
        <w:rPr>
          <w:rStyle w:val="06CHeading"/>
          <w:rFonts w:asciiTheme="minorHAnsi" w:hAnsiTheme="minorHAnsi"/>
          <w:b w:val="0"/>
          <w:smallCaps w:val="0"/>
        </w:rPr>
        <w:t>the supplementary information.</w:t>
      </w:r>
    </w:p>
    <w:p w:rsidR="00134DE2" w:rsidRPr="00196E2E" w:rsidRDefault="00134DE2" w:rsidP="0037563E">
      <w:pPr>
        <w:pStyle w:val="RSCB02ArticleText"/>
        <w:rPr>
          <w:rStyle w:val="06CHeading"/>
          <w:rFonts w:asciiTheme="minorHAnsi" w:hAnsiTheme="minorHAnsi"/>
          <w:b w:val="0"/>
          <w:smallCaps w:val="0"/>
        </w:rPr>
      </w:pPr>
    </w:p>
    <w:p w:rsidR="003B2288" w:rsidRPr="00196E2E" w:rsidRDefault="008D6628" w:rsidP="00692291">
      <w:pPr>
        <w:pStyle w:val="RSCB06BHeadingSub-Section"/>
        <w:rPr>
          <w:color w:val="000000" w:themeColor="text1"/>
        </w:rPr>
      </w:pPr>
      <w:r w:rsidRPr="00196E2E">
        <w:rPr>
          <w:color w:val="000000" w:themeColor="text1"/>
        </w:rPr>
        <w:t>Synthesis of Boc-Ala-Phe-OBn 5a</w:t>
      </w:r>
      <w:r w:rsidR="003B2288" w:rsidRPr="00196E2E">
        <w:rPr>
          <w:color w:val="000000" w:themeColor="text1"/>
        </w:rPr>
        <w:t xml:space="preserve"> in </w:t>
      </w:r>
      <w:r w:rsidR="00054FB8" w:rsidRPr="00196E2E">
        <w:rPr>
          <w:color w:val="000000" w:themeColor="text1"/>
        </w:rPr>
        <w:t>PC</w:t>
      </w:r>
      <w:r w:rsidR="003B2288" w:rsidRPr="00196E2E">
        <w:rPr>
          <w:color w:val="000000" w:themeColor="text1"/>
        </w:rPr>
        <w:t xml:space="preserve"> in a microwave reactor </w:t>
      </w:r>
    </w:p>
    <w:p w:rsidR="003B2288" w:rsidRPr="00196E2E" w:rsidRDefault="008D6628" w:rsidP="003B2288">
      <w:pPr>
        <w:pStyle w:val="RSCB02ArticleText"/>
        <w:rPr>
          <w:color w:val="000000" w:themeColor="text1"/>
        </w:rPr>
      </w:pPr>
      <w:r w:rsidRPr="00196E2E">
        <w:rPr>
          <w:i/>
          <w:color w:val="000000" w:themeColor="text1"/>
        </w:rPr>
        <w:t>N</w:t>
      </w:r>
      <w:r w:rsidRPr="00196E2E">
        <w:rPr>
          <w:color w:val="000000" w:themeColor="text1"/>
        </w:rPr>
        <w:t xml:space="preserve">-Boc-Alanine (189 mg, 1.0 mmol, 1.0 eq), phenylalanine benzyl ester (292 mg, 1.0 mmol, 1.0 eq) and HOBt (149 mg, 1.0 mmol, 1.1 eq) were combined in a G10 microwave vial. PC (2 mL) and </w:t>
      </w:r>
      <w:r w:rsidRPr="00196E2E">
        <w:rPr>
          <w:color w:val="000000" w:themeColor="text1"/>
          <w:vertAlign w:val="superscript"/>
        </w:rPr>
        <w:t>i</w:t>
      </w:r>
      <w:r w:rsidRPr="00196E2E">
        <w:rPr>
          <w:color w:val="000000" w:themeColor="text1"/>
        </w:rPr>
        <w:t>Pr</w:t>
      </w:r>
      <w:r w:rsidRPr="00196E2E">
        <w:rPr>
          <w:color w:val="000000" w:themeColor="text1"/>
          <w:vertAlign w:val="subscript"/>
        </w:rPr>
        <w:t>2</w:t>
      </w:r>
      <w:r w:rsidRPr="00196E2E">
        <w:rPr>
          <w:color w:val="000000" w:themeColor="text1"/>
        </w:rPr>
        <w:t xml:space="preserve">EtN (523 </w:t>
      </w:r>
      <w:r w:rsidRPr="00196E2E">
        <w:rPr>
          <w:rFonts w:cstheme="minorHAnsi"/>
          <w:color w:val="000000" w:themeColor="text1"/>
        </w:rPr>
        <w:t>μ</w:t>
      </w:r>
      <w:r w:rsidRPr="00196E2E">
        <w:rPr>
          <w:color w:val="000000" w:themeColor="text1"/>
        </w:rPr>
        <w:t xml:space="preserve">L, 3.0 mmol, 6.0 eq) were then added. The vial was cooled to 0 </w:t>
      </w:r>
      <w:r w:rsidRPr="00196E2E">
        <w:rPr>
          <w:rFonts w:cstheme="minorHAnsi"/>
          <w:color w:val="000000" w:themeColor="text1"/>
        </w:rPr>
        <w:t>°</w:t>
      </w:r>
      <w:r w:rsidRPr="00196E2E">
        <w:rPr>
          <w:color w:val="000000" w:themeColor="text1"/>
        </w:rPr>
        <w:t xml:space="preserve">C and EDC (195 </w:t>
      </w:r>
      <w:r w:rsidRPr="00196E2E">
        <w:rPr>
          <w:rFonts w:cstheme="minorHAnsi"/>
          <w:color w:val="000000" w:themeColor="text1"/>
        </w:rPr>
        <w:t>μ</w:t>
      </w:r>
      <w:r w:rsidRPr="00196E2E">
        <w:rPr>
          <w:color w:val="000000" w:themeColor="text1"/>
        </w:rPr>
        <w:t xml:space="preserve">L, 1.1 mmol, 1.1 eq) was added dropwise. The reaction mixture was then heated at 70 </w:t>
      </w:r>
      <w:r w:rsidRPr="00196E2E">
        <w:rPr>
          <w:rFonts w:cstheme="minorHAnsi"/>
          <w:color w:val="000000" w:themeColor="text1"/>
        </w:rPr>
        <w:t>°</w:t>
      </w:r>
      <w:r w:rsidRPr="00196E2E">
        <w:rPr>
          <w:color w:val="000000" w:themeColor="text1"/>
        </w:rPr>
        <w:t>C for 3 hours using an Anton Parr Monowave 300 microwave reactor. The reaction was then diluted with EtOAc (50 mL) and washed with 1M HCl (50 mL), sat. Na</w:t>
      </w:r>
      <w:r w:rsidRPr="00196E2E">
        <w:rPr>
          <w:color w:val="000000" w:themeColor="text1"/>
          <w:vertAlign w:val="subscript"/>
        </w:rPr>
        <w:t>2</w:t>
      </w:r>
      <w:r w:rsidRPr="00196E2E">
        <w:rPr>
          <w:color w:val="000000" w:themeColor="text1"/>
        </w:rPr>
        <w:t>CO</w:t>
      </w:r>
      <w:r w:rsidRPr="00196E2E">
        <w:rPr>
          <w:color w:val="000000" w:themeColor="text1"/>
          <w:vertAlign w:val="subscript"/>
        </w:rPr>
        <w:t>3</w:t>
      </w:r>
      <w:r w:rsidRPr="00196E2E">
        <w:rPr>
          <w:color w:val="000000" w:themeColor="text1"/>
        </w:rPr>
        <w:t xml:space="preserve"> (50 mL) and brine (50 mL). The organic fraction was dried (MgSO</w:t>
      </w:r>
      <w:r w:rsidRPr="00196E2E">
        <w:rPr>
          <w:color w:val="000000" w:themeColor="text1"/>
          <w:vertAlign w:val="subscript"/>
        </w:rPr>
        <w:t>4</w:t>
      </w:r>
      <w:r w:rsidRPr="00196E2E">
        <w:rPr>
          <w:color w:val="000000" w:themeColor="text1"/>
        </w:rPr>
        <w:t xml:space="preserve">), filtered and concentrated </w:t>
      </w:r>
      <w:r w:rsidRPr="00196E2E">
        <w:rPr>
          <w:i/>
          <w:color w:val="000000" w:themeColor="text1"/>
        </w:rPr>
        <w:t>in vauco</w:t>
      </w:r>
      <w:r w:rsidRPr="00196E2E">
        <w:rPr>
          <w:color w:val="000000" w:themeColor="text1"/>
        </w:rPr>
        <w:t xml:space="preserve">. Residual PC was removed </w:t>
      </w:r>
      <w:r w:rsidRPr="00196E2E">
        <w:rPr>
          <w:i/>
          <w:color w:val="000000" w:themeColor="text1"/>
        </w:rPr>
        <w:t>via</w:t>
      </w:r>
      <w:r w:rsidRPr="00196E2E">
        <w:rPr>
          <w:color w:val="000000" w:themeColor="text1"/>
        </w:rPr>
        <w:t xml:space="preserve"> short path distillation. The residue was purified using flash column chromatography (40:60, EtOAc:petroleum ether) to give </w:t>
      </w:r>
      <w:r w:rsidRPr="00196E2E">
        <w:rPr>
          <w:i/>
          <w:color w:val="000000" w:themeColor="text1"/>
        </w:rPr>
        <w:t>N-</w:t>
      </w:r>
      <w:r w:rsidRPr="00196E2E">
        <w:rPr>
          <w:color w:val="000000" w:themeColor="text1"/>
        </w:rPr>
        <w:t xml:space="preserve">Boc-Ala-Phe-OBn as a white solid (352 mg, 82%). </w:t>
      </w:r>
    </w:p>
    <w:p w:rsidR="003B2288" w:rsidRPr="00196E2E" w:rsidRDefault="003B2288" w:rsidP="00692291">
      <w:pPr>
        <w:pStyle w:val="RSCB06BHeadingSub-Section"/>
      </w:pPr>
    </w:p>
    <w:p w:rsidR="00134DE2" w:rsidRPr="00196E2E" w:rsidRDefault="00134DE2" w:rsidP="00134DE2">
      <w:pPr>
        <w:pStyle w:val="RSCB06BHeadingSub-Section"/>
        <w:rPr>
          <w:color w:val="000000" w:themeColor="text1"/>
        </w:rPr>
      </w:pPr>
      <w:r w:rsidRPr="00196E2E">
        <w:rPr>
          <w:color w:val="000000" w:themeColor="text1"/>
        </w:rPr>
        <w:t>Procedure for Boc deprotection of dipeptide 5a using HCl in PC</w:t>
      </w:r>
    </w:p>
    <w:p w:rsidR="00134DE2" w:rsidRPr="00196E2E" w:rsidRDefault="00134DE2" w:rsidP="00134DE2">
      <w:pPr>
        <w:pStyle w:val="RSCB02ArticleText"/>
        <w:rPr>
          <w:color w:val="000000" w:themeColor="text1"/>
        </w:rPr>
      </w:pPr>
      <w:r w:rsidRPr="00196E2E">
        <w:rPr>
          <w:color w:val="000000" w:themeColor="text1"/>
        </w:rPr>
        <w:t xml:space="preserve">Boc-Ala-Phe-OBn </w:t>
      </w:r>
      <w:r w:rsidRPr="00196E2E">
        <w:rPr>
          <w:b/>
          <w:color w:val="000000" w:themeColor="text1"/>
        </w:rPr>
        <w:t>5a</w:t>
      </w:r>
      <w:r w:rsidRPr="00196E2E">
        <w:rPr>
          <w:color w:val="000000" w:themeColor="text1"/>
        </w:rPr>
        <w:t xml:space="preserve"> (50 mg, 0.117 mmol) was dissolved in PC (2.34 mL). MeOH (0.40 mL, 9.8 mmol) was added and the solution cooled to 0 </w:t>
      </w:r>
      <w:r w:rsidRPr="00196E2E">
        <w:rPr>
          <w:color w:val="000000" w:themeColor="text1"/>
          <w:vertAlign w:val="superscript"/>
        </w:rPr>
        <w:t>o</w:t>
      </w:r>
      <w:r w:rsidRPr="00196E2E">
        <w:rPr>
          <w:color w:val="000000" w:themeColor="text1"/>
        </w:rPr>
        <w:t xml:space="preserve">C. Acetyl chloride (0.67 mL, 9.36 mmol) </w:t>
      </w:r>
      <w:r w:rsidRPr="00196E2E">
        <w:rPr>
          <w:color w:val="000000" w:themeColor="text1"/>
        </w:rPr>
        <w:lastRenderedPageBreak/>
        <w:t>was added dropwise and the solution allowed to stir at room temperature for 2h. Then, PC was removed by short path distillation. The residue was suspended in Et</w:t>
      </w:r>
      <w:r w:rsidRPr="00196E2E">
        <w:rPr>
          <w:color w:val="000000" w:themeColor="text1"/>
          <w:vertAlign w:val="subscript"/>
        </w:rPr>
        <w:t>2</w:t>
      </w:r>
      <w:r w:rsidRPr="00196E2E">
        <w:rPr>
          <w:color w:val="000000" w:themeColor="text1"/>
        </w:rPr>
        <w:t>O and stirred for 5 minutes before being filtered to give HCl.Ala-Ph-OBn as a white solid (32.4 mg, 76%).</w:t>
      </w:r>
    </w:p>
    <w:p w:rsidR="00134DE2" w:rsidRPr="00196E2E" w:rsidRDefault="00134DE2" w:rsidP="00692291">
      <w:pPr>
        <w:pStyle w:val="RSCB06BHeadingSub-Section"/>
      </w:pPr>
    </w:p>
    <w:p w:rsidR="0037563E" w:rsidRPr="00196E2E" w:rsidRDefault="00775C32" w:rsidP="00692291">
      <w:pPr>
        <w:pStyle w:val="RSCB06BHeadingSub-Section"/>
        <w:rPr>
          <w:color w:val="000000" w:themeColor="text1"/>
        </w:rPr>
      </w:pPr>
      <w:r w:rsidRPr="00196E2E">
        <w:t>General procedure for solid-</w:t>
      </w:r>
      <w:r w:rsidR="0037563E" w:rsidRPr="00196E2E">
        <w:t xml:space="preserve">phase peptide </w:t>
      </w:r>
      <w:r w:rsidR="0037563E" w:rsidRPr="00196E2E">
        <w:rPr>
          <w:color w:val="000000" w:themeColor="text1"/>
        </w:rPr>
        <w:t xml:space="preserve">synthesis in </w:t>
      </w:r>
      <w:r w:rsidR="00054FB8" w:rsidRPr="00196E2E">
        <w:rPr>
          <w:color w:val="000000" w:themeColor="text1"/>
        </w:rPr>
        <w:t>PC</w:t>
      </w:r>
    </w:p>
    <w:p w:rsidR="0037563E" w:rsidRPr="00196E2E" w:rsidRDefault="0037563E" w:rsidP="0037563E">
      <w:pPr>
        <w:pStyle w:val="RSCB02ArticleText"/>
        <w:rPr>
          <w:rStyle w:val="06CHeading"/>
          <w:rFonts w:asciiTheme="minorHAnsi" w:hAnsiTheme="minorHAnsi"/>
          <w:b w:val="0"/>
          <w:smallCaps w:val="0"/>
        </w:rPr>
      </w:pPr>
      <w:r w:rsidRPr="00196E2E">
        <w:rPr>
          <w:color w:val="000000" w:themeColor="text1"/>
        </w:rPr>
        <w:t>The s</w:t>
      </w:r>
      <w:r w:rsidR="00775C32" w:rsidRPr="00196E2E">
        <w:rPr>
          <w:color w:val="000000" w:themeColor="text1"/>
        </w:rPr>
        <w:t>ynthesis of peptides on a solid-</w:t>
      </w:r>
      <w:r w:rsidRPr="00196E2E">
        <w:rPr>
          <w:color w:val="000000" w:themeColor="text1"/>
        </w:rPr>
        <w:t>phase was carried out in a 5 mL syringe fitted with a polypropylene frit. Preloaded ChemMatrix-HMPB resin (200 mg, 0.6 mmol g</w:t>
      </w:r>
      <w:r w:rsidRPr="00196E2E">
        <w:rPr>
          <w:color w:val="000000" w:themeColor="text1"/>
          <w:vertAlign w:val="superscript"/>
        </w:rPr>
        <w:t>-1</w:t>
      </w:r>
      <w:r w:rsidRPr="00196E2E">
        <w:rPr>
          <w:color w:val="000000" w:themeColor="text1"/>
        </w:rPr>
        <w:t xml:space="preserve">) was first washed with </w:t>
      </w:r>
      <w:r w:rsidR="00054FB8" w:rsidRPr="00196E2E">
        <w:rPr>
          <w:color w:val="000000" w:themeColor="text1"/>
        </w:rPr>
        <w:t>PC</w:t>
      </w:r>
      <w:r w:rsidRPr="00196E2E">
        <w:rPr>
          <w:color w:val="000000" w:themeColor="text1"/>
        </w:rPr>
        <w:t xml:space="preserve"> (3</w:t>
      </w:r>
      <w:r w:rsidR="00692291" w:rsidRPr="00196E2E">
        <w:rPr>
          <w:color w:val="000000" w:themeColor="text1"/>
        </w:rPr>
        <w:t xml:space="preserve"> </w:t>
      </w:r>
      <w:r w:rsidRPr="00196E2E">
        <w:rPr>
          <w:rFonts w:cs="Times"/>
          <w:color w:val="000000" w:themeColor="text1"/>
        </w:rPr>
        <w:t>×</w:t>
      </w:r>
      <w:r w:rsidR="00692291" w:rsidRPr="00196E2E">
        <w:rPr>
          <w:rFonts w:cs="Times"/>
          <w:color w:val="000000" w:themeColor="text1"/>
        </w:rPr>
        <w:t xml:space="preserve"> </w:t>
      </w:r>
      <w:r w:rsidRPr="00196E2E">
        <w:rPr>
          <w:color w:val="000000" w:themeColor="text1"/>
        </w:rPr>
        <w:t xml:space="preserve">5mL) and then swollen in </w:t>
      </w:r>
      <w:r w:rsidR="00054FB8" w:rsidRPr="00196E2E">
        <w:rPr>
          <w:color w:val="000000" w:themeColor="text1"/>
        </w:rPr>
        <w:t>PC</w:t>
      </w:r>
      <w:r w:rsidRPr="00196E2E">
        <w:rPr>
          <w:color w:val="000000" w:themeColor="text1"/>
        </w:rPr>
        <w:t xml:space="preserve"> (3.5 mL) for 1h. In a separate vial, an Fmoc-amino acid (0.36 mmol, 3.0 eq</w:t>
      </w:r>
      <w:r w:rsidR="00692291" w:rsidRPr="00196E2E">
        <w:rPr>
          <w:color w:val="000000" w:themeColor="text1"/>
        </w:rPr>
        <w:t>.</w:t>
      </w:r>
      <w:r w:rsidRPr="00196E2E">
        <w:rPr>
          <w:color w:val="000000" w:themeColor="text1"/>
        </w:rPr>
        <w:t>), HBTU (137 mg, 0.36 mmol, 3.0 eq</w:t>
      </w:r>
      <w:r w:rsidR="00692291" w:rsidRPr="00196E2E">
        <w:rPr>
          <w:color w:val="000000" w:themeColor="text1"/>
        </w:rPr>
        <w:t>.</w:t>
      </w:r>
      <w:r w:rsidRPr="00196E2E">
        <w:rPr>
          <w:color w:val="000000" w:themeColor="text1"/>
        </w:rPr>
        <w:t>), HOBt (49 mg, 0.36 mmol, 3.0 eq</w:t>
      </w:r>
      <w:r w:rsidR="00692291" w:rsidRPr="00196E2E">
        <w:rPr>
          <w:color w:val="000000" w:themeColor="text1"/>
        </w:rPr>
        <w:t>.</w:t>
      </w:r>
      <w:r w:rsidRPr="00196E2E">
        <w:rPr>
          <w:color w:val="000000" w:themeColor="text1"/>
        </w:rPr>
        <w:t xml:space="preserve">) and DIPEA (125 </w:t>
      </w:r>
      <w:r w:rsidRPr="00196E2E">
        <w:rPr>
          <w:rFonts w:cs="Times"/>
          <w:color w:val="000000" w:themeColor="text1"/>
        </w:rPr>
        <w:t>μ</w:t>
      </w:r>
      <w:r w:rsidRPr="00196E2E">
        <w:rPr>
          <w:color w:val="000000" w:themeColor="text1"/>
        </w:rPr>
        <w:t>L, 0.72 mmol, 6.0 eq</w:t>
      </w:r>
      <w:r w:rsidR="00692291" w:rsidRPr="00196E2E">
        <w:rPr>
          <w:color w:val="000000" w:themeColor="text1"/>
        </w:rPr>
        <w:t>.</w:t>
      </w:r>
      <w:r w:rsidRPr="00196E2E">
        <w:rPr>
          <w:color w:val="000000" w:themeColor="text1"/>
        </w:rPr>
        <w:t xml:space="preserve">) were combined in </w:t>
      </w:r>
      <w:r w:rsidR="00054FB8" w:rsidRPr="00196E2E">
        <w:rPr>
          <w:color w:val="000000" w:themeColor="text1"/>
        </w:rPr>
        <w:t>PC</w:t>
      </w:r>
      <w:r w:rsidRPr="00196E2E">
        <w:rPr>
          <w:color w:val="000000" w:themeColor="text1"/>
        </w:rPr>
        <w:t xml:space="preserve"> (3.6 mL). After 3 min</w:t>
      </w:r>
      <w:r w:rsidR="00692291" w:rsidRPr="00196E2E">
        <w:rPr>
          <w:color w:val="000000" w:themeColor="text1"/>
        </w:rPr>
        <w:t>.</w:t>
      </w:r>
      <w:r w:rsidRPr="00196E2E">
        <w:rPr>
          <w:color w:val="000000" w:themeColor="text1"/>
        </w:rPr>
        <w:t>, this preactivated amino acid solution was added to the resin. Coupling reactions were performed for 1h</w:t>
      </w:r>
      <w:r w:rsidR="00692291" w:rsidRPr="00196E2E">
        <w:rPr>
          <w:color w:val="000000" w:themeColor="text1"/>
        </w:rPr>
        <w:t>.</w:t>
      </w:r>
      <w:r w:rsidRPr="00196E2E">
        <w:rPr>
          <w:color w:val="000000" w:themeColor="text1"/>
        </w:rPr>
        <w:t xml:space="preserve"> at ambient temperature and carried out in duplicate. Following each coupling reaction the resin was washed using </w:t>
      </w:r>
      <w:r w:rsidR="00054FB8" w:rsidRPr="00196E2E">
        <w:rPr>
          <w:color w:val="000000" w:themeColor="text1"/>
        </w:rPr>
        <w:t>PC</w:t>
      </w:r>
      <w:r w:rsidRPr="00196E2E">
        <w:rPr>
          <w:color w:val="000000" w:themeColor="text1"/>
        </w:rPr>
        <w:t xml:space="preserve"> (3</w:t>
      </w:r>
      <w:r w:rsidR="00692291" w:rsidRPr="00196E2E">
        <w:rPr>
          <w:color w:val="000000" w:themeColor="text1"/>
        </w:rPr>
        <w:t xml:space="preserve"> </w:t>
      </w:r>
      <w:r w:rsidRPr="00196E2E">
        <w:rPr>
          <w:rFonts w:cs="Times"/>
          <w:color w:val="000000" w:themeColor="text1"/>
        </w:rPr>
        <w:t>×</w:t>
      </w:r>
      <w:r w:rsidR="00692291" w:rsidRPr="00196E2E">
        <w:rPr>
          <w:rFonts w:cs="Times"/>
          <w:color w:val="000000" w:themeColor="text1"/>
        </w:rPr>
        <w:t xml:space="preserve"> </w:t>
      </w:r>
      <w:r w:rsidRPr="00196E2E">
        <w:rPr>
          <w:color w:val="000000" w:themeColor="text1"/>
        </w:rPr>
        <w:t>5mL). Fmoc-deprotections were performed in duplicate (10 min followed by 20 min) using a freshly prepared solution of 20</w:t>
      </w:r>
      <w:r w:rsidRPr="00196E2E">
        <w:rPr>
          <w:rFonts w:cs="Times"/>
          <w:color w:val="000000" w:themeColor="text1"/>
        </w:rPr>
        <w:t>% (v/v)</w:t>
      </w:r>
      <w:r w:rsidRPr="00196E2E">
        <w:rPr>
          <w:color w:val="000000" w:themeColor="text1"/>
        </w:rPr>
        <w:t xml:space="preserve"> piperidine in </w:t>
      </w:r>
      <w:r w:rsidR="00054FB8" w:rsidRPr="00196E2E">
        <w:rPr>
          <w:color w:val="000000" w:themeColor="text1"/>
        </w:rPr>
        <w:t>PC</w:t>
      </w:r>
      <w:r w:rsidRPr="00196E2E">
        <w:rPr>
          <w:color w:val="000000" w:themeColor="text1"/>
        </w:rPr>
        <w:t xml:space="preserve"> (10</w:t>
      </w:r>
      <w:r w:rsidR="00692291" w:rsidRPr="00196E2E">
        <w:rPr>
          <w:color w:val="000000" w:themeColor="text1"/>
        </w:rPr>
        <w:t>–</w:t>
      </w:r>
      <w:r w:rsidRPr="00196E2E">
        <w:rPr>
          <w:color w:val="000000" w:themeColor="text1"/>
        </w:rPr>
        <w:t>12 mL g</w:t>
      </w:r>
      <w:r w:rsidRPr="00196E2E">
        <w:rPr>
          <w:color w:val="000000" w:themeColor="text1"/>
          <w:vertAlign w:val="superscript"/>
        </w:rPr>
        <w:t>-1</w:t>
      </w:r>
      <w:r w:rsidRPr="00196E2E">
        <w:rPr>
          <w:color w:val="000000" w:themeColor="text1"/>
        </w:rPr>
        <w:t xml:space="preserve">). Following deprotection the resin was washed using </w:t>
      </w:r>
      <w:r w:rsidR="00054FB8" w:rsidRPr="00196E2E">
        <w:rPr>
          <w:color w:val="000000" w:themeColor="text1"/>
        </w:rPr>
        <w:t>PC</w:t>
      </w:r>
      <w:r w:rsidRPr="00196E2E">
        <w:rPr>
          <w:color w:val="000000" w:themeColor="text1"/>
        </w:rPr>
        <w:t xml:space="preserve"> (3</w:t>
      </w:r>
      <w:r w:rsidR="00692291" w:rsidRPr="00196E2E">
        <w:rPr>
          <w:color w:val="000000" w:themeColor="text1"/>
        </w:rPr>
        <w:t xml:space="preserve"> </w:t>
      </w:r>
      <w:r w:rsidRPr="00196E2E">
        <w:rPr>
          <w:rFonts w:cs="Times"/>
          <w:color w:val="000000" w:themeColor="text1"/>
        </w:rPr>
        <w:t>×</w:t>
      </w:r>
      <w:r w:rsidR="00692291" w:rsidRPr="00196E2E">
        <w:rPr>
          <w:rFonts w:cs="Times"/>
          <w:color w:val="000000" w:themeColor="text1"/>
        </w:rPr>
        <w:t xml:space="preserve"> </w:t>
      </w:r>
      <w:r w:rsidRPr="00196E2E">
        <w:rPr>
          <w:color w:val="000000" w:themeColor="text1"/>
        </w:rPr>
        <w:t>5mL). Once the full sequence was constructed and the final Fmoc</w:t>
      </w:r>
      <w:r w:rsidR="00692291" w:rsidRPr="00196E2E">
        <w:rPr>
          <w:color w:val="000000" w:themeColor="text1"/>
        </w:rPr>
        <w:t>–</w:t>
      </w:r>
      <w:r w:rsidRPr="00196E2E">
        <w:rPr>
          <w:color w:val="000000" w:themeColor="text1"/>
        </w:rPr>
        <w:t xml:space="preserve">deprotection had been performed, the resin was dried under reduced pressure. The peptide </w:t>
      </w:r>
      <w:r w:rsidRPr="00196E2E">
        <w:t>was then cleaved from the resin using TFA:TIPS:H</w:t>
      </w:r>
      <w:r w:rsidRPr="00196E2E">
        <w:rPr>
          <w:vertAlign w:val="subscript"/>
        </w:rPr>
        <w:t>2</w:t>
      </w:r>
      <w:r w:rsidRPr="00196E2E">
        <w:t>O (95:2.5:2.5) (8</w:t>
      </w:r>
      <w:r w:rsidR="00692291" w:rsidRPr="00196E2E">
        <w:t>–</w:t>
      </w:r>
      <w:r w:rsidRPr="00196E2E">
        <w:t>10 mL g</w:t>
      </w:r>
      <w:r w:rsidRPr="00196E2E">
        <w:rPr>
          <w:vertAlign w:val="superscript"/>
        </w:rPr>
        <w:t>-1</w:t>
      </w:r>
      <w:r w:rsidRPr="00196E2E">
        <w:t>) for 2h</w:t>
      </w:r>
      <w:r w:rsidR="00692291" w:rsidRPr="00196E2E">
        <w:t>.</w:t>
      </w:r>
      <w:r w:rsidRPr="00196E2E">
        <w:t xml:space="preserve"> at ambient temperature. The resin was removed by filtration and the peptide precipitated into cold Et</w:t>
      </w:r>
      <w:r w:rsidRPr="00196E2E">
        <w:rPr>
          <w:vertAlign w:val="subscript"/>
        </w:rPr>
        <w:t>2</w:t>
      </w:r>
      <w:r w:rsidR="004745E3" w:rsidRPr="00196E2E">
        <w:t>O, triturated and lyophilis</w:t>
      </w:r>
      <w:r w:rsidRPr="00196E2E">
        <w:t>ed.</w:t>
      </w:r>
      <w:r w:rsidR="00692291" w:rsidRPr="00196E2E">
        <w:t xml:space="preserve"> Characterising data for the peptides prepared in this way are given in </w:t>
      </w:r>
      <w:r w:rsidR="00692291" w:rsidRPr="00196E2E">
        <w:rPr>
          <w:rStyle w:val="06CHeading"/>
          <w:rFonts w:asciiTheme="minorHAnsi" w:hAnsiTheme="minorHAnsi"/>
          <w:b w:val="0"/>
          <w:smallCaps w:val="0"/>
        </w:rPr>
        <w:t>the supplementary information.</w:t>
      </w:r>
    </w:p>
    <w:p w:rsidR="00E61949" w:rsidRPr="00196E2E" w:rsidRDefault="00180ABE" w:rsidP="00AF4737">
      <w:pPr>
        <w:pStyle w:val="RSCB04AHeadingSection"/>
      </w:pPr>
      <w:r w:rsidRPr="00196E2E">
        <w:t>Conclusions</w:t>
      </w:r>
    </w:p>
    <w:p w:rsidR="00FA2DA2" w:rsidRPr="00196E2E" w:rsidRDefault="003422A7" w:rsidP="00E61949">
      <w:pPr>
        <w:pStyle w:val="RSCB02ArticleText"/>
      </w:pPr>
      <w:r w:rsidRPr="00196E2E">
        <w:t xml:space="preserve">Propylene carbonate </w:t>
      </w:r>
      <w:r w:rsidRPr="00196E2E">
        <w:rPr>
          <w:b/>
        </w:rPr>
        <w:t>1</w:t>
      </w:r>
      <w:r w:rsidRPr="00196E2E">
        <w:t xml:space="preserve"> has been shown to be a green replacement for reprotoxic amide based solvents which are widely used in peptide synthesis. Both solution- and solid-phase peptide synthesis can be carried out in propylene carbonate using acid and base labile amine protecting groups resp</w:t>
      </w:r>
      <w:r w:rsidR="004745E3" w:rsidRPr="00196E2E">
        <w:t>ectively. No significant racemis</w:t>
      </w:r>
      <w:r w:rsidRPr="00196E2E">
        <w:t>ation of the activated amino acids occurs in propylene carbonate and the viability of solid-phase peptide synthesis in propylene carbonate was demonstrated by the synthesis of the nonapeptide bradykinin</w:t>
      </w:r>
      <w:r w:rsidR="00FA2DA2" w:rsidRPr="00196E2E">
        <w:t>.</w:t>
      </w:r>
    </w:p>
    <w:p w:rsidR="00FA2DA2" w:rsidRPr="00196E2E" w:rsidRDefault="00FA2DA2" w:rsidP="00FA2DA2">
      <w:pPr>
        <w:pStyle w:val="RSCB04AHeadingSection"/>
      </w:pPr>
      <w:r w:rsidRPr="00196E2E">
        <w:t>Acknowledgements</w:t>
      </w:r>
    </w:p>
    <w:p w:rsidR="00FA2DA2" w:rsidRPr="00196E2E" w:rsidRDefault="003422A7" w:rsidP="00FA2DA2">
      <w:pPr>
        <w:pStyle w:val="RSCB02ArticleText"/>
      </w:pPr>
      <w:r w:rsidRPr="00196E2E">
        <w:t>The authors thank EPSRC (grant number EP/M506680/1) for a studentship to SL</w:t>
      </w:r>
      <w:r w:rsidR="00FA2DA2" w:rsidRPr="00196E2E">
        <w:t xml:space="preserve">. </w:t>
      </w:r>
    </w:p>
    <w:p w:rsidR="00D010E8" w:rsidRPr="00EF6BD4" w:rsidRDefault="00E61949" w:rsidP="00EF6BD4">
      <w:pPr>
        <w:pStyle w:val="RSCB04AHeadingSection"/>
      </w:pPr>
      <w:r w:rsidRPr="00196E2E">
        <w:t>Notes and references</w:t>
      </w:r>
    </w:p>
    <w:sectPr w:rsidR="00D010E8" w:rsidRPr="00EF6BD4" w:rsidSect="00514CBA">
      <w:endnotePr>
        <w:numFmt w:val="decimal"/>
      </w:endnotePr>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A8D" w:rsidRDefault="00545A8D" w:rsidP="004474F3">
      <w:pPr>
        <w:spacing w:after="0" w:line="20" w:lineRule="exact"/>
      </w:pPr>
    </w:p>
  </w:endnote>
  <w:endnote w:type="continuationSeparator" w:id="0">
    <w:p w:rsidR="00545A8D" w:rsidRDefault="00545A8D" w:rsidP="004474F3">
      <w:pPr>
        <w:spacing w:after="0" w:line="20" w:lineRule="exact"/>
      </w:pPr>
    </w:p>
  </w:endnote>
  <w:endnote w:type="continuationNotice" w:id="1">
    <w:p w:rsidR="00545A8D" w:rsidRPr="004474F3" w:rsidRDefault="00545A8D" w:rsidP="004474F3">
      <w:pPr>
        <w:pStyle w:val="Footer"/>
        <w:spacing w:line="20" w:lineRule="exact"/>
      </w:pPr>
    </w:p>
  </w:endnote>
  <w:endnote w:id="2">
    <w:p w:rsidR="006903D0" w:rsidRPr="00775C32" w:rsidRDefault="006903D0" w:rsidP="003422A7">
      <w:pPr>
        <w:pStyle w:val="RSCR02References"/>
        <w:ind w:left="714" w:hanging="357"/>
        <w:rPr>
          <w:color w:val="000000" w:themeColor="text1"/>
        </w:rPr>
      </w:pPr>
      <w:r w:rsidRPr="00472B7B">
        <w:endnoteRef/>
      </w:r>
      <w:r>
        <w:t xml:space="preserve"> </w:t>
      </w:r>
      <w:r>
        <w:tab/>
      </w:r>
      <w:r w:rsidRPr="003422A7">
        <w:t xml:space="preserve">a) Y. </w:t>
      </w:r>
      <w:r w:rsidRPr="00775C32">
        <w:rPr>
          <w:color w:val="000000" w:themeColor="text1"/>
        </w:rPr>
        <w:t xml:space="preserve">Liu and T. Liu, </w:t>
      </w:r>
      <w:r w:rsidRPr="00775C32">
        <w:rPr>
          <w:i/>
          <w:color w:val="000000" w:themeColor="text1"/>
        </w:rPr>
        <w:t>Curr. Med. Chem.,</w:t>
      </w:r>
      <w:r w:rsidRPr="00775C32">
        <w:rPr>
          <w:color w:val="000000" w:themeColor="text1"/>
        </w:rPr>
        <w:t xml:space="preserve"> 2012, </w:t>
      </w:r>
      <w:r w:rsidRPr="00775C32">
        <w:rPr>
          <w:b/>
          <w:color w:val="000000" w:themeColor="text1"/>
        </w:rPr>
        <w:t>19</w:t>
      </w:r>
      <w:r w:rsidRPr="00775C32">
        <w:rPr>
          <w:color w:val="000000" w:themeColor="text1"/>
        </w:rPr>
        <w:t xml:space="preserve">, 3982–3999; b) S. Lohan and G. S. Bisht, </w:t>
      </w:r>
      <w:r w:rsidRPr="00775C32">
        <w:rPr>
          <w:i/>
          <w:color w:val="000000" w:themeColor="text1"/>
        </w:rPr>
        <w:t>Mini-Rev. Med. Chem.</w:t>
      </w:r>
      <w:r w:rsidRPr="00775C32">
        <w:rPr>
          <w:color w:val="000000" w:themeColor="text1"/>
        </w:rPr>
        <w:t xml:space="preserve">, 2013, </w:t>
      </w:r>
      <w:r w:rsidRPr="00775C32">
        <w:rPr>
          <w:b/>
          <w:color w:val="000000" w:themeColor="text1"/>
        </w:rPr>
        <w:t>13</w:t>
      </w:r>
      <w:r w:rsidRPr="00775C32">
        <w:rPr>
          <w:color w:val="000000" w:themeColor="text1"/>
        </w:rPr>
        <w:t xml:space="preserve">, 1073–1088; c) J. Vabeno, B. E. Haug and M. M. Rosenkilde, </w:t>
      </w:r>
      <w:r w:rsidRPr="00775C32">
        <w:rPr>
          <w:i/>
          <w:color w:val="000000" w:themeColor="text1"/>
        </w:rPr>
        <w:t>Future Med. Chem.</w:t>
      </w:r>
      <w:r w:rsidRPr="00775C32">
        <w:rPr>
          <w:color w:val="000000" w:themeColor="text1"/>
        </w:rPr>
        <w:t xml:space="preserve">, 2015, </w:t>
      </w:r>
      <w:r w:rsidRPr="00775C32">
        <w:rPr>
          <w:b/>
          <w:color w:val="000000" w:themeColor="text1"/>
        </w:rPr>
        <w:t>7</w:t>
      </w:r>
      <w:r w:rsidRPr="00775C32">
        <w:rPr>
          <w:color w:val="000000" w:themeColor="text1"/>
        </w:rPr>
        <w:t xml:space="preserve">, 1261–1283; d) R. Domalaon, G. G. Zhanel and F. Schweizer, </w:t>
      </w:r>
      <w:r w:rsidRPr="00775C32">
        <w:rPr>
          <w:i/>
          <w:color w:val="000000" w:themeColor="text1"/>
        </w:rPr>
        <w:t>Curr. Topic. Med. Chem.</w:t>
      </w:r>
      <w:r w:rsidRPr="00775C32">
        <w:rPr>
          <w:color w:val="000000" w:themeColor="text1"/>
        </w:rPr>
        <w:t xml:space="preserve">, 2016, </w:t>
      </w:r>
      <w:r w:rsidRPr="00775C32">
        <w:rPr>
          <w:b/>
          <w:color w:val="000000" w:themeColor="text1"/>
        </w:rPr>
        <w:t>16</w:t>
      </w:r>
      <w:r w:rsidRPr="00775C32">
        <w:rPr>
          <w:color w:val="000000" w:themeColor="text1"/>
        </w:rPr>
        <w:t xml:space="preserve">, 141–155. </w:t>
      </w:r>
    </w:p>
  </w:endnote>
  <w:endnote w:id="3">
    <w:p w:rsidR="006903D0" w:rsidRPr="00775C32" w:rsidRDefault="006903D0" w:rsidP="00BD1525">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K. Fosgerau and T. Hoffmann, </w:t>
      </w:r>
      <w:r w:rsidRPr="00775C32">
        <w:rPr>
          <w:i/>
          <w:color w:val="000000" w:themeColor="text1"/>
        </w:rPr>
        <w:t>Drug Discov. Today</w:t>
      </w:r>
      <w:r w:rsidRPr="00775C32">
        <w:rPr>
          <w:color w:val="000000" w:themeColor="text1"/>
        </w:rPr>
        <w:t xml:space="preserve">, 2015, </w:t>
      </w:r>
      <w:r w:rsidRPr="00775C32">
        <w:rPr>
          <w:b/>
          <w:color w:val="000000" w:themeColor="text1"/>
        </w:rPr>
        <w:t>20</w:t>
      </w:r>
      <w:r w:rsidRPr="00775C32">
        <w:rPr>
          <w:color w:val="000000" w:themeColor="text1"/>
        </w:rPr>
        <w:t>, 122–128.</w:t>
      </w:r>
    </w:p>
  </w:endnote>
  <w:endnote w:id="4">
    <w:p w:rsidR="006903D0" w:rsidRPr="00775C32" w:rsidRDefault="006903D0" w:rsidP="00BD1525">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a) A. A. Kaspar and J. M. Reichert, </w:t>
      </w:r>
      <w:r w:rsidRPr="00775C32">
        <w:rPr>
          <w:i/>
          <w:color w:val="000000" w:themeColor="text1"/>
        </w:rPr>
        <w:t>Drug Discov. Today</w:t>
      </w:r>
      <w:r w:rsidRPr="00775C32">
        <w:rPr>
          <w:color w:val="000000" w:themeColor="text1"/>
        </w:rPr>
        <w:t xml:space="preserve">, 2013, </w:t>
      </w:r>
      <w:r w:rsidRPr="00775C32">
        <w:rPr>
          <w:b/>
          <w:color w:val="000000" w:themeColor="text1"/>
        </w:rPr>
        <w:t>18</w:t>
      </w:r>
      <w:r w:rsidRPr="00775C32">
        <w:rPr>
          <w:color w:val="000000" w:themeColor="text1"/>
        </w:rPr>
        <w:t xml:space="preserve">, 807–817; b) J. P. Tam, </w:t>
      </w:r>
      <w:r w:rsidRPr="00775C32">
        <w:rPr>
          <w:i/>
          <w:color w:val="000000" w:themeColor="text1"/>
        </w:rPr>
        <w:t>Proc. Natl. Acad. Sci.</w:t>
      </w:r>
      <w:r w:rsidRPr="00775C32">
        <w:rPr>
          <w:color w:val="000000" w:themeColor="text1"/>
        </w:rPr>
        <w:t xml:space="preserve"> </w:t>
      </w:r>
      <w:r w:rsidRPr="00775C32">
        <w:rPr>
          <w:i/>
          <w:color w:val="000000" w:themeColor="text1"/>
        </w:rPr>
        <w:t>USA</w:t>
      </w:r>
      <w:r w:rsidRPr="00775C32">
        <w:rPr>
          <w:color w:val="000000" w:themeColor="text1"/>
        </w:rPr>
        <w:t xml:space="preserve">, 1988, </w:t>
      </w:r>
      <w:r w:rsidRPr="00775C32">
        <w:rPr>
          <w:b/>
          <w:color w:val="000000" w:themeColor="text1"/>
        </w:rPr>
        <w:t>85</w:t>
      </w:r>
      <w:r w:rsidRPr="00775C32">
        <w:rPr>
          <w:color w:val="000000" w:themeColor="text1"/>
        </w:rPr>
        <w:t>, 5409–</w:t>
      </w:r>
      <w:r w:rsidRPr="00775C32">
        <w:rPr>
          <w:color w:val="000000" w:themeColor="text1"/>
        </w:rPr>
        <w:softHyphen/>
        <w:t>5413.</w:t>
      </w:r>
    </w:p>
  </w:endnote>
  <w:endnote w:id="5">
    <w:p w:rsidR="006903D0" w:rsidRPr="00196E2E" w:rsidRDefault="006903D0" w:rsidP="00904CC7">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a) D. Goodwin, P. Simerska and I. Toth, </w:t>
      </w:r>
      <w:r w:rsidRPr="00775C32">
        <w:rPr>
          <w:i/>
          <w:color w:val="000000" w:themeColor="text1"/>
        </w:rPr>
        <w:t>Curr. Med. Chem.,</w:t>
      </w:r>
      <w:r w:rsidRPr="00775C32">
        <w:rPr>
          <w:color w:val="000000" w:themeColor="text1"/>
        </w:rPr>
        <w:t xml:space="preserve"> 2012, </w:t>
      </w:r>
      <w:r w:rsidRPr="00775C32">
        <w:rPr>
          <w:b/>
          <w:color w:val="000000" w:themeColor="text1"/>
        </w:rPr>
        <w:t>19</w:t>
      </w:r>
      <w:r w:rsidRPr="00775C32">
        <w:rPr>
          <w:color w:val="000000" w:themeColor="text1"/>
        </w:rPr>
        <w:t xml:space="preserve">, 4451–4461; b) D. J. Craik, D. P. Fairlie, S. </w:t>
      </w:r>
      <w:r w:rsidRPr="00196E2E">
        <w:rPr>
          <w:color w:val="000000" w:themeColor="text1"/>
        </w:rPr>
        <w:t xml:space="preserve">Liras and D. Price, </w:t>
      </w:r>
      <w:r w:rsidRPr="00196E2E">
        <w:rPr>
          <w:i/>
          <w:color w:val="000000" w:themeColor="text1"/>
        </w:rPr>
        <w:t>Chem. Biol. Drug Des.,</w:t>
      </w:r>
      <w:r w:rsidRPr="00196E2E">
        <w:rPr>
          <w:color w:val="000000" w:themeColor="text1"/>
        </w:rPr>
        <w:t xml:space="preserve"> 2013, </w:t>
      </w:r>
      <w:r w:rsidRPr="00196E2E">
        <w:rPr>
          <w:b/>
          <w:color w:val="000000" w:themeColor="text1"/>
        </w:rPr>
        <w:t>81</w:t>
      </w:r>
      <w:r w:rsidRPr="00196E2E">
        <w:rPr>
          <w:color w:val="000000" w:themeColor="text1"/>
        </w:rPr>
        <w:t>, 136–147.</w:t>
      </w:r>
    </w:p>
  </w:endnote>
  <w:endnote w:id="6">
    <w:p w:rsidR="006903D0" w:rsidRPr="00196E2E" w:rsidRDefault="006903D0" w:rsidP="00904CC7">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F. Albericio and H. G. Kruger, </w:t>
      </w:r>
      <w:r w:rsidRPr="00196E2E">
        <w:rPr>
          <w:i/>
          <w:color w:val="000000" w:themeColor="text1"/>
        </w:rPr>
        <w:t>Futur. Med. Chem.,</w:t>
      </w:r>
      <w:r w:rsidRPr="00196E2E">
        <w:rPr>
          <w:color w:val="000000" w:themeColor="text1"/>
        </w:rPr>
        <w:t xml:space="preserve"> 2012, </w:t>
      </w:r>
      <w:r w:rsidRPr="00196E2E">
        <w:rPr>
          <w:b/>
          <w:color w:val="000000" w:themeColor="text1"/>
        </w:rPr>
        <w:t>4</w:t>
      </w:r>
      <w:r w:rsidRPr="00196E2E">
        <w:rPr>
          <w:color w:val="000000" w:themeColor="text1"/>
        </w:rPr>
        <w:t>, 1527–1531.</w:t>
      </w:r>
    </w:p>
  </w:endnote>
  <w:endnote w:id="7">
    <w:p w:rsidR="006903D0" w:rsidRPr="00196E2E" w:rsidRDefault="006903D0" w:rsidP="003762AF">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For examples of previous work on improving the efficiency of peptide synthesis using flow reactors see: a) O. Flögel, J. D. C. Codée, D. Seebach and P. H. Seeberger, </w:t>
      </w:r>
      <w:r w:rsidRPr="00196E2E">
        <w:rPr>
          <w:i/>
          <w:color w:val="000000" w:themeColor="text1"/>
        </w:rPr>
        <w:t>Angew. Chem. Int. Ed.</w:t>
      </w:r>
      <w:r w:rsidRPr="00196E2E">
        <w:rPr>
          <w:color w:val="000000" w:themeColor="text1"/>
        </w:rPr>
        <w:t xml:space="preserve">, 2006, </w:t>
      </w:r>
      <w:r w:rsidRPr="00196E2E">
        <w:rPr>
          <w:b/>
          <w:color w:val="000000" w:themeColor="text1"/>
        </w:rPr>
        <w:t>45</w:t>
      </w:r>
      <w:r w:rsidRPr="00196E2E">
        <w:rPr>
          <w:color w:val="000000" w:themeColor="text1"/>
        </w:rPr>
        <w:t xml:space="preserve">, 7000–7003; b) M. D. Simon, P. L. Heider, A. Adamo, A. A. Vinogradov, S. K. Mong, X. Li, T. Berger, R. L. Policarpo, C. Zhang, Y. Zou, X. Liao, A. M. Spokoyny, K. F. Jensen and B. L. Pentelute, </w:t>
      </w:r>
      <w:r w:rsidRPr="00196E2E">
        <w:rPr>
          <w:i/>
          <w:color w:val="000000" w:themeColor="text1"/>
        </w:rPr>
        <w:t>ChemBioChem</w:t>
      </w:r>
      <w:r w:rsidRPr="00196E2E">
        <w:rPr>
          <w:color w:val="000000" w:themeColor="text1"/>
        </w:rPr>
        <w:t xml:space="preserve">, 2014, </w:t>
      </w:r>
      <w:r w:rsidRPr="00196E2E">
        <w:rPr>
          <w:b/>
          <w:color w:val="000000" w:themeColor="text1"/>
        </w:rPr>
        <w:t>15</w:t>
      </w:r>
      <w:r w:rsidRPr="00196E2E">
        <w:rPr>
          <w:color w:val="000000" w:themeColor="text1"/>
        </w:rPr>
        <w:t xml:space="preserve">, 713–720; c) I. M. Mándity, B. Olasz, S. B. Ötvös and F. Fülöp, </w:t>
      </w:r>
      <w:r w:rsidRPr="00196E2E">
        <w:rPr>
          <w:i/>
          <w:color w:val="000000" w:themeColor="text1"/>
        </w:rPr>
        <w:t>ChemSusChem</w:t>
      </w:r>
      <w:r w:rsidRPr="00196E2E">
        <w:rPr>
          <w:color w:val="000000" w:themeColor="text1"/>
        </w:rPr>
        <w:t xml:space="preserve">, 2014, </w:t>
      </w:r>
      <w:r w:rsidRPr="00196E2E">
        <w:rPr>
          <w:b/>
          <w:color w:val="000000" w:themeColor="text1"/>
        </w:rPr>
        <w:t>7</w:t>
      </w:r>
      <w:r w:rsidRPr="00196E2E">
        <w:rPr>
          <w:color w:val="000000" w:themeColor="text1"/>
        </w:rPr>
        <w:t>, 3172–3176.</w:t>
      </w:r>
    </w:p>
  </w:endnote>
  <w:endnote w:id="8">
    <w:p w:rsidR="006903D0" w:rsidRPr="00196E2E" w:rsidRDefault="006903D0" w:rsidP="003B4755">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a) F. Alberico, </w:t>
      </w:r>
      <w:r w:rsidRPr="00196E2E">
        <w:rPr>
          <w:i/>
          <w:color w:val="000000" w:themeColor="text1"/>
        </w:rPr>
        <w:t>Biopolymers</w:t>
      </w:r>
      <w:r w:rsidRPr="00196E2E">
        <w:rPr>
          <w:color w:val="000000" w:themeColor="text1"/>
        </w:rPr>
        <w:t xml:space="preserve">, 2000, </w:t>
      </w:r>
      <w:r w:rsidRPr="00196E2E">
        <w:rPr>
          <w:b/>
          <w:color w:val="000000" w:themeColor="text1"/>
        </w:rPr>
        <w:t>55</w:t>
      </w:r>
      <w:r w:rsidRPr="00196E2E">
        <w:rPr>
          <w:color w:val="000000" w:themeColor="text1"/>
        </w:rPr>
        <w:t xml:space="preserve">, 123–239; b) S.-Y. Han and Y.-A. Kim, </w:t>
      </w:r>
      <w:r w:rsidRPr="00196E2E">
        <w:rPr>
          <w:i/>
          <w:color w:val="000000" w:themeColor="text1"/>
        </w:rPr>
        <w:t>Tetrahedron</w:t>
      </w:r>
      <w:r w:rsidRPr="00196E2E">
        <w:rPr>
          <w:color w:val="000000" w:themeColor="text1"/>
        </w:rPr>
        <w:t xml:space="preserve">, 2004, </w:t>
      </w:r>
      <w:r w:rsidRPr="00196E2E">
        <w:rPr>
          <w:b/>
          <w:color w:val="000000" w:themeColor="text1"/>
        </w:rPr>
        <w:t>60</w:t>
      </w:r>
      <w:r w:rsidRPr="00196E2E">
        <w:rPr>
          <w:color w:val="000000" w:themeColor="text1"/>
        </w:rPr>
        <w:t xml:space="preserve">, 2447–2467; c) A. El-Faham and F. Albericio, </w:t>
      </w:r>
      <w:r w:rsidRPr="00196E2E">
        <w:rPr>
          <w:i/>
          <w:color w:val="000000" w:themeColor="text1"/>
        </w:rPr>
        <w:t>Chem. Rev.</w:t>
      </w:r>
      <w:r w:rsidRPr="00196E2E">
        <w:rPr>
          <w:color w:val="000000" w:themeColor="text1"/>
        </w:rPr>
        <w:t xml:space="preserve">, 2011, </w:t>
      </w:r>
      <w:r w:rsidRPr="00196E2E">
        <w:rPr>
          <w:b/>
          <w:color w:val="000000" w:themeColor="text1"/>
        </w:rPr>
        <w:t>111</w:t>
      </w:r>
      <w:r w:rsidRPr="00196E2E">
        <w:rPr>
          <w:color w:val="000000" w:themeColor="text1"/>
        </w:rPr>
        <w:t>, 6557–6602.</w:t>
      </w:r>
    </w:p>
  </w:endnote>
  <w:endnote w:id="9">
    <w:p w:rsidR="006903D0" w:rsidRPr="00196E2E" w:rsidRDefault="006903D0" w:rsidP="002601C6">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r>
      <w:r w:rsidRPr="00196E2E">
        <w:rPr>
          <w:i/>
          <w:color w:val="000000" w:themeColor="text1"/>
        </w:rPr>
        <w:t>Methods of Organic Synthesis: Synthesis of Peptides and Peptidomimetics Vol. E22a</w:t>
      </w:r>
      <w:r w:rsidRPr="00196E2E">
        <w:rPr>
          <w:color w:val="000000" w:themeColor="text1"/>
        </w:rPr>
        <w:t xml:space="preserve"> (Eds.: M. Goodman, A. Felix, L. Moroder and C. Toniolo), Thieme, Stuttgart, 2004. </w:t>
      </w:r>
    </w:p>
  </w:endnote>
  <w:endnote w:id="10">
    <w:p w:rsidR="006903D0" w:rsidRPr="00196E2E" w:rsidRDefault="006903D0" w:rsidP="002601C6">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a) E. Atherton and R. C. Sheppard in </w:t>
      </w:r>
      <w:r w:rsidRPr="00196E2E">
        <w:rPr>
          <w:i/>
          <w:color w:val="000000" w:themeColor="text1"/>
        </w:rPr>
        <w:t>Solid phase peptide synthesis a practical approach</w:t>
      </w:r>
      <w:r w:rsidRPr="00196E2E">
        <w:rPr>
          <w:color w:val="000000" w:themeColor="text1"/>
        </w:rPr>
        <w:t xml:space="preserve"> OUP, Oxford, 1989; b) I. Coin, M. Beyermann and M. Bienert, </w:t>
      </w:r>
      <w:r w:rsidRPr="00196E2E">
        <w:rPr>
          <w:i/>
          <w:iCs/>
          <w:color w:val="000000" w:themeColor="text1"/>
        </w:rPr>
        <w:t>Nature Protocols</w:t>
      </w:r>
      <w:r w:rsidRPr="00196E2E">
        <w:rPr>
          <w:color w:val="000000" w:themeColor="text1"/>
        </w:rPr>
        <w:t xml:space="preserve"> </w:t>
      </w:r>
      <w:r w:rsidRPr="00196E2E">
        <w:rPr>
          <w:b/>
          <w:color w:val="000000" w:themeColor="text1"/>
        </w:rPr>
        <w:t>2007</w:t>
      </w:r>
      <w:r w:rsidRPr="00196E2E">
        <w:rPr>
          <w:color w:val="000000" w:themeColor="text1"/>
        </w:rPr>
        <w:t xml:space="preserve">, </w:t>
      </w:r>
      <w:r w:rsidRPr="00196E2E">
        <w:rPr>
          <w:bCs/>
          <w:i/>
          <w:color w:val="000000" w:themeColor="text1"/>
        </w:rPr>
        <w:t>2</w:t>
      </w:r>
      <w:r w:rsidRPr="00196E2E">
        <w:rPr>
          <w:color w:val="000000" w:themeColor="text1"/>
        </w:rPr>
        <w:t>, 3247–3256.</w:t>
      </w:r>
    </w:p>
  </w:endnote>
  <w:endnote w:id="11">
    <w:p w:rsidR="006903D0" w:rsidRPr="00196E2E" w:rsidRDefault="006903D0" w:rsidP="002601C6">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G. L. Kennedy, </w:t>
      </w:r>
      <w:r w:rsidRPr="00196E2E">
        <w:rPr>
          <w:i/>
          <w:color w:val="000000" w:themeColor="text1"/>
        </w:rPr>
        <w:t>Critical Rev. Toxicology</w:t>
      </w:r>
      <w:r w:rsidRPr="00196E2E">
        <w:rPr>
          <w:color w:val="000000" w:themeColor="text1"/>
        </w:rPr>
        <w:t xml:space="preserve">, 2012, </w:t>
      </w:r>
      <w:r w:rsidRPr="00196E2E">
        <w:rPr>
          <w:b/>
          <w:color w:val="000000" w:themeColor="text1"/>
        </w:rPr>
        <w:t>42</w:t>
      </w:r>
      <w:r w:rsidRPr="00196E2E">
        <w:rPr>
          <w:color w:val="000000" w:themeColor="text1"/>
        </w:rPr>
        <w:t>, 793–826.</w:t>
      </w:r>
    </w:p>
  </w:endnote>
  <w:endnote w:id="12">
    <w:p w:rsidR="006903D0" w:rsidRPr="00196E2E" w:rsidRDefault="006903D0" w:rsidP="002601C6">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D. J. C. Constable, C. Jimenez-Gonzalez, R. K. Henderson, </w:t>
      </w:r>
      <w:r w:rsidRPr="00196E2E">
        <w:rPr>
          <w:i/>
          <w:color w:val="000000" w:themeColor="text1"/>
        </w:rPr>
        <w:t>Org. Process Res. Dev.</w:t>
      </w:r>
      <w:r w:rsidRPr="00196E2E">
        <w:rPr>
          <w:color w:val="000000" w:themeColor="text1"/>
        </w:rPr>
        <w:t xml:space="preserve">, 2007, </w:t>
      </w:r>
      <w:r w:rsidRPr="00196E2E">
        <w:rPr>
          <w:b/>
          <w:color w:val="000000" w:themeColor="text1"/>
        </w:rPr>
        <w:t>11</w:t>
      </w:r>
      <w:r w:rsidRPr="00196E2E">
        <w:rPr>
          <w:color w:val="000000" w:themeColor="text1"/>
        </w:rPr>
        <w:t xml:space="preserve">, 133–137. </w:t>
      </w:r>
    </w:p>
  </w:endnote>
  <w:endnote w:id="13">
    <w:p w:rsidR="006903D0" w:rsidRPr="00196E2E" w:rsidRDefault="006903D0" w:rsidP="002601C6">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Regulation (EC) 1907/2006 of the European Parliament and of the Council of 18 December 2006 Concerning the Registration, Evaluation, Authorisation and Restriction of Chemicals (REACH); Candidate List of Substances of Very High Concern for Authorisation, http://echa.europa.eu/candidate-list-table (accessed July 20, 2016).</w:t>
      </w:r>
    </w:p>
  </w:endnote>
  <w:endnote w:id="14">
    <w:p w:rsidR="006903D0" w:rsidRPr="00196E2E" w:rsidRDefault="006903D0" w:rsidP="002601C6">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D. Prat, J. Hayler and A. Wells, </w:t>
      </w:r>
      <w:r w:rsidRPr="00196E2E">
        <w:rPr>
          <w:i/>
          <w:color w:val="000000" w:themeColor="text1"/>
        </w:rPr>
        <w:t>Green Chem.,</w:t>
      </w:r>
      <w:r w:rsidRPr="00196E2E">
        <w:rPr>
          <w:color w:val="000000" w:themeColor="text1"/>
        </w:rPr>
        <w:t xml:space="preserve"> 2014, </w:t>
      </w:r>
      <w:r w:rsidRPr="00196E2E">
        <w:rPr>
          <w:b/>
          <w:color w:val="000000" w:themeColor="text1"/>
        </w:rPr>
        <w:t>16</w:t>
      </w:r>
      <w:r w:rsidRPr="00196E2E">
        <w:rPr>
          <w:color w:val="000000" w:themeColor="text1"/>
        </w:rPr>
        <w:t xml:space="preserve">, 4546–4551. </w:t>
      </w:r>
    </w:p>
  </w:endnote>
  <w:endnote w:id="15">
    <w:p w:rsidR="006903D0" w:rsidRPr="00196E2E" w:rsidRDefault="006903D0" w:rsidP="002601C6">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C. M. Alder, J. D. Hayler, R. K. Henderson, A. M. Redman, L. Shukla, L. E. Shuster and H. F. Sneddon, </w:t>
      </w:r>
      <w:r w:rsidRPr="00196E2E">
        <w:rPr>
          <w:i/>
          <w:color w:val="000000" w:themeColor="text1"/>
        </w:rPr>
        <w:t>Green Chem.,</w:t>
      </w:r>
      <w:r w:rsidRPr="00196E2E">
        <w:rPr>
          <w:color w:val="000000" w:themeColor="text1"/>
        </w:rPr>
        <w:t xml:space="preserve"> 2016, </w:t>
      </w:r>
      <w:r w:rsidRPr="00196E2E">
        <w:rPr>
          <w:b/>
          <w:color w:val="000000" w:themeColor="text1"/>
        </w:rPr>
        <w:t>18</w:t>
      </w:r>
      <w:r w:rsidRPr="00196E2E">
        <w:rPr>
          <w:color w:val="000000" w:themeColor="text1"/>
        </w:rPr>
        <w:t>, 3879–3890.</w:t>
      </w:r>
    </w:p>
  </w:endnote>
  <w:endnote w:id="16">
    <w:p w:rsidR="006903D0" w:rsidRPr="00196E2E" w:rsidRDefault="006903D0" w:rsidP="002601C6">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G. A. Acosta, M. del Fresno, M. Paradis-Bas, M. Rigau-DeLlobet, S. Côté, M. Royo and F. Albericio, </w:t>
      </w:r>
      <w:r w:rsidRPr="00196E2E">
        <w:rPr>
          <w:i/>
          <w:color w:val="000000" w:themeColor="text1"/>
        </w:rPr>
        <w:t>J. Pept. Sci.</w:t>
      </w:r>
      <w:r w:rsidRPr="00196E2E">
        <w:rPr>
          <w:color w:val="000000" w:themeColor="text1"/>
        </w:rPr>
        <w:t xml:space="preserve"> 2009, </w:t>
      </w:r>
      <w:r w:rsidRPr="00196E2E">
        <w:rPr>
          <w:b/>
          <w:color w:val="000000" w:themeColor="text1"/>
        </w:rPr>
        <w:t>15</w:t>
      </w:r>
      <w:r w:rsidRPr="00196E2E">
        <w:rPr>
          <w:color w:val="000000" w:themeColor="text1"/>
        </w:rPr>
        <w:t>, 629–633.</w:t>
      </w:r>
    </w:p>
  </w:endnote>
  <w:endnote w:id="17">
    <w:p w:rsidR="006903D0" w:rsidRPr="00196E2E" w:rsidRDefault="006903D0" w:rsidP="002601C6">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Y. E. Jad, G. A. Acosta, S. N. Khattab, B. G. de la Torre, T. Govender, H. G. Kruger, A. El-Faham and F. Albericio, </w:t>
      </w:r>
      <w:r w:rsidRPr="00196E2E">
        <w:rPr>
          <w:i/>
          <w:color w:val="000000" w:themeColor="text1"/>
        </w:rPr>
        <w:t>Org. Biomol. Chem.,</w:t>
      </w:r>
      <w:r w:rsidRPr="00196E2E">
        <w:rPr>
          <w:color w:val="000000" w:themeColor="text1"/>
        </w:rPr>
        <w:t xml:space="preserve"> 2015, </w:t>
      </w:r>
      <w:r w:rsidRPr="00196E2E">
        <w:rPr>
          <w:b/>
          <w:color w:val="000000" w:themeColor="text1"/>
        </w:rPr>
        <w:t>13</w:t>
      </w:r>
      <w:r w:rsidRPr="00196E2E">
        <w:rPr>
          <w:color w:val="000000" w:themeColor="text1"/>
        </w:rPr>
        <w:t>, 2393–2398.</w:t>
      </w:r>
    </w:p>
  </w:endnote>
  <w:endnote w:id="18">
    <w:p w:rsidR="006903D0" w:rsidRPr="00196E2E" w:rsidRDefault="006903D0" w:rsidP="002601C6">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Y. E. Jad, G. A. Acosta, S. N. Khattab, B. G. de la Torre, T. Govender, H. G. Kruger, A. El-Faham and F. Albericio, </w:t>
      </w:r>
      <w:r w:rsidRPr="00196E2E">
        <w:rPr>
          <w:i/>
          <w:color w:val="000000" w:themeColor="text1"/>
        </w:rPr>
        <w:t>Amino Acids</w:t>
      </w:r>
      <w:r w:rsidRPr="00196E2E">
        <w:rPr>
          <w:color w:val="000000" w:themeColor="text1"/>
        </w:rPr>
        <w:t xml:space="preserve">, 2016, </w:t>
      </w:r>
      <w:r w:rsidRPr="00196E2E">
        <w:rPr>
          <w:b/>
          <w:color w:val="000000" w:themeColor="text1"/>
        </w:rPr>
        <w:t>48</w:t>
      </w:r>
      <w:r w:rsidRPr="00196E2E">
        <w:rPr>
          <w:color w:val="000000" w:themeColor="text1"/>
        </w:rPr>
        <w:t>, 419–426.</w:t>
      </w:r>
    </w:p>
  </w:endnote>
  <w:endnote w:id="19">
    <w:p w:rsidR="006903D0" w:rsidRPr="00196E2E" w:rsidRDefault="006903D0" w:rsidP="002601C6">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Y. E. Jad, G. A. Acosta, T. Govender, H. G. Kruger, A. El-Faham, B. G. de la Torre and F. Albericio, </w:t>
      </w:r>
      <w:r w:rsidRPr="00196E2E">
        <w:rPr>
          <w:i/>
          <w:color w:val="000000" w:themeColor="text1"/>
        </w:rPr>
        <w:t>ACS Sust. Chem. Eng.</w:t>
      </w:r>
      <w:r w:rsidRPr="00196E2E">
        <w:rPr>
          <w:color w:val="000000" w:themeColor="text1"/>
        </w:rPr>
        <w:t xml:space="preserve">, 2016, </w:t>
      </w:r>
      <w:r w:rsidRPr="00196E2E">
        <w:rPr>
          <w:b/>
          <w:color w:val="000000" w:themeColor="text1"/>
        </w:rPr>
        <w:t>4</w:t>
      </w:r>
      <w:r w:rsidRPr="00196E2E">
        <w:rPr>
          <w:color w:val="000000" w:themeColor="text1"/>
        </w:rPr>
        <w:t>, 6809–6814.</w:t>
      </w:r>
    </w:p>
  </w:endnote>
  <w:endnote w:id="20">
    <w:p w:rsidR="006903D0" w:rsidRPr="00196E2E" w:rsidRDefault="006903D0" w:rsidP="000F0311">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a) </w:t>
      </w:r>
      <w:r w:rsidR="00B50F0F" w:rsidRPr="00196E2E">
        <w:rPr>
          <w:color w:val="000000" w:themeColor="text1"/>
        </w:rPr>
        <w:t xml:space="preserve">A. S. Galanis, F. Albericio and M. Grøtli, </w:t>
      </w:r>
      <w:r w:rsidR="00B50F0F" w:rsidRPr="00196E2E">
        <w:rPr>
          <w:i/>
          <w:color w:val="000000" w:themeColor="text1"/>
        </w:rPr>
        <w:t>Org. Lett.</w:t>
      </w:r>
      <w:r w:rsidR="00B50F0F" w:rsidRPr="00196E2E">
        <w:rPr>
          <w:color w:val="000000" w:themeColor="text1"/>
        </w:rPr>
        <w:t xml:space="preserve">, 2009, </w:t>
      </w:r>
      <w:r w:rsidR="00B50F0F" w:rsidRPr="00196E2E">
        <w:rPr>
          <w:b/>
          <w:color w:val="000000" w:themeColor="text1"/>
        </w:rPr>
        <w:t>11</w:t>
      </w:r>
      <w:r w:rsidR="00B50F0F" w:rsidRPr="00196E2E">
        <w:rPr>
          <w:color w:val="000000" w:themeColor="text1"/>
        </w:rPr>
        <w:t xml:space="preserve">, 4488–4491; b) </w:t>
      </w:r>
      <w:r w:rsidR="000F0311" w:rsidRPr="00196E2E">
        <w:rPr>
          <w:color w:val="000000" w:themeColor="text1"/>
        </w:rPr>
        <w:t xml:space="preserve">K. Hojo, A. Hara, H. Kitai, M. Onishi, H. Ichikawa, Y. Fukumori and K. Kawasaki, </w:t>
      </w:r>
      <w:r w:rsidR="000F0311" w:rsidRPr="00196E2E">
        <w:rPr>
          <w:i/>
          <w:color w:val="000000" w:themeColor="text1"/>
        </w:rPr>
        <w:t>Chem. Central J.</w:t>
      </w:r>
      <w:r w:rsidR="000F0311" w:rsidRPr="00196E2E">
        <w:rPr>
          <w:color w:val="000000" w:themeColor="text1"/>
        </w:rPr>
        <w:t xml:space="preserve">, 2011, </w:t>
      </w:r>
      <w:r w:rsidR="000F0311" w:rsidRPr="00196E2E">
        <w:rPr>
          <w:b/>
          <w:color w:val="000000" w:themeColor="text1"/>
        </w:rPr>
        <w:t>5</w:t>
      </w:r>
      <w:r w:rsidR="000F0311" w:rsidRPr="00196E2E">
        <w:rPr>
          <w:color w:val="000000" w:themeColor="text1"/>
        </w:rPr>
        <w:t xml:space="preserve">, 49; c) </w:t>
      </w:r>
      <w:r w:rsidRPr="00196E2E">
        <w:rPr>
          <w:color w:val="000000" w:themeColor="text1"/>
        </w:rPr>
        <w:t xml:space="preserve">R. De Marco, A. Tolomelli, A. Greco and L. Gentilucci, </w:t>
      </w:r>
      <w:r w:rsidRPr="00196E2E">
        <w:rPr>
          <w:i/>
          <w:color w:val="000000" w:themeColor="text1"/>
        </w:rPr>
        <w:t>ACS Sustainable Chem. Eng.</w:t>
      </w:r>
      <w:r w:rsidRPr="00196E2E">
        <w:rPr>
          <w:color w:val="000000" w:themeColor="text1"/>
        </w:rPr>
        <w:t xml:space="preserve">, 2013, </w:t>
      </w:r>
      <w:r w:rsidRPr="00196E2E">
        <w:rPr>
          <w:b/>
          <w:color w:val="000000" w:themeColor="text1"/>
        </w:rPr>
        <w:t>1</w:t>
      </w:r>
      <w:r w:rsidRPr="00196E2E">
        <w:rPr>
          <w:color w:val="000000" w:themeColor="text1"/>
        </w:rPr>
        <w:t>, 566</w:t>
      </w:r>
      <w:r w:rsidRPr="00196E2E">
        <w:rPr>
          <w:rFonts w:hint="eastAsia"/>
          <w:color w:val="000000" w:themeColor="text1"/>
        </w:rPr>
        <w:t>−</w:t>
      </w:r>
      <w:r w:rsidRPr="00196E2E">
        <w:rPr>
          <w:color w:val="000000" w:themeColor="text1"/>
        </w:rPr>
        <w:t xml:space="preserve">569; </w:t>
      </w:r>
      <w:r w:rsidR="000F0311" w:rsidRPr="00196E2E">
        <w:rPr>
          <w:color w:val="000000" w:themeColor="text1"/>
        </w:rPr>
        <w:t>d</w:t>
      </w:r>
      <w:r w:rsidRPr="00196E2E">
        <w:rPr>
          <w:color w:val="000000" w:themeColor="text1"/>
        </w:rPr>
        <w:t xml:space="preserve">) K. Hojo, N. Shinozaki, K. Hidaka, Y. Tsuda, Y. Fukumori, H. Ichikawa and J. D. Wade, </w:t>
      </w:r>
      <w:r w:rsidRPr="00196E2E">
        <w:rPr>
          <w:i/>
          <w:color w:val="000000" w:themeColor="text1"/>
        </w:rPr>
        <w:t>Amino Acids,</w:t>
      </w:r>
      <w:r w:rsidRPr="00196E2E">
        <w:rPr>
          <w:color w:val="000000" w:themeColor="text1"/>
        </w:rPr>
        <w:t xml:space="preserve"> 2014, </w:t>
      </w:r>
      <w:r w:rsidRPr="00196E2E">
        <w:rPr>
          <w:b/>
          <w:color w:val="000000" w:themeColor="text1"/>
        </w:rPr>
        <w:t>46</w:t>
      </w:r>
      <w:r w:rsidRPr="00196E2E">
        <w:rPr>
          <w:color w:val="000000" w:themeColor="text1"/>
        </w:rPr>
        <w:t>, 2347–2354</w:t>
      </w:r>
      <w:r w:rsidR="000F0311" w:rsidRPr="00196E2E">
        <w:rPr>
          <w:color w:val="000000" w:themeColor="text1"/>
        </w:rPr>
        <w:t>.</w:t>
      </w:r>
    </w:p>
  </w:endnote>
  <w:endnote w:id="21">
    <w:p w:rsidR="006903D0" w:rsidRPr="00196E2E" w:rsidRDefault="006903D0" w:rsidP="0082054C">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r>
      <w:r w:rsidR="00B50F0F" w:rsidRPr="00196E2E">
        <w:rPr>
          <w:color w:val="000000" w:themeColor="text1"/>
        </w:rPr>
        <w:t xml:space="preserve">a) R. V. Ulijn, B. Baragaña, P. J. Halling and S. L. Flitsch, </w:t>
      </w:r>
      <w:r w:rsidR="00B50F0F" w:rsidRPr="00196E2E">
        <w:rPr>
          <w:i/>
          <w:color w:val="000000" w:themeColor="text1"/>
        </w:rPr>
        <w:t>J. Am. Chem. Soc.</w:t>
      </w:r>
      <w:r w:rsidR="00B50F0F" w:rsidRPr="00196E2E">
        <w:rPr>
          <w:color w:val="000000" w:themeColor="text1"/>
        </w:rPr>
        <w:t xml:space="preserve">, 2002, </w:t>
      </w:r>
      <w:r w:rsidR="00B50F0F" w:rsidRPr="00196E2E">
        <w:rPr>
          <w:b/>
          <w:color w:val="000000" w:themeColor="text1"/>
        </w:rPr>
        <w:t>124</w:t>
      </w:r>
      <w:r w:rsidR="00B50F0F" w:rsidRPr="00196E2E">
        <w:rPr>
          <w:color w:val="000000" w:themeColor="text1"/>
        </w:rPr>
        <w:t>, 10988–10989; b) R. Haddoub, M. Dauner, F. A. Stefanowicz, V. Barattini, N. Laurent and S.</w:t>
      </w:r>
      <w:r w:rsidRPr="00196E2E">
        <w:rPr>
          <w:color w:val="000000" w:themeColor="text1"/>
        </w:rPr>
        <w:t xml:space="preserve"> L. Flitsch</w:t>
      </w:r>
      <w:r w:rsidR="00B50F0F" w:rsidRPr="00196E2E">
        <w:rPr>
          <w:color w:val="000000" w:themeColor="text1"/>
        </w:rPr>
        <w:t xml:space="preserve">, </w:t>
      </w:r>
      <w:r w:rsidR="00B50F0F" w:rsidRPr="00196E2E">
        <w:rPr>
          <w:i/>
          <w:color w:val="000000" w:themeColor="text1"/>
        </w:rPr>
        <w:t>Org. Biomol. Chem.</w:t>
      </w:r>
      <w:r w:rsidR="00B50F0F" w:rsidRPr="00196E2E">
        <w:rPr>
          <w:color w:val="000000" w:themeColor="text1"/>
        </w:rPr>
        <w:t xml:space="preserve">, 2009, </w:t>
      </w:r>
      <w:r w:rsidR="00B50F0F" w:rsidRPr="00196E2E">
        <w:rPr>
          <w:b/>
          <w:color w:val="000000" w:themeColor="text1"/>
        </w:rPr>
        <w:t>7</w:t>
      </w:r>
      <w:r w:rsidR="00B50F0F" w:rsidRPr="00196E2E">
        <w:rPr>
          <w:color w:val="000000" w:themeColor="text1"/>
        </w:rPr>
        <w:t>, 665–670;</w:t>
      </w:r>
      <w:r w:rsidRPr="00196E2E">
        <w:rPr>
          <w:color w:val="000000" w:themeColor="text1"/>
        </w:rPr>
        <w:t xml:space="preserve"> Water enzyme</w:t>
      </w:r>
    </w:p>
  </w:endnote>
  <w:endnote w:id="22">
    <w:p w:rsidR="006903D0" w:rsidRPr="00196E2E" w:rsidRDefault="006903D0" w:rsidP="0082054C">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a) V. Declerck, P. Nun, J. Martinez and F. Lamaty, </w:t>
      </w:r>
      <w:r w:rsidRPr="00196E2E">
        <w:rPr>
          <w:i/>
          <w:color w:val="000000" w:themeColor="text1"/>
        </w:rPr>
        <w:t>Angew. Chem. Int. Ed.,</w:t>
      </w:r>
      <w:r w:rsidRPr="00196E2E">
        <w:rPr>
          <w:color w:val="000000" w:themeColor="text1"/>
        </w:rPr>
        <w:t xml:space="preserve"> 2009, </w:t>
      </w:r>
      <w:r w:rsidRPr="00196E2E">
        <w:rPr>
          <w:b/>
          <w:color w:val="000000" w:themeColor="text1"/>
        </w:rPr>
        <w:t>48</w:t>
      </w:r>
      <w:r w:rsidRPr="00196E2E">
        <w:rPr>
          <w:color w:val="000000" w:themeColor="text1"/>
        </w:rPr>
        <w:t>, 9318–9321;</w:t>
      </w:r>
      <w:r w:rsidR="00B50F0F" w:rsidRPr="00196E2E">
        <w:rPr>
          <w:color w:val="000000" w:themeColor="text1"/>
        </w:rPr>
        <w:t xml:space="preserve"> b)</w:t>
      </w:r>
      <w:r w:rsidRPr="00196E2E">
        <w:rPr>
          <w:color w:val="000000" w:themeColor="text1"/>
        </w:rPr>
        <w:t xml:space="preserve"> </w:t>
      </w:r>
      <w:r w:rsidR="00B50F0F" w:rsidRPr="00196E2E">
        <w:rPr>
          <w:color w:val="000000" w:themeColor="text1"/>
        </w:rPr>
        <w:t xml:space="preserve">J. Bonnamour, T.-X. Métro, J. Martinez and F. Lamaty, </w:t>
      </w:r>
      <w:r w:rsidR="00B50F0F" w:rsidRPr="00196E2E">
        <w:rPr>
          <w:i/>
          <w:color w:val="000000" w:themeColor="text1"/>
        </w:rPr>
        <w:t>Green Chem.</w:t>
      </w:r>
      <w:r w:rsidR="00B50F0F" w:rsidRPr="00196E2E">
        <w:rPr>
          <w:color w:val="000000" w:themeColor="text1"/>
        </w:rPr>
        <w:t xml:space="preserve">, 2013, </w:t>
      </w:r>
      <w:r w:rsidR="00B50F0F" w:rsidRPr="00196E2E">
        <w:rPr>
          <w:b/>
          <w:color w:val="000000" w:themeColor="text1"/>
        </w:rPr>
        <w:t>15</w:t>
      </w:r>
      <w:r w:rsidR="00B50F0F" w:rsidRPr="00196E2E">
        <w:rPr>
          <w:color w:val="000000" w:themeColor="text1"/>
        </w:rPr>
        <w:t>, 1116–1120</w:t>
      </w:r>
    </w:p>
  </w:endnote>
  <w:endnote w:id="23">
    <w:p w:rsidR="006903D0" w:rsidRPr="00196E2E" w:rsidRDefault="006903D0" w:rsidP="00FB7858">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a) R. Payne and I. E. Theodorou, </w:t>
      </w:r>
      <w:r w:rsidRPr="00196E2E">
        <w:rPr>
          <w:i/>
          <w:color w:val="000000" w:themeColor="text1"/>
        </w:rPr>
        <w:t>J. Phys. Chem.</w:t>
      </w:r>
      <w:r w:rsidRPr="00196E2E">
        <w:rPr>
          <w:color w:val="000000" w:themeColor="text1"/>
        </w:rPr>
        <w:t xml:space="preserve">, 1972, </w:t>
      </w:r>
      <w:r w:rsidRPr="00196E2E">
        <w:rPr>
          <w:b/>
          <w:color w:val="000000" w:themeColor="text1"/>
        </w:rPr>
        <w:t>76</w:t>
      </w:r>
      <w:r w:rsidRPr="00196E2E">
        <w:rPr>
          <w:color w:val="000000" w:themeColor="text1"/>
        </w:rPr>
        <w:t xml:space="preserve">, 2892–2900; b) L. B. Silva and L. C. G. Freitas, </w:t>
      </w:r>
      <w:r w:rsidRPr="00196E2E">
        <w:rPr>
          <w:i/>
          <w:color w:val="000000" w:themeColor="text1"/>
        </w:rPr>
        <w:t>J. Mol. Struct.: THEOCHEM</w:t>
      </w:r>
      <w:r w:rsidRPr="00196E2E">
        <w:rPr>
          <w:color w:val="000000" w:themeColor="text1"/>
        </w:rPr>
        <w:t xml:space="preserve">, 2007, </w:t>
      </w:r>
      <w:r w:rsidRPr="00196E2E">
        <w:rPr>
          <w:b/>
          <w:color w:val="000000" w:themeColor="text1"/>
        </w:rPr>
        <w:t>806</w:t>
      </w:r>
      <w:r w:rsidRPr="00196E2E">
        <w:rPr>
          <w:color w:val="000000" w:themeColor="text1"/>
        </w:rPr>
        <w:t>, 23–34.</w:t>
      </w:r>
    </w:p>
  </w:endnote>
  <w:endnote w:id="24">
    <w:p w:rsidR="006903D0" w:rsidRPr="00775C32" w:rsidRDefault="006903D0" w:rsidP="002601C6">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J. H. Clements, </w:t>
      </w:r>
      <w:r w:rsidRPr="00196E2E">
        <w:rPr>
          <w:i/>
          <w:color w:val="000000" w:themeColor="text1"/>
        </w:rPr>
        <w:t>Ind. Eng. Chem. Res.</w:t>
      </w:r>
      <w:r w:rsidRPr="00196E2E">
        <w:rPr>
          <w:color w:val="000000" w:themeColor="text1"/>
        </w:rPr>
        <w:t xml:space="preserve">, 2003, </w:t>
      </w:r>
      <w:r w:rsidRPr="00196E2E">
        <w:rPr>
          <w:b/>
          <w:color w:val="000000" w:themeColor="text1"/>
        </w:rPr>
        <w:t>42</w:t>
      </w:r>
      <w:r w:rsidRPr="00196E2E">
        <w:rPr>
          <w:color w:val="000000" w:themeColor="text1"/>
        </w:rPr>
        <w:t>, 663–674.</w:t>
      </w:r>
    </w:p>
  </w:endnote>
  <w:endnote w:id="25">
    <w:p w:rsidR="006903D0" w:rsidRPr="00775C32" w:rsidRDefault="006903D0" w:rsidP="002601C6">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B. Schäffner, F. Schäffner, S. P. Verevkin and A. Börner, </w:t>
      </w:r>
      <w:r w:rsidRPr="00775C32">
        <w:rPr>
          <w:i/>
          <w:color w:val="000000" w:themeColor="text1"/>
        </w:rPr>
        <w:t>Chem. Rev.</w:t>
      </w:r>
      <w:r w:rsidRPr="00775C32">
        <w:rPr>
          <w:color w:val="000000" w:themeColor="text1"/>
        </w:rPr>
        <w:t xml:space="preserve">, 2010, </w:t>
      </w:r>
      <w:r w:rsidRPr="00775C32">
        <w:rPr>
          <w:b/>
          <w:color w:val="000000" w:themeColor="text1"/>
        </w:rPr>
        <w:t>110</w:t>
      </w:r>
      <w:r w:rsidRPr="00775C32">
        <w:rPr>
          <w:color w:val="000000" w:themeColor="text1"/>
        </w:rPr>
        <w:t>, 4554–4581.</w:t>
      </w:r>
    </w:p>
  </w:endnote>
  <w:endnote w:id="26">
    <w:p w:rsidR="006903D0" w:rsidRPr="00775C32" w:rsidRDefault="006903D0" w:rsidP="000F0086">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All work in this paper used 99% grade solvents and 2016 prices from Thermo Fisher Scientific were £9.5 and £17.4 for 250g of PC and DMF respectively.</w:t>
      </w:r>
    </w:p>
  </w:endnote>
  <w:endnote w:id="27">
    <w:p w:rsidR="006903D0" w:rsidRPr="00422348" w:rsidRDefault="006903D0" w:rsidP="002033DE">
      <w:pPr>
        <w:pStyle w:val="RSCR02References"/>
        <w:ind w:left="714" w:hanging="357"/>
        <w:rPr>
          <w:color w:val="000000" w:themeColor="text1"/>
        </w:rPr>
      </w:pPr>
      <w:r w:rsidRPr="002033DE">
        <w:rPr>
          <w:color w:val="000000" w:themeColor="text1"/>
        </w:rPr>
        <w:endnoteRef/>
      </w:r>
      <w:r w:rsidRPr="002033DE">
        <w:rPr>
          <w:color w:val="000000" w:themeColor="text1"/>
        </w:rPr>
        <w:t xml:space="preserve"> </w:t>
      </w:r>
      <w:r>
        <w:rPr>
          <w:color w:val="000000" w:themeColor="text1"/>
        </w:rPr>
        <w:tab/>
        <w:t xml:space="preserve">T. Fujinaga and K. Izutsu, </w:t>
      </w:r>
      <w:r>
        <w:rPr>
          <w:i/>
          <w:color w:val="000000" w:themeColor="text1"/>
        </w:rPr>
        <w:t>Pure Applied Chem.</w:t>
      </w:r>
      <w:r>
        <w:rPr>
          <w:color w:val="000000" w:themeColor="text1"/>
        </w:rPr>
        <w:t xml:space="preserve">, 1971, </w:t>
      </w:r>
      <w:r>
        <w:rPr>
          <w:b/>
          <w:color w:val="000000" w:themeColor="text1"/>
        </w:rPr>
        <w:t>27</w:t>
      </w:r>
      <w:r>
        <w:rPr>
          <w:color w:val="000000" w:themeColor="text1"/>
        </w:rPr>
        <w:t>, 273–280.</w:t>
      </w:r>
    </w:p>
  </w:endnote>
  <w:endnote w:id="28">
    <w:p w:rsidR="006903D0" w:rsidRPr="00775C32" w:rsidRDefault="006903D0" w:rsidP="002601C6">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a) M. North, </w:t>
      </w:r>
      <w:r w:rsidRPr="00775C32">
        <w:rPr>
          <w:i/>
          <w:color w:val="000000" w:themeColor="text1"/>
        </w:rPr>
        <w:t>Arkovic</w:t>
      </w:r>
      <w:r w:rsidRPr="00775C32">
        <w:rPr>
          <w:color w:val="000000" w:themeColor="text1"/>
        </w:rPr>
        <w:t xml:space="preserve">, 2012, part (i), 610–628; b) C. Martín, G. Fiorani and A. W. Kleij, </w:t>
      </w:r>
      <w:r w:rsidRPr="00775C32">
        <w:rPr>
          <w:i/>
          <w:color w:val="000000" w:themeColor="text1"/>
        </w:rPr>
        <w:t>ACS Catal.</w:t>
      </w:r>
      <w:r w:rsidRPr="00775C32">
        <w:rPr>
          <w:color w:val="000000" w:themeColor="text1"/>
        </w:rPr>
        <w:t xml:space="preserve">, 2015, </w:t>
      </w:r>
      <w:r w:rsidRPr="00775C32">
        <w:rPr>
          <w:b/>
          <w:color w:val="000000" w:themeColor="text1"/>
        </w:rPr>
        <w:t>5</w:t>
      </w:r>
      <w:r w:rsidRPr="00775C32">
        <w:rPr>
          <w:color w:val="000000" w:themeColor="text1"/>
        </w:rPr>
        <w:t xml:space="preserve">, 1353–1370; c) A. C. Kathalikkattil, R. Babu, J. Tharun, R. Roshan and D.-W. Park, </w:t>
      </w:r>
      <w:r w:rsidRPr="00775C32">
        <w:rPr>
          <w:i/>
          <w:color w:val="000000" w:themeColor="text1"/>
        </w:rPr>
        <w:t>Catal. Surv. Asia</w:t>
      </w:r>
      <w:r w:rsidRPr="00775C32">
        <w:rPr>
          <w:color w:val="000000" w:themeColor="text1"/>
        </w:rPr>
        <w:t xml:space="preserve">, 2015, </w:t>
      </w:r>
      <w:r w:rsidRPr="00775C32">
        <w:rPr>
          <w:b/>
          <w:color w:val="000000" w:themeColor="text1"/>
        </w:rPr>
        <w:t>19</w:t>
      </w:r>
      <w:r w:rsidRPr="00775C32">
        <w:rPr>
          <w:color w:val="000000" w:themeColor="text1"/>
        </w:rPr>
        <w:t xml:space="preserve">, 223–235; d) B. Yu and L.-N. He, </w:t>
      </w:r>
      <w:r w:rsidRPr="00775C32">
        <w:rPr>
          <w:i/>
          <w:color w:val="000000" w:themeColor="text1"/>
        </w:rPr>
        <w:t>ChemSusChem</w:t>
      </w:r>
      <w:r w:rsidRPr="00775C32">
        <w:rPr>
          <w:color w:val="000000" w:themeColor="text1"/>
        </w:rPr>
        <w:t xml:space="preserve">, 2015, </w:t>
      </w:r>
      <w:r w:rsidRPr="00775C32">
        <w:rPr>
          <w:b/>
          <w:color w:val="000000" w:themeColor="text1"/>
        </w:rPr>
        <w:t>8</w:t>
      </w:r>
      <w:r w:rsidRPr="00775C32">
        <w:rPr>
          <w:color w:val="000000" w:themeColor="text1"/>
        </w:rPr>
        <w:t xml:space="preserve">, 52–62; e) M. Cokoja, M. E. Wilhelm, M. H. Anthofer, W. A. Herrmann and F. E. Kühn, </w:t>
      </w:r>
      <w:r w:rsidRPr="00775C32">
        <w:rPr>
          <w:i/>
          <w:color w:val="000000" w:themeColor="text1"/>
        </w:rPr>
        <w:t>ChemSusChem</w:t>
      </w:r>
      <w:r w:rsidRPr="00775C32">
        <w:rPr>
          <w:color w:val="000000" w:themeColor="text1"/>
        </w:rPr>
        <w:t xml:space="preserve">, 2015, </w:t>
      </w:r>
      <w:r w:rsidRPr="00775C32">
        <w:rPr>
          <w:b/>
          <w:color w:val="000000" w:themeColor="text1"/>
        </w:rPr>
        <w:t>8</w:t>
      </w:r>
      <w:r w:rsidRPr="00775C32">
        <w:rPr>
          <w:color w:val="000000" w:themeColor="text1"/>
        </w:rPr>
        <w:t xml:space="preserve">, 2436–2454; f) B.-H. Xu, J.-Q. Wang, J. Sun, Y. Huang, J.-P. Zhang, X.-P. Zhang and S.-J. Zhang, </w:t>
      </w:r>
      <w:r w:rsidRPr="00775C32">
        <w:rPr>
          <w:i/>
          <w:color w:val="000000" w:themeColor="text1"/>
        </w:rPr>
        <w:t>Green Chem.</w:t>
      </w:r>
      <w:r w:rsidRPr="00775C32">
        <w:rPr>
          <w:color w:val="000000" w:themeColor="text1"/>
        </w:rPr>
        <w:t xml:space="preserve">, 2015, </w:t>
      </w:r>
      <w:r w:rsidRPr="00775C32">
        <w:rPr>
          <w:b/>
          <w:color w:val="000000" w:themeColor="text1"/>
        </w:rPr>
        <w:t>17</w:t>
      </w:r>
      <w:r w:rsidRPr="00775C32">
        <w:rPr>
          <w:color w:val="000000" w:themeColor="text1"/>
        </w:rPr>
        <w:t xml:space="preserve">, 108–122; g) V. D’Elia, J. D. A. Pelletier and  J. -M. Basset, </w:t>
      </w:r>
      <w:r w:rsidRPr="00775C32">
        <w:rPr>
          <w:i/>
          <w:color w:val="000000" w:themeColor="text1"/>
        </w:rPr>
        <w:t>ChemCatChem</w:t>
      </w:r>
      <w:r w:rsidRPr="00775C32">
        <w:rPr>
          <w:color w:val="000000" w:themeColor="text1"/>
        </w:rPr>
        <w:t xml:space="preserve">, 2015, </w:t>
      </w:r>
      <w:r w:rsidRPr="00775C32">
        <w:rPr>
          <w:b/>
          <w:color w:val="000000" w:themeColor="text1"/>
        </w:rPr>
        <w:t>7</w:t>
      </w:r>
      <w:r w:rsidRPr="00775C32">
        <w:rPr>
          <w:color w:val="000000" w:themeColor="text1"/>
        </w:rPr>
        <w:t xml:space="preserve">, 1906–1917; h) J. W. Comerford, I. D. V. Ingram, M. North and X. Wu, </w:t>
      </w:r>
      <w:r w:rsidRPr="00775C32">
        <w:rPr>
          <w:i/>
          <w:color w:val="000000" w:themeColor="text1"/>
        </w:rPr>
        <w:t>Green Chem.</w:t>
      </w:r>
      <w:r w:rsidRPr="00775C32">
        <w:rPr>
          <w:color w:val="000000" w:themeColor="text1"/>
        </w:rPr>
        <w:t xml:space="preserve">, 2015, </w:t>
      </w:r>
      <w:r w:rsidRPr="00775C32">
        <w:rPr>
          <w:b/>
          <w:color w:val="000000" w:themeColor="text1"/>
        </w:rPr>
        <w:t>17</w:t>
      </w:r>
      <w:r w:rsidRPr="00775C32">
        <w:rPr>
          <w:color w:val="000000" w:themeColor="text1"/>
        </w:rPr>
        <w:t>, 1966–1987.</w:t>
      </w:r>
    </w:p>
  </w:endnote>
  <w:endnote w:id="29">
    <w:p w:rsidR="006903D0" w:rsidRPr="00775C32" w:rsidRDefault="006903D0" w:rsidP="002601C6">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a) I. S. Metcalfe, M. North, R. Pasquale and A. Thursfield, </w:t>
      </w:r>
      <w:r w:rsidRPr="00775C32">
        <w:rPr>
          <w:i/>
          <w:color w:val="000000" w:themeColor="text1"/>
        </w:rPr>
        <w:t>Energy Environ. Sci.,</w:t>
      </w:r>
      <w:r w:rsidRPr="00775C32">
        <w:rPr>
          <w:color w:val="000000" w:themeColor="text1"/>
        </w:rPr>
        <w:t xml:space="preserve"> 2010, </w:t>
      </w:r>
      <w:r w:rsidRPr="00775C32">
        <w:rPr>
          <w:b/>
          <w:color w:val="000000" w:themeColor="text1"/>
        </w:rPr>
        <w:t>3</w:t>
      </w:r>
      <w:r w:rsidRPr="00775C32">
        <w:rPr>
          <w:color w:val="000000" w:themeColor="text1"/>
        </w:rPr>
        <w:t xml:space="preserve">, 212–215; b) M. North, B. Wang and C. Young, </w:t>
      </w:r>
      <w:r w:rsidRPr="00775C32">
        <w:rPr>
          <w:i/>
          <w:color w:val="000000" w:themeColor="text1"/>
        </w:rPr>
        <w:t>Energy Environ. Sci.,</w:t>
      </w:r>
      <w:r w:rsidRPr="00775C32">
        <w:rPr>
          <w:color w:val="000000" w:themeColor="text1"/>
        </w:rPr>
        <w:t xml:space="preserve"> 2011, </w:t>
      </w:r>
      <w:r w:rsidRPr="00775C32">
        <w:rPr>
          <w:b/>
          <w:color w:val="000000" w:themeColor="text1"/>
        </w:rPr>
        <w:t>4</w:t>
      </w:r>
      <w:r w:rsidRPr="00775C32">
        <w:rPr>
          <w:color w:val="000000" w:themeColor="text1"/>
        </w:rPr>
        <w:t xml:space="preserve">, 4163–4170; c) A. Barthel, Y. Saih, M. Gimenez, J. D. A. Pelletier, F. E. Kühn, V. D’Elia and J. -M. Basset, </w:t>
      </w:r>
      <w:r w:rsidRPr="00775C32">
        <w:rPr>
          <w:i/>
          <w:color w:val="000000" w:themeColor="text1"/>
        </w:rPr>
        <w:t>Green Chem.,</w:t>
      </w:r>
      <w:r w:rsidRPr="00775C32">
        <w:rPr>
          <w:color w:val="000000" w:themeColor="text1"/>
        </w:rPr>
        <w:t xml:space="preserve"> 2016, </w:t>
      </w:r>
      <w:r w:rsidRPr="00775C32">
        <w:rPr>
          <w:b/>
          <w:color w:val="000000" w:themeColor="text1"/>
        </w:rPr>
        <w:t>18</w:t>
      </w:r>
      <w:r w:rsidRPr="00775C32">
        <w:rPr>
          <w:color w:val="000000" w:themeColor="text1"/>
        </w:rPr>
        <w:t>, 3116–3123.</w:t>
      </w:r>
    </w:p>
  </w:endnote>
  <w:endnote w:id="30">
    <w:p w:rsidR="006903D0" w:rsidRPr="00775C32" w:rsidRDefault="006903D0" w:rsidP="002601C6">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a) W. J. Peppel, </w:t>
      </w:r>
      <w:r w:rsidRPr="00775C32">
        <w:rPr>
          <w:i/>
          <w:color w:val="000000" w:themeColor="text1"/>
        </w:rPr>
        <w:t>Ind. Eng. Chem.</w:t>
      </w:r>
      <w:r w:rsidRPr="00775C32">
        <w:rPr>
          <w:color w:val="000000" w:themeColor="text1"/>
        </w:rPr>
        <w:t xml:space="preserve">, 1958, </w:t>
      </w:r>
      <w:r w:rsidRPr="00775C32">
        <w:rPr>
          <w:b/>
          <w:color w:val="000000" w:themeColor="text1"/>
        </w:rPr>
        <w:t>50</w:t>
      </w:r>
      <w:r w:rsidRPr="00775C32">
        <w:rPr>
          <w:color w:val="000000" w:themeColor="text1"/>
        </w:rPr>
        <w:t xml:space="preserve">, 767–770; b) M. Yoshida and M. Ihara, </w:t>
      </w:r>
      <w:r w:rsidRPr="00775C32">
        <w:rPr>
          <w:i/>
          <w:color w:val="000000" w:themeColor="text1"/>
        </w:rPr>
        <w:t>Chem. Eur. J.</w:t>
      </w:r>
      <w:r w:rsidRPr="00775C32">
        <w:rPr>
          <w:color w:val="000000" w:themeColor="text1"/>
        </w:rPr>
        <w:t xml:space="preserve">, 2004, </w:t>
      </w:r>
      <w:r w:rsidRPr="00775C32">
        <w:rPr>
          <w:b/>
          <w:color w:val="000000" w:themeColor="text1"/>
        </w:rPr>
        <w:t>10</w:t>
      </w:r>
      <w:r w:rsidRPr="00775C32">
        <w:rPr>
          <w:color w:val="000000" w:themeColor="text1"/>
        </w:rPr>
        <w:t>, 2886–2893.</w:t>
      </w:r>
    </w:p>
  </w:endnote>
  <w:endnote w:id="31">
    <w:p w:rsidR="006903D0" w:rsidRPr="00775C32" w:rsidRDefault="006903D0" w:rsidP="00D15190">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a) K. Xu, </w:t>
      </w:r>
      <w:r w:rsidRPr="00775C32">
        <w:rPr>
          <w:i/>
          <w:color w:val="000000" w:themeColor="text1"/>
        </w:rPr>
        <w:t>Chem. Rev.</w:t>
      </w:r>
      <w:r w:rsidRPr="00775C32">
        <w:rPr>
          <w:color w:val="000000" w:themeColor="text1"/>
        </w:rPr>
        <w:t xml:space="preserve">, 2004, </w:t>
      </w:r>
      <w:r w:rsidRPr="00775C32">
        <w:rPr>
          <w:b/>
          <w:color w:val="000000" w:themeColor="text1"/>
        </w:rPr>
        <w:t>104</w:t>
      </w:r>
      <w:r w:rsidRPr="00775C32">
        <w:rPr>
          <w:color w:val="000000" w:themeColor="text1"/>
        </w:rPr>
        <w:t xml:space="preserve">, 4303–4417; b) S. S. Zhang, </w:t>
      </w:r>
      <w:r w:rsidRPr="00775C32">
        <w:rPr>
          <w:i/>
          <w:color w:val="000000" w:themeColor="text1"/>
        </w:rPr>
        <w:t>J. Power Sources</w:t>
      </w:r>
      <w:r w:rsidRPr="00775C32">
        <w:rPr>
          <w:color w:val="000000" w:themeColor="text1"/>
        </w:rPr>
        <w:t xml:space="preserve">, 2006, </w:t>
      </w:r>
      <w:r w:rsidRPr="00775C32">
        <w:rPr>
          <w:b/>
          <w:color w:val="000000" w:themeColor="text1"/>
        </w:rPr>
        <w:t>162</w:t>
      </w:r>
      <w:r w:rsidRPr="00775C32">
        <w:rPr>
          <w:color w:val="000000" w:themeColor="text1"/>
        </w:rPr>
        <w:t xml:space="preserve">, 1379–1394; c) V. Etacheri, R. Marom, R. Elazari, G. Salitra and D. Aurbach, </w:t>
      </w:r>
      <w:r w:rsidRPr="00775C32">
        <w:rPr>
          <w:i/>
          <w:color w:val="000000" w:themeColor="text1"/>
        </w:rPr>
        <w:t>Energy Environ. Sci.</w:t>
      </w:r>
      <w:r w:rsidRPr="00775C32">
        <w:rPr>
          <w:color w:val="000000" w:themeColor="text1"/>
        </w:rPr>
        <w:t xml:space="preserve">, 2011, </w:t>
      </w:r>
      <w:r w:rsidRPr="00775C32">
        <w:rPr>
          <w:b/>
          <w:color w:val="000000" w:themeColor="text1"/>
        </w:rPr>
        <w:t>4</w:t>
      </w:r>
      <w:r w:rsidRPr="00775C32">
        <w:rPr>
          <w:color w:val="000000" w:themeColor="text1"/>
        </w:rPr>
        <w:t xml:space="preserve">, 3243–326; d) B. Scrosati, J. Hassoun and Y.-K. Sun, </w:t>
      </w:r>
      <w:r w:rsidRPr="00775C32">
        <w:rPr>
          <w:i/>
          <w:color w:val="000000" w:themeColor="text1"/>
        </w:rPr>
        <w:t>Energy Environ. Sci.</w:t>
      </w:r>
      <w:r w:rsidRPr="00775C32">
        <w:rPr>
          <w:color w:val="000000" w:themeColor="text1"/>
        </w:rPr>
        <w:t xml:space="preserve">, 2011, </w:t>
      </w:r>
      <w:r w:rsidRPr="00775C32">
        <w:rPr>
          <w:b/>
          <w:color w:val="000000" w:themeColor="text1"/>
        </w:rPr>
        <w:t>4</w:t>
      </w:r>
      <w:r w:rsidRPr="00775C32">
        <w:rPr>
          <w:color w:val="000000" w:themeColor="text1"/>
        </w:rPr>
        <w:t>, 3287–3295.</w:t>
      </w:r>
    </w:p>
  </w:endnote>
  <w:endnote w:id="32">
    <w:p w:rsidR="006903D0" w:rsidRPr="00775C32" w:rsidRDefault="006903D0" w:rsidP="00D15190">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a) C. E. P. Galvis and V. V. Kouznetsov, </w:t>
      </w:r>
      <w:r w:rsidRPr="00775C32">
        <w:rPr>
          <w:i/>
          <w:color w:val="000000" w:themeColor="text1"/>
        </w:rPr>
        <w:t>Org. Biomol. Chem.</w:t>
      </w:r>
      <w:r w:rsidRPr="00775C32">
        <w:rPr>
          <w:color w:val="000000" w:themeColor="text1"/>
        </w:rPr>
        <w:t xml:space="preserve">, 2013, </w:t>
      </w:r>
      <w:r w:rsidRPr="00775C32">
        <w:rPr>
          <w:b/>
          <w:color w:val="000000" w:themeColor="text1"/>
        </w:rPr>
        <w:t>11</w:t>
      </w:r>
      <w:r w:rsidRPr="00775C32">
        <w:rPr>
          <w:color w:val="000000" w:themeColor="text1"/>
        </w:rPr>
        <w:t>, 7372</w:t>
      </w:r>
      <w:r w:rsidRPr="00775C32">
        <w:rPr>
          <w:color w:val="000000" w:themeColor="text1"/>
        </w:rPr>
        <w:softHyphen/>
        <w:t xml:space="preserve">–7386; b) J. S. B. Forero, E. M. D. Carvalho, J. J. Junior and F. M. Silva, </w:t>
      </w:r>
      <w:r w:rsidRPr="00775C32">
        <w:rPr>
          <w:i/>
          <w:color w:val="000000" w:themeColor="text1"/>
        </w:rPr>
        <w:t>Curr. Org. Synth.</w:t>
      </w:r>
      <w:r w:rsidRPr="00775C32">
        <w:rPr>
          <w:color w:val="000000" w:themeColor="text1"/>
        </w:rPr>
        <w:t>, 2015, 102–107.</w:t>
      </w:r>
    </w:p>
  </w:endnote>
  <w:endnote w:id="33">
    <w:p w:rsidR="006903D0" w:rsidRPr="00775C32" w:rsidRDefault="006903D0" w:rsidP="00C9473A">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a) M. North and R. Pasquale, </w:t>
      </w:r>
      <w:r w:rsidRPr="00775C32">
        <w:rPr>
          <w:i/>
          <w:color w:val="000000" w:themeColor="text1"/>
        </w:rPr>
        <w:t>Angew. Chem. Int. Ed.,</w:t>
      </w:r>
      <w:r w:rsidRPr="00775C32">
        <w:rPr>
          <w:color w:val="000000" w:themeColor="text1"/>
        </w:rPr>
        <w:t xml:space="preserve"> 2009, </w:t>
      </w:r>
      <w:r w:rsidRPr="00775C32">
        <w:rPr>
          <w:b/>
          <w:color w:val="000000" w:themeColor="text1"/>
        </w:rPr>
        <w:t>48</w:t>
      </w:r>
      <w:r w:rsidRPr="00775C32">
        <w:rPr>
          <w:color w:val="000000" w:themeColor="text1"/>
        </w:rPr>
        <w:t xml:space="preserve">, 2946–2948; b) M. North and M. Omedes-Pujol, </w:t>
      </w:r>
      <w:r w:rsidRPr="00775C32">
        <w:rPr>
          <w:i/>
          <w:color w:val="000000" w:themeColor="text1"/>
        </w:rPr>
        <w:t xml:space="preserve">Tetrahedron Lett., </w:t>
      </w:r>
      <w:r w:rsidRPr="00775C32">
        <w:rPr>
          <w:color w:val="000000" w:themeColor="text1"/>
        </w:rPr>
        <w:t xml:space="preserve">2009, </w:t>
      </w:r>
      <w:r w:rsidRPr="00775C32">
        <w:rPr>
          <w:b/>
          <w:color w:val="000000" w:themeColor="text1"/>
        </w:rPr>
        <w:t>50</w:t>
      </w:r>
      <w:r w:rsidRPr="00775C32">
        <w:rPr>
          <w:color w:val="000000" w:themeColor="text1"/>
        </w:rPr>
        <w:t xml:space="preserve">, 4452–4454; c) P. Lenden, P. M. Ylioja, C. González-Rodríguez, D. A. Entwistle and M. C. Willis, </w:t>
      </w:r>
      <w:r w:rsidRPr="00775C32">
        <w:rPr>
          <w:i/>
          <w:color w:val="000000" w:themeColor="text1"/>
        </w:rPr>
        <w:t xml:space="preserve">Green Chem., </w:t>
      </w:r>
      <w:r w:rsidRPr="00775C32">
        <w:rPr>
          <w:color w:val="000000" w:themeColor="text1"/>
        </w:rPr>
        <w:t xml:space="preserve">2011, </w:t>
      </w:r>
      <w:r w:rsidRPr="00775C32">
        <w:rPr>
          <w:b/>
          <w:color w:val="000000" w:themeColor="text1"/>
        </w:rPr>
        <w:t>13</w:t>
      </w:r>
      <w:r w:rsidRPr="00775C32">
        <w:rPr>
          <w:color w:val="000000" w:themeColor="text1"/>
        </w:rPr>
        <w:t xml:space="preserve">, 1980–1982; d) B. Yu, Z.-F Diao, C.-X. Guo, C.-L. Zhong, L.-N. He, Y.-N. Zhao, Q.-W. Song, A.-H. Liu and J.-Q. Wang, </w:t>
      </w:r>
      <w:r w:rsidRPr="00775C32">
        <w:rPr>
          <w:i/>
          <w:color w:val="000000" w:themeColor="text1"/>
        </w:rPr>
        <w:t>Green Chem.,</w:t>
      </w:r>
      <w:r w:rsidRPr="00775C32">
        <w:rPr>
          <w:color w:val="000000" w:themeColor="text1"/>
        </w:rPr>
        <w:t xml:space="preserve"> 2013, </w:t>
      </w:r>
      <w:r w:rsidRPr="00775C32">
        <w:rPr>
          <w:b/>
          <w:color w:val="000000" w:themeColor="text1"/>
        </w:rPr>
        <w:t>15</w:t>
      </w:r>
      <w:r w:rsidRPr="00775C32">
        <w:rPr>
          <w:color w:val="000000" w:themeColor="text1"/>
        </w:rPr>
        <w:t xml:space="preserve">, 2401–2407; e) B. Pieber and C. O. Kappe, </w:t>
      </w:r>
      <w:r w:rsidRPr="00775C32">
        <w:rPr>
          <w:i/>
          <w:color w:val="000000" w:themeColor="text1"/>
        </w:rPr>
        <w:t>Green Chem.</w:t>
      </w:r>
      <w:r w:rsidRPr="00775C32">
        <w:rPr>
          <w:color w:val="000000" w:themeColor="text1"/>
        </w:rPr>
        <w:t xml:space="preserve">, 2013, </w:t>
      </w:r>
      <w:r w:rsidRPr="00775C32">
        <w:rPr>
          <w:b/>
          <w:color w:val="000000" w:themeColor="text1"/>
        </w:rPr>
        <w:t>15</w:t>
      </w:r>
      <w:r w:rsidRPr="00775C32">
        <w:rPr>
          <w:color w:val="000000" w:themeColor="text1"/>
        </w:rPr>
        <w:t xml:space="preserve">, 320–324; f) H. L. Parker, J. Sherwood, A. J. Hunt and J. H. Clark, </w:t>
      </w:r>
      <w:r w:rsidRPr="00775C32">
        <w:rPr>
          <w:i/>
          <w:color w:val="000000" w:themeColor="text1"/>
        </w:rPr>
        <w:t>ACS Sustainable Chem. Eng.,</w:t>
      </w:r>
      <w:r w:rsidRPr="00775C32">
        <w:rPr>
          <w:color w:val="000000" w:themeColor="text1"/>
        </w:rPr>
        <w:t xml:space="preserve"> 2014, </w:t>
      </w:r>
      <w:r w:rsidRPr="00775C32">
        <w:rPr>
          <w:b/>
          <w:color w:val="000000" w:themeColor="text1"/>
        </w:rPr>
        <w:t>2</w:t>
      </w:r>
      <w:r w:rsidRPr="00775C32">
        <w:rPr>
          <w:color w:val="000000" w:themeColor="text1"/>
        </w:rPr>
        <w:t xml:space="preserve">, 1739–1742; g) P. Neubert, S. Fuchs and A. Behr, </w:t>
      </w:r>
      <w:r w:rsidRPr="00775C32">
        <w:rPr>
          <w:i/>
          <w:color w:val="000000" w:themeColor="text1"/>
        </w:rPr>
        <w:t>Green Chem.</w:t>
      </w:r>
      <w:r w:rsidRPr="00775C32">
        <w:rPr>
          <w:color w:val="000000" w:themeColor="text1"/>
        </w:rPr>
        <w:t xml:space="preserve">, 2015, </w:t>
      </w:r>
      <w:r w:rsidRPr="00775C32">
        <w:rPr>
          <w:b/>
          <w:color w:val="000000" w:themeColor="text1"/>
        </w:rPr>
        <w:t>17</w:t>
      </w:r>
      <w:r w:rsidRPr="00775C32">
        <w:rPr>
          <w:color w:val="000000" w:themeColor="text1"/>
        </w:rPr>
        <w:t>, 4045-4052.</w:t>
      </w:r>
    </w:p>
  </w:endnote>
  <w:endnote w:id="34">
    <w:p w:rsidR="006903D0" w:rsidRPr="00775C32" w:rsidRDefault="006903D0" w:rsidP="00C9473A">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a) M. North, F. Pizzato and P. Villuendas, </w:t>
      </w:r>
      <w:r w:rsidRPr="00775C32">
        <w:rPr>
          <w:i/>
          <w:color w:val="000000" w:themeColor="text1"/>
        </w:rPr>
        <w:t>ChemSusChem,</w:t>
      </w:r>
      <w:r w:rsidRPr="00775C32">
        <w:rPr>
          <w:color w:val="000000" w:themeColor="text1"/>
        </w:rPr>
        <w:t xml:space="preserve"> 2009, </w:t>
      </w:r>
      <w:r w:rsidRPr="00775C32">
        <w:rPr>
          <w:b/>
          <w:color w:val="000000" w:themeColor="text1"/>
        </w:rPr>
        <w:t>2</w:t>
      </w:r>
      <w:r w:rsidRPr="00775C32">
        <w:rPr>
          <w:color w:val="000000" w:themeColor="text1"/>
        </w:rPr>
        <w:t xml:space="preserve">, 862–865; b) W. Clegg, R. W. Harrington, M. North, F. Pizzato and P. Villuendas, </w:t>
      </w:r>
      <w:r w:rsidRPr="00775C32">
        <w:rPr>
          <w:i/>
          <w:color w:val="000000" w:themeColor="text1"/>
        </w:rPr>
        <w:t>Tetrahedron Asymmetry,</w:t>
      </w:r>
      <w:r w:rsidRPr="00775C32">
        <w:rPr>
          <w:color w:val="000000" w:themeColor="text1"/>
        </w:rPr>
        <w:t xml:space="preserve"> 2010, </w:t>
      </w:r>
      <w:r w:rsidRPr="00775C32">
        <w:rPr>
          <w:b/>
          <w:color w:val="000000" w:themeColor="text1"/>
        </w:rPr>
        <w:t>21</w:t>
      </w:r>
      <w:r w:rsidRPr="00775C32">
        <w:rPr>
          <w:color w:val="000000" w:themeColor="text1"/>
        </w:rPr>
        <w:t xml:space="preserve">, 1262–1271; c) M. North and P. Villuendas, </w:t>
      </w:r>
      <w:r w:rsidRPr="00775C32">
        <w:rPr>
          <w:i/>
          <w:color w:val="000000" w:themeColor="text1"/>
        </w:rPr>
        <w:t>Org. Lett.</w:t>
      </w:r>
      <w:r w:rsidRPr="00775C32">
        <w:rPr>
          <w:color w:val="000000" w:themeColor="text1"/>
        </w:rPr>
        <w:t xml:space="preserve">, 2010, </w:t>
      </w:r>
      <w:r w:rsidRPr="00775C32">
        <w:rPr>
          <w:b/>
          <w:color w:val="000000" w:themeColor="text1"/>
        </w:rPr>
        <w:t>12</w:t>
      </w:r>
      <w:r w:rsidRPr="00775C32">
        <w:rPr>
          <w:color w:val="000000" w:themeColor="text1"/>
        </w:rPr>
        <w:t>, 2378–2381.</w:t>
      </w:r>
    </w:p>
  </w:endnote>
  <w:endnote w:id="35">
    <w:p w:rsidR="006903D0" w:rsidRPr="00775C32" w:rsidRDefault="006903D0" w:rsidP="00C9473A">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J. Nam, D. Shin, Y. Rew and D. L. Boger, </w:t>
      </w:r>
      <w:r w:rsidRPr="00775C32">
        <w:rPr>
          <w:i/>
          <w:color w:val="000000" w:themeColor="text1"/>
        </w:rPr>
        <w:t>J. Am. Chem. Soc.,</w:t>
      </w:r>
      <w:r w:rsidRPr="00775C32">
        <w:rPr>
          <w:color w:val="000000" w:themeColor="text1"/>
        </w:rPr>
        <w:t xml:space="preserve"> 2007, </w:t>
      </w:r>
      <w:r w:rsidRPr="00775C32">
        <w:rPr>
          <w:b/>
          <w:color w:val="000000" w:themeColor="text1"/>
        </w:rPr>
        <w:t>129</w:t>
      </w:r>
      <w:r w:rsidRPr="00775C32">
        <w:rPr>
          <w:color w:val="000000" w:themeColor="text1"/>
        </w:rPr>
        <w:t>, 8747–8755.</w:t>
      </w:r>
    </w:p>
  </w:endnote>
  <w:endnote w:id="36">
    <w:p w:rsidR="006903D0" w:rsidRPr="00775C32" w:rsidRDefault="006903D0" w:rsidP="00CE6E6E">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r>
      <w:r w:rsidRPr="00775C32">
        <w:rPr>
          <w:color w:val="000000" w:themeColor="text1"/>
          <w:lang w:val="en-US"/>
        </w:rPr>
        <w:t>a) B. Bacsa, K. Horváti, S. Bösze, F. Andreae and C. O. Kappe,</w:t>
      </w:r>
      <w:r w:rsidRPr="00775C32">
        <w:rPr>
          <w:i/>
          <w:color w:val="000000" w:themeColor="text1"/>
          <w:lang w:val="en-US"/>
        </w:rPr>
        <w:t xml:space="preserve"> J. Org. Chem.</w:t>
      </w:r>
      <w:r w:rsidRPr="00775C32">
        <w:rPr>
          <w:color w:val="000000" w:themeColor="text1"/>
          <w:lang w:val="en-US"/>
        </w:rPr>
        <w:t xml:space="preserve">, 2008, </w:t>
      </w:r>
      <w:r w:rsidRPr="00775C32">
        <w:rPr>
          <w:b/>
          <w:color w:val="000000" w:themeColor="text1"/>
          <w:lang w:val="en-US"/>
        </w:rPr>
        <w:t>73</w:t>
      </w:r>
      <w:r w:rsidRPr="00775C32">
        <w:rPr>
          <w:color w:val="000000" w:themeColor="text1"/>
          <w:lang w:val="en-US"/>
        </w:rPr>
        <w:t xml:space="preserve">, 7532–7542; b) B. Bacsa, S. Bösze and C. O. Kappe, </w:t>
      </w:r>
      <w:r w:rsidRPr="00775C32">
        <w:rPr>
          <w:i/>
          <w:color w:val="000000" w:themeColor="text1"/>
          <w:lang w:val="en-US"/>
        </w:rPr>
        <w:t>J. Org. Chem.</w:t>
      </w:r>
      <w:r w:rsidRPr="00775C32">
        <w:rPr>
          <w:color w:val="000000" w:themeColor="text1"/>
          <w:lang w:val="en-US"/>
        </w:rPr>
        <w:t xml:space="preserve">, 2010, </w:t>
      </w:r>
      <w:r w:rsidRPr="00775C32">
        <w:rPr>
          <w:b/>
          <w:color w:val="000000" w:themeColor="text1"/>
          <w:lang w:val="en-US"/>
        </w:rPr>
        <w:t>75</w:t>
      </w:r>
      <w:r w:rsidRPr="00775C32">
        <w:rPr>
          <w:color w:val="000000" w:themeColor="text1"/>
          <w:lang w:val="en-US"/>
        </w:rPr>
        <w:t>, 2103–2106.</w:t>
      </w:r>
    </w:p>
  </w:endnote>
  <w:endnote w:id="37">
    <w:p w:rsidR="006903D0" w:rsidRPr="00196E2E" w:rsidRDefault="006903D0" w:rsidP="009A73E3">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S. Sopeña, V. Laserna, W. Guo, E. Martin, E. C. </w:t>
      </w:r>
      <w:r w:rsidRPr="00196E2E">
        <w:rPr>
          <w:color w:val="000000" w:themeColor="text1"/>
        </w:rPr>
        <w:t xml:space="preserve">Escudero-Adán and A. W. Kleij, </w:t>
      </w:r>
      <w:r w:rsidRPr="00196E2E">
        <w:rPr>
          <w:i/>
          <w:color w:val="000000" w:themeColor="text1"/>
        </w:rPr>
        <w:t>Adv. Synth. Catal.</w:t>
      </w:r>
      <w:r w:rsidRPr="00196E2E">
        <w:rPr>
          <w:color w:val="000000" w:themeColor="text1"/>
        </w:rPr>
        <w:t xml:space="preserve">, 2016, </w:t>
      </w:r>
      <w:r w:rsidRPr="00196E2E">
        <w:rPr>
          <w:b/>
          <w:color w:val="000000" w:themeColor="text1"/>
        </w:rPr>
        <w:t>358</w:t>
      </w:r>
      <w:r w:rsidRPr="00196E2E">
        <w:rPr>
          <w:color w:val="000000" w:themeColor="text1"/>
        </w:rPr>
        <w:t>, 2172–2178.</w:t>
      </w:r>
    </w:p>
  </w:endnote>
  <w:endnote w:id="38">
    <w:p w:rsidR="006903D0" w:rsidRPr="00196E2E" w:rsidRDefault="006903D0" w:rsidP="00C9473A">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Data given in supporting information. </w:t>
      </w:r>
    </w:p>
  </w:endnote>
  <w:endnote w:id="39">
    <w:p w:rsidR="006903D0" w:rsidRPr="00196E2E" w:rsidRDefault="006903D0" w:rsidP="00E433E2">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S. Lawrenson, M. North, F. Peigneguy and A. Routledge, </w:t>
      </w:r>
      <w:r w:rsidRPr="00196E2E">
        <w:rPr>
          <w:i/>
          <w:color w:val="000000" w:themeColor="text1"/>
        </w:rPr>
        <w:t>Green Chem.</w:t>
      </w:r>
      <w:r w:rsidRPr="00196E2E">
        <w:rPr>
          <w:color w:val="000000" w:themeColor="text1"/>
        </w:rPr>
        <w:t xml:space="preserve">, 2017, </w:t>
      </w:r>
      <w:r w:rsidRPr="00196E2E">
        <w:rPr>
          <w:b/>
          <w:color w:val="000000" w:themeColor="text1"/>
        </w:rPr>
        <w:t>19</w:t>
      </w:r>
      <w:r w:rsidRPr="00196E2E">
        <w:rPr>
          <w:color w:val="000000" w:themeColor="text1"/>
        </w:rPr>
        <w:t>, 952–962.</w:t>
      </w:r>
    </w:p>
  </w:endnote>
  <w:endnote w:id="40">
    <w:p w:rsidR="006903D0" w:rsidRPr="00775C32" w:rsidRDefault="006903D0" w:rsidP="00C9473A">
      <w:pPr>
        <w:pStyle w:val="RSCR02References"/>
        <w:ind w:left="714" w:hanging="357"/>
        <w:rPr>
          <w:color w:val="000000" w:themeColor="text1"/>
        </w:rPr>
      </w:pPr>
      <w:r w:rsidRPr="00196E2E">
        <w:rPr>
          <w:color w:val="000000" w:themeColor="text1"/>
        </w:rPr>
        <w:endnoteRef/>
      </w:r>
      <w:r w:rsidRPr="00196E2E">
        <w:rPr>
          <w:color w:val="000000" w:themeColor="text1"/>
        </w:rPr>
        <w:t xml:space="preserve"> </w:t>
      </w:r>
      <w:r w:rsidRPr="00196E2E">
        <w:rPr>
          <w:color w:val="000000" w:themeColor="text1"/>
        </w:rPr>
        <w:tab/>
        <w:t xml:space="preserve">R. B. Merrifield, </w:t>
      </w:r>
      <w:r w:rsidRPr="00196E2E">
        <w:rPr>
          <w:i/>
          <w:color w:val="000000" w:themeColor="text1"/>
        </w:rPr>
        <w:t>J. Am. Chem. Soc.</w:t>
      </w:r>
      <w:r w:rsidRPr="00196E2E">
        <w:rPr>
          <w:color w:val="000000" w:themeColor="text1"/>
        </w:rPr>
        <w:t xml:space="preserve">, 1963, </w:t>
      </w:r>
      <w:r w:rsidRPr="00196E2E">
        <w:rPr>
          <w:b/>
          <w:color w:val="000000" w:themeColor="text1"/>
        </w:rPr>
        <w:t>85</w:t>
      </w:r>
      <w:r w:rsidRPr="00196E2E">
        <w:rPr>
          <w:color w:val="000000" w:themeColor="text1"/>
        </w:rPr>
        <w:t>, 2149–2154</w:t>
      </w:r>
      <w:r w:rsidRPr="00775C32">
        <w:rPr>
          <w:color w:val="000000" w:themeColor="text1"/>
        </w:rPr>
        <w:t>.</w:t>
      </w:r>
    </w:p>
  </w:endnote>
  <w:endnote w:id="41">
    <w:p w:rsidR="006903D0" w:rsidRPr="00775C32" w:rsidRDefault="006903D0" w:rsidP="00C9473A">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F. García-Martín, M. Quintanar-Audelo, Y. García-Ramos, L. J. Cruz, C. Gravel, R. Furic, S. Côté, J. Tulla-Puche and F. Albericio, </w:t>
      </w:r>
      <w:r w:rsidRPr="00775C32">
        <w:rPr>
          <w:i/>
          <w:color w:val="000000" w:themeColor="text1"/>
        </w:rPr>
        <w:t>J. Com</w:t>
      </w:r>
      <w:bookmarkStart w:id="13" w:name="_GoBack"/>
      <w:bookmarkEnd w:id="13"/>
      <w:r w:rsidRPr="00775C32">
        <w:rPr>
          <w:i/>
          <w:color w:val="000000" w:themeColor="text1"/>
        </w:rPr>
        <w:t>b. Chem.</w:t>
      </w:r>
      <w:r w:rsidRPr="00775C32">
        <w:rPr>
          <w:color w:val="000000" w:themeColor="text1"/>
        </w:rPr>
        <w:t xml:space="preserve">, 2006, </w:t>
      </w:r>
      <w:r w:rsidRPr="00775C32">
        <w:rPr>
          <w:b/>
          <w:color w:val="000000" w:themeColor="text1"/>
        </w:rPr>
        <w:t>8</w:t>
      </w:r>
      <w:r w:rsidRPr="00775C32">
        <w:rPr>
          <w:color w:val="000000" w:themeColor="text1"/>
        </w:rPr>
        <w:t>, 213–220.</w:t>
      </w:r>
    </w:p>
  </w:endnote>
  <w:endnote w:id="42">
    <w:p w:rsidR="006903D0" w:rsidRPr="00775C32" w:rsidRDefault="006903D0" w:rsidP="00C350F7">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R. Santini, M. C. Griffith and M. Qi, </w:t>
      </w:r>
      <w:r w:rsidRPr="00775C32">
        <w:rPr>
          <w:i/>
          <w:color w:val="000000" w:themeColor="text1"/>
        </w:rPr>
        <w:t>Tetrahedron Lett.</w:t>
      </w:r>
      <w:r w:rsidRPr="00775C32">
        <w:rPr>
          <w:color w:val="000000" w:themeColor="text1"/>
        </w:rPr>
        <w:t xml:space="preserve">, 1998, </w:t>
      </w:r>
      <w:r w:rsidRPr="00775C32">
        <w:rPr>
          <w:b/>
          <w:color w:val="000000" w:themeColor="text1"/>
        </w:rPr>
        <w:t>39</w:t>
      </w:r>
      <w:r w:rsidRPr="00775C32">
        <w:rPr>
          <w:color w:val="000000" w:themeColor="text1"/>
        </w:rPr>
        <w:t>, 8951–8954.</w:t>
      </w:r>
    </w:p>
  </w:endnote>
  <w:endnote w:id="43">
    <w:p w:rsidR="006903D0" w:rsidRPr="00775C32" w:rsidRDefault="006903D0" w:rsidP="00C9473A">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B. Riniker, A. Flörsheimer, H. Fretz, P. Sieber and B. Kamber, </w:t>
      </w:r>
      <w:r w:rsidRPr="00775C32">
        <w:rPr>
          <w:i/>
          <w:color w:val="000000" w:themeColor="text1"/>
        </w:rPr>
        <w:t>Tetrahedron</w:t>
      </w:r>
      <w:r w:rsidRPr="00775C32">
        <w:rPr>
          <w:color w:val="000000" w:themeColor="text1"/>
        </w:rPr>
        <w:t xml:space="preserve">, 1993, </w:t>
      </w:r>
      <w:r w:rsidRPr="00775C32">
        <w:rPr>
          <w:b/>
          <w:color w:val="000000" w:themeColor="text1"/>
        </w:rPr>
        <w:t>49</w:t>
      </w:r>
      <w:r w:rsidRPr="00775C32">
        <w:rPr>
          <w:color w:val="000000" w:themeColor="text1"/>
        </w:rPr>
        <w:t>, 9307–9320.</w:t>
      </w:r>
    </w:p>
  </w:endnote>
  <w:endnote w:id="44">
    <w:p w:rsidR="006903D0" w:rsidRPr="00775C32" w:rsidRDefault="006903D0" w:rsidP="00C9473A">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R. Knorr, A. Trzeciak, W. Bannwarth and D. Gillessen, </w:t>
      </w:r>
      <w:r w:rsidRPr="00775C32">
        <w:rPr>
          <w:i/>
          <w:color w:val="000000" w:themeColor="text1"/>
        </w:rPr>
        <w:t>Tetrahedron Lett.</w:t>
      </w:r>
      <w:r w:rsidRPr="00775C32">
        <w:rPr>
          <w:color w:val="000000" w:themeColor="text1"/>
        </w:rPr>
        <w:t xml:space="preserve">, 1989, </w:t>
      </w:r>
      <w:r w:rsidRPr="00775C32">
        <w:rPr>
          <w:b/>
          <w:color w:val="000000" w:themeColor="text1"/>
        </w:rPr>
        <w:t>30</w:t>
      </w:r>
      <w:r w:rsidRPr="00775C32">
        <w:rPr>
          <w:color w:val="000000" w:themeColor="text1"/>
        </w:rPr>
        <w:t>, 1927–1930.</w:t>
      </w:r>
    </w:p>
  </w:endnote>
  <w:endnote w:id="45">
    <w:p w:rsidR="008F2E78" w:rsidRPr="00775C32" w:rsidRDefault="008F2E78" w:rsidP="008F2E78">
      <w:pPr>
        <w:pStyle w:val="RSCR02References"/>
        <w:ind w:left="714" w:hanging="357"/>
        <w:rPr>
          <w:color w:val="000000" w:themeColor="text1"/>
        </w:rPr>
      </w:pPr>
      <w:r w:rsidRPr="00775C32">
        <w:rPr>
          <w:color w:val="000000" w:themeColor="text1"/>
        </w:rPr>
        <w:endnoteRef/>
      </w:r>
      <w:r w:rsidRPr="00775C32">
        <w:rPr>
          <w:color w:val="000000" w:themeColor="text1"/>
        </w:rPr>
        <w:t xml:space="preserve"> </w:t>
      </w:r>
      <w:r w:rsidRPr="00775C32">
        <w:rPr>
          <w:color w:val="000000" w:themeColor="text1"/>
        </w:rPr>
        <w:tab/>
        <w:t xml:space="preserve">D. A. Pearson, M. Blanchette, M. L. Baker and C. A. Guindon, </w:t>
      </w:r>
      <w:r w:rsidRPr="00775C32">
        <w:rPr>
          <w:i/>
          <w:color w:val="000000" w:themeColor="text1"/>
        </w:rPr>
        <w:t>Tetrahedron Lett.,</w:t>
      </w:r>
      <w:r w:rsidRPr="00775C32">
        <w:rPr>
          <w:color w:val="000000" w:themeColor="text1"/>
        </w:rPr>
        <w:t xml:space="preserve"> 1989, </w:t>
      </w:r>
      <w:r w:rsidRPr="00775C32">
        <w:rPr>
          <w:b/>
          <w:color w:val="000000" w:themeColor="text1"/>
        </w:rPr>
        <w:t>30</w:t>
      </w:r>
      <w:r w:rsidRPr="00775C32">
        <w:rPr>
          <w:color w:val="000000" w:themeColor="text1"/>
        </w:rPr>
        <w:t>, 2739–2742.</w:t>
      </w:r>
    </w:p>
  </w:endnote>
  <w:endnote w:id="46">
    <w:p w:rsidR="008F2E78" w:rsidRDefault="008F2E78" w:rsidP="008F2E78">
      <w:pPr>
        <w:pStyle w:val="RSCR02References"/>
        <w:ind w:left="714" w:hanging="357"/>
      </w:pPr>
      <w:r w:rsidRPr="00775C32">
        <w:rPr>
          <w:color w:val="000000" w:themeColor="text1"/>
        </w:rPr>
        <w:endnoteRef/>
      </w:r>
      <w:r w:rsidRPr="00775C32">
        <w:rPr>
          <w:color w:val="000000" w:themeColor="text1"/>
        </w:rPr>
        <w:t xml:space="preserve"> </w:t>
      </w:r>
      <w:r w:rsidRPr="00775C32">
        <w:rPr>
          <w:color w:val="000000" w:themeColor="text1"/>
        </w:rPr>
        <w:tab/>
        <w:t xml:space="preserve">M. Perez, A. Adam and G. </w:t>
      </w:r>
      <w:r w:rsidRPr="008C02D3">
        <w:t xml:space="preserve">Molinaro, </w:t>
      </w:r>
      <w:r w:rsidRPr="008C02D3">
        <w:rPr>
          <w:i/>
        </w:rPr>
        <w:t>J. Clinical Basic Cardiology</w:t>
      </w:r>
      <w:r>
        <w:rPr>
          <w:i/>
        </w:rPr>
        <w:t>,</w:t>
      </w:r>
      <w:r w:rsidRPr="008C02D3">
        <w:t xml:space="preserve"> </w:t>
      </w:r>
      <w:r w:rsidRPr="00DC0C02">
        <w:t>2001</w:t>
      </w:r>
      <w:r w:rsidRPr="008C02D3">
        <w:t xml:space="preserve">, </w:t>
      </w:r>
      <w:r w:rsidRPr="00DC0C02">
        <w:rPr>
          <w:b/>
        </w:rPr>
        <w:t>4</w:t>
      </w:r>
      <w:r w:rsidRPr="008C02D3">
        <w:t>, 39–46</w:t>
      </w:r>
      <w:r>
        <w:t>.</w:t>
      </w:r>
    </w:p>
    <w:p w:rsidR="008F2E78" w:rsidRDefault="008F2E78" w:rsidP="008F2E78">
      <w:pPr>
        <w:pStyle w:val="RSCR02References"/>
        <w:ind w:left="714" w:hanging="357"/>
      </w:pPr>
    </w:p>
    <w:p w:rsidR="008F2E78" w:rsidRDefault="008F2E78" w:rsidP="008F2E78">
      <w:pPr>
        <w:rPr>
          <w:b/>
          <w:color w:val="FF0000"/>
        </w:rPr>
      </w:pPr>
      <w:r w:rsidRPr="009F3A17">
        <w:rPr>
          <w:b/>
          <w:color w:val="000000" w:themeColor="text1"/>
        </w:rPr>
        <w:t>Graphical Abstract</w:t>
      </w:r>
    </w:p>
    <w:p w:rsidR="008F2E78" w:rsidRPr="004F3C6D" w:rsidRDefault="008F2E78" w:rsidP="008F2E78">
      <w:pPr>
        <w:rPr>
          <w:b/>
          <w:color w:val="FF0000"/>
        </w:rPr>
      </w:pPr>
      <w:r>
        <w:object w:dxaOrig="3860" w:dyaOrig="2069">
          <v:shape id="_x0000_i1030" type="#_x0000_t75" style="width:193pt;height:103.45pt" o:ole="">
            <v:imagedata r:id="rId1" o:title=""/>
          </v:shape>
          <o:OLEObject Type="Embed" ProgID="ChemDraw.Document.6.0" ShapeID="_x0000_i1030" DrawAspect="Content" ObjectID="_1549877749" r:id="rId2"/>
        </w:objec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0971DF9-2506-451A-809B-EA2F1EF685CC}"/>
    <w:embedBold r:id="rId2" w:fontKey="{8DE2878B-9EE5-451B-A092-D3A63A14565B}"/>
    <w:embedItalic r:id="rId3" w:fontKey="{040CDD09-BE0C-4D81-A62D-BA05067A7936}"/>
  </w:font>
  <w:font w:name="Tahoma">
    <w:panose1 w:val="020B0604030504040204"/>
    <w:charset w:val="00"/>
    <w:family w:val="swiss"/>
    <w:pitch w:val="variable"/>
    <w:sig w:usb0="E1002EFF" w:usb1="C000605B" w:usb2="00000029" w:usb3="00000000" w:csb0="000101FF" w:csb1="00000000"/>
    <w:embedRegular r:id="rId4" w:fontKey="{D16BEA0D-6605-4540-A0CA-D87E6040E0FE}"/>
  </w:font>
  <w:font w:name="Arno Pro">
    <w:altName w:val="Constantia"/>
    <w:panose1 w:val="00000000000000000000"/>
    <w:charset w:val="00"/>
    <w:family w:val="roman"/>
    <w:notTrueType/>
    <w:pitch w:val="variable"/>
    <w:sig w:usb0="00000001" w:usb1="00000001" w:usb2="00000000" w:usb3="00000000" w:csb0="0000019F" w:csb1="00000000"/>
  </w:font>
  <w:font w:name="Times">
    <w:panose1 w:val="02020603050405020304"/>
    <w:charset w:val="00"/>
    <w:family w:val="roman"/>
    <w:pitch w:val="variable"/>
    <w:sig w:usb0="E0002AFF" w:usb1="C0007841" w:usb2="00000009" w:usb3="00000000" w:csb0="000001FF" w:csb1="00000000"/>
    <w:embedRegular r:id="rId5" w:fontKey="{76714160-24E1-4D40-98B5-9D9AEFAB142E}"/>
  </w:font>
  <w:font w:name="Constantia">
    <w:panose1 w:val="02030602050306030303"/>
    <w:charset w:val="00"/>
    <w:family w:val="roman"/>
    <w:pitch w:val="variable"/>
    <w:sig w:usb0="A00002EF" w:usb1="4000204B" w:usb2="00000000" w:usb3="00000000" w:csb0="0000019F" w:csb1="00000000"/>
    <w:embedBold r:id="rId6" w:fontKey="{7C6E0F11-6CE3-42A6-B48D-4FBF689C76C1}"/>
  </w:font>
  <w:font w:name="Cambria">
    <w:panose1 w:val="02040503050406030204"/>
    <w:charset w:val="00"/>
    <w:family w:val="roman"/>
    <w:pitch w:val="variable"/>
    <w:sig w:usb0="E00002FF" w:usb1="400004FF" w:usb2="00000000" w:usb3="00000000" w:csb0="0000019F" w:csb1="00000000"/>
    <w:embedRegular r:id="rId7" w:fontKey="{62BF294E-5603-4198-A5E5-EC50CE8018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D0" w:rsidRPr="006602F1" w:rsidRDefault="006903D0"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196E2E">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D0" w:rsidRPr="006602F1" w:rsidRDefault="006903D0"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96E2E">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D0" w:rsidRPr="006602F1" w:rsidRDefault="006903D0"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362D71CC" wp14:editId="087374C2">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6903D0" w:rsidRPr="00F20A7C" w:rsidRDefault="006903D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6903D0" w:rsidRPr="00F20A7C" w:rsidRDefault="006903D0"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196E2E">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A8D" w:rsidRDefault="00545A8D" w:rsidP="00E547DB">
      <w:pPr>
        <w:spacing w:after="0" w:line="240" w:lineRule="auto"/>
      </w:pPr>
      <w:r>
        <w:separator/>
      </w:r>
    </w:p>
    <w:p w:rsidR="00545A8D" w:rsidRDefault="00545A8D"/>
    <w:p w:rsidR="00545A8D" w:rsidRDefault="00545A8D"/>
    <w:p w:rsidR="00545A8D" w:rsidRDefault="00545A8D"/>
    <w:p w:rsidR="00545A8D" w:rsidRDefault="00545A8D"/>
    <w:p w:rsidR="00545A8D" w:rsidRDefault="00545A8D"/>
  </w:footnote>
  <w:footnote w:type="continuationSeparator" w:id="0">
    <w:p w:rsidR="00545A8D" w:rsidRDefault="00545A8D" w:rsidP="00E547DB">
      <w:pPr>
        <w:spacing w:after="0" w:line="240" w:lineRule="auto"/>
      </w:pPr>
      <w:r>
        <w:continuationSeparator/>
      </w:r>
    </w:p>
    <w:p w:rsidR="00545A8D" w:rsidRDefault="00545A8D"/>
    <w:p w:rsidR="00545A8D" w:rsidRDefault="00545A8D"/>
    <w:p w:rsidR="00545A8D" w:rsidRDefault="00545A8D"/>
    <w:p w:rsidR="00545A8D" w:rsidRDefault="00545A8D"/>
    <w:p w:rsidR="00545A8D" w:rsidRDefault="00545A8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D0" w:rsidRPr="00E70DCE" w:rsidRDefault="006903D0"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6C7BE49D" wp14:editId="67FE57DD">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6903D0" w:rsidRPr="00F20A7C" w:rsidRDefault="006903D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6903D0" w:rsidRPr="00F20A7C" w:rsidRDefault="006903D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237DAAA7" wp14:editId="27089BB1">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6903D0" w:rsidRPr="00F20A7C" w:rsidRDefault="006903D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6903D0" w:rsidRPr="00F20A7C" w:rsidRDefault="006903D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D0" w:rsidRPr="009316A6" w:rsidRDefault="006903D0"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104992AC" wp14:editId="718C7AE4">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6903D0" w:rsidRPr="00F20A7C" w:rsidRDefault="006903D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6903D0" w:rsidRPr="00F20A7C" w:rsidRDefault="006903D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355375B0" wp14:editId="5DD6BA5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6903D0" w:rsidRPr="00F20A7C" w:rsidRDefault="006903D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6903D0" w:rsidRPr="00F20A7C" w:rsidRDefault="006903D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3D0" w:rsidRDefault="006903D0" w:rsidP="00180ABE">
    <w:pPr>
      <w:pStyle w:val="Header"/>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11B6F6BE" wp14:editId="3324A2C7">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6903D0" w:rsidRPr="00F20A7C" w:rsidRDefault="006903D0"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6903D0" w:rsidRPr="00F20A7C" w:rsidRDefault="006903D0"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1F857846" wp14:editId="5E63CFF2">
          <wp:extent cx="972312" cy="64922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6903D0" w:rsidRPr="00180ABE" w:rsidRDefault="006903D0"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C2B0EBB"/>
    <w:multiLevelType w:val="hybridMultilevel"/>
    <w:tmpl w:val="AAD643F4"/>
    <w:lvl w:ilvl="0" w:tplc="54A6E152">
      <w:start w:val="1"/>
      <w:numFmt w:val="lowerLetter"/>
      <w:pStyle w:val="RSCF01FootnoteAuthorAddress"/>
      <w:lvlText w:val="%1."/>
      <w:lvlJc w:val="left"/>
      <w:pPr>
        <w:ind w:left="36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C4793E"/>
    <w:multiLevelType w:val="hybridMultilevel"/>
    <w:tmpl w:val="1E5E52AA"/>
    <w:lvl w:ilvl="0" w:tplc="A2DA1D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embedTrueTypeFonts/>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74F3"/>
    <w:rsid w:val="00005B8A"/>
    <w:rsid w:val="00022D8A"/>
    <w:rsid w:val="00047499"/>
    <w:rsid w:val="00054FB8"/>
    <w:rsid w:val="00060389"/>
    <w:rsid w:val="000622D1"/>
    <w:rsid w:val="00071E41"/>
    <w:rsid w:val="00073639"/>
    <w:rsid w:val="000A2670"/>
    <w:rsid w:val="000C0A9D"/>
    <w:rsid w:val="000D2FAC"/>
    <w:rsid w:val="000D5891"/>
    <w:rsid w:val="000D6963"/>
    <w:rsid w:val="000E6941"/>
    <w:rsid w:val="000E7A32"/>
    <w:rsid w:val="000F0086"/>
    <w:rsid w:val="000F0311"/>
    <w:rsid w:val="000F0959"/>
    <w:rsid w:val="000F3A41"/>
    <w:rsid w:val="000F7801"/>
    <w:rsid w:val="00105FF9"/>
    <w:rsid w:val="0011050F"/>
    <w:rsid w:val="00120227"/>
    <w:rsid w:val="00126027"/>
    <w:rsid w:val="00134DE2"/>
    <w:rsid w:val="0014093A"/>
    <w:rsid w:val="001508E9"/>
    <w:rsid w:val="00153F32"/>
    <w:rsid w:val="001633D9"/>
    <w:rsid w:val="0016368B"/>
    <w:rsid w:val="00180ABE"/>
    <w:rsid w:val="001923AB"/>
    <w:rsid w:val="00196E2E"/>
    <w:rsid w:val="001C1EB8"/>
    <w:rsid w:val="002033DE"/>
    <w:rsid w:val="002060AB"/>
    <w:rsid w:val="00206A82"/>
    <w:rsid w:val="00214BEC"/>
    <w:rsid w:val="00237C8A"/>
    <w:rsid w:val="00241ACD"/>
    <w:rsid w:val="00253551"/>
    <w:rsid w:val="002601C6"/>
    <w:rsid w:val="00270CF3"/>
    <w:rsid w:val="00270DD5"/>
    <w:rsid w:val="00271235"/>
    <w:rsid w:val="00272D6F"/>
    <w:rsid w:val="00277ED4"/>
    <w:rsid w:val="002A5421"/>
    <w:rsid w:val="002C0803"/>
    <w:rsid w:val="002C251C"/>
    <w:rsid w:val="002C3D7C"/>
    <w:rsid w:val="002E5B1D"/>
    <w:rsid w:val="002E600B"/>
    <w:rsid w:val="002F52C3"/>
    <w:rsid w:val="00303167"/>
    <w:rsid w:val="0031225C"/>
    <w:rsid w:val="003415E9"/>
    <w:rsid w:val="003422A7"/>
    <w:rsid w:val="00352AA4"/>
    <w:rsid w:val="00354579"/>
    <w:rsid w:val="00356F00"/>
    <w:rsid w:val="00363B69"/>
    <w:rsid w:val="0037108F"/>
    <w:rsid w:val="0037563E"/>
    <w:rsid w:val="003762AF"/>
    <w:rsid w:val="00377481"/>
    <w:rsid w:val="00385965"/>
    <w:rsid w:val="00391A99"/>
    <w:rsid w:val="003977A8"/>
    <w:rsid w:val="003A7E95"/>
    <w:rsid w:val="003B2288"/>
    <w:rsid w:val="003B4755"/>
    <w:rsid w:val="003B739C"/>
    <w:rsid w:val="003C6313"/>
    <w:rsid w:val="003D2778"/>
    <w:rsid w:val="003D4266"/>
    <w:rsid w:val="003D4ECA"/>
    <w:rsid w:val="003D6715"/>
    <w:rsid w:val="003E3E5B"/>
    <w:rsid w:val="003E55B2"/>
    <w:rsid w:val="003F5755"/>
    <w:rsid w:val="00410F47"/>
    <w:rsid w:val="00422348"/>
    <w:rsid w:val="0043180D"/>
    <w:rsid w:val="004345AF"/>
    <w:rsid w:val="004414A5"/>
    <w:rsid w:val="0044700B"/>
    <w:rsid w:val="004474F3"/>
    <w:rsid w:val="00447B27"/>
    <w:rsid w:val="00467C80"/>
    <w:rsid w:val="00474052"/>
    <w:rsid w:val="004745E3"/>
    <w:rsid w:val="004877C8"/>
    <w:rsid w:val="004901D3"/>
    <w:rsid w:val="004B5EA4"/>
    <w:rsid w:val="004C2253"/>
    <w:rsid w:val="004C531E"/>
    <w:rsid w:val="004C6C90"/>
    <w:rsid w:val="004F3C6D"/>
    <w:rsid w:val="005037CD"/>
    <w:rsid w:val="00504795"/>
    <w:rsid w:val="00514CBA"/>
    <w:rsid w:val="0052630A"/>
    <w:rsid w:val="0053177A"/>
    <w:rsid w:val="00533EA1"/>
    <w:rsid w:val="005362DF"/>
    <w:rsid w:val="00545A8D"/>
    <w:rsid w:val="00560080"/>
    <w:rsid w:val="005712D1"/>
    <w:rsid w:val="005771C3"/>
    <w:rsid w:val="00577B54"/>
    <w:rsid w:val="005801DD"/>
    <w:rsid w:val="00586B9D"/>
    <w:rsid w:val="00590F6D"/>
    <w:rsid w:val="005A5A6D"/>
    <w:rsid w:val="005A5ED7"/>
    <w:rsid w:val="005A6527"/>
    <w:rsid w:val="005C1A41"/>
    <w:rsid w:val="005C4565"/>
    <w:rsid w:val="005C50CA"/>
    <w:rsid w:val="005E05CD"/>
    <w:rsid w:val="005E1718"/>
    <w:rsid w:val="0061572F"/>
    <w:rsid w:val="00626880"/>
    <w:rsid w:val="00641030"/>
    <w:rsid w:val="00645D52"/>
    <w:rsid w:val="0065133B"/>
    <w:rsid w:val="006556AC"/>
    <w:rsid w:val="006602F1"/>
    <w:rsid w:val="00670ED4"/>
    <w:rsid w:val="00672928"/>
    <w:rsid w:val="00674A86"/>
    <w:rsid w:val="006903D0"/>
    <w:rsid w:val="00692291"/>
    <w:rsid w:val="006A69C8"/>
    <w:rsid w:val="006D6163"/>
    <w:rsid w:val="006E58B1"/>
    <w:rsid w:val="006F01C4"/>
    <w:rsid w:val="006F487B"/>
    <w:rsid w:val="006F740B"/>
    <w:rsid w:val="00711015"/>
    <w:rsid w:val="00720A65"/>
    <w:rsid w:val="00741663"/>
    <w:rsid w:val="00744A41"/>
    <w:rsid w:val="00775C32"/>
    <w:rsid w:val="00780A41"/>
    <w:rsid w:val="00794787"/>
    <w:rsid w:val="007A37D8"/>
    <w:rsid w:val="007C3D03"/>
    <w:rsid w:val="007D1EFA"/>
    <w:rsid w:val="007D5FE4"/>
    <w:rsid w:val="0082054C"/>
    <w:rsid w:val="00850671"/>
    <w:rsid w:val="008560DE"/>
    <w:rsid w:val="0086335C"/>
    <w:rsid w:val="0088525A"/>
    <w:rsid w:val="008A0D60"/>
    <w:rsid w:val="008C1387"/>
    <w:rsid w:val="008C682F"/>
    <w:rsid w:val="008D19E0"/>
    <w:rsid w:val="008D6628"/>
    <w:rsid w:val="008E509B"/>
    <w:rsid w:val="008F2E78"/>
    <w:rsid w:val="008F4811"/>
    <w:rsid w:val="008F525A"/>
    <w:rsid w:val="009026D4"/>
    <w:rsid w:val="00904CC7"/>
    <w:rsid w:val="0091261B"/>
    <w:rsid w:val="00915B9E"/>
    <w:rsid w:val="00920B84"/>
    <w:rsid w:val="0092763E"/>
    <w:rsid w:val="009316A6"/>
    <w:rsid w:val="00936114"/>
    <w:rsid w:val="009400E9"/>
    <w:rsid w:val="00946830"/>
    <w:rsid w:val="00962779"/>
    <w:rsid w:val="009654EC"/>
    <w:rsid w:val="009918D9"/>
    <w:rsid w:val="00995391"/>
    <w:rsid w:val="009A392D"/>
    <w:rsid w:val="009A73E3"/>
    <w:rsid w:val="009C2D36"/>
    <w:rsid w:val="009D17C3"/>
    <w:rsid w:val="009D47C2"/>
    <w:rsid w:val="009E51F8"/>
    <w:rsid w:val="009F1B98"/>
    <w:rsid w:val="009F2649"/>
    <w:rsid w:val="009F3A17"/>
    <w:rsid w:val="00A074D7"/>
    <w:rsid w:val="00A17D23"/>
    <w:rsid w:val="00A208E1"/>
    <w:rsid w:val="00A2213A"/>
    <w:rsid w:val="00A23F2A"/>
    <w:rsid w:val="00A36406"/>
    <w:rsid w:val="00A521AB"/>
    <w:rsid w:val="00A52AD4"/>
    <w:rsid w:val="00A5544D"/>
    <w:rsid w:val="00A56CD0"/>
    <w:rsid w:val="00A61D3E"/>
    <w:rsid w:val="00A7643E"/>
    <w:rsid w:val="00A9649E"/>
    <w:rsid w:val="00AA1341"/>
    <w:rsid w:val="00AA4D36"/>
    <w:rsid w:val="00AB16D0"/>
    <w:rsid w:val="00AB2C1B"/>
    <w:rsid w:val="00AC3BF2"/>
    <w:rsid w:val="00AD03B3"/>
    <w:rsid w:val="00AD5483"/>
    <w:rsid w:val="00AF0249"/>
    <w:rsid w:val="00AF150F"/>
    <w:rsid w:val="00AF3267"/>
    <w:rsid w:val="00AF4737"/>
    <w:rsid w:val="00AF7AF1"/>
    <w:rsid w:val="00B0470A"/>
    <w:rsid w:val="00B15EFC"/>
    <w:rsid w:val="00B2364D"/>
    <w:rsid w:val="00B50F0F"/>
    <w:rsid w:val="00B53582"/>
    <w:rsid w:val="00B549D6"/>
    <w:rsid w:val="00B6239D"/>
    <w:rsid w:val="00B67630"/>
    <w:rsid w:val="00B70B18"/>
    <w:rsid w:val="00B722DE"/>
    <w:rsid w:val="00B73069"/>
    <w:rsid w:val="00B80DDB"/>
    <w:rsid w:val="00B81B49"/>
    <w:rsid w:val="00B81EE1"/>
    <w:rsid w:val="00B9392D"/>
    <w:rsid w:val="00BA761E"/>
    <w:rsid w:val="00BB3FBE"/>
    <w:rsid w:val="00BB6A21"/>
    <w:rsid w:val="00BC603D"/>
    <w:rsid w:val="00BD1525"/>
    <w:rsid w:val="00C03CE1"/>
    <w:rsid w:val="00C13C7B"/>
    <w:rsid w:val="00C3016F"/>
    <w:rsid w:val="00C31922"/>
    <w:rsid w:val="00C32EDF"/>
    <w:rsid w:val="00C350F7"/>
    <w:rsid w:val="00C405FD"/>
    <w:rsid w:val="00C42573"/>
    <w:rsid w:val="00C5024A"/>
    <w:rsid w:val="00C57107"/>
    <w:rsid w:val="00C62C2D"/>
    <w:rsid w:val="00C66115"/>
    <w:rsid w:val="00C81737"/>
    <w:rsid w:val="00C9227C"/>
    <w:rsid w:val="00C9473A"/>
    <w:rsid w:val="00CA1873"/>
    <w:rsid w:val="00CA2740"/>
    <w:rsid w:val="00CC12E6"/>
    <w:rsid w:val="00CC2E25"/>
    <w:rsid w:val="00CC7C64"/>
    <w:rsid w:val="00CD0B47"/>
    <w:rsid w:val="00CE1142"/>
    <w:rsid w:val="00CE6E6E"/>
    <w:rsid w:val="00CF539D"/>
    <w:rsid w:val="00CF5F1A"/>
    <w:rsid w:val="00D010E8"/>
    <w:rsid w:val="00D02C04"/>
    <w:rsid w:val="00D138E8"/>
    <w:rsid w:val="00D15190"/>
    <w:rsid w:val="00D20259"/>
    <w:rsid w:val="00D208BA"/>
    <w:rsid w:val="00D21668"/>
    <w:rsid w:val="00D216BC"/>
    <w:rsid w:val="00D27731"/>
    <w:rsid w:val="00D42F8F"/>
    <w:rsid w:val="00D45ADF"/>
    <w:rsid w:val="00D518AB"/>
    <w:rsid w:val="00D67C9B"/>
    <w:rsid w:val="00D70390"/>
    <w:rsid w:val="00D704BA"/>
    <w:rsid w:val="00D704F8"/>
    <w:rsid w:val="00D7118F"/>
    <w:rsid w:val="00DA07F1"/>
    <w:rsid w:val="00DC0C02"/>
    <w:rsid w:val="00DD06F4"/>
    <w:rsid w:val="00DD500F"/>
    <w:rsid w:val="00DF53E4"/>
    <w:rsid w:val="00E018FB"/>
    <w:rsid w:val="00E105B9"/>
    <w:rsid w:val="00E2136E"/>
    <w:rsid w:val="00E25AF8"/>
    <w:rsid w:val="00E31A6A"/>
    <w:rsid w:val="00E433E2"/>
    <w:rsid w:val="00E46BDF"/>
    <w:rsid w:val="00E547DB"/>
    <w:rsid w:val="00E555BF"/>
    <w:rsid w:val="00E604F6"/>
    <w:rsid w:val="00E61949"/>
    <w:rsid w:val="00E70DCE"/>
    <w:rsid w:val="00E80BAC"/>
    <w:rsid w:val="00EA446A"/>
    <w:rsid w:val="00EA7DC1"/>
    <w:rsid w:val="00EB1E55"/>
    <w:rsid w:val="00EB5BA2"/>
    <w:rsid w:val="00EB5C28"/>
    <w:rsid w:val="00EC141A"/>
    <w:rsid w:val="00EC5B19"/>
    <w:rsid w:val="00ED08A8"/>
    <w:rsid w:val="00ED4E90"/>
    <w:rsid w:val="00EE3AFB"/>
    <w:rsid w:val="00EF0D19"/>
    <w:rsid w:val="00EF1577"/>
    <w:rsid w:val="00EF3BF5"/>
    <w:rsid w:val="00EF6BD4"/>
    <w:rsid w:val="00F0156E"/>
    <w:rsid w:val="00F157DD"/>
    <w:rsid w:val="00F15F90"/>
    <w:rsid w:val="00F21465"/>
    <w:rsid w:val="00F23E7C"/>
    <w:rsid w:val="00F3543F"/>
    <w:rsid w:val="00F4560F"/>
    <w:rsid w:val="00F51BF5"/>
    <w:rsid w:val="00F52BC5"/>
    <w:rsid w:val="00F6065C"/>
    <w:rsid w:val="00F61EB1"/>
    <w:rsid w:val="00F62C8B"/>
    <w:rsid w:val="00F77DB7"/>
    <w:rsid w:val="00F802D4"/>
    <w:rsid w:val="00F91982"/>
    <w:rsid w:val="00F93C7B"/>
    <w:rsid w:val="00FA2DA2"/>
    <w:rsid w:val="00FA311A"/>
    <w:rsid w:val="00FB785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HTML Cite"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spacing w:line="200" w:lineRule="exact"/>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TFReferencesSection">
    <w:name w:val="TF_References_Section"/>
    <w:basedOn w:val="Normal"/>
    <w:next w:val="Normal"/>
    <w:autoRedefine/>
    <w:rsid w:val="004474F3"/>
    <w:pPr>
      <w:spacing w:after="0" w:line="240" w:lineRule="auto"/>
      <w:ind w:firstLine="187"/>
      <w:jc w:val="both"/>
    </w:pPr>
    <w:rPr>
      <w:rFonts w:ascii="Arno Pro" w:eastAsia="Times New Roman" w:hAnsi="Arno Pro" w:cs="Times New Roman"/>
      <w:color w:val="000000" w:themeColor="text1"/>
      <w:kern w:val="19"/>
      <w:sz w:val="17"/>
      <w:szCs w:val="14"/>
    </w:rPr>
  </w:style>
  <w:style w:type="character" w:styleId="EndnoteReference">
    <w:name w:val="endnote reference"/>
    <w:uiPriority w:val="99"/>
    <w:rsid w:val="004474F3"/>
    <w:rPr>
      <w:rFonts w:ascii="Times" w:hAnsi="Times"/>
      <w:sz w:val="18"/>
      <w:vertAlign w:val="superscript"/>
    </w:rPr>
  </w:style>
  <w:style w:type="character" w:styleId="CommentReference">
    <w:name w:val="annotation reference"/>
    <w:basedOn w:val="DefaultParagraphFont"/>
    <w:uiPriority w:val="99"/>
    <w:semiHidden/>
    <w:unhideWhenUsed/>
    <w:rsid w:val="00CF539D"/>
    <w:rPr>
      <w:sz w:val="16"/>
      <w:szCs w:val="16"/>
    </w:rPr>
  </w:style>
  <w:style w:type="paragraph" w:customStyle="1" w:styleId="TCTableBody">
    <w:name w:val="TC_Table_Body"/>
    <w:basedOn w:val="Normal"/>
    <w:next w:val="Normal"/>
    <w:link w:val="TCTableBodyChar"/>
    <w:autoRedefine/>
    <w:rsid w:val="00410F47"/>
    <w:pPr>
      <w:spacing w:before="20" w:after="60" w:line="240" w:lineRule="auto"/>
      <w:jc w:val="both"/>
    </w:pPr>
    <w:rPr>
      <w:rFonts w:eastAsia="Times New Roman" w:cs="Times New Roman"/>
      <w:kern w:val="20"/>
      <w:sz w:val="14"/>
      <w:szCs w:val="14"/>
      <w:lang w:val="en-US"/>
    </w:rPr>
  </w:style>
  <w:style w:type="character" w:customStyle="1" w:styleId="TCTableBodyChar">
    <w:name w:val="TC_Table_Body Char"/>
    <w:link w:val="TCTableBody"/>
    <w:rsid w:val="00410F47"/>
    <w:rPr>
      <w:rFonts w:eastAsia="Times New Roman" w:cs="Times New Roman"/>
      <w:kern w:val="20"/>
      <w:sz w:val="14"/>
      <w:szCs w:val="14"/>
      <w:lang w:val="en-US"/>
    </w:rPr>
  </w:style>
  <w:style w:type="character" w:styleId="HTMLCite">
    <w:name w:val="HTML Cite"/>
    <w:rsid w:val="0037563E"/>
    <w:rPr>
      <w:rFonts w:cs="Times New Roman"/>
      <w:i/>
      <w:iCs/>
    </w:rPr>
  </w:style>
  <w:style w:type="paragraph" w:customStyle="1" w:styleId="BGKeywords">
    <w:name w:val="BG_Keywords"/>
    <w:basedOn w:val="Normal"/>
    <w:rsid w:val="0037563E"/>
    <w:pPr>
      <w:spacing w:line="480" w:lineRule="auto"/>
      <w:jc w:val="both"/>
    </w:pPr>
    <w:rPr>
      <w:rFonts w:ascii="Times" w:eastAsia="Calibri" w:hAnsi="Times" w:cs="Times New Roman"/>
      <w:sz w:val="24"/>
      <w:szCs w:val="20"/>
      <w:lang w:val="en-US"/>
    </w:rPr>
  </w:style>
  <w:style w:type="paragraph" w:styleId="EndnoteText">
    <w:name w:val="endnote text"/>
    <w:basedOn w:val="Normal"/>
    <w:link w:val="EndnoteTextChar"/>
    <w:uiPriority w:val="99"/>
    <w:semiHidden/>
    <w:unhideWhenUsed/>
    <w:rsid w:val="00E433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33E2"/>
    <w:rPr>
      <w:sz w:val="20"/>
      <w:szCs w:val="20"/>
    </w:rPr>
  </w:style>
  <w:style w:type="paragraph" w:styleId="CommentText">
    <w:name w:val="annotation text"/>
    <w:basedOn w:val="Normal"/>
    <w:link w:val="CommentTextChar"/>
    <w:uiPriority w:val="99"/>
    <w:semiHidden/>
    <w:unhideWhenUsed/>
    <w:rsid w:val="008D6628"/>
    <w:pPr>
      <w:spacing w:line="240" w:lineRule="auto"/>
    </w:pPr>
    <w:rPr>
      <w:sz w:val="20"/>
      <w:szCs w:val="20"/>
    </w:rPr>
  </w:style>
  <w:style w:type="character" w:customStyle="1" w:styleId="CommentTextChar">
    <w:name w:val="Comment Text Char"/>
    <w:basedOn w:val="DefaultParagraphFont"/>
    <w:link w:val="CommentText"/>
    <w:uiPriority w:val="99"/>
    <w:semiHidden/>
    <w:rsid w:val="008D6628"/>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HTML Cite"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spacing w:line="200" w:lineRule="exact"/>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paragraph" w:customStyle="1" w:styleId="TFReferencesSection">
    <w:name w:val="TF_References_Section"/>
    <w:basedOn w:val="Normal"/>
    <w:next w:val="Normal"/>
    <w:autoRedefine/>
    <w:rsid w:val="004474F3"/>
    <w:pPr>
      <w:spacing w:after="0" w:line="240" w:lineRule="auto"/>
      <w:ind w:firstLine="187"/>
      <w:jc w:val="both"/>
    </w:pPr>
    <w:rPr>
      <w:rFonts w:ascii="Arno Pro" w:eastAsia="Times New Roman" w:hAnsi="Arno Pro" w:cs="Times New Roman"/>
      <w:color w:val="000000" w:themeColor="text1"/>
      <w:kern w:val="19"/>
      <w:sz w:val="17"/>
      <w:szCs w:val="14"/>
    </w:rPr>
  </w:style>
  <w:style w:type="character" w:styleId="EndnoteReference">
    <w:name w:val="endnote reference"/>
    <w:uiPriority w:val="99"/>
    <w:rsid w:val="004474F3"/>
    <w:rPr>
      <w:rFonts w:ascii="Times" w:hAnsi="Times"/>
      <w:sz w:val="18"/>
      <w:vertAlign w:val="superscript"/>
    </w:rPr>
  </w:style>
  <w:style w:type="character" w:styleId="CommentReference">
    <w:name w:val="annotation reference"/>
    <w:basedOn w:val="DefaultParagraphFont"/>
    <w:uiPriority w:val="99"/>
    <w:semiHidden/>
    <w:unhideWhenUsed/>
    <w:rsid w:val="00CF539D"/>
    <w:rPr>
      <w:sz w:val="16"/>
      <w:szCs w:val="16"/>
    </w:rPr>
  </w:style>
  <w:style w:type="paragraph" w:customStyle="1" w:styleId="TCTableBody">
    <w:name w:val="TC_Table_Body"/>
    <w:basedOn w:val="Normal"/>
    <w:next w:val="Normal"/>
    <w:link w:val="TCTableBodyChar"/>
    <w:autoRedefine/>
    <w:rsid w:val="00410F47"/>
    <w:pPr>
      <w:spacing w:before="20" w:after="60" w:line="240" w:lineRule="auto"/>
      <w:jc w:val="both"/>
    </w:pPr>
    <w:rPr>
      <w:rFonts w:eastAsia="Times New Roman" w:cs="Times New Roman"/>
      <w:kern w:val="20"/>
      <w:sz w:val="14"/>
      <w:szCs w:val="14"/>
      <w:lang w:val="en-US"/>
    </w:rPr>
  </w:style>
  <w:style w:type="character" w:customStyle="1" w:styleId="TCTableBodyChar">
    <w:name w:val="TC_Table_Body Char"/>
    <w:link w:val="TCTableBody"/>
    <w:rsid w:val="00410F47"/>
    <w:rPr>
      <w:rFonts w:eastAsia="Times New Roman" w:cs="Times New Roman"/>
      <w:kern w:val="20"/>
      <w:sz w:val="14"/>
      <w:szCs w:val="14"/>
      <w:lang w:val="en-US"/>
    </w:rPr>
  </w:style>
  <w:style w:type="character" w:styleId="HTMLCite">
    <w:name w:val="HTML Cite"/>
    <w:rsid w:val="0037563E"/>
    <w:rPr>
      <w:rFonts w:cs="Times New Roman"/>
      <w:i/>
      <w:iCs/>
    </w:rPr>
  </w:style>
  <w:style w:type="paragraph" w:customStyle="1" w:styleId="BGKeywords">
    <w:name w:val="BG_Keywords"/>
    <w:basedOn w:val="Normal"/>
    <w:rsid w:val="0037563E"/>
    <w:pPr>
      <w:spacing w:line="480" w:lineRule="auto"/>
      <w:jc w:val="both"/>
    </w:pPr>
    <w:rPr>
      <w:rFonts w:ascii="Times" w:eastAsia="Calibri" w:hAnsi="Times" w:cs="Times New Roman"/>
      <w:sz w:val="24"/>
      <w:szCs w:val="20"/>
      <w:lang w:val="en-US"/>
    </w:rPr>
  </w:style>
  <w:style w:type="paragraph" w:styleId="EndnoteText">
    <w:name w:val="endnote text"/>
    <w:basedOn w:val="Normal"/>
    <w:link w:val="EndnoteTextChar"/>
    <w:uiPriority w:val="99"/>
    <w:semiHidden/>
    <w:unhideWhenUsed/>
    <w:rsid w:val="00E433E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433E2"/>
    <w:rPr>
      <w:sz w:val="20"/>
      <w:szCs w:val="20"/>
    </w:rPr>
  </w:style>
  <w:style w:type="paragraph" w:styleId="CommentText">
    <w:name w:val="annotation text"/>
    <w:basedOn w:val="Normal"/>
    <w:link w:val="CommentTextChar"/>
    <w:uiPriority w:val="99"/>
    <w:semiHidden/>
    <w:unhideWhenUsed/>
    <w:rsid w:val="008D6628"/>
    <w:pPr>
      <w:spacing w:line="240" w:lineRule="auto"/>
    </w:pPr>
    <w:rPr>
      <w:sz w:val="20"/>
      <w:szCs w:val="20"/>
    </w:rPr>
  </w:style>
  <w:style w:type="character" w:customStyle="1" w:styleId="CommentTextChar">
    <w:name w:val="Comment Text Char"/>
    <w:basedOn w:val="DefaultParagraphFont"/>
    <w:link w:val="CommentText"/>
    <w:uiPriority w:val="99"/>
    <w:semiHidden/>
    <w:rsid w:val="008D662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8.jpeg"/><Relationship Id="rId39" Type="http://schemas.openxmlformats.org/officeDocument/2006/relationships/hyperlink" Target="https://en.wikipedia.org/wiki/Phenylalanine" TargetMode="Externa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yperlink" Target="https://en.wikipedia.org/wiki/Proline" TargetMode="External"/><Relationship Id="rId42" Type="http://schemas.openxmlformats.org/officeDocument/2006/relationships/hyperlink" Target="https://en.wikipedia.org/wiki/Phenylalanine"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emf"/><Relationship Id="rId25" Type="http://schemas.openxmlformats.org/officeDocument/2006/relationships/image" Target="media/image7.jpeg"/><Relationship Id="rId33" Type="http://schemas.openxmlformats.org/officeDocument/2006/relationships/hyperlink" Target="https://en.wikipedia.org/wiki/Serine" TargetMode="External"/><Relationship Id="rId38" Type="http://schemas.openxmlformats.org/officeDocument/2006/relationships/hyperlink" Target="https://en.wikipedia.org/wiki/Proline" TargetMode="Externa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yperlink" Target="https://en.wikipedia.org/wiki/Proline" TargetMode="External"/><Relationship Id="rId41" Type="http://schemas.openxmlformats.org/officeDocument/2006/relationships/hyperlink" Target="https://en.wikipedia.org/wiki/Prolin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oleObject5.bin"/><Relationship Id="rId32" Type="http://schemas.openxmlformats.org/officeDocument/2006/relationships/hyperlink" Target="https://en.wikipedia.org/wiki/Phenylalanine" TargetMode="External"/><Relationship Id="rId37" Type="http://schemas.openxmlformats.org/officeDocument/2006/relationships/hyperlink" Target="https://en.wikipedia.org/wiki/Serine" TargetMode="External"/><Relationship Id="rId40" Type="http://schemas.openxmlformats.org/officeDocument/2006/relationships/hyperlink" Target="https://en.wikipedia.org/wiki/Arginine"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hyperlink" Target="https://en.wikipedia.org/wiki/Arginine" TargetMode="External"/><Relationship Id="rId36" Type="http://schemas.openxmlformats.org/officeDocument/2006/relationships/hyperlink" Target="https://en.wikipedia.org/wiki/Arginine" TargetMode="Externa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hyperlink" Target="https://en.wikipedia.org/wiki/Glycine"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4.bin"/><Relationship Id="rId27" Type="http://schemas.openxmlformats.org/officeDocument/2006/relationships/image" Target="media/image9.jpeg"/><Relationship Id="rId30" Type="http://schemas.openxmlformats.org/officeDocument/2006/relationships/hyperlink" Target="https://en.wikipedia.org/wiki/Proline" TargetMode="External"/><Relationship Id="rId35" Type="http://schemas.openxmlformats.org/officeDocument/2006/relationships/hyperlink" Target="https://en.wikipedia.org/wiki/Phenylalanine" TargetMode="External"/><Relationship Id="rId43" Type="http://schemas.openxmlformats.org/officeDocument/2006/relationships/hyperlink" Target="https://en.wikipedia.org/wiki/Arginine" TargetMode="External"/></Relationships>
</file>

<file path=word/_rels/endnotes.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image" Target="media/image10.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cuments\York%202016\papers%20in%20preparation\peptide\chemsci\art-templat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E14B97-F2B3-4E6E-8818-043EE15FA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art-template-1.3</Template>
  <TotalTime>0</TotalTime>
  <Pages>7</Pages>
  <Words>3588</Words>
  <Characters>20454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23995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Mike</cp:lastModifiedBy>
  <cp:revision>2</cp:revision>
  <cp:lastPrinted>2014-10-09T15:34:00Z</cp:lastPrinted>
  <dcterms:created xsi:type="dcterms:W3CDTF">2017-03-01T12:49:00Z</dcterms:created>
  <dcterms:modified xsi:type="dcterms:W3CDTF">2017-03-01T12:49:00Z</dcterms:modified>
</cp:coreProperties>
</file>