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D3EFF" w14:textId="493AA14A" w:rsidR="00EA6423" w:rsidRPr="005950CC" w:rsidRDefault="00EA6423" w:rsidP="0073761B">
      <w:pPr>
        <w:pStyle w:val="MDPI11articletype"/>
        <w:rPr>
          <w:lang w:val="en-GB"/>
        </w:rPr>
      </w:pPr>
      <w:r w:rsidRPr="005950CC">
        <w:rPr>
          <w:lang w:val="en-GB"/>
        </w:rPr>
        <w:t>Article</w:t>
      </w:r>
    </w:p>
    <w:p w14:paraId="6326B379" w14:textId="1DCE7C2C" w:rsidR="00EA6423" w:rsidRPr="005950CC" w:rsidRDefault="009D119E" w:rsidP="0073761B">
      <w:pPr>
        <w:pStyle w:val="MDPI12title"/>
        <w:rPr>
          <w:lang w:val="en-GB"/>
        </w:rPr>
      </w:pPr>
      <w:r w:rsidRPr="005950CC">
        <w:rPr>
          <w:lang w:val="en-GB"/>
        </w:rPr>
        <w:t xml:space="preserve">Health, </w:t>
      </w:r>
      <w:r w:rsidR="0073761B" w:rsidRPr="005950CC">
        <w:rPr>
          <w:lang w:val="en-GB"/>
        </w:rPr>
        <w:t>Well</w:t>
      </w:r>
      <w:r w:rsidRPr="005950CC">
        <w:rPr>
          <w:lang w:val="en-GB"/>
        </w:rPr>
        <w:t>-</w:t>
      </w:r>
      <w:r w:rsidR="0073761B" w:rsidRPr="005950CC">
        <w:rPr>
          <w:lang w:val="en-GB"/>
        </w:rPr>
        <w:t xml:space="preserve">Being </w:t>
      </w:r>
      <w:r w:rsidRPr="005950CC">
        <w:rPr>
          <w:lang w:val="en-GB"/>
        </w:rPr>
        <w:t xml:space="preserve">and </w:t>
      </w:r>
      <w:r w:rsidR="0073761B" w:rsidRPr="005950CC">
        <w:rPr>
          <w:lang w:val="en-GB"/>
        </w:rPr>
        <w:t xml:space="preserve">Energy Poverty </w:t>
      </w:r>
      <w:r w:rsidRPr="005950CC">
        <w:rPr>
          <w:lang w:val="en-GB"/>
        </w:rPr>
        <w:t xml:space="preserve">in Europe: </w:t>
      </w:r>
      <w:r w:rsidR="0073761B" w:rsidRPr="005950CC">
        <w:rPr>
          <w:lang w:val="en-GB"/>
        </w:rPr>
        <w:t xml:space="preserve">A Comparative Study </w:t>
      </w:r>
      <w:r w:rsidRPr="005950CC">
        <w:rPr>
          <w:lang w:val="en-GB"/>
        </w:rPr>
        <w:t xml:space="preserve">of 32 European </w:t>
      </w:r>
      <w:r w:rsidR="0073761B" w:rsidRPr="005950CC">
        <w:rPr>
          <w:lang w:val="en-GB"/>
        </w:rPr>
        <w:t>Countries</w:t>
      </w:r>
    </w:p>
    <w:p w14:paraId="5EC005F1" w14:textId="5FB52EFC" w:rsidR="00D87983" w:rsidRPr="005950CC" w:rsidRDefault="009D119E" w:rsidP="0073761B">
      <w:pPr>
        <w:pStyle w:val="MDPI13authornames"/>
        <w:rPr>
          <w:lang w:val="en-GB"/>
        </w:rPr>
      </w:pPr>
      <w:r w:rsidRPr="005950CC">
        <w:rPr>
          <w:lang w:val="en-GB"/>
        </w:rPr>
        <w:t xml:space="preserve">Harriet </w:t>
      </w:r>
      <w:r w:rsidRPr="005950CC">
        <w:rPr>
          <w:color w:val="auto"/>
          <w:lang w:val="en-GB"/>
        </w:rPr>
        <w:t>Thomson</w:t>
      </w:r>
      <w:r w:rsidR="00D87983" w:rsidRPr="005950CC">
        <w:rPr>
          <w:color w:val="auto"/>
          <w:lang w:val="en-GB"/>
        </w:rPr>
        <w:t xml:space="preserve"> </w:t>
      </w:r>
      <w:r w:rsidR="00D87983" w:rsidRPr="005950CC">
        <w:rPr>
          <w:color w:val="auto"/>
          <w:vertAlign w:val="superscript"/>
          <w:lang w:val="en-GB"/>
        </w:rPr>
        <w:t>1</w:t>
      </w:r>
      <w:proofErr w:type="gramStart"/>
      <w:r w:rsidR="00C76B07" w:rsidRPr="005950CC">
        <w:rPr>
          <w:color w:val="auto"/>
          <w:vertAlign w:val="superscript"/>
          <w:lang w:val="en-GB"/>
        </w:rPr>
        <w:t>,</w:t>
      </w:r>
      <w:r w:rsidRPr="005950CC">
        <w:rPr>
          <w:color w:val="auto"/>
          <w:lang w:val="en-GB"/>
        </w:rPr>
        <w:t>*</w:t>
      </w:r>
      <w:proofErr w:type="gramEnd"/>
      <w:r w:rsidR="00447133" w:rsidRPr="005950CC">
        <w:rPr>
          <w:color w:val="auto"/>
          <w:lang w:val="en-GB"/>
        </w:rPr>
        <w:t>, Carolyn Snell</w:t>
      </w:r>
      <w:r w:rsidR="00D87983" w:rsidRPr="005950CC">
        <w:rPr>
          <w:color w:val="auto"/>
          <w:lang w:val="en-GB"/>
        </w:rPr>
        <w:t xml:space="preserve"> </w:t>
      </w:r>
      <w:r w:rsidR="00D87983" w:rsidRPr="005950CC">
        <w:rPr>
          <w:vertAlign w:val="superscript"/>
          <w:lang w:val="en-GB"/>
        </w:rPr>
        <w:t>2</w:t>
      </w:r>
      <w:r w:rsidR="00447133" w:rsidRPr="005950CC">
        <w:rPr>
          <w:lang w:val="en-GB"/>
        </w:rPr>
        <w:t xml:space="preserve"> and Stefan Bouzarovski</w:t>
      </w:r>
      <w:r w:rsidR="00D87983" w:rsidRPr="005950CC">
        <w:rPr>
          <w:lang w:val="en-GB"/>
        </w:rPr>
        <w:t xml:space="preserve"> </w:t>
      </w:r>
      <w:r w:rsidR="00447133" w:rsidRPr="005950CC">
        <w:rPr>
          <w:vertAlign w:val="superscript"/>
          <w:lang w:val="en-GB"/>
        </w:rPr>
        <w:t>1</w:t>
      </w:r>
    </w:p>
    <w:p w14:paraId="07B0D85A" w14:textId="5B30F022" w:rsidR="004638D9" w:rsidRPr="005950CC" w:rsidRDefault="004638D9" w:rsidP="0073761B">
      <w:pPr>
        <w:pStyle w:val="MDPI16affiliation"/>
        <w:rPr>
          <w:lang w:val="en-GB"/>
        </w:rPr>
      </w:pPr>
      <w:r w:rsidRPr="005950CC">
        <w:rPr>
          <w:vertAlign w:val="superscript"/>
          <w:lang w:val="en-GB"/>
        </w:rPr>
        <w:t>1</w:t>
      </w:r>
      <w:r w:rsidRPr="005950CC">
        <w:rPr>
          <w:lang w:val="en-GB"/>
        </w:rPr>
        <w:tab/>
      </w:r>
      <w:r w:rsidR="00E954B6" w:rsidRPr="005950CC">
        <w:rPr>
          <w:lang w:val="en-GB"/>
        </w:rPr>
        <w:t xml:space="preserve">School of Environment, </w:t>
      </w:r>
      <w:r w:rsidR="00131F66" w:rsidRPr="005950CC">
        <w:rPr>
          <w:lang w:val="en-GB"/>
        </w:rPr>
        <w:t xml:space="preserve">Education and Development, </w:t>
      </w:r>
      <w:r w:rsidR="00F5119D" w:rsidRPr="005950CC">
        <w:rPr>
          <w:lang w:val="en-GB"/>
        </w:rPr>
        <w:t xml:space="preserve">University of Manchester, </w:t>
      </w:r>
      <w:r w:rsidR="00F5119D" w:rsidRPr="005950CC">
        <w:rPr>
          <w:rStyle w:val="xbe"/>
          <w:lang w:val="en-GB"/>
        </w:rPr>
        <w:t>Manchester M13 9PL, UK</w:t>
      </w:r>
      <w:r w:rsidR="00F5119D" w:rsidRPr="005950CC">
        <w:rPr>
          <w:lang w:val="en-GB"/>
        </w:rPr>
        <w:t>;</w:t>
      </w:r>
      <w:r w:rsidR="00447133" w:rsidRPr="005950CC">
        <w:rPr>
          <w:lang w:val="en-GB"/>
        </w:rPr>
        <w:t xml:space="preserve"> </w:t>
      </w:r>
      <w:r w:rsidR="00F5119D" w:rsidRPr="005950CC">
        <w:rPr>
          <w:lang w:val="en-GB"/>
        </w:rPr>
        <w:t>s</w:t>
      </w:r>
      <w:r w:rsidR="00447133" w:rsidRPr="005950CC">
        <w:rPr>
          <w:lang w:val="en-GB"/>
        </w:rPr>
        <w:t>tef</w:t>
      </w:r>
      <w:r w:rsidR="002E21AA">
        <w:rPr>
          <w:lang w:val="en-GB"/>
        </w:rPr>
        <w:t>an.bouzarovski@manchester.ac.uk</w:t>
      </w:r>
    </w:p>
    <w:p w14:paraId="2668BA75" w14:textId="66D38FF1" w:rsidR="004638D9" w:rsidRPr="005950CC" w:rsidRDefault="004638D9" w:rsidP="0073761B">
      <w:pPr>
        <w:pStyle w:val="MDPI16affiliation"/>
        <w:rPr>
          <w:lang w:val="en-GB"/>
        </w:rPr>
      </w:pPr>
      <w:r w:rsidRPr="005950CC">
        <w:rPr>
          <w:vertAlign w:val="superscript"/>
          <w:lang w:val="en-GB"/>
        </w:rPr>
        <w:t>2</w:t>
      </w:r>
      <w:r w:rsidR="00131F66" w:rsidRPr="005950CC">
        <w:rPr>
          <w:lang w:val="en-GB"/>
        </w:rPr>
        <w:tab/>
      </w:r>
      <w:r w:rsidR="00447133" w:rsidRPr="005950CC">
        <w:rPr>
          <w:lang w:val="en-GB"/>
        </w:rPr>
        <w:t>Department of Soc</w:t>
      </w:r>
      <w:r w:rsidR="00131F66" w:rsidRPr="005950CC">
        <w:rPr>
          <w:lang w:val="en-GB"/>
        </w:rPr>
        <w:t xml:space="preserve">ial Policy and Social Work, </w:t>
      </w:r>
      <w:r w:rsidR="00447133" w:rsidRPr="005950CC">
        <w:rPr>
          <w:lang w:val="en-GB"/>
        </w:rPr>
        <w:t>University of York</w:t>
      </w:r>
      <w:r w:rsidR="00F5119D" w:rsidRPr="005950CC">
        <w:rPr>
          <w:lang w:val="en-GB"/>
        </w:rPr>
        <w:t xml:space="preserve">, York </w:t>
      </w:r>
      <w:r w:rsidR="00F5119D" w:rsidRPr="005950CC">
        <w:rPr>
          <w:rStyle w:val="xbe"/>
          <w:lang w:val="en-GB"/>
        </w:rPr>
        <w:t>YO10 5DD</w:t>
      </w:r>
      <w:r w:rsidR="00F5119D" w:rsidRPr="005950CC">
        <w:rPr>
          <w:lang w:val="en-GB"/>
        </w:rPr>
        <w:t>, UK</w:t>
      </w:r>
      <w:r w:rsidRPr="005950CC">
        <w:rPr>
          <w:lang w:val="en-GB"/>
        </w:rPr>
        <w:t xml:space="preserve">; </w:t>
      </w:r>
      <w:r w:rsidR="00F5119D" w:rsidRPr="005950CC">
        <w:rPr>
          <w:lang w:val="en-GB"/>
        </w:rPr>
        <w:t>c</w:t>
      </w:r>
      <w:r w:rsidR="002E21AA">
        <w:rPr>
          <w:lang w:val="en-GB"/>
        </w:rPr>
        <w:t>arolyn.snell@york.ac.uk</w:t>
      </w:r>
    </w:p>
    <w:p w14:paraId="1AC5D21A" w14:textId="736C0C0A" w:rsidR="004638D9" w:rsidRPr="005950CC" w:rsidRDefault="004638D9" w:rsidP="0073761B">
      <w:pPr>
        <w:pStyle w:val="Mdeck2authorcorrespondence"/>
        <w:rPr>
          <w:lang w:val="en-GB"/>
        </w:rPr>
      </w:pPr>
      <w:r w:rsidRPr="005950CC">
        <w:rPr>
          <w:b/>
          <w:lang w:val="en-GB"/>
        </w:rPr>
        <w:t>*</w:t>
      </w:r>
      <w:r w:rsidRPr="005950CC">
        <w:rPr>
          <w:lang w:val="en-GB"/>
        </w:rPr>
        <w:tab/>
        <w:t>C</w:t>
      </w:r>
      <w:r w:rsidR="00447133" w:rsidRPr="005950CC">
        <w:rPr>
          <w:lang w:val="en-GB"/>
        </w:rPr>
        <w:t>orrespondence: harriet.thomson@manchester.ac.uk</w:t>
      </w:r>
    </w:p>
    <w:p w14:paraId="321A00BE" w14:textId="315E85F7" w:rsidR="007D58E2" w:rsidRPr="005950CC" w:rsidRDefault="00211749" w:rsidP="0073761B">
      <w:pPr>
        <w:pStyle w:val="MDPI15academiceditor"/>
        <w:spacing w:before="120" w:after="0"/>
        <w:rPr>
          <w:lang w:val="en-GB"/>
        </w:rPr>
      </w:pPr>
      <w:r w:rsidRPr="005950CC">
        <w:rPr>
          <w:lang w:val="en-GB"/>
        </w:rPr>
        <w:t>Academic Editor: Paul B. Tchounwou</w:t>
      </w:r>
    </w:p>
    <w:p w14:paraId="2A9B55F0" w14:textId="2EA41720" w:rsidR="007D58E2" w:rsidRPr="005950CC" w:rsidRDefault="00211749" w:rsidP="0073761B">
      <w:pPr>
        <w:pStyle w:val="MDPI14history"/>
        <w:spacing w:before="0"/>
        <w:rPr>
          <w:lang w:val="en-GB"/>
        </w:rPr>
      </w:pPr>
      <w:r w:rsidRPr="005950CC">
        <w:rPr>
          <w:lang w:val="en-GB"/>
        </w:rPr>
        <w:t>Received: 13 April 2017</w:t>
      </w:r>
      <w:r w:rsidR="007D58E2" w:rsidRPr="005950CC">
        <w:rPr>
          <w:lang w:val="en-GB"/>
        </w:rPr>
        <w:t xml:space="preserve">; Accepted: </w:t>
      </w:r>
      <w:r w:rsidRPr="005950CC">
        <w:rPr>
          <w:lang w:val="en-GB"/>
        </w:rPr>
        <w:t>26 May 2017</w:t>
      </w:r>
      <w:r w:rsidR="007D58E2" w:rsidRPr="005950CC">
        <w:rPr>
          <w:lang w:val="en-GB"/>
        </w:rPr>
        <w:t xml:space="preserve">; Published: </w:t>
      </w:r>
      <w:r w:rsidR="002E21AA">
        <w:rPr>
          <w:lang w:val="en-GB"/>
        </w:rPr>
        <w:t>31 May 2017</w:t>
      </w:r>
    </w:p>
    <w:p w14:paraId="431FBAE9" w14:textId="1FBD3C2E" w:rsidR="00501C7D" w:rsidRPr="005950CC" w:rsidRDefault="00EA6423" w:rsidP="00B544E2">
      <w:pPr>
        <w:pStyle w:val="MDPI17abstract"/>
        <w:rPr>
          <w:lang w:val="en-GB"/>
        </w:rPr>
      </w:pPr>
      <w:r w:rsidRPr="005950CC">
        <w:rPr>
          <w:b/>
          <w:lang w:val="en-GB"/>
        </w:rPr>
        <w:t>Abstract:</w:t>
      </w:r>
      <w:r w:rsidRPr="005950CC">
        <w:rPr>
          <w:lang w:val="en-GB"/>
        </w:rPr>
        <w:t xml:space="preserve"> </w:t>
      </w:r>
      <w:r w:rsidR="00501C7D" w:rsidRPr="005950CC">
        <w:rPr>
          <w:lang w:val="en-GB"/>
        </w:rPr>
        <w:t>Despite growing pan-European interest in and awareness of the wide-ranging health and well-</w:t>
      </w:r>
      <w:r w:rsidR="00B87655" w:rsidRPr="005950CC">
        <w:rPr>
          <w:lang w:val="en-GB"/>
        </w:rPr>
        <w:t>being impacts of energy poverty—</w:t>
      </w:r>
      <w:r w:rsidR="00501C7D" w:rsidRPr="005950CC">
        <w:rPr>
          <w:lang w:val="en-GB"/>
        </w:rPr>
        <w:t xml:space="preserve">which is characterised by an inability to secure </w:t>
      </w:r>
      <w:proofErr w:type="gramStart"/>
      <w:r w:rsidR="00501C7D" w:rsidRPr="005950CC">
        <w:rPr>
          <w:lang w:val="en-GB"/>
        </w:rPr>
        <w:t>adequate</w:t>
      </w:r>
      <w:proofErr w:type="gramEnd"/>
      <w:r w:rsidR="00501C7D" w:rsidRPr="005950CC">
        <w:rPr>
          <w:lang w:val="en-GB"/>
        </w:rPr>
        <w:t xml:space="preserve"> levels </w:t>
      </w:r>
      <w:r w:rsidR="00B87655" w:rsidRPr="005950CC">
        <w:rPr>
          <w:lang w:val="en-GB"/>
        </w:rPr>
        <w:t>of energy services in the home—</w:t>
      </w:r>
      <w:r w:rsidR="00501C7D" w:rsidRPr="005950CC">
        <w:rPr>
          <w:lang w:val="en-GB"/>
        </w:rPr>
        <w:t xml:space="preserve">the knowledge base is largely British-centric and dominated by </w:t>
      </w:r>
      <w:r w:rsidR="00D521BE" w:rsidRPr="005950CC">
        <w:rPr>
          <w:lang w:val="en-GB"/>
        </w:rPr>
        <w:t>single-</w:t>
      </w:r>
      <w:r w:rsidR="00501C7D" w:rsidRPr="005950CC">
        <w:rPr>
          <w:lang w:val="en-GB"/>
        </w:rPr>
        <w:t xml:space="preserve">country studies. In response, this paper investigates the relationship between energy poverty, health and </w:t>
      </w:r>
      <w:proofErr w:type="gramStart"/>
      <w:r w:rsidR="00501C7D" w:rsidRPr="005950CC">
        <w:rPr>
          <w:lang w:val="en-GB"/>
        </w:rPr>
        <w:t>well-being</w:t>
      </w:r>
      <w:proofErr w:type="gramEnd"/>
      <w:r w:rsidR="00501C7D" w:rsidRPr="005950CC">
        <w:rPr>
          <w:lang w:val="en-GB"/>
        </w:rPr>
        <w:t xml:space="preserve"> across 32 European countries, using 2012 data from the European Quality of Life Survey. We find an uneven concentration of energy poverty, poor health, and poor </w:t>
      </w:r>
      <w:proofErr w:type="gramStart"/>
      <w:r w:rsidR="00501C7D" w:rsidRPr="005950CC">
        <w:rPr>
          <w:lang w:val="en-GB"/>
        </w:rPr>
        <w:t>well-being</w:t>
      </w:r>
      <w:proofErr w:type="gramEnd"/>
      <w:r w:rsidR="00501C7D" w:rsidRPr="005950CC">
        <w:rPr>
          <w:lang w:val="en-GB"/>
        </w:rPr>
        <w:t xml:space="preserve"> across Europe, </w:t>
      </w:r>
      <w:r w:rsidR="00275630" w:rsidRPr="005950CC">
        <w:rPr>
          <w:lang w:val="en-GB"/>
        </w:rPr>
        <w:t xml:space="preserve">with </w:t>
      </w:r>
      <w:r w:rsidR="00501C7D" w:rsidRPr="005950CC">
        <w:rPr>
          <w:lang w:val="en-GB"/>
        </w:rPr>
        <w:t>Eastern an</w:t>
      </w:r>
      <w:r w:rsidR="00275630" w:rsidRPr="005950CC">
        <w:rPr>
          <w:lang w:val="en-GB"/>
        </w:rPr>
        <w:t>d Central Europe</w:t>
      </w:r>
      <w:r w:rsidR="00501C7D" w:rsidRPr="005950CC">
        <w:rPr>
          <w:lang w:val="en-GB"/>
        </w:rPr>
        <w:t xml:space="preserve"> worst affected. At the intersection of energy poverty and health, there is a higher incidence of poor health (both physical and </w:t>
      </w:r>
      <w:r w:rsidR="007D2D1A" w:rsidRPr="005950CC">
        <w:rPr>
          <w:lang w:val="en-GB"/>
        </w:rPr>
        <w:t>mental</w:t>
      </w:r>
      <w:r w:rsidR="00501C7D" w:rsidRPr="005950CC">
        <w:rPr>
          <w:lang w:val="en-GB"/>
        </w:rPr>
        <w:t xml:space="preserve">) amongst the energy poor populations of most countries, compared to non-energy poor households. Interestingly, we find the largest disparities in health and well-being levels between energy poor and non-energy poor households occur within relatively equal societies, such as Sweden and Slovenia. As well as the unique challenges brought about by rapidly changing energy landscapes in these countries, we also suggest the relative deprivation theory and processes of social comparison hold some value in explaining these findings. </w:t>
      </w:r>
    </w:p>
    <w:p w14:paraId="33525A3B" w14:textId="5F979640" w:rsidR="00EA6423" w:rsidRPr="005950CC" w:rsidRDefault="00EA6423" w:rsidP="00B544E2">
      <w:pPr>
        <w:pStyle w:val="MDPI18keywords"/>
        <w:rPr>
          <w:lang w:val="en-GB"/>
        </w:rPr>
      </w:pPr>
      <w:r w:rsidRPr="005950CC">
        <w:rPr>
          <w:b/>
          <w:lang w:val="en-GB"/>
        </w:rPr>
        <w:t>Keywords:</w:t>
      </w:r>
      <w:r w:rsidRPr="005950CC">
        <w:rPr>
          <w:lang w:val="en-GB"/>
        </w:rPr>
        <w:t xml:space="preserve"> </w:t>
      </w:r>
      <w:r w:rsidR="001204ED" w:rsidRPr="005950CC">
        <w:rPr>
          <w:lang w:val="en-GB"/>
        </w:rPr>
        <w:t>energy poverty; fuel poverty</w:t>
      </w:r>
      <w:r w:rsidR="00140795" w:rsidRPr="005950CC">
        <w:rPr>
          <w:lang w:val="en-GB"/>
        </w:rPr>
        <w:t xml:space="preserve">; relative deprivation; health inequalities; </w:t>
      </w:r>
      <w:proofErr w:type="gramStart"/>
      <w:r w:rsidR="00140795" w:rsidRPr="005950CC">
        <w:rPr>
          <w:lang w:val="en-GB"/>
        </w:rPr>
        <w:t>well-being</w:t>
      </w:r>
      <w:proofErr w:type="gramEnd"/>
    </w:p>
    <w:p w14:paraId="795C5E40" w14:textId="77777777" w:rsidR="00EA6423" w:rsidRPr="005950CC" w:rsidRDefault="00EA6423" w:rsidP="00B544E2">
      <w:pPr>
        <w:pStyle w:val="MDPI19line"/>
        <w:pBdr>
          <w:bottom w:val="single" w:sz="4" w:space="1" w:color="auto"/>
        </w:pBdr>
        <w:spacing w:after="480"/>
        <w:rPr>
          <w:lang w:val="en-GB"/>
        </w:rPr>
      </w:pPr>
    </w:p>
    <w:p w14:paraId="7F62F31F" w14:textId="622019DB" w:rsidR="009906F4" w:rsidRPr="005950CC" w:rsidRDefault="00EA6423" w:rsidP="00B544E2">
      <w:pPr>
        <w:pStyle w:val="MDPI21heading1"/>
        <w:rPr>
          <w:lang w:val="en-GB"/>
        </w:rPr>
      </w:pPr>
      <w:r w:rsidRPr="005950CC">
        <w:rPr>
          <w:lang w:val="en-GB" w:eastAsia="zh-CN"/>
        </w:rPr>
        <w:t xml:space="preserve">1. </w:t>
      </w:r>
      <w:r w:rsidRPr="005950CC">
        <w:rPr>
          <w:lang w:val="en-GB"/>
        </w:rPr>
        <w:t>Introduction</w:t>
      </w:r>
    </w:p>
    <w:p w14:paraId="46153549" w14:textId="54EA118C" w:rsidR="003A2FC7" w:rsidRPr="005950CC" w:rsidRDefault="009906F4" w:rsidP="00B544E2">
      <w:pPr>
        <w:pStyle w:val="MDPI31text"/>
        <w:rPr>
          <w:rFonts w:eastAsia="宋体"/>
          <w:color w:val="auto"/>
          <w:lang w:val="en-GB" w:eastAsia="en-US"/>
        </w:rPr>
      </w:pPr>
      <w:r w:rsidRPr="005950CC">
        <w:rPr>
          <w:lang w:val="en-GB"/>
        </w:rPr>
        <w:t xml:space="preserve">Energy poverty is typically attributed to an interaction between low incomes, energy inefficiency and energy prices </w:t>
      </w:r>
      <w:r w:rsidRPr="005950CC">
        <w:rPr>
          <w:lang w:val="en-GB"/>
        </w:rPr>
        <w:fldChar w:fldCharType="begin"/>
      </w:r>
      <w:r w:rsidRPr="005950CC">
        <w:rPr>
          <w:lang w:val="en-GB"/>
        </w:rPr>
        <w:instrText xml:space="preserve"> ADDIN ZOTERO_ITEM CSL_CITATION {"citationID":"25725f004l","properties":{"formattedCitation":"[1]","plainCitation":"[1]"},"citationItems":[{"id":15,"uris":["http://zotero.org/users/3767271/items/KC97BIZ2"],"uri":["http://zotero.org/users/3767271/items/KC97BIZ2"],"itemData":{"id":15,"type":"article-journal","title":"Fuel poverty synthesis: Lessons learnt, actions needed","container-title":"Energy Policy","page":"143-148","volume":"49","source":"ScienceDirect","journalAbbreviation":"Energy Policy","author":[{"family":"Boardman","given":"Brenda"}],"issued":{"date-parts":[["2012"]]}}}],"schema":"https://github.com/citation-style-language/schema/raw/master/csl-citation.json"} </w:instrText>
      </w:r>
      <w:r w:rsidRPr="005950CC">
        <w:rPr>
          <w:lang w:val="en-GB"/>
        </w:rPr>
        <w:fldChar w:fldCharType="separate"/>
      </w:r>
      <w:r w:rsidR="00BD20C8" w:rsidRPr="005950CC">
        <w:rPr>
          <w:lang w:val="en-GB"/>
        </w:rPr>
        <w:t>[1]</w:t>
      </w:r>
      <w:r w:rsidRPr="005950CC">
        <w:rPr>
          <w:lang w:val="en-GB"/>
        </w:rPr>
        <w:fldChar w:fldCharType="end"/>
      </w:r>
      <w:r w:rsidRPr="005950CC">
        <w:rPr>
          <w:lang w:val="en-GB"/>
        </w:rPr>
        <w:t xml:space="preserve">, and may be compounded by other factors such as tenure type, age, and health status </w:t>
      </w:r>
      <w:r w:rsidRPr="005950CC">
        <w:rPr>
          <w:lang w:val="en-GB"/>
        </w:rPr>
        <w:fldChar w:fldCharType="begin"/>
      </w:r>
      <w:r w:rsidRPr="005950CC">
        <w:rPr>
          <w:lang w:val="en-GB"/>
        </w:rPr>
        <w:instrText xml:space="preserve"> ADDIN ZOTERO_ITEM CSL_CITATION {"citationID":"18te19oogm","properties":{"formattedCitation":"[2]","plainCitation":"[2]"},"citationItems":[{"id":503,"uris":["http://zotero.org/users/3767271/items/EPPV7GSA"],"uri":["http://zotero.org/users/3767271/items/EPPV7GSA"],"itemData":{"id":503,"type":"article-journal","title":"Predicting fuel poverty at a small-area level in England","container-title":"Energy Policy","page":"4370-4377","volume":"39","issue":"7","source":"ScienceDirect","abstract":"This paper describes the development of a series of models for predicting the incidence of fuel poverty in England at a small-area level and examines the adequacy of the modelled results in informing our understanding of the geography of fuel poverty. This paper summarises the development of alternative approaches to model specification based upon different approaches to the treatment of household income. Since 2003 small-area fuel poverty estimates have been widely used to inform affordable warmth policies and local targeting of fuel poverty programs. Whilst improvements in data sources and methods in recent years provide an opportunity to better understand the spatial distribution of fuel poverty, these analyses suggest that our understanding of the incidence and spatial distribution of fuel poverty is highly sensitive to the way in which household incomes are measured.","DOI":"10.1016/j.enpol.2011.04.057","journalAbbreviation":"Energy Policy","author":[{"family":"Fahmy","given":"Eldin"},{"family":"Gordon","given":"David"},{"family":"Patsios","given":"Demi"}],"issued":{"date-parts":[["2011"]]}}}],"schema":"https://github.com/citation-style-language/schema/raw/master/csl-citation.json"} </w:instrText>
      </w:r>
      <w:r w:rsidRPr="005950CC">
        <w:rPr>
          <w:lang w:val="en-GB"/>
        </w:rPr>
        <w:fldChar w:fldCharType="separate"/>
      </w:r>
      <w:r w:rsidR="00BD20C8" w:rsidRPr="005950CC">
        <w:rPr>
          <w:lang w:val="en-GB"/>
        </w:rPr>
        <w:t>[2]</w:t>
      </w:r>
      <w:r w:rsidRPr="005950CC">
        <w:rPr>
          <w:lang w:val="en-GB"/>
        </w:rPr>
        <w:fldChar w:fldCharType="end"/>
      </w:r>
      <w:r w:rsidRPr="005950CC">
        <w:rPr>
          <w:lang w:val="en-GB"/>
        </w:rPr>
        <w:t>. In addition to rising energy costs, the economic downturn, and cuts to pub</w:t>
      </w:r>
      <w:r w:rsidR="00B87655" w:rsidRPr="005950CC">
        <w:rPr>
          <w:lang w:val="en-GB"/>
        </w:rPr>
        <w:t>lic sector have all been linked—</w:t>
      </w:r>
      <w:r w:rsidRPr="005950CC">
        <w:rPr>
          <w:lang w:val="en-GB"/>
        </w:rPr>
        <w:t>at least in passing</w:t>
      </w:r>
      <w:r w:rsidR="00B87655" w:rsidRPr="005950CC">
        <w:rPr>
          <w:lang w:val="en-GB"/>
        </w:rPr>
        <w:t>—</w:t>
      </w:r>
      <w:r w:rsidRPr="005950CC">
        <w:rPr>
          <w:lang w:val="en-GB"/>
        </w:rPr>
        <w:t xml:space="preserve">to an increase in energy poverty </w:t>
      </w:r>
      <w:r w:rsidRPr="005950CC">
        <w:rPr>
          <w:lang w:val="en-GB"/>
        </w:rPr>
        <w:fldChar w:fldCharType="begin"/>
      </w:r>
      <w:r w:rsidRPr="005950CC">
        <w:rPr>
          <w:lang w:val="en-GB"/>
        </w:rPr>
        <w:instrText xml:space="preserve"> ADDIN ZOTERO_ITEM CSL_CITATION {"citationID":"1c3ip8os9a","properties":{"formattedCitation":"[3,4]","plainCitation":"[3,4]"},"citationItems":[{"id":546,"uris":["http://zotero.org/users/3767271/items/4D6VKK38"],"uri":["http://zotero.org/users/3767271/items/4D6VKK38"],"itemData":{"id":546,"type":"report","title":"The Tipping Point: The human and economic cost of cutting disabled people’s support","publisher":"The Hardest Hit coalition","publisher-place":"London","event-place":"London","author":[{"family":"Kaye","given":"Andrew"},{"family":"Jordan","given":"Hayley"},{"family":"Baker","given":"Mark"}],"issued":{"date-parts":[["2012"]]}}},{"id":608,"uris":["http://zotero.org/users/3767271/items/JJGPS3FE"],"uri":["http://zotero.org/users/3767271/items/JJGPS3FE"],"itemData":{"id":608,"type":"report","title":"Tracking the lives of disabled families through the cuts: Destination Unknown Autumn 2011","publisher":"DEMOS","publisher-place":"London","event-place":"London","author":[{"family":"Wood","given":"C."}],"issued":{"date-parts":[["2011"]]}}}],"schema":"https://github.com/citation-style-language/schema/raw/master/csl-citation.json"} </w:instrText>
      </w:r>
      <w:r w:rsidRPr="005950CC">
        <w:rPr>
          <w:lang w:val="en-GB"/>
        </w:rPr>
        <w:fldChar w:fldCharType="separate"/>
      </w:r>
      <w:r w:rsidR="00BD20C8" w:rsidRPr="005950CC">
        <w:rPr>
          <w:lang w:val="en-GB"/>
        </w:rPr>
        <w:t>[3,4]</w:t>
      </w:r>
      <w:r w:rsidRPr="005950CC">
        <w:rPr>
          <w:lang w:val="en-GB"/>
        </w:rPr>
        <w:fldChar w:fldCharType="end"/>
      </w:r>
      <w:r w:rsidRPr="005950CC">
        <w:rPr>
          <w:lang w:val="en-GB"/>
        </w:rPr>
        <w:t xml:space="preserve">. At the heart of most discussions of energy poverty lies concern about the affordability of energy </w:t>
      </w:r>
      <w:r w:rsidRPr="005950CC">
        <w:rPr>
          <w:lang w:val="en-GB"/>
        </w:rPr>
        <w:fldChar w:fldCharType="begin"/>
      </w:r>
      <w:r w:rsidRPr="005950CC">
        <w:rPr>
          <w:lang w:val="en-GB"/>
        </w:rPr>
        <w:instrText xml:space="preserve"> ADDIN ZOTERO_ITEM CSL_CITATION {"citationID":"2b4no3u414","properties":{"formattedCitation":"{\\rtf [1,5\\uc0\\u8211{}7]}","plainCitation":"[1,5–7]"},"citationItems":[{"id":15,"uris":["http://zotero.org/users/3767271/items/KC97BIZ2"],"uri":["http://zotero.org/users/3767271/items/KC97BIZ2"],"itemData":{"id":15,"type":"article-journal","title":"Fuel poverty synthesis: Lessons learnt, actions needed","container-title":"Energy Policy","page":"143-148","volume":"49","source":"ScienceDirect","journalAbbreviation":"Energy Policy","author":[{"family":"Boardman","given":"Brenda"}],"issued":{"date-parts":[["2012"]]}}},{"id":122,"uris":["http://zotero.org/users/3767271/items/IF7KS2DN"],"uri":["http://zotero.org/users/3767271/items/IF7KS2DN"],"itemData":{"id":122,"type":"report","title":"Getting the measure of fuel poverty: Final Report of the Fuel Poverty Review","collection-title":"CASE Report 72","publisher-place":"London","event-place":"London","author":[{"family":"Hills","given":"John"}],"issued":{"date-parts":[["2012"]]}}},{"id":547,"uris":["http://zotero.org/users/3767271/items/MVHPDINP"],"uri":["http://zotero.org/users/3767271/items/MVHPDINP"],"itemData":{"id":547,"type":"report","title":"Fuel Poverty: Perspectives from the front line","collection-title":"Fuel Poverty Series","publisher":"University of Sheffield, Centre for Energy, Environment and Sustainability","publisher-place":"Sheffield","event-place":"Sheffield","author":[{"family":"Koh","given":"L"},{"family":"Marchand","given":"Robert"},{"family":"Genovese","given":"A."},{"family":"Brennan","given":"A."}],"issued":{"date-parts":[["2012"]]}}},{"id":607,"uris":["http://zotero.org/users/3767271/items/83HJ8GUR"],"uri":["http://zotero.org/users/3767271/items/83HJ8GUR"],"itemData":{"id":607,"type":"report","title":"Affordability of utilities' services: extent, practice, policy","publisher":"Centre on Regulation in Europe","publisher-place":"Brussels","event-place":"Brussels","author":[{"family":"Waddams","given":"C."},{"family":"Deller","given":"D."}],"issued":{"date-parts":[["2015"]]}}}],"schema":"https://github.com/citation-style-language/schema/raw/master/csl-citation.json"} </w:instrText>
      </w:r>
      <w:r w:rsidRPr="005950CC">
        <w:rPr>
          <w:lang w:val="en-GB"/>
        </w:rPr>
        <w:fldChar w:fldCharType="separate"/>
      </w:r>
      <w:r w:rsidR="00BD20C8" w:rsidRPr="005950CC">
        <w:rPr>
          <w:lang w:val="en-GB"/>
        </w:rPr>
        <w:t>[1,5</w:t>
      </w:r>
      <w:r w:rsidR="00B87655" w:rsidRPr="005950CC">
        <w:rPr>
          <w:lang w:val="en-GB"/>
        </w:rPr>
        <w:t>–</w:t>
      </w:r>
      <w:r w:rsidR="00BD20C8" w:rsidRPr="005950CC">
        <w:rPr>
          <w:lang w:val="en-GB"/>
        </w:rPr>
        <w:t>7]</w:t>
      </w:r>
      <w:r w:rsidRPr="005950CC">
        <w:rPr>
          <w:lang w:val="en-GB"/>
        </w:rPr>
        <w:fldChar w:fldCharType="end"/>
      </w:r>
      <w:r w:rsidRPr="005950CC">
        <w:rPr>
          <w:lang w:val="en-GB"/>
        </w:rPr>
        <w:t xml:space="preserve">. This focus has been shaped by the highly influential work of Brenda Boardman </w:t>
      </w:r>
      <w:r w:rsidRPr="005950CC">
        <w:rPr>
          <w:lang w:val="en-GB"/>
        </w:rPr>
        <w:fldChar w:fldCharType="begin"/>
      </w:r>
      <w:r w:rsidRPr="005950CC">
        <w:rPr>
          <w:lang w:val="en-GB"/>
        </w:rPr>
        <w:instrText xml:space="preserve"> ADDIN ZOTERO_ITEM CSL_CITATION {"citationID":"k1ZKhBF1","properties":{"formattedCitation":"[8]","plainCitation":"[8]"},"citationItems":[{"id":19,"uris":["http://zotero.org/users/3767271/items/M5KQ6BH7"],"uri":["http://zotero.org/users/3767271/items/M5KQ6BH7"],"itemData":{"id":19,"type":"book","title":"Fuel poverty: from cold homes to affordable warmth","publisher":"Belhaven Press","publisher-place":"London","event-place":"London","author":[{"family":"Boardman","given":"Brenda"}],"issued":{"date-parts":[["1991"]]}},"suppress-author":true}],"schema":"https://github.com/citation-style-language/schema/raw/master/csl-citation.json"} </w:instrText>
      </w:r>
      <w:r w:rsidRPr="005950CC">
        <w:rPr>
          <w:lang w:val="en-GB"/>
        </w:rPr>
        <w:fldChar w:fldCharType="separate"/>
      </w:r>
      <w:r w:rsidR="00BD20C8" w:rsidRPr="005950CC">
        <w:rPr>
          <w:lang w:val="en-GB"/>
        </w:rPr>
        <w:t>[8]</w:t>
      </w:r>
      <w:r w:rsidRPr="005950CC">
        <w:rPr>
          <w:lang w:val="en-GB"/>
        </w:rPr>
        <w:fldChar w:fldCharType="end"/>
      </w:r>
      <w:r w:rsidRPr="005950CC">
        <w:rPr>
          <w:lang w:val="en-GB"/>
        </w:rPr>
        <w:t xml:space="preserve"> that conceptualised energy poverty as </w:t>
      </w:r>
      <w:r w:rsidR="00B87655" w:rsidRPr="005950CC">
        <w:rPr>
          <w:lang w:val="en-GB"/>
        </w:rPr>
        <w:t>‘</w:t>
      </w:r>
      <w:r w:rsidRPr="005950CC">
        <w:rPr>
          <w:lang w:val="en-GB"/>
        </w:rPr>
        <w:t>the inability to afford adequate warmth because of the inefficiency of the home</w:t>
      </w:r>
      <w:r w:rsidR="00B87655" w:rsidRPr="005950CC">
        <w:rPr>
          <w:lang w:val="en-GB"/>
        </w:rPr>
        <w:t>’</w:t>
      </w:r>
      <w:r w:rsidRPr="005950CC">
        <w:rPr>
          <w:lang w:val="en-GB"/>
        </w:rPr>
        <w:t xml:space="preserve"> (which built on previous affordability research conducted by researchers such as Lewis </w:t>
      </w:r>
      <w:r w:rsidRPr="005950CC">
        <w:rPr>
          <w:lang w:val="en-GB"/>
        </w:rPr>
        <w:fldChar w:fldCharType="begin"/>
      </w:r>
      <w:r w:rsidRPr="005950CC">
        <w:rPr>
          <w:lang w:val="en-GB"/>
        </w:rPr>
        <w:instrText xml:space="preserve"> ADDIN ZOTERO_ITEM CSL_CITATION {"citationID":"1a88jqcn29","properties":{"formattedCitation":"[9]","plainCitation":"[9]"},"citationItems":[{"id":552,"uris":["http://zotero.org/users/3767271/items/VNXW99NX"],"uri":["http://zotero.org/users/3767271/items/VNXW99NX"],"itemData":{"id":552,"type":"report","title":"Fuel poverty can be stopped","publisher":"National Right to Fuel Campaign","publisher-place":"Bradford","event-place":"Bradford","author":[{"family":"Lewis","given":"P."}],"issued":{"date-parts":[["1982"]]}},"suppress-author":true}],"schema":"https://github.com/citation-style-language/schema/raw/master/csl-citation.json"} </w:instrText>
      </w:r>
      <w:r w:rsidRPr="005950CC">
        <w:rPr>
          <w:lang w:val="en-GB"/>
        </w:rPr>
        <w:fldChar w:fldCharType="separate"/>
      </w:r>
      <w:r w:rsidR="00BD20C8" w:rsidRPr="005950CC">
        <w:rPr>
          <w:lang w:val="en-GB"/>
        </w:rPr>
        <w:t>[9]</w:t>
      </w:r>
      <w:r w:rsidRPr="005950CC">
        <w:rPr>
          <w:lang w:val="en-GB"/>
        </w:rPr>
        <w:fldChar w:fldCharType="end"/>
      </w:r>
      <w:r w:rsidRPr="005950CC">
        <w:rPr>
          <w:lang w:val="en-GB"/>
        </w:rPr>
        <w:t xml:space="preserve">), and has subsequently been developed by academics such as John Hills </w:t>
      </w:r>
      <w:r w:rsidRPr="005950CC">
        <w:rPr>
          <w:lang w:val="en-GB"/>
        </w:rPr>
        <w:fldChar w:fldCharType="begin"/>
      </w:r>
      <w:r w:rsidRPr="005950CC">
        <w:rPr>
          <w:lang w:val="en-GB"/>
        </w:rPr>
        <w:instrText xml:space="preserve"> ADDIN ZOTERO_ITEM CSL_CITATION {"citationID":"LSwm9dIr","properties":{"formattedCitation":"[5]","plainCitation":"[5]"},"citationItems":[{"id":122,"uris":["http://zotero.org/users/3767271/items/IF7KS2DN"],"uri":["http://zotero.org/users/3767271/items/IF7KS2DN"],"itemData":{"id":122,"type":"report","title":"Getting the measure of fuel poverty: Final Report of the Fuel Poverty Review","collection-title":"CASE Report 72","publisher-place":"London","event-place":"London","author":[{"family":"Hills","given":"John"}],"issued":{"date-parts":[["2012"]]}},"suppress-author":true}],"schema":"https://github.com/citation-style-language/schema/raw/master/csl-citation.json"} </w:instrText>
      </w:r>
      <w:r w:rsidRPr="005950CC">
        <w:rPr>
          <w:lang w:val="en-GB"/>
        </w:rPr>
        <w:fldChar w:fldCharType="separate"/>
      </w:r>
      <w:r w:rsidR="00BD20C8" w:rsidRPr="005950CC">
        <w:rPr>
          <w:lang w:val="en-GB"/>
        </w:rPr>
        <w:t>[5]</w:t>
      </w:r>
      <w:r w:rsidRPr="005950CC">
        <w:rPr>
          <w:lang w:val="en-GB"/>
        </w:rPr>
        <w:fldChar w:fldCharType="end"/>
      </w:r>
      <w:r w:rsidRPr="005950CC">
        <w:rPr>
          <w:lang w:val="en-GB"/>
        </w:rPr>
        <w:t xml:space="preserve"> in the 2010s </w:t>
      </w:r>
      <w:r w:rsidRPr="005950CC">
        <w:rPr>
          <w:lang w:val="en-GB"/>
        </w:rPr>
        <w:fldChar w:fldCharType="begin"/>
      </w:r>
      <w:r w:rsidRPr="005950CC">
        <w:rPr>
          <w:lang w:val="en-GB"/>
        </w:rPr>
        <w:instrText xml:space="preserve"> ADDIN ZOTERO_ITEM CSL_CITATION {"citationID":"BjIpASir","properties":{"formattedCitation":"[6]","plainCitation":"[6]"},"citationItems":[{"id":547,"uris":["http://zotero.org/users/3767271/items/MVHPDINP"],"uri":["http://zotero.org/users/3767271/items/MVHPDINP"],"itemData":{"id":547,"type":"report","title":"Fuel Poverty: Perspectives from the front line","collection-title":"Fuel Poverty Series","publisher":"University of Sheffield, Centre for Energy, Environment and Sustainability","publisher-place":"Sheffield","event-place":"Sheffield","author":[{"family":"Koh","given":"L"},{"family":"Marchand","given":"Robert"},{"family":"Genovese","given":"A."},{"family":"Brennan","given":"A."}],"issued":{"date-parts":[["2012"]]}},"locator":"3"}],"schema":"https://github.com/citation-style-language/schema/raw/master/csl-citation.json"} </w:instrText>
      </w:r>
      <w:r w:rsidRPr="005950CC">
        <w:rPr>
          <w:lang w:val="en-GB"/>
        </w:rPr>
        <w:fldChar w:fldCharType="separate"/>
      </w:r>
      <w:r w:rsidR="00BD20C8" w:rsidRPr="005950CC">
        <w:rPr>
          <w:lang w:val="en-GB"/>
        </w:rPr>
        <w:t>[6]</w:t>
      </w:r>
      <w:r w:rsidRPr="005950CC">
        <w:rPr>
          <w:lang w:val="en-GB"/>
        </w:rPr>
        <w:fldChar w:fldCharType="end"/>
      </w:r>
      <w:r w:rsidRPr="005950CC">
        <w:rPr>
          <w:lang w:val="en-GB"/>
        </w:rPr>
        <w:t xml:space="preserve">. </w:t>
      </w:r>
      <w:r w:rsidR="003A2FC7" w:rsidRPr="005950CC">
        <w:rPr>
          <w:lang w:val="en-GB"/>
        </w:rPr>
        <w:t xml:space="preserve">Whilst research conducted in the UK has typically focused on warmth there is </w:t>
      </w:r>
      <w:r w:rsidR="007D1E10" w:rsidRPr="005950CC">
        <w:rPr>
          <w:lang w:val="en-GB"/>
        </w:rPr>
        <w:t xml:space="preserve">also </w:t>
      </w:r>
      <w:r w:rsidR="003A2FC7" w:rsidRPr="005950CC">
        <w:rPr>
          <w:lang w:val="en-GB"/>
        </w:rPr>
        <w:t>a growing literature base that</w:t>
      </w:r>
      <w:r w:rsidR="004D55DB" w:rsidRPr="005950CC">
        <w:rPr>
          <w:lang w:val="en-GB"/>
        </w:rPr>
        <w:t xml:space="preserve">, amongst other things, </w:t>
      </w:r>
      <w:r w:rsidR="003A2FC7" w:rsidRPr="005950CC">
        <w:rPr>
          <w:lang w:val="en-GB"/>
        </w:rPr>
        <w:t>indicates the importance of access to energy for cooling purposes</w:t>
      </w:r>
      <w:r w:rsidR="007D1E10" w:rsidRPr="005950CC">
        <w:rPr>
          <w:lang w:val="en-GB"/>
        </w:rPr>
        <w:t xml:space="preserve"> in countries with warmer climates</w:t>
      </w:r>
      <w:r w:rsidR="003A2FC7" w:rsidRPr="005950CC">
        <w:rPr>
          <w:lang w:val="en-GB"/>
        </w:rPr>
        <w:t xml:space="preserve"> </w:t>
      </w:r>
      <w:r w:rsidR="000517C5" w:rsidRPr="005950CC">
        <w:rPr>
          <w:lang w:val="en-GB"/>
        </w:rPr>
        <w:t>(</w:t>
      </w:r>
      <w:r w:rsidR="003A2FC7" w:rsidRPr="005950CC">
        <w:rPr>
          <w:lang w:val="en-GB"/>
        </w:rPr>
        <w:t>see for example</w:t>
      </w:r>
      <w:r w:rsidR="000517C5" w:rsidRPr="005950CC">
        <w:rPr>
          <w:lang w:val="en-GB"/>
        </w:rPr>
        <w:t xml:space="preserve"> </w:t>
      </w:r>
      <w:r w:rsidR="000517C5" w:rsidRPr="005950CC">
        <w:rPr>
          <w:lang w:val="en-GB"/>
        </w:rPr>
        <w:fldChar w:fldCharType="begin"/>
      </w:r>
      <w:r w:rsidR="000517C5" w:rsidRPr="005950CC">
        <w:rPr>
          <w:lang w:val="en-GB"/>
        </w:rPr>
        <w:instrText xml:space="preserve"> ADDIN ZOTERO_ITEM CSL_CITATION {"citationID":"9lqcj99gk","properties":{"formattedCitation":"[10,11]","plainCitation":"[10,11]"},"citationItems":[{"id":680,"uris":["http://zotero.org/users/3767271/items/5G2KXIZD"],"uri":["http://zotero.org/users/3767271/items/5G2KXIZD"],"itemData":{"id":680,"type":"report","title":"Pobreza energética en España. Análisis de tendencias","publisher":"Asociación de Ciencias Ambientales","publisher-place":"Madrid","event-place":"Madrid","author":[{"family":"Tirado Herrero","given":"S"},{"family":"Jiménez Meneses","given":"L"},{"family":"López Fernández","given":"J.L"},{"family":"Martín García","given":"J"}],"issued":{"date-parts":[["2014"]]}}},{"id":32,"uris":["http://zotero.org/users/3767271/items/EDWVUVR8"],"uri":["http://zotero.org/users/3767271/items/EDWVUVR8"],"itemData":{"id":32,"type":"article-journal","title":"A global perspective on domestic energy deprivation: Overcoming the energy poverty–fuel poverty binary","container-title":"Energy Research &amp; Social Science","page":"31-40","volume":"10","source":"ScienceDirect","journalAbbreviation":"Energy Research &amp; Social Science","author":[{"family":"Bouzarovski","given":"Stefan"},{"family":"Petrova","given":"Saska"}],"issued":{"date-parts":[["2015"]]}}}],"schema":"https://github.com/citation-style-language/schema/raw/master/csl-citation.json"} </w:instrText>
      </w:r>
      <w:r w:rsidR="000517C5" w:rsidRPr="005950CC">
        <w:rPr>
          <w:lang w:val="en-GB"/>
        </w:rPr>
        <w:fldChar w:fldCharType="separate"/>
      </w:r>
      <w:r w:rsidR="000517C5" w:rsidRPr="005950CC">
        <w:rPr>
          <w:noProof/>
          <w:lang w:val="en-GB"/>
        </w:rPr>
        <w:t>[10,11]</w:t>
      </w:r>
      <w:r w:rsidR="000517C5" w:rsidRPr="005950CC">
        <w:rPr>
          <w:lang w:val="en-GB"/>
        </w:rPr>
        <w:fldChar w:fldCharType="end"/>
      </w:r>
      <w:r w:rsidR="000517C5" w:rsidRPr="005950CC">
        <w:rPr>
          <w:lang w:val="en-GB"/>
        </w:rPr>
        <w:t>).</w:t>
      </w:r>
    </w:p>
    <w:p w14:paraId="4A0BE821" w14:textId="2BEE712B" w:rsidR="009906F4" w:rsidRPr="005950CC" w:rsidRDefault="009906F4" w:rsidP="00B544E2">
      <w:pPr>
        <w:pStyle w:val="MDPI31text"/>
        <w:rPr>
          <w:lang w:val="en-GB"/>
        </w:rPr>
      </w:pPr>
      <w:r w:rsidRPr="005950CC">
        <w:rPr>
          <w:lang w:val="en-GB"/>
        </w:rPr>
        <w:t xml:space="preserve">At a policy level energy poverty has been measured on the basis of the affordability of energy in the UK, and over the last decade the approach has gained resonance with other European countries, with France and Ireland adopting an affordability measure, and Slovakia and Austria being in the process of developing one. It should be noted that within some contexts, most notably </w:t>
      </w:r>
      <w:r w:rsidRPr="005950CC">
        <w:rPr>
          <w:lang w:val="en-GB"/>
        </w:rPr>
        <w:lastRenderedPageBreak/>
        <w:t xml:space="preserve">in the UK, energy poverty has been recognised via the term fuel poverty, and the two terms are often used interchangeably, even within official EU policy documents </w:t>
      </w:r>
      <w:r w:rsidRPr="005950CC">
        <w:rPr>
          <w:lang w:val="en-GB"/>
        </w:rPr>
        <w:fldChar w:fldCharType="begin"/>
      </w:r>
      <w:r w:rsidR="000517C5" w:rsidRPr="005950CC">
        <w:rPr>
          <w:lang w:val="en-GB"/>
        </w:rPr>
        <w:instrText xml:space="preserve"> ADDIN ZOTERO_ITEM CSL_CITATION {"citationID":"2ehm8s1lom","properties":{"formattedCitation":"[12]","plainCitation":"[12]"},"citationItems":[{"id":193,"uris":["http://zotero.org/users/3767271/items/T5FBK69K"],"uri":["http://zotero.org/users/3767271/items/T5FBK69K"],"itemData":{"id":193,"type":"article-journal","title":"Fuel poverty in the European Union: a concept in need of definition?","container-title":"People, Place and Policy","page":"5-24","volume":"10","issue":"1","author":[{"family":"Thomson","given":"Harriet"},{"family":"Snell","given":"Carolyn"},{"family":"Liddell","given":"Christine"}],"issued":{"date-parts":[["2016"]]}}}],"schema":"https://github.com/citation-style-language/schema/raw/master/csl-citation.json"} </w:instrText>
      </w:r>
      <w:r w:rsidRPr="005950CC">
        <w:rPr>
          <w:lang w:val="en-GB"/>
        </w:rPr>
        <w:fldChar w:fldCharType="separate"/>
      </w:r>
      <w:r w:rsidR="000517C5" w:rsidRPr="005950CC">
        <w:rPr>
          <w:lang w:val="en-GB"/>
        </w:rPr>
        <w:t>[12]</w:t>
      </w:r>
      <w:r w:rsidRPr="005950CC">
        <w:rPr>
          <w:lang w:val="en-GB"/>
        </w:rPr>
        <w:fldChar w:fldCharType="end"/>
      </w:r>
      <w:r w:rsidR="00B87655" w:rsidRPr="005950CC">
        <w:rPr>
          <w:lang w:val="en-GB"/>
        </w:rPr>
        <w:t>.</w:t>
      </w:r>
    </w:p>
    <w:p w14:paraId="1BF05770" w14:textId="750C3C05" w:rsidR="009906F4" w:rsidRPr="005950CC" w:rsidRDefault="009906F4" w:rsidP="00B544E2">
      <w:pPr>
        <w:pStyle w:val="MDPI31text"/>
        <w:rPr>
          <w:lang w:val="en-GB"/>
        </w:rPr>
      </w:pPr>
      <w:r w:rsidRPr="005950CC">
        <w:rPr>
          <w:lang w:val="en-GB"/>
        </w:rPr>
        <w:t xml:space="preserve">Alongside a substantial body of literature that has considered the definition and measurement of energy poverty at the national </w:t>
      </w:r>
      <w:r w:rsidRPr="005950CC">
        <w:rPr>
          <w:lang w:val="en-GB"/>
        </w:rPr>
        <w:fldChar w:fldCharType="begin"/>
      </w:r>
      <w:r w:rsidR="000517C5" w:rsidRPr="005950CC">
        <w:rPr>
          <w:lang w:val="en-GB"/>
        </w:rPr>
        <w:instrText xml:space="preserve"> ADDIN ZOTERO_ITEM CSL_CITATION {"citationID":"2jcr47oiso","properties":{"formattedCitation":"{\\rtf [13\\uc0\\u8211{}16]}","plainCitation":"[13–16]"},"citationItems":[{"id":28,"uris":["http://zotero.org/users/3767271/items/HFRS7FF9"],"uri":["http://zotero.org/users/3767271/items/HFRS7FF9"],"itemData":{"id":28,"type":"article-journal","title":"Unpacking the spaces and politics of energy poverty: path-dependencies, deprivation and fuel switching in post-communist Hungary","container-title":"Local Environment","page":"1151-1170","volume":"21","issue":"9","source":"Taylor and Francis+NEJM","abstract":"This paper focuses on the embeddedness of energy poverty – understood as the inability to secure a socially and materially necessitated level of energy services in the home – in the socio-technical legacies inherited from past development trajectories, as well as broader economic and institutional landscapes. Using Hungary as an example, we explore the recent expansion of energy poverty across different demographic and income groups. While much of the mainstream literature focuses on cases where energy poverty affects distinct social groups and issues, our analyses examine the systemic implications of a form of deprivation that involves a much wider range of social and spatial strata. We develop a framework that highlights the different ways in which inadequate access to energy services has resulted in the emergence of new political reconfigurations among a variety of actors, while prompting the articulation of household strategies with far-reaching structural consequences.","author":[{"family":"Bouzarovski","given":"Stefan"},{"family":"Tirado Herrero","given":"Sergio"},{"family":"Petrova","given":"Saska"},{"family":"Ürge-Vorsatz","given":"Diana"}],"issued":{"date-parts":[["2016"]]}}},{"id":129,"uris":["http://zotero.org/users/3767271/items/55DPX5XH"],"uri":["http://zotero.org/users/3767271/items/55DPX5XH"],"itemData":{"id":129,"type":"article-journal","title":"Combating Energy Poverty in Mountainous Areas Through Energy-saving Interventions","container-title":"Mountain Research and Development","page":"284-292","volume":"31","issue":"4","source":"bioone.org (Atypon)","journalAbbreviation":"Mountain Research and Development","author":[{"family":"Katsoulakos","given":"Nikolas"}],"issued":{"date-parts":[["2011"]]}}},{"id":137,"uris":["http://zotero.org/users/3767271/items/5RRTT5I9"],"uri":["http://zotero.org/users/3767271/items/5RRTT5I9"],"itemData":{"id":137,"type":"article-journal","title":"Measuring fuel poverty in France: Which households are the most fuel vulnerable?","container-title":"Energy Economics","page":"620-628","volume":"49","source":"ScienceDirect","abstract":"Fuel poverty is a growing concern in France. Following a hike in energy prices that started in 2004, the problem of energy affordability for low-income households entered the political debate with the “Grenelle de l'environnement” in 2007. According to the standard UK definition (more than 10% of income spent on domestic energy) 3.8 million households were subject to fuel poverty in France in 2006 however, this is according to one precise computation and other computations may offer differing conclusions. We question the way fuel poverty is currently measured and compare the impact of different existing measurement approaches on the extent and composition of fuel poverty in France. We then identify fuel vulnerable households as those households that are not ordinarily poor when considering income net of housing costs, but turn poor because of their domestic fuel expenses. A logit, a C log–log and a mixed effect logit model are used to analyse which factors influence the probability of being fuel vulnerable. Data analysis indicates that the proportion of fuel poor people and their characteristics differ significantly depending on the fuel poverty measure chosen. The econometric results show that the probability of being fuel vulnerable is higher for those who are retired, living alone, rent their home, use an individual boiler for heating, cook with butane or propane and have poor roof insulation.","journalAbbreviation":"Energy Economics","author":[{"family":"Legendre","given":"Bérangère"},{"family":"Ricci","given":"Olivia"}],"issued":{"date-parts":[["2015"]]}}},{"id":173,"uris":["http://zotero.org/users/3767271/items/5U42X77C"],"uri":["http://zotero.org/users/3767271/items/5U42X77C"],"itemData":{"id":173,"type":"article-journal","title":"The Dynamics of Energy Poverty: Evidence from Spain","container-title":"Economics of Energy &amp; Environmental Policy","volume":"4","issue":"1","author":[{"family":"Phimister","given":"E"},{"family":"Vera-Toscano","given":"E"},{"family":"Roberts","given":"D"}],"issued":{"date-parts":[["2015"]]}}}],"schema":"https://github.com/citation-style-language/schema/raw/master/csl-citation.json"} </w:instrText>
      </w:r>
      <w:r w:rsidRPr="005950CC">
        <w:rPr>
          <w:lang w:val="en-GB"/>
        </w:rPr>
        <w:fldChar w:fldCharType="separate"/>
      </w:r>
      <w:r w:rsidR="000517C5" w:rsidRPr="005950CC">
        <w:rPr>
          <w:szCs w:val="24"/>
          <w:lang w:val="en-GB"/>
        </w:rPr>
        <w:t>[13</w:t>
      </w:r>
      <w:r w:rsidR="00B87655" w:rsidRPr="005950CC">
        <w:rPr>
          <w:szCs w:val="24"/>
          <w:lang w:val="en-GB"/>
        </w:rPr>
        <w:t>–</w:t>
      </w:r>
      <w:r w:rsidR="000517C5" w:rsidRPr="005950CC">
        <w:rPr>
          <w:szCs w:val="24"/>
          <w:lang w:val="en-GB"/>
        </w:rPr>
        <w:t>16]</w:t>
      </w:r>
      <w:r w:rsidRPr="005950CC">
        <w:rPr>
          <w:lang w:val="en-GB"/>
        </w:rPr>
        <w:fldChar w:fldCharType="end"/>
      </w:r>
      <w:r w:rsidRPr="005950CC">
        <w:rPr>
          <w:lang w:val="en-GB"/>
        </w:rPr>
        <w:t xml:space="preserve"> and pan-European scale </w:t>
      </w:r>
      <w:r w:rsidRPr="005950CC">
        <w:rPr>
          <w:lang w:val="en-GB"/>
        </w:rPr>
        <w:fldChar w:fldCharType="begin"/>
      </w:r>
      <w:r w:rsidR="000517C5" w:rsidRPr="005950CC">
        <w:rPr>
          <w:lang w:val="en-GB"/>
        </w:rPr>
        <w:instrText xml:space="preserve"> ADDIN ZOTERO_ITEM CSL_CITATION {"citationID":"7uimpc5vj","properties":{"formattedCitation":"{\\rtf [17\\uc0\\u8211{}20]}","plainCitation":"[17–20]"},"citationItems":[{"id":25,"uris":["http://zotero.org/users/3767271/items/3CPVPBJW"],"uri":["http://zotero.org/users/3767271/items/3CPVPBJW"],"itemData":{"id":25,"type":"article-journal","title":"The energy divide: Integrating energy transitions, regional inequalities and poverty trends in the European Union","container-title":"European Urban and Regional Studies","page":"69-86","volume":"24","issue":"1","source":"SAGE Journals","abstract":"Energy poverty can be understood as the inability of a household to secure a socially and materially necessitated level of energy services in the home. While the condition is widespread across Europe, its spatial and social distribution is highly uneven. In this paper, the existence of a geographical energy poverty divide in the European Union (EU) provides a starting point for conceptualizing and exploring the relationship between energy transitions – commonly described as wide-ranging processes of socio-technical change – and existing patterns of regional economic inequality. We have undertaken a comprehensive analysis of spatial and temporal trends in the national-scale patterns of energy poverty, as well as gas and electricity prices. The results of our work indicate that the classic economic development distinction between the core and periphery also holds true in the case of energy poverty, as the incidence of this phenomenon is significantly higher in Southern and Eastern European EU Member States. The paper thus aims to provide the building blocks for a novel theoretical integration of questions of path-dependency, uneven development and material deprivation in existing interpretations of energy transitions.","journalAbbreviation":"European Urban and Regional Studies","author":[{"family":"Bouzarovski","given":"Stefan"},{"family":"Tirado Herrero","given":"Sergio"}],"issued":{"date-parts":[["2017"]]}}},{"id":79,"uris":["http://zotero.org/users/3767271/items/4QDDJIHC"],"uri":["http://zotero.org/users/3767271/items/4QDDJIHC"],"itemData":{"id":79,"type":"article-journal","title":"Energy affordability and energy inequality in Europe: Implications for policymaking","container-title":"Energy Research &amp; Social Science","page":"21-35","volume":"18","source":"ScienceDirect","abstract":"The concept of fuel (or energy) poverty is a much-debated topic both at the EU level and in individual countries. However, the specific forms of energy services deprivation differ between European countries. This paper explores an analytical framework of energy poverty at the macro-scale, based firstly on energy services deprivation and secondly on an analysis of energy inequality, where energy inequality relates to the fact that different household groups are not affected in the same way by energy services deprivation. This framework allows for a comparison between EU countries and discloses their relative affectedness. Policy implications with respect to the differing fuel poverty problems and recommendations are discussed.","journalAbbreviation":"Energy Research &amp; Social Science","author":[{"family":"Dubois","given":"Ute"},{"family":"Meier","given":"Helena"}],"issued":{"date-parts":[["2016"]]}}},{"id":176,"uris":["http://zotero.org/users/3767271/items/4VDGSTC6"],"uri":["http://zotero.org/users/3767271/items/4VDGSTC6"],"itemData":{"id":176,"type":"report","title":"Selecting Indicators to Measure Energy Poverty","publisher":"Trinomics","publisher-place":"Rotterdam","event-place":"Rotterdam","author":[{"family":"Rademaekers","given":"Koen"},{"family":"Yearwood","given":"Jessica"},{"family":"Ferreira","given":"A"},{"family":"Pye","given":"S"},{"family":"Hamilton","given":"I"},{"family":"Agnolucci","given":"P"},{"family":"Grover","given":"D"},{"family":"Karásek","given":"J"},{"family":"Anisimova","given":"N"}],"issued":{"date-parts":[["2016"]]}}},{"id":197,"uris":["http://zotero.org/users/3767271/items/DRNBIZNX"],"uri":["http://zotero.org/users/3767271/items/DRNBIZNX"],"itemData":{"id":197,"type":"article-journal","title":"Quantifying the prevalence of fuel poverty across the European Union","container-title":"Energy Policy","page":"563-572","volume":"52","source":"ScienceDirect","journalAbbreviation":"Energy Policy","author":[{"family":"Thomson","given":"Harriet"},{"family":"Snell","given":"Carolyn"}],"issued":{"date-parts":[["2013"]]}}}],"schema":"https://github.com/citation-style-language/schema/raw/master/csl-citation.json"} </w:instrText>
      </w:r>
      <w:r w:rsidRPr="005950CC">
        <w:rPr>
          <w:lang w:val="en-GB"/>
        </w:rPr>
        <w:fldChar w:fldCharType="separate"/>
      </w:r>
      <w:r w:rsidR="000517C5" w:rsidRPr="005950CC">
        <w:rPr>
          <w:szCs w:val="24"/>
          <w:lang w:val="en-GB"/>
        </w:rPr>
        <w:t>[17</w:t>
      </w:r>
      <w:r w:rsidR="00B87655" w:rsidRPr="005950CC">
        <w:rPr>
          <w:szCs w:val="24"/>
          <w:lang w:val="en-GB"/>
        </w:rPr>
        <w:t>–</w:t>
      </w:r>
      <w:r w:rsidR="000517C5" w:rsidRPr="005950CC">
        <w:rPr>
          <w:szCs w:val="24"/>
          <w:lang w:val="en-GB"/>
        </w:rPr>
        <w:t>20]</w:t>
      </w:r>
      <w:r w:rsidRPr="005950CC">
        <w:rPr>
          <w:lang w:val="en-GB"/>
        </w:rPr>
        <w:fldChar w:fldCharType="end"/>
      </w:r>
      <w:r w:rsidRPr="005950CC">
        <w:rPr>
          <w:lang w:val="en-GB"/>
        </w:rPr>
        <w:t xml:space="preserve">, an equally large evidence base has been developed since the 1980s around the consequences of energy poverty on human health </w:t>
      </w:r>
      <w:r w:rsidRPr="005950CC">
        <w:rPr>
          <w:lang w:val="en-GB"/>
        </w:rPr>
        <w:fldChar w:fldCharType="begin"/>
      </w:r>
      <w:r w:rsidR="000517C5" w:rsidRPr="005950CC">
        <w:rPr>
          <w:lang w:val="en-GB"/>
        </w:rPr>
        <w:instrText xml:space="preserve"> ADDIN ZOTERO_ITEM CSL_CITATION {"citationID":"lyHQSBXV","properties":{"formattedCitation":"[21,22]","plainCitation":"[21,22]"},"citationItems":[{"id":550,"uris":["http://zotero.org/users/3767271/items/JCFAED5C"],"uri":["http://zotero.org/users/3767271/items/JCFAED5C"],"itemData":{"id":550,"type":"article-journal","title":"Fuel poverty as a major determinant of perceived health: the case of France","container-title":"Public Health","page":"517-524","volume":"129","issue":"5","abstract":"OBJECTIVES: The number of households in fuel poverty is growing. Individuals increasingly struggle to heat their homes, and therefore, a growing number of individuals are exposed to low temperatures, which can affect their health. This study sought to determine the link between a subjective measure of fuel poverty (self-reported feeling cold) and self-reported health. The impact of other particular individual and environmental features on self-reported health were also analysed.\nSTUDY DESIGN: Econometric analysis.\nMETHODS: The study method uses self-reported perception of thermal discomfort (self-reported feeling cold) as a proxy for fuel poverty. The French database of the Healthcare and Insurance survey carried by the Institute for Research and Information on Health Economics (IRDES) was used to estimate a dichotomous probit model.\nRESULTS: The estimation allows us to infer a negative impact of fuel poverty on self-reported health. Thus, a person in fuel poverty is 2.36 percentage points more likely to report poor or fair health status than a person who is not in fuel poverty.\nCONCLUSION: It may be appropriate to reduce the impacts of fuel poverty to provide support for the most vulnerable categories of individuals with respect to the health impacts of fuel poverty and cold homes, e.g., chronic patients who experience difficulty heating their homes.","DOI":"10.1016/j.puhe.2015.02.007","journalAbbreviation":"Public Health","author":[{"family":"Lacroix","given":"E."},{"family":"Chaton","given":"C."}],"issued":{"date-parts":[["2015"]]}}},{"id":141,"uris":["http://zotero.org/users/3767271/items/RCX9APRX"],"uri":["http://zotero.org/users/3767271/items/RCX9APRX"],"itemData":{"id":141,"type":"article-journal","title":"Living in a cold and damp home: frameworks for understanding impacts on mental well-being","container-title":"Public Health","page":"191-199","volume":"129","issue":"3","source":"ScienceDirect","journalAbbreviation":"Public Health","author":[{"family":"Liddell","given":"C."},{"family":"Guiney","given":"C."}],"issued":{"date-parts":[["2015"]]}}}],"schema":"https://github.com/citation-style-language/schema/raw/master/csl-citation.json"} </w:instrText>
      </w:r>
      <w:r w:rsidRPr="005950CC">
        <w:rPr>
          <w:lang w:val="en-GB"/>
        </w:rPr>
        <w:fldChar w:fldCharType="separate"/>
      </w:r>
      <w:r w:rsidR="000517C5" w:rsidRPr="005950CC">
        <w:rPr>
          <w:lang w:val="en-GB"/>
        </w:rPr>
        <w:t>[21,22]</w:t>
      </w:r>
      <w:r w:rsidRPr="005950CC">
        <w:rPr>
          <w:lang w:val="en-GB"/>
        </w:rPr>
        <w:fldChar w:fldCharType="end"/>
      </w:r>
      <w:r w:rsidRPr="005950CC">
        <w:rPr>
          <w:lang w:val="en-GB"/>
        </w:rPr>
        <w:t xml:space="preserve">. Knowledge has developed around the relationship between conditions typically associated with energy poverty, such as indoor air temperatures, poor </w:t>
      </w:r>
      <w:r w:rsidR="00B87655" w:rsidRPr="005950CC">
        <w:rPr>
          <w:lang w:val="en-GB"/>
        </w:rPr>
        <w:t>housing conditions, and health.</w:t>
      </w:r>
      <w:r w:rsidRPr="005950CC">
        <w:rPr>
          <w:lang w:val="en-GB"/>
        </w:rPr>
        <w:t xml:space="preserve"> The compounding impact of other socio-economic and demographic factors, and the impact of policy responses have also been widely researched</w:t>
      </w:r>
      <w:r w:rsidR="00BF0ADC" w:rsidRPr="005950CC">
        <w:rPr>
          <w:lang w:val="en-GB"/>
        </w:rPr>
        <w:t xml:space="preserve"> </w:t>
      </w:r>
      <w:r w:rsidR="00BF0ADC" w:rsidRPr="005950CC">
        <w:rPr>
          <w:lang w:val="en-GB"/>
        </w:rPr>
        <w:fldChar w:fldCharType="begin"/>
      </w:r>
      <w:r w:rsidR="000517C5" w:rsidRPr="005950CC">
        <w:rPr>
          <w:lang w:val="en-GB"/>
        </w:rPr>
        <w:instrText xml:space="preserve"> ADDIN ZOTERO_ITEM CSL_CITATION {"citationID":"22kull71o7","properties":{"formattedCitation":"{\\rtf [23\\uc0\\u8211{}30]}","plainCitation":"[23–30]"},"citationItems":[{"id":524,"uris":["http://zotero.org/users/3767271/items/XX4D9JUK"],"uri":["http://zotero.org/users/3767271/items/XX4D9JUK"],"itemData":{"id":524,"type":"report","title":"Health Impact Evaluation of the Warm Front Scheme","publisher":"Centre for Regional, Economic and Social Research","publisher-place":"Sheffield","event-place":"Sheffield","author":[{"family":"Green","given":"G."},{"family":"Gilbertson","given":"Jan"}],"issued":{"date-parts":[["2008"]]}}},{"id":532,"uris":["http://zotero.org/users/3767271/items/B38WEQ3C"],"uri":["http://zotero.org/users/3767271/items/B38WEQ3C"],"itemData":{"id":532,"type":"article-journal","title":"Understanding ‘energy insecurity’ and why it matters to health","container-title":"Social Science &amp; Medicine","page":"1-10","volume":"167","abstract":"Energy insecurity is a multi-dimensional construct that describes the interplay between physical conditions of housing, household energy expenditures and energy-related coping strategies. The present study uses an adapted grounded theory approach based on in-depth interviews with 72 low-income families to advance the concept of energy insecurity. Study results illustrate the layered components of energy insecurity by providing rich and nuanced narratives of the lived experiences of affected households. Defined as an inability to adequately meet basic household energy needs, this paper outlines the key dimensions of energy insecurity-economic, physical and behavioral- and related adverse environmental, health and social consequences. By thoroughly examining this understudied phenomenon, this article serves to raise awareness of an increasingly relevant issue that merits more attention in research and policy.","DOI":"10.1016/j.socscimed.2016.08.029","journalAbbreviation":"Social Science &amp; Medicine","author":[{"family":"Hernández","given":"Diana"}],"issued":{"date-parts":[["2016"]]}}},{"id":539,"uris":["http://zotero.org/users/3767271/items/UCJSKTQD"],"uri":["http://zotero.org/users/3767271/items/UCJSKTQD"],"itemData":{"id":539,"type":"article-journal","title":"Effect of insulating existing houses on health inequality: cluster randomised study in the community","container-title":"BMJ","page":"460","volume":"334","issue":"7591","abstract":"Objective To determine whether insulating existing houses increases indoor temperatures and improves occupants' health and wellbeing.\nDesign Community based, cluster, single blinded randomised study.\nSetting Seven low income communities in New Zealand.\nParticipants 1350 households containing 4407 participants.\nIntervention Installation of a standard retrofit insulation package.\nMain outcome measures Indoor temperature and relative humidity, energy consumption, self reported health, wheezing, days off school and work, visits to general practitioners, and admissions to hospital.\nResults Insulation was associated with a small increase in bedroom temperatures during the winter (0.5°C) and decreased relative humidity (−2.3%), despite energy consumption in insulated houses being 81% of that in uninsulated houses. Bedroom temperatures were below 10°C for 1.7 fewer hours each day in insulated homes than in uninsulated ones. These changes were associated with reduced odds in the insulated homes of fair or poor self rated health (adjusted odds ratio 0.50, 95% confidence interval 0.38 to 0.68), self reports of wheezing in the past three months (0.57, 0.47 to 0.70), self reports of children taking a day off school (0.49, 0.31 to 0.80), and self reports of adults taking a day off work (0.62, 0.46 to 0.83). Visits to general practitioners were less often reported by occupants of insulated homes (0.73, 0.62 to 0.87). Hospital admissions for respiratory conditions were also reduced (0.53, 0.22 to 1.29), but this reduction was not statistically significant (P=0.16).\nConclusion Insulating existing houses led to a significantly warmer, drier indoor environment and resulted in improved self rated health, self reported wheezing, days off school and work, and visits to general practitioners as well as a trend for fewer hospital admissions for respiratory conditions.","DOI":"10.1136/bmj.39070.573032.80","journalAbbreviation":"BMJ","author":[{"family":"Howden-Chapman","given":"Philippa"},{"family":"Matheson","given":"Anna"},{"family":"Crane","given":"Julian"},{"family":"Viggers","given":"Helen"},{"family":"Cunningham","given":"Malcolm"},{"family":"Blakely","given":"Tony"},{"family":"Cunningham","given":"Chris"},{"family":"Woodward","given":"Alistair"},{"family":"Saville-Smith","given":"Kay"},{"family":"O'Dea","given":"Des"},{"family":"Kennedy","given":"Martin"},{"family":"Baker","given":"Michael"},{"family":"Waipara","given":"Nick"},{"family":"Chapman","given":"Ralph"},{"family":"Davie","given":"Gabrielle"}],"issued":{"date-parts":[["2007"]]}}},{"id":143,"uris":["http://zotero.org/users/3767271/items/HE5CAPHJ"],"uri":["http://zotero.org/users/3767271/items/HE5CAPHJ"],"itemData":{"id":143,"type":"article-journal","title":"Fuel poverty and human health: A review of recent evidence","container-title":"Energy Policy","page":"2987-2997","volume":"38","issue":"6","source":"ScienceDirect","abstract":"The health impacts of tackling fuel poverty are reviewed, drawing primarily on large-scale studies completed in the last 10 years. Although physical health effects on adults appear to be modest, caregivers and children perceive significant impacts on children’s respiratory health. There also appear to be significant effects on the physical health of infants, particularly on weight gain and susceptibility to illness. Mental health effects on adults emerge as significant in most studies, as do mental health impacts on adolescents. Mental health effects on children have, as yet, never been systematically assessed. Whilst several studies are methodologically rigorous, with some also based on very large samples, methodological problems remain. In future evaluations of health impacts, clinical outcomes could be more comprehensively augmented with measures that extend beyond physical health. These include measures reflecting quality of life, changes in patterns of social engagement and daily routine, and their concomitant impacts on mental wellbeing, Such measures may provide more rounded insights into the potential health impacts of tackling fuel poverty and—equally as important for policy and practice—the processes by which these impacts become manifest.","journalAbbreviation":"Energy Policy","author":[{"family":"Liddell","given":"Christine"},{"family":"Morris","given":"Chris"}],"issued":{"date-parts":[["2010"]]}}},{"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Team"}],"issued":{"date-parts":[["2011"]]}}},{"id":185,"uris":["http://zotero.org/users/3767271/items/XCAVTA3A"],"uri":["http://zotero.org/users/3767271/items/XCAVTA3A"],"itemData":{"id":185,"type":"article-journal","title":"Justice, fuel poverty and disabled people in England","container-title":"Energy Research &amp; Social Science","page":"123-132","volume":"10","source":"ScienceDirect","journalAbbreviation":"Energy Research &amp; Social Science","author":[{"family":"Snell","given":"Carolyn"},{"family":"Bevan","given":"Mark"},{"family":"Thomson","given":"Harriet"}],"issued":{"date-parts":[["2015"]]}}},{"id":596,"uris":["http://zotero.org/users/3767271/items/ZDNFRJ59"],"uri":["http://zotero.org/users/3767271/items/ZDNFRJ59"],"itemData":{"id":596,"type":"article-journal","title":"Welfare reform, disabled people and fuel poverty","container-title":"Journal of Poverty and Social Justice","page":"229-244","volume":"23","issue":"3","abstract":"There is limited evidence that explicitly considers the relationship between fuel poverty and disabled people. Additionally, within English policy, disabled people are treated as a single group with homogenous needs, despite both highly varied needs and eligibility for fuel poverty or welfare support. Given this gap in knowledge the paper investigates the relationship between fuel poverty and disabled people in the context of policy change. The paper reports research on: the extent of fuel poverty among households containing disabled people; the relationship between tenure, disability and fuel poverty; and the relationship between fuel poverty policy support and disabled people.","DOI":"10.1332/175982715X14349632097764","journalAbbreviation":"Journal of Poverty and Social Justice","author":[{"family":"Snell","given":"Carolyn"},{"family":"Bevan","given":"Mark"},{"family":"Thomson","given":"Harriet"}],"issued":{"date-parts":[["2015"]]}}},{"id":600,"uris":["http://zotero.org/users/3767271/items/JP9QQQ7F"],"uri":["http://zotero.org/users/3767271/items/JP9QQQ7F"],"itemData":{"id":600,"type":"article-journal","title":"Health effects of housing improvement: systematic review of intervention studies","container-title":"BMJ","page":"187-190","volume":"323","issue":"7306","abstract":"Objective: To review the evidence on the effects of interventions to improve housing on health.\nDesign: Systematic review of experimental and non-experimental housing intervention studies that measured quantitative health outcomes.\nData sources: Studies dating from 1887, in any language or format, identified from clinical, social science, and grey literature databases, personal collections, expert consultation, and reference lists.\nMain outcome measures: Socioeconomic change and health, illness, and social measures.\nResults: 18 completed primary intervention studies were identified. 11 studies were prospective, of which six had control groups. Three of the seven retrospective studies used a control group. The interventions included rehousing, refurbishment, and energy efficiency measures. Many studies showed health gains after the intervention, but the small study populations and lack of controlling for confounders limit the generalisability of these findings.\nConclusions: The lack of evidence linking housing and health may be attributable to pragmatic difficulties with housing studies as well as the political climate in the United Kingdom. A holistic approach is needed that recognises the multifactorial and complex nature of poor housing and deprivation. Large scale studies that investigate the wider social context of housing interventions are required.\n\nWhat is already known on this topic What is already known on this topic Many epidemiological studies have described associations between poor housing and health What this study adds What this study adds 18 studies were reviewed that studied the health effects of housing improvements Most studies found some health gains Small populations and lack of control for confounders limits the generalisability of the findings More large scale, controlled studies of housing interventions are needed to give qualitative and quantitative data","DOI":"10.1136/bmj.323.7306.187","journalAbbreviation":"BMJ","author":[{"family":"Thomson","given":"Hilary"},{"family":"Petticrew","given":"Mark"},{"family":"Morrison","given":"David"}],"issued":{"date-parts":[["2001"]]}}}],"schema":"https://github.com/citation-style-language/schema/raw/master/csl-citation.json"} </w:instrText>
      </w:r>
      <w:r w:rsidR="00BF0ADC" w:rsidRPr="005950CC">
        <w:rPr>
          <w:lang w:val="en-GB"/>
        </w:rPr>
        <w:fldChar w:fldCharType="separate"/>
      </w:r>
      <w:r w:rsidR="000517C5" w:rsidRPr="005950CC">
        <w:rPr>
          <w:szCs w:val="24"/>
          <w:lang w:val="en-GB"/>
        </w:rPr>
        <w:t>[23</w:t>
      </w:r>
      <w:r w:rsidR="00B87655" w:rsidRPr="005950CC">
        <w:rPr>
          <w:szCs w:val="24"/>
          <w:lang w:val="en-GB"/>
        </w:rPr>
        <w:t>–</w:t>
      </w:r>
      <w:r w:rsidR="000517C5" w:rsidRPr="005950CC">
        <w:rPr>
          <w:szCs w:val="24"/>
          <w:lang w:val="en-GB"/>
        </w:rPr>
        <w:t>30]</w:t>
      </w:r>
      <w:r w:rsidR="00BF0ADC" w:rsidRPr="005950CC">
        <w:rPr>
          <w:lang w:val="en-GB"/>
        </w:rPr>
        <w:fldChar w:fldCharType="end"/>
      </w:r>
      <w:r w:rsidR="00BF0ADC" w:rsidRPr="005950CC">
        <w:rPr>
          <w:lang w:val="en-GB"/>
        </w:rPr>
        <w:t>.</w:t>
      </w:r>
    </w:p>
    <w:p w14:paraId="56B5F793" w14:textId="3E6E9970" w:rsidR="00AD40A3" w:rsidRPr="005950CC" w:rsidRDefault="009906F4" w:rsidP="00B544E2">
      <w:pPr>
        <w:pStyle w:val="MDPI31text"/>
        <w:rPr>
          <w:lang w:val="en-GB"/>
        </w:rPr>
      </w:pPr>
      <w:r w:rsidRPr="005950CC">
        <w:rPr>
          <w:lang w:val="en-GB"/>
        </w:rPr>
        <w:t>However, there remain substantial gaps in knowledge about the impacts of energy poverty at the European l</w:t>
      </w:r>
      <w:r w:rsidR="00B87655" w:rsidRPr="005950CC">
        <w:rPr>
          <w:lang w:val="en-GB"/>
        </w:rPr>
        <w:t>evel (discussed further below).</w:t>
      </w:r>
      <w:r w:rsidRPr="005950CC">
        <w:rPr>
          <w:lang w:val="en-GB"/>
        </w:rPr>
        <w:t xml:space="preserve"> This paper aims to add to the highly limited knowledge base that currently exists, with the intention of opening new lines of discussion in what has become a widely discussed policy topic at the EU-scale, especially given on-going reviews of relevant energy legislation</w:t>
      </w:r>
      <w:r w:rsidR="000654BA" w:rsidRPr="005950CC">
        <w:rPr>
          <w:lang w:val="en-GB"/>
        </w:rPr>
        <w:t xml:space="preserve"> </w:t>
      </w:r>
      <w:r w:rsidR="00616522" w:rsidRPr="005950CC">
        <w:rPr>
          <w:lang w:val="en-GB"/>
        </w:rPr>
        <w:fldChar w:fldCharType="begin"/>
      </w:r>
      <w:r w:rsidR="000517C5" w:rsidRPr="005950CC">
        <w:rPr>
          <w:lang w:val="en-GB"/>
        </w:rPr>
        <w:instrText xml:space="preserve"> ADDIN ZOTERO_ITEM CSL_CITATION {"citationID":"bn99ocrhp","properties":{"formattedCitation":"[12]","plainCitation":"[12]"},"citationItems":[{"id":193,"uris":["http://zotero.org/users/3767271/items/T5FBK69K"],"uri":["http://zotero.org/users/3767271/items/T5FBK69K"],"itemData":{"id":193,"type":"article-journal","title":"Fuel poverty in the European Union: a concept in need of definition?","container-title":"People, Place and Policy","page":"5-24","volume":"10","issue":"1","author":[{"family":"Thomson","given":"Harriet"},{"family":"Snell","given":"Carolyn"},{"family":"Liddell","given":"Christine"}],"issued":{"date-parts":[["2016"]]}}}],"schema":"https://github.com/citation-style-language/schema/raw/master/csl-citation.json"} </w:instrText>
      </w:r>
      <w:r w:rsidR="00616522" w:rsidRPr="005950CC">
        <w:rPr>
          <w:lang w:val="en-GB"/>
        </w:rPr>
        <w:fldChar w:fldCharType="separate"/>
      </w:r>
      <w:r w:rsidR="000517C5" w:rsidRPr="005950CC">
        <w:rPr>
          <w:noProof/>
          <w:lang w:val="en-GB"/>
        </w:rPr>
        <w:t>[12]</w:t>
      </w:r>
      <w:r w:rsidR="00616522" w:rsidRPr="005950CC">
        <w:rPr>
          <w:lang w:val="en-GB"/>
        </w:rPr>
        <w:fldChar w:fldCharType="end"/>
      </w:r>
      <w:r w:rsidR="00616522" w:rsidRPr="005950CC">
        <w:rPr>
          <w:lang w:val="en-GB"/>
        </w:rPr>
        <w:t xml:space="preserve">. </w:t>
      </w:r>
      <w:r w:rsidRPr="005950CC">
        <w:rPr>
          <w:lang w:val="en-GB"/>
        </w:rPr>
        <w:t xml:space="preserve">Indeed, the Republic of Ireland recently announced funding of €10 million for </w:t>
      </w:r>
      <w:r w:rsidR="002B5544" w:rsidRPr="005950CC">
        <w:rPr>
          <w:lang w:val="en-GB"/>
        </w:rPr>
        <w:t xml:space="preserve">the </w:t>
      </w:r>
      <w:r w:rsidRPr="005950CC">
        <w:rPr>
          <w:lang w:val="en-GB"/>
        </w:rPr>
        <w:t xml:space="preserve">Warmth </w:t>
      </w:r>
      <w:r w:rsidR="002B5544" w:rsidRPr="005950CC">
        <w:rPr>
          <w:lang w:val="en-GB"/>
        </w:rPr>
        <w:t xml:space="preserve">and </w:t>
      </w:r>
      <w:r w:rsidRPr="005950CC">
        <w:rPr>
          <w:lang w:val="en-GB"/>
        </w:rPr>
        <w:t>Wellbeing scheme</w:t>
      </w:r>
      <w:r w:rsidR="002B5544" w:rsidRPr="005950CC">
        <w:rPr>
          <w:lang w:val="en-GB"/>
        </w:rPr>
        <w:t>,</w:t>
      </w:r>
      <w:r w:rsidRPr="005950CC">
        <w:rPr>
          <w:lang w:val="en-GB"/>
        </w:rPr>
        <w:t xml:space="preserve"> that provides free energy efficiency upgrades for households who are classified as energy poor and contain young children with chronic respiratory conditions </w:t>
      </w:r>
      <w:r w:rsidRPr="005950CC">
        <w:rPr>
          <w:lang w:val="en-GB"/>
        </w:rPr>
        <w:fldChar w:fldCharType="begin"/>
      </w:r>
      <w:r w:rsidR="000517C5" w:rsidRPr="005950CC">
        <w:rPr>
          <w:lang w:val="en-GB"/>
        </w:rPr>
        <w:instrText xml:space="preserve"> ADDIN ZOTERO_ITEM CSL_CITATION {"citationID":"1nvegfe8bu","properties":{"formattedCitation":"[31]","plainCitation":"[31]"},"citationItems":[{"id":531,"uris":["http://zotero.org/users/3767271/items/4SGC3H52"],"uri":["http://zotero.org/users/3767271/items/4SGC3H52"],"itemData":{"id":531,"type":"webpage","title":"Minister Naughten announces €10m for Warmth &amp; Wellbeing in 2017","URL":"https://www.hse.ie/eng/services/news/media/pressrel/minister-naughten-announces-€10m-for-warmth-wellbeing-in-2017.html","author":[{"literal":"Health Service Executive"}],"issued":{"date-parts":[["2016"]]},"accessed":{"date-parts":[["2017",1,17]]}}}],"schema":"https://github.com/citation-style-language/schema/raw/master/csl-citation.json"} </w:instrText>
      </w:r>
      <w:r w:rsidRPr="005950CC">
        <w:rPr>
          <w:lang w:val="en-GB"/>
        </w:rPr>
        <w:fldChar w:fldCharType="separate"/>
      </w:r>
      <w:r w:rsidR="000517C5" w:rsidRPr="005950CC">
        <w:rPr>
          <w:lang w:val="en-GB"/>
        </w:rPr>
        <w:t>[31]</w:t>
      </w:r>
      <w:r w:rsidRPr="005950CC">
        <w:rPr>
          <w:lang w:val="en-GB"/>
        </w:rPr>
        <w:fldChar w:fldCharType="end"/>
      </w:r>
      <w:r w:rsidR="00616522" w:rsidRPr="005950CC">
        <w:rPr>
          <w:lang w:val="en-GB"/>
        </w:rPr>
        <w:t>. This paper</w:t>
      </w:r>
      <w:r w:rsidRPr="005950CC">
        <w:rPr>
          <w:lang w:val="en-GB"/>
        </w:rPr>
        <w:t xml:space="preserve"> also aims to make a contribution to the growing literature on</w:t>
      </w:r>
      <w:r w:rsidR="00D91766" w:rsidRPr="005950CC">
        <w:rPr>
          <w:lang w:val="en-GB"/>
        </w:rPr>
        <w:t xml:space="preserve"> the outcomes to exposure to poor quality housing</w:t>
      </w:r>
      <w:r w:rsidRPr="005950CC">
        <w:rPr>
          <w:lang w:val="en-GB"/>
        </w:rPr>
        <w:t xml:space="preserve"> within specific populations worldwide</w:t>
      </w:r>
      <w:r w:rsidR="00D91766" w:rsidRPr="005950CC">
        <w:rPr>
          <w:lang w:val="en-GB"/>
        </w:rPr>
        <w:t xml:space="preserve"> </w:t>
      </w:r>
      <w:r w:rsidR="00D91766" w:rsidRPr="005950CC">
        <w:rPr>
          <w:lang w:val="en-GB"/>
        </w:rPr>
        <w:fldChar w:fldCharType="begin"/>
      </w:r>
      <w:r w:rsidR="000517C5" w:rsidRPr="005950CC">
        <w:rPr>
          <w:lang w:val="en-GB"/>
        </w:rPr>
        <w:instrText xml:space="preserve"> ADDIN ZOTERO_ITEM CSL_CITATION {"citationID":"1o4b5ao957","properties":{"formattedCitation":"[32,33]","plainCitation":"[32,33]"},"citationItems":[{"id":620,"uris":["http://zotero.org/users/3767271/items/XUPB5GEN"],"uri":["http://zotero.org/users/3767271/items/XUPB5GEN"],"itemData":{"id":620,"type":"article-journal","title":"Prevalence of Residential Dampness and Mold Exposure in a University Student Population","container-title":"International Journal of Environmental Research and Public Health","page":"194","volume":"13","issue":"2","abstract":"The impact of residential dampness or mold on respiratory health is well established but few studies have focused on university students. This study aims to: (a) describe the prevalence of exposure to residential dampness or mold in university students according to socio-geographic factors and (b) identify associated housing characteristics. A web survey was conducted in 2014 among the 26,676 students registered at the Université de Sherbrooke (QC, Canada). Residential dampness and mold being closely intertwined, they were considered as a single exposure and assessed using a validated questionnaire. Exposure was compared according to socio-geographic and housing characteristics using chi-square tests and logistic regressions. Among the 2097 participants included in the study (response rate: 8.1%), over 80% were tenants. Residential exposure to dampness or mold was frequent (36.0%, 95% CI: 33.9–38.1). Marked differences for this exposure were noted according to home ownership (39.7% vs. 25.5% among tenants and owners respectively; OR = 1.92%, 95% CI: 1.54–2.38). Campus affiliation, household composition and the number of residents per building were associated with exposure to dampness or mold (p &amp;lt; 0.01), while sex and age were not. Exposure was also associated with older buildings, and buildings in need of renovations and lacking proper ventilation (p &amp;lt; 0.001). This study highlights the potential risk of university students suffering from mold-related health effects given their frequent exposure to this agent. Further research is needed to fully evaluate the mold-related health impact in this at risk group.","author":[{"family":"Lanthier-Veilleux","given":"Mathieu"},{"family":"Généreux","given":"Mélissa"},{"family":"Baron","given":"Geneviève"}],"issued":{"date-parts":[["2016"]]}}},{"id":613,"uris":["http://zotero.org/users/3767271/items/ZDJBZSND"],"uri":["http://zotero.org/users/3767271/items/ZDJBZSND"],"itemData":{"id":613,"type":"article-journal","title":"Exploring the Housing and Household Energy Pathways to Stress: A Mixed Methods Study","container-title":"International Journal of Environmental Research and Public Health","page":"916","volume":"13","issue":"9","abstract":"Chronic stress, known to contribute to negative physical and mental health outcomes, is closely associated with broader issues of material hardship, poor neighborhood conditions, residential instability, and inadequate housing conditions. However, few studies have comprehensively explored pathways to stress in a low-income housing environment. A mixed-methods pilot study investigated the concept of energy insecurity by looking at the impacts of weatherization and energy efficiency interventions on low-income households in the South Bronx neighborhood of New York City. In-depth interviews were conducted with 20 low-income heads of household; participants also completed health, housing and budget assessments. Physical deficiencies, economic hardship, and health issues all interacted to directly and indirectly produce living conditions that contribute to chronic stress. Households with higher stress reported more health problems. Poor quality housing led to coping responses that increased expenses, which in turn increased stress around housing and energy affordability. This study provides further support for the connections between both health and the built environment and between low socio-economic status populations and net negative health outcomes. Energy insecurity is an important contributor to chronic stress in low-income households, and isolating pathways to stress where there is potential for interventions is important for future policy and housing-based strategies.","author":[{"family":"Hernández","given":"Diana"},{"family":"Phillips","given":"Douglas"},{"family":"Siegel","given":"Eva Laura"}],"issued":{"date-parts":[["2016"]]}}}],"schema":"https://github.com/citation-style-language/schema/raw/master/csl-citation.json"} </w:instrText>
      </w:r>
      <w:r w:rsidR="00D91766" w:rsidRPr="005950CC">
        <w:rPr>
          <w:lang w:val="en-GB"/>
        </w:rPr>
        <w:fldChar w:fldCharType="separate"/>
      </w:r>
      <w:r w:rsidR="000517C5" w:rsidRPr="005950CC">
        <w:rPr>
          <w:noProof/>
          <w:lang w:val="en-GB"/>
        </w:rPr>
        <w:t>[32,33]</w:t>
      </w:r>
      <w:r w:rsidR="00D91766" w:rsidRPr="005950CC">
        <w:rPr>
          <w:lang w:val="en-GB"/>
        </w:rPr>
        <w:fldChar w:fldCharType="end"/>
      </w:r>
      <w:r w:rsidRPr="005950CC">
        <w:rPr>
          <w:lang w:val="en-GB"/>
        </w:rPr>
        <w:t>.</w:t>
      </w:r>
    </w:p>
    <w:p w14:paraId="2C10494A" w14:textId="5DB4CC3B" w:rsidR="009906F4" w:rsidRPr="005950CC" w:rsidRDefault="007D1E10" w:rsidP="00B544E2">
      <w:pPr>
        <w:pStyle w:val="MDPI31text"/>
        <w:rPr>
          <w:lang w:val="en-GB"/>
        </w:rPr>
      </w:pPr>
      <w:r w:rsidRPr="005950CC">
        <w:rPr>
          <w:lang w:val="en-GB"/>
        </w:rPr>
        <w:t>It should be noted at this juncture that this paper focuses on the relationship between access to affordable warmth and health.</w:t>
      </w:r>
      <w:r w:rsidR="008F60AE" w:rsidRPr="005950CC">
        <w:rPr>
          <w:lang w:val="en-GB"/>
        </w:rPr>
        <w:t xml:space="preserve"> </w:t>
      </w:r>
      <w:r w:rsidRPr="005950CC">
        <w:rPr>
          <w:lang w:val="en-GB"/>
        </w:rPr>
        <w:t xml:space="preserve">Whilst the authors both acknowledge and recognize that the term energy poverty </w:t>
      </w:r>
      <w:r w:rsidR="00AD40A3" w:rsidRPr="005950CC">
        <w:rPr>
          <w:lang w:val="en-GB"/>
        </w:rPr>
        <w:t>can be used to encompass</w:t>
      </w:r>
      <w:r w:rsidRPr="005950CC">
        <w:rPr>
          <w:lang w:val="en-GB"/>
        </w:rPr>
        <w:t xml:space="preserve"> </w:t>
      </w:r>
      <w:r w:rsidR="00AD40A3" w:rsidRPr="005950CC">
        <w:rPr>
          <w:lang w:val="en-GB"/>
        </w:rPr>
        <w:t>broader issues such as access to cooling facilities</w:t>
      </w:r>
      <w:r w:rsidR="008F60AE" w:rsidRPr="005950CC">
        <w:rPr>
          <w:lang w:val="en-GB"/>
        </w:rPr>
        <w:t xml:space="preserve"> </w:t>
      </w:r>
      <w:r w:rsidR="008F60AE" w:rsidRPr="005950CC">
        <w:rPr>
          <w:lang w:val="en-GB"/>
        </w:rPr>
        <w:fldChar w:fldCharType="begin"/>
      </w:r>
      <w:r w:rsidR="008F60AE" w:rsidRPr="005950CC">
        <w:rPr>
          <w:lang w:val="en-GB"/>
        </w:rPr>
        <w:instrText xml:space="preserve"> ADDIN ZOTERO_ITEM CSL_CITATION {"citationID":"2gm41k6qe9","properties":{"formattedCitation":"[11]","plainCitation":"[11]"},"citationItems":[{"id":32,"uris":["http://zotero.org/users/3767271/items/EDWVUVR8"],"uri":["http://zotero.org/users/3767271/items/EDWVUVR8"],"itemData":{"id":32,"type":"article-journal","title":"A global perspective on domestic energy deprivation: Overcoming the energy poverty–fuel poverty binary","container-title":"Energy Research &amp; Social Science","page":"31-40","volume":"10","source":"ScienceDirect","journalAbbreviation":"Energy Research &amp; Social Science","author":[{"family":"Bouzarovski","given":"Stefan"},{"family":"Petrova","given":"Saska"}],"issued":{"date-parts":[["2015"]]}}}],"schema":"https://github.com/citation-style-language/schema/raw/master/csl-citation.json"} </w:instrText>
      </w:r>
      <w:r w:rsidR="008F60AE" w:rsidRPr="005950CC">
        <w:rPr>
          <w:lang w:val="en-GB"/>
        </w:rPr>
        <w:fldChar w:fldCharType="separate"/>
      </w:r>
      <w:r w:rsidR="008F60AE" w:rsidRPr="005950CC">
        <w:rPr>
          <w:noProof/>
          <w:lang w:val="en-GB"/>
        </w:rPr>
        <w:t>[11]</w:t>
      </w:r>
      <w:r w:rsidR="008F60AE" w:rsidRPr="005950CC">
        <w:rPr>
          <w:lang w:val="en-GB"/>
        </w:rPr>
        <w:fldChar w:fldCharType="end"/>
      </w:r>
      <w:r w:rsidR="008F60AE" w:rsidRPr="005950CC">
        <w:rPr>
          <w:lang w:val="en-GB"/>
        </w:rPr>
        <w:t xml:space="preserve">, </w:t>
      </w:r>
      <w:r w:rsidR="00AD40A3" w:rsidRPr="005950CC">
        <w:rPr>
          <w:rFonts w:eastAsia="宋体" w:cs="Courier"/>
          <w:lang w:val="en-GB" w:eastAsia="en-US"/>
        </w:rPr>
        <w:t xml:space="preserve">the limited data that exist do not allow a broader focus such as this to be taken. </w:t>
      </w:r>
    </w:p>
    <w:p w14:paraId="52D5BA9D" w14:textId="28177882" w:rsidR="000F0E65" w:rsidRPr="005950CC" w:rsidRDefault="00004544" w:rsidP="00B544E2">
      <w:pPr>
        <w:pStyle w:val="MDPI21heading1"/>
        <w:rPr>
          <w:lang w:val="en-GB"/>
        </w:rPr>
      </w:pPr>
      <w:r w:rsidRPr="005950CC">
        <w:rPr>
          <w:lang w:val="en-GB"/>
        </w:rPr>
        <w:t xml:space="preserve">2. </w:t>
      </w:r>
      <w:r w:rsidR="00892D5C" w:rsidRPr="005950CC">
        <w:rPr>
          <w:lang w:val="en-GB"/>
        </w:rPr>
        <w:t>Background</w:t>
      </w:r>
    </w:p>
    <w:p w14:paraId="15D76AA2" w14:textId="18B97B3F" w:rsidR="003B4785" w:rsidRPr="005950CC" w:rsidRDefault="00C2663D" w:rsidP="007B1CC9">
      <w:pPr>
        <w:pStyle w:val="MDPI31text"/>
        <w:rPr>
          <w:lang w:val="en-GB"/>
        </w:rPr>
      </w:pPr>
      <w:r w:rsidRPr="005950CC">
        <w:rPr>
          <w:lang w:val="en-GB"/>
        </w:rPr>
        <w:t xml:space="preserve">The Marmot Review into the Health Impacts of Cold Homes and Fuel Poverty </w:t>
      </w:r>
      <w:r w:rsidRPr="005950CC">
        <w:rPr>
          <w:lang w:val="en-GB"/>
        </w:rPr>
        <w:fldChar w:fldCharType="begin"/>
      </w:r>
      <w:r w:rsidR="000517C5" w:rsidRPr="005950CC">
        <w:rPr>
          <w:lang w:val="en-GB"/>
        </w:rPr>
        <w:instrText xml:space="preserve"> ADDIN ZOTERO_ITEM CSL_CITATION {"citationID":"1f6h0jpb91","properties":{"formattedCitation":"[27]","plainCitation":"[27]"},"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Team"}],"issued":{"date-parts":[["2011"]]}},"suppress-author":true}],"schema":"https://github.com/citation-style-language/schema/raw/master/csl-citation.json"} </w:instrText>
      </w:r>
      <w:r w:rsidRPr="005950CC">
        <w:rPr>
          <w:lang w:val="en-GB"/>
        </w:rPr>
        <w:fldChar w:fldCharType="separate"/>
      </w:r>
      <w:r w:rsidR="000517C5" w:rsidRPr="005950CC">
        <w:rPr>
          <w:lang w:val="en-GB"/>
        </w:rPr>
        <w:t>[27]</w:t>
      </w:r>
      <w:r w:rsidRPr="005950CC">
        <w:rPr>
          <w:lang w:val="en-GB"/>
        </w:rPr>
        <w:fldChar w:fldCharType="end"/>
      </w:r>
      <w:r w:rsidRPr="005950CC">
        <w:rPr>
          <w:lang w:val="en-GB"/>
        </w:rPr>
        <w:t xml:space="preserve"> found a strong relationship between cold temperatures and cardiovascular and respiratory diseases, </w:t>
      </w:r>
      <w:r w:rsidR="00275DDB" w:rsidRPr="005950CC">
        <w:rPr>
          <w:lang w:val="en-GB"/>
        </w:rPr>
        <w:t xml:space="preserve">in addition to </w:t>
      </w:r>
      <w:r w:rsidRPr="005950CC">
        <w:rPr>
          <w:lang w:val="en-GB"/>
        </w:rPr>
        <w:t>links between cold housing and minor i</w:t>
      </w:r>
      <w:r w:rsidR="001C71BF" w:rsidRPr="005950CC">
        <w:rPr>
          <w:lang w:val="en-GB"/>
        </w:rPr>
        <w:t>llnesses such as colds and flu.</w:t>
      </w:r>
      <w:r w:rsidRPr="005950CC">
        <w:rPr>
          <w:lang w:val="en-GB"/>
        </w:rPr>
        <w:t xml:space="preserve"> As summarised by the UK</w:t>
      </w:r>
      <w:r w:rsidR="001C71BF" w:rsidRPr="005950CC">
        <w:rPr>
          <w:lang w:val="en-GB"/>
        </w:rPr>
        <w:t>’</w:t>
      </w:r>
      <w:r w:rsidRPr="005950CC">
        <w:rPr>
          <w:lang w:val="en-GB"/>
        </w:rPr>
        <w:t xml:space="preserve">s fuel poverty strategy in 2001: </w:t>
      </w:r>
      <w:r w:rsidR="001C71BF" w:rsidRPr="005950CC">
        <w:rPr>
          <w:lang w:val="en-GB"/>
        </w:rPr>
        <w:t>‘</w:t>
      </w:r>
      <w:r w:rsidRPr="005950CC">
        <w:rPr>
          <w:i/>
          <w:lang w:val="en-GB"/>
        </w:rPr>
        <w:t>The likelihood of ill health is increased by cold homes, with illnesses such as influenza, heart disease, and strokes all exacerbated by the cold. Cold homes can also promote the growth of fungi and numbers of house dust mites. The latter have been linked to conditions such as asthma. Ill health can lead to...certain types of illness, such as respiratory disease</w:t>
      </w:r>
      <w:r w:rsidR="001C71BF" w:rsidRPr="005950CC">
        <w:rPr>
          <w:lang w:val="en-GB"/>
        </w:rPr>
        <w:t>’</w:t>
      </w:r>
      <w:r w:rsidRPr="005950CC">
        <w:rPr>
          <w:lang w:val="en-GB"/>
        </w:rPr>
        <w:t xml:space="preserve"> </w:t>
      </w:r>
      <w:r w:rsidRPr="005950CC">
        <w:rPr>
          <w:lang w:val="en-GB"/>
        </w:rPr>
        <w:fldChar w:fldCharType="begin"/>
      </w:r>
      <w:r w:rsidR="000517C5" w:rsidRPr="005950CC">
        <w:rPr>
          <w:lang w:val="en-GB"/>
        </w:rPr>
        <w:instrText xml:space="preserve"> ADDIN ZOTERO_ITEM CSL_CITATION {"citationID":"e5T7INDv","properties":{"formattedCitation":"[34]","plainCitation":"[34]"},"citationItems":[{"id":73,"uris":["http://zotero.org/users/3767271/items/9RG9QDP5"],"uri":["http://zotero.org/users/3767271/items/9RG9QDP5"],"itemData":{"id":73,"type":"report","title":"UK Fuel Poverty Strategy","publisher":"HMSO","publisher-place":"London","event-place":"London","author":[{"literal":"Department of Trade and Industry"}],"issued":{"date-parts":[["2001"]]}},"locator":"7","label":"page"}],"schema":"https://github.com/citation-style-language/schema/raw/master/csl-citation.json"} </w:instrText>
      </w:r>
      <w:r w:rsidRPr="005950CC">
        <w:rPr>
          <w:lang w:val="en-GB"/>
        </w:rPr>
        <w:fldChar w:fldCharType="separate"/>
      </w:r>
      <w:r w:rsidR="000517C5" w:rsidRPr="005950CC">
        <w:rPr>
          <w:lang w:val="en-GB"/>
        </w:rPr>
        <w:t>[34]</w:t>
      </w:r>
      <w:r w:rsidRPr="005950CC">
        <w:rPr>
          <w:lang w:val="en-GB"/>
        </w:rPr>
        <w:fldChar w:fldCharType="end"/>
      </w:r>
      <w:r w:rsidR="001C71BF" w:rsidRPr="005950CC">
        <w:rPr>
          <w:lang w:val="en-GB"/>
        </w:rPr>
        <w:t xml:space="preserve">. </w:t>
      </w:r>
      <w:r w:rsidRPr="005950CC">
        <w:rPr>
          <w:lang w:val="en-GB"/>
        </w:rPr>
        <w:t xml:space="preserve">A relationship between poor mental health and experiencing energy poverty is also evident in the literature </w:t>
      </w:r>
      <w:r w:rsidRPr="005950CC">
        <w:rPr>
          <w:lang w:val="en-GB"/>
        </w:rPr>
        <w:fldChar w:fldCharType="begin"/>
      </w:r>
      <w:r w:rsidR="000517C5" w:rsidRPr="005950CC">
        <w:rPr>
          <w:lang w:val="en-GB"/>
        </w:rPr>
        <w:instrText xml:space="preserve"> ADDIN ZOTERO_ITEM CSL_CITATION {"citationID":"1e1i8r4h53","properties":{"formattedCitation":"[27]","plainCitation":"[27]"},"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Team"}],"issued":{"date-parts":[["2011"]]}}}],"schema":"https://github.com/citation-style-language/schema/raw/master/csl-citation.json"} </w:instrText>
      </w:r>
      <w:r w:rsidRPr="005950CC">
        <w:rPr>
          <w:lang w:val="en-GB"/>
        </w:rPr>
        <w:fldChar w:fldCharType="separate"/>
      </w:r>
      <w:r w:rsidR="000517C5" w:rsidRPr="005950CC">
        <w:rPr>
          <w:lang w:val="en-GB"/>
        </w:rPr>
        <w:t>[27]</w:t>
      </w:r>
      <w:r w:rsidRPr="005950CC">
        <w:rPr>
          <w:lang w:val="en-GB"/>
        </w:rPr>
        <w:fldChar w:fldCharType="end"/>
      </w:r>
      <w:r w:rsidR="007B1CC9" w:rsidRPr="005950CC">
        <w:rPr>
          <w:lang w:val="en-GB"/>
        </w:rPr>
        <w:t xml:space="preserve">. </w:t>
      </w:r>
      <w:r w:rsidRPr="005950CC">
        <w:rPr>
          <w:lang w:val="en-GB"/>
        </w:rPr>
        <w:t xml:space="preserve">The evidence base typically focuses on anxiety, stress and depression associated with living in poor housing conditions, balancing bills, heating needs and debt </w:t>
      </w:r>
      <w:r w:rsidRPr="005950CC">
        <w:rPr>
          <w:lang w:val="en-GB"/>
        </w:rPr>
        <w:fldChar w:fldCharType="begin"/>
      </w:r>
      <w:r w:rsidR="000517C5" w:rsidRPr="005950CC">
        <w:rPr>
          <w:lang w:val="en-GB"/>
        </w:rPr>
        <w:instrText xml:space="preserve"> ADDIN ZOTERO_ITEM CSL_CITATION {"citationID":"jKlmTvqo","properties":{"formattedCitation":"[4,26,33,35,36]","plainCitation":"[4,26,33,35,36]"},"citationItems":[{"id":513,"uris":["http://zotero.org/users/3767271/items/FSG5VMQZ"],"uri":["http://zotero.org/users/3767271/items/FSG5VMQZ"],"itemData":{"id":513,"type":"webpage","title":"Taking Action on Fuel Poverty","URL":"www.dpac.uk/net/2012/06/taking-action-on-fuel-poverty","author":[{"literal":"Fuel Poverty Action Group"}],"issued":{"date-parts":[["2012"]]},"accessed":{"date-parts":[["2012",11,29]]}}},{"id":112,"uris":["http://zotero.org/users/3767271/items/DBKGZVVV"],"uri":["http://zotero.org/users/3767271/items/DBKGZVVV"],"itemData":{"id":112,"type":"article-journal","title":"Keeping warm and staying well: findings from the qualitative arm of the Warm Homes Project","container-title":"Health &amp; Social Care in the Community","page":"259-267","volume":"13","issue":"3","abstract":"This paper presents findings from the qualitative arm of the Warm Homes Project, a programme of research concerned with the nature of fuel poverty, its alleviation and its relationship to family health. Much of the research into fuel poverty, which results from various combinations of low income and fuel inefficiency, has drawn upon quantitative paradigms. Experiences of, and coping with, fuel poverty have not been well explored. Data for the present study were obtained through qualitative interviews with household members about the above issues. The findings suggest that the expectations of those in fuel poverty about staying warm, and their beliefs about the relationship between warmth and health, vary considerably. Fuel poverty often had wider ramifications, impacting on quality of life in complex ways. The respondents took steps to alleviate cold, but their strategies varied. Coping was affected by informational limitations as well as cost constraints. Measures designed to alleviate fuel poverty should take into account its wider social meaning within the lives of household members.","journalAbbreviation":"Health Soc Care Community","author":[{"family":"Harrington","given":"Barbara E."},{"family":"Heyman","given":"Bob"},{"family":"Merleau-Ponty","given":"Nick"},{"family":"Stockton","given":"H."},{"family":"Ritchie","given":"Neil"},{"family":"Heyman","given":"Anna"}],"issued":{"date-parts":[["2005"]]}}},{"id":143,"uris":["http://zotero.org/users/3767271/items/HE5CAPHJ"],"uri":["http://zotero.org/users/3767271/items/HE5CAPHJ"],"itemData":{"id":143,"type":"article-journal","title":"Fuel poverty and human health: A review of recent evidence","container-title":"Energy Policy","page":"2987-2997","volume":"38","issue":"6","source":"ScienceDirect","abstract":"The health impacts of tackling fuel poverty are reviewed, drawing primarily on large-scale studies completed in the last 10 years. Although physical health effects on adults appear to be modest, caregivers and children perceive significant impacts on children’s respiratory health. There also appear to be significant effects on the physical health of infants, particularly on weight gain and susceptibility to illness. Mental health effects on adults emerge as significant in most studies, as do mental health impacts on adolescents. Mental health effects on children have, as yet, never been systematically assessed. Whilst several studies are methodologically rigorous, with some also based on very large samples, methodological problems remain. In future evaluations of health impacts, clinical outcomes could be more comprehensively augmented with measures that extend beyond physical health. These include measures reflecting quality of life, changes in patterns of social engagement and daily routine, and their concomitant impacts on mental wellbeing, Such measures may provide more rounded insights into the potential health impacts of tackling fuel poverty and—equally as important for policy and practice—the processes by which these impacts become manifest.","journalAbbreviation":"Energy Policy","author":[{"family":"Liddell","given":"Christine"},{"family":"Morris","given":"Chris"}],"issued":{"date-parts":[["2010"]]}}},{"id":608,"uris":["http://zotero.org/users/3767271/items/JJGPS3FE"],"uri":["http://zotero.org/users/3767271/items/JJGPS3FE"],"itemData":{"id":608,"type":"report","title":"Tracking the lives of disabled families through the cuts: Destination Unknown Autumn 2011","publisher":"DEMOS","publisher-place":"London","event-place":"London","author":[{"family":"Wood","given":"C."}],"issued":{"date-parts":[["2011"]]}}},{"id":613,"uris":["http://zotero.org/users/3767271/items/ZDJBZSND"],"uri":["http://zotero.org/users/3767271/items/ZDJBZSND"],"itemData":{"id":613,"type":"article-journal","title":"Exploring the Housing and Household Energy Pathways to Stress: A Mixed Methods Study","container-title":"International Journal of Environmental Research and Public Health","page":"916","volume":"13","issue":"9","abstract":"Chronic stress, known to contribute to negative physical and mental health outcomes, is closely associated with broader issues of material hardship, poor neighborhood conditions, residential instability, and inadequate housing conditions. However, few studies have comprehensively explored pathways to stress in a low-income housing environment. A mixed-methods pilot study investigated the concept of energy insecurity by looking at the impacts of weatherization and energy efficiency interventions on low-income households in the South Bronx neighborhood of New York City. In-depth interviews were conducted with 20 low-income heads of household; participants also completed health, housing and budget assessments. Physical deficiencies, economic hardship, and health issues all interacted to directly and indirectly produce living conditions that contribute to chronic stress. Households with higher stress reported more health problems. Poor quality housing led to coping responses that increased expenses, which in turn increased stress around housing and energy affordability. This study provides further support for the connections between both health and the built environment and between low socio-economic status populations and net negative health outcomes. Energy insecurity is an important contributor to chronic stress in low-income households, and isolating pathways to stress where there is potential for interventions is important for future policy and housing-based strategies.","author":[{"family":"Hernández","given":"Diana"},{"family":"Phillips","given":"Douglas"},{"family":"Siegel","given":"Eva Laura"}],"issued":{"date-parts":[["2016"]]}}}],"schema":"https://github.com/citation-style-language/schema/raw/master/csl-citation.json"} </w:instrText>
      </w:r>
      <w:r w:rsidRPr="005950CC">
        <w:rPr>
          <w:lang w:val="en-GB"/>
        </w:rPr>
        <w:fldChar w:fldCharType="separate"/>
      </w:r>
      <w:r w:rsidR="000517C5" w:rsidRPr="005950CC">
        <w:rPr>
          <w:szCs w:val="24"/>
          <w:lang w:val="en-GB"/>
        </w:rPr>
        <w:t>[4,26,33,35,36]</w:t>
      </w:r>
      <w:r w:rsidRPr="005950CC">
        <w:rPr>
          <w:lang w:val="en-GB"/>
        </w:rPr>
        <w:fldChar w:fldCharType="end"/>
      </w:r>
      <w:r w:rsidR="007B1CC9" w:rsidRPr="005950CC">
        <w:rPr>
          <w:lang w:val="en-GB"/>
        </w:rPr>
        <w:t>.</w:t>
      </w:r>
      <w:r w:rsidRPr="005950CC">
        <w:rPr>
          <w:lang w:val="en-GB"/>
        </w:rPr>
        <w:t xml:space="preserve"> Gilbertson et al. also find that cold, draught, and condensation are associated with anxiety </w:t>
      </w:r>
      <w:r w:rsidRPr="005950CC">
        <w:rPr>
          <w:lang w:val="en-GB"/>
        </w:rPr>
        <w:fldChar w:fldCharType="begin"/>
      </w:r>
      <w:r w:rsidR="000517C5" w:rsidRPr="005950CC">
        <w:rPr>
          <w:lang w:val="en-GB"/>
        </w:rPr>
        <w:instrText xml:space="preserve"> ADDIN ZOTERO_ITEM CSL_CITATION {"citationID":"10fdh1jpr","properties":{"formattedCitation":"[37]","plainCitation":"[37]"},"citationItems":[{"id":520,"uris":["http://zotero.org/users/3767271/items/CMSPJEJB"],"uri":["http://zotero.org/users/3767271/items/CMSPJEJB"],"itemData":{"id":520,"type":"article-journal","title":"Psychosocial routes from housing investment to health: Evidence from England's home energy efficiency scheme","container-title":"Energy Policy","page":"122-133","volume":"49","abstract":"Over the past decade the Warm Front Scheme has been the English Government's principal programme for improving domestic energy efficiency and reducing fuel poverty. This paper reports on a cross-sectional survey of low income householders participating in the Warm Front Scheme in five urban areas of England. Surveys were conducted of 2685 individuals, before and or after intervention. Pathways to self reported health were modelled by logistic regression. Of all the dimensions of health examined, only self reported mental health is directly associated with Warm Front measures. Intermediary variables associated with Warm Front intervention were shown to be significantly correlated with more dimensions of self reported health status. Higher temperatures, satisfaction with the heating system, greater thermal comfort, reductions in fuel poverty and lower stress were significantly correlated with improved health. Alleviating fuel poverty and reducing stress appeared to be the main route to health. We conclude there are complex and indirect relationships linking energy efficiency measures to outcomes on all dimensions of health which contribute to significant material and psychosocial benefits. The impact of the Warm Front Scheme cannot be fully understood by a limited analysis which merely relates indoor temperature and property characteristics to physiological health outcomes.","DOI":"10.1016/j.enpol.2012.01.053","journalAbbreviation":"Energy Policy","author":[{"family":"Gilbertson","given":"Jan"},{"family":"Grimsley","given":"Michael"},{"family":"Green","given":"Geoff"}],"issued":{"date-parts":[["2012"]]}},"locator":"130","label":"page","suppress-author":true}],"schema":"https://github.com/citation-style-language/schema/raw/master/csl-citation.json"} </w:instrText>
      </w:r>
      <w:r w:rsidRPr="005950CC">
        <w:rPr>
          <w:lang w:val="en-GB"/>
        </w:rPr>
        <w:fldChar w:fldCharType="separate"/>
      </w:r>
      <w:r w:rsidR="000517C5" w:rsidRPr="005950CC">
        <w:rPr>
          <w:lang w:val="en-GB"/>
        </w:rPr>
        <w:t>[37]</w:t>
      </w:r>
      <w:r w:rsidRPr="005950CC">
        <w:rPr>
          <w:lang w:val="en-GB"/>
        </w:rPr>
        <w:fldChar w:fldCharType="end"/>
      </w:r>
      <w:r w:rsidRPr="005950CC">
        <w:rPr>
          <w:lang w:val="en-GB"/>
        </w:rPr>
        <w:t xml:space="preserve">, as is the cost of energy (a point also supported by Kaye et al. </w:t>
      </w:r>
      <w:r w:rsidRPr="005950CC">
        <w:rPr>
          <w:lang w:val="en-GB"/>
        </w:rPr>
        <w:fldChar w:fldCharType="begin"/>
      </w:r>
      <w:r w:rsidRPr="005950CC">
        <w:rPr>
          <w:lang w:val="en-GB"/>
        </w:rPr>
        <w:instrText xml:space="preserve"> ADDIN ZOTERO_ITEM CSL_CITATION {"citationID":"eGHQnJDw","properties":{"formattedCitation":"[3]","plainCitation":"[3]"},"citationItems":[{"id":546,"uris":["http://zotero.org/users/3767271/items/4D6VKK38"],"uri":["http://zotero.org/users/3767271/items/4D6VKK38"],"itemData":{"id":546,"type":"report","title":"The Tipping Point: The human and economic cost of cutting disabled people’s support","publisher":"The Hardest Hit coalition","publisher-place":"London","event-place":"London","author":[{"family":"Kaye","given":"Andrew"},{"family":"Jordan","given":"Hayley"},{"family":"Baker","given":"Mark"}],"issued":{"date-parts":[["2012"]]}},"locator":"29","label":"page","suppress-author":true}],"schema":"https://github.com/citation-style-language/schema/raw/master/csl-citation.json"} </w:instrText>
      </w:r>
      <w:r w:rsidRPr="005950CC">
        <w:rPr>
          <w:lang w:val="en-GB"/>
        </w:rPr>
        <w:fldChar w:fldCharType="separate"/>
      </w:r>
      <w:r w:rsidR="00BD20C8" w:rsidRPr="005950CC">
        <w:rPr>
          <w:lang w:val="en-GB"/>
        </w:rPr>
        <w:t>[3]</w:t>
      </w:r>
      <w:r w:rsidRPr="005950CC">
        <w:rPr>
          <w:lang w:val="en-GB"/>
        </w:rPr>
        <w:fldChar w:fldCharType="end"/>
      </w:r>
      <w:r w:rsidR="007B1CC9" w:rsidRPr="005950CC">
        <w:rPr>
          <w:lang w:val="en-GB"/>
        </w:rPr>
        <w:t>).</w:t>
      </w:r>
      <w:r w:rsidRPr="005950CC">
        <w:rPr>
          <w:lang w:val="en-GB"/>
        </w:rPr>
        <w:t xml:space="preserve"> Early research by the World Health Organization (WHO) </w:t>
      </w:r>
      <w:r w:rsidRPr="005950CC">
        <w:rPr>
          <w:lang w:val="en-GB"/>
        </w:rPr>
        <w:fldChar w:fldCharType="begin"/>
      </w:r>
      <w:r w:rsidR="000517C5" w:rsidRPr="005950CC">
        <w:rPr>
          <w:lang w:val="en-GB"/>
        </w:rPr>
        <w:instrText xml:space="preserve"> ADDIN ZOTERO_ITEM CSL_CITATION {"citationID":"2as67kl8j0","properties":{"formattedCitation":"[38]","plainCitation":"[38]"},"citationItems":[{"id":214,"uris":["http://zotero.org/users/3767271/items/W2H8NE3G"],"uri":["http://zotero.org/users/3767271/items/W2H8NE3G"],"itemData":{"id":214,"type":"report","title":"Health impact of low indoor temperatures","publisher":"WHO Regional Office for Europe","publisher-place":"Copenhagen","event-place":"Copenhagen","author":[{"literal":"World Health Organization"}],"issued":{"date-parts":[["1985"]]}}}],"schema":"https://github.com/citation-style-language/schema/raw/master/csl-citation.json"} </w:instrText>
      </w:r>
      <w:r w:rsidRPr="005950CC">
        <w:rPr>
          <w:lang w:val="en-GB"/>
        </w:rPr>
        <w:fldChar w:fldCharType="separate"/>
      </w:r>
      <w:r w:rsidR="000517C5" w:rsidRPr="005950CC">
        <w:rPr>
          <w:lang w:val="en-GB"/>
        </w:rPr>
        <w:t>[38]</w:t>
      </w:r>
      <w:r w:rsidRPr="005950CC">
        <w:rPr>
          <w:lang w:val="en-GB"/>
        </w:rPr>
        <w:fldChar w:fldCharType="end"/>
      </w:r>
      <w:r w:rsidRPr="005950CC">
        <w:rPr>
          <w:lang w:val="en-GB"/>
        </w:rPr>
        <w:t xml:space="preserve"> identified both young and old age, and the presence of an existing condition or disability as factors that increase vulnerability to th</w:t>
      </w:r>
      <w:r w:rsidR="001C71BF" w:rsidRPr="005950CC">
        <w:rPr>
          <w:lang w:val="en-GB"/>
        </w:rPr>
        <w:t>e effects of low temperatures.</w:t>
      </w:r>
      <w:r w:rsidRPr="005950CC">
        <w:rPr>
          <w:lang w:val="en-GB"/>
        </w:rPr>
        <w:t xml:space="preserve"> Since then substantial research has been conducted about the health impacts on these groups, and additional risk factors have also been considered (</w:t>
      </w:r>
      <w:r w:rsidR="007A0251" w:rsidRPr="005950CC">
        <w:rPr>
          <w:lang w:val="en-GB"/>
        </w:rPr>
        <w:t>The National Institute for Health and Care Excellence</w:t>
      </w:r>
      <w:r w:rsidRPr="005950CC">
        <w:rPr>
          <w:lang w:val="en-GB"/>
        </w:rPr>
        <w:t xml:space="preserve"> for example includes pregnant women, people with mental health conditions, and those on a low income </w:t>
      </w:r>
      <w:r w:rsidRPr="005950CC">
        <w:rPr>
          <w:lang w:val="en-GB"/>
        </w:rPr>
        <w:fldChar w:fldCharType="begin"/>
      </w:r>
      <w:r w:rsidR="000517C5" w:rsidRPr="005950CC">
        <w:rPr>
          <w:lang w:val="en-GB"/>
        </w:rPr>
        <w:instrText xml:space="preserve"> ADDIN ZOTERO_ITEM CSL_CITATION {"citationID":"hkOx7xsG","properties":{"formattedCitation":"[39]","plainCitation":"[39]"},"citationItems":[{"id":580,"uris":["http://zotero.org/users/3767271/items/SB97MMI7"],"uri":["http://zotero.org/users/3767271/items/SB97MMI7"],"itemData":{"id":580,"type":"report","title":"Excess winter deaths and illness and the health risks associated with cold homes","publisher":"National Institute for Health and Care Excellence","publisher-place":"London","event-place":"London","author":[{"literal":"National Institute for Health and Care Excellence"}],"issued":{"date-parts":[["2015"]]}},"locator":"7","label":"page","suppress-author":true}],"schema":"https://github.com/citation-style-language/schema/raw/master/csl-citation.json"} </w:instrText>
      </w:r>
      <w:r w:rsidRPr="005950CC">
        <w:rPr>
          <w:lang w:val="en-GB"/>
        </w:rPr>
        <w:fldChar w:fldCharType="separate"/>
      </w:r>
      <w:r w:rsidR="000517C5" w:rsidRPr="005950CC">
        <w:rPr>
          <w:lang w:val="en-GB"/>
        </w:rPr>
        <w:t>[39]</w:t>
      </w:r>
      <w:r w:rsidRPr="005950CC">
        <w:rPr>
          <w:lang w:val="en-GB"/>
        </w:rPr>
        <w:fldChar w:fldCharType="end"/>
      </w:r>
      <w:r w:rsidRPr="005950CC">
        <w:rPr>
          <w:lang w:val="en-GB"/>
        </w:rPr>
        <w:t xml:space="preserve">). </w:t>
      </w:r>
      <w:r w:rsidR="003E5D86" w:rsidRPr="005950CC">
        <w:rPr>
          <w:lang w:val="en-GB"/>
        </w:rPr>
        <w:t xml:space="preserve">There is also a burgeoning evidence base that connects income inequality and health, which suggests a correlation between the two </w:t>
      </w:r>
      <w:r w:rsidR="003B4785" w:rsidRPr="005950CC">
        <w:rPr>
          <w:lang w:val="en-GB"/>
        </w:rPr>
        <w:fldChar w:fldCharType="begin"/>
      </w:r>
      <w:r w:rsidR="003B4785" w:rsidRPr="005950CC">
        <w:rPr>
          <w:lang w:val="en-GB"/>
        </w:rPr>
        <w:instrText xml:space="preserve"> ADDIN ZOTERO_ITEM CSL_CITATION {"citationID":"2msa2gctbv","properties":{"formattedCitation":"[40,41]","plainCitation":"[40,41]"},"citationItems":[{"id":688,"uris":["http://zotero.org/users/3767271/items/566E4M5D"],"uri":["http://zotero.org/users/3767271/items/566E4M5D"],"itemData":{"id":688,"type":"report","title":"Does income inequality cause health and social problems?","publisher":"Joseph Rowntree Foundation","publisher-place":"York","event-place":"York","author":[{"family":"Rowlingson","given":"Karen"}],"issued":{"date-parts":[["2011"]]}}},{"id":687,"uris":["http://zotero.org/users/3767271/items/9MQ6JV7N"],"uri":["http://zotero.org/users/3767271/items/9MQ6JV7N"],"itemData":{"id":687,"type":"book","title":"The Spirit Level: Why greater equality makes societies stronger","publisher":"Bloomsbury Press","publisher-place":"London","event-place":"London","author":[{"family":"Wilkinson","given":"R."},{"family":"Pickett","given":"K."}],"issued":{"date-parts":[["2009"]]}}}],"schema":"https://github.com/citation-style-language/schema/raw/master/csl-citation.json"} </w:instrText>
      </w:r>
      <w:r w:rsidR="003B4785" w:rsidRPr="005950CC">
        <w:rPr>
          <w:lang w:val="en-GB"/>
        </w:rPr>
        <w:fldChar w:fldCharType="separate"/>
      </w:r>
      <w:r w:rsidR="003B4785" w:rsidRPr="005950CC">
        <w:rPr>
          <w:noProof/>
          <w:lang w:val="en-GB"/>
        </w:rPr>
        <w:t>[40,41]</w:t>
      </w:r>
      <w:r w:rsidR="003B4785" w:rsidRPr="005950CC">
        <w:rPr>
          <w:lang w:val="en-GB"/>
        </w:rPr>
        <w:fldChar w:fldCharType="end"/>
      </w:r>
      <w:r w:rsidR="003B4785" w:rsidRPr="005950CC">
        <w:rPr>
          <w:lang w:val="en-GB"/>
        </w:rPr>
        <w:t xml:space="preserve">. An extensive review of the literature in 2011 identified a social gradient in health, with every step </w:t>
      </w:r>
      <w:r w:rsidR="001C71BF" w:rsidRPr="005950CC">
        <w:rPr>
          <w:lang w:val="en-GB"/>
        </w:rPr>
        <w:t>‘</w:t>
      </w:r>
      <w:r w:rsidR="003B4785" w:rsidRPr="005950CC">
        <w:rPr>
          <w:lang w:val="en-GB"/>
        </w:rPr>
        <w:t>up the socio-economic ladder</w:t>
      </w:r>
      <w:r w:rsidR="001C71BF" w:rsidRPr="005950CC">
        <w:rPr>
          <w:lang w:val="en-GB"/>
        </w:rPr>
        <w:t>’</w:t>
      </w:r>
      <w:r w:rsidR="003B4785" w:rsidRPr="005950CC">
        <w:rPr>
          <w:lang w:val="en-GB"/>
        </w:rPr>
        <w:t xml:space="preserve"> leading to an increase in health </w:t>
      </w:r>
      <w:r w:rsidR="003B4785" w:rsidRPr="005950CC">
        <w:rPr>
          <w:lang w:val="en-GB"/>
        </w:rPr>
        <w:fldChar w:fldCharType="begin"/>
      </w:r>
      <w:r w:rsidR="003E5D86" w:rsidRPr="005950CC">
        <w:rPr>
          <w:lang w:val="en-GB"/>
        </w:rPr>
        <w:instrText xml:space="preserve"> ADDIN ZOTERO_ITEM CSL_CITATION {"citationID":"18psnoig65","properties":{"formattedCitation":"[40]","plainCitation":"[40]"},"citationItems":[{"id":688,"uris":["http://zotero.org/users/3767271/items/566E4M5D"],"uri":["http://zotero.org/users/3767271/items/566E4M5D"],"itemData":{"id":688,"type":"report","title":"Does income inequality cause health and social problems?","publisher":"Joseph Rowntree Foundation","publisher-place":"York","event-place":"York","author":[{"family":"Rowlingson","given":"Karen"}],"issued":{"date-parts":[["2011"]]}},"locator":"5","label":"page"}],"schema":"https://github.com/citation-style-language/schema/raw/master/csl-citation.json"} </w:instrText>
      </w:r>
      <w:r w:rsidR="003B4785" w:rsidRPr="005950CC">
        <w:rPr>
          <w:lang w:val="en-GB"/>
        </w:rPr>
        <w:fldChar w:fldCharType="separate"/>
      </w:r>
      <w:r w:rsidR="003E5D86" w:rsidRPr="005950CC">
        <w:rPr>
          <w:noProof/>
          <w:lang w:val="en-GB"/>
        </w:rPr>
        <w:t>[40]</w:t>
      </w:r>
      <w:r w:rsidR="003B4785" w:rsidRPr="005950CC">
        <w:rPr>
          <w:lang w:val="en-GB"/>
        </w:rPr>
        <w:fldChar w:fldCharType="end"/>
      </w:r>
      <w:r w:rsidR="003E5D86" w:rsidRPr="005950CC">
        <w:rPr>
          <w:lang w:val="en-GB"/>
        </w:rPr>
        <w:t>.</w:t>
      </w:r>
    </w:p>
    <w:p w14:paraId="02DC4B62" w14:textId="65E84E27" w:rsidR="00C2663D" w:rsidRPr="005950CC" w:rsidRDefault="00C2663D" w:rsidP="007B1CC9">
      <w:pPr>
        <w:pStyle w:val="MDPI31text"/>
        <w:rPr>
          <w:lang w:val="en-GB"/>
        </w:rPr>
      </w:pPr>
      <w:r w:rsidRPr="005950CC">
        <w:rPr>
          <w:lang w:val="en-GB"/>
        </w:rPr>
        <w:t xml:space="preserve">As outlined above, the literature suggests that low temperatures and poor housing conditions are associated with heightened health risks for those with chronic and severe illnesses, including cardiac conditions and respiratory diseases </w:t>
      </w:r>
      <w:r w:rsidRPr="005950CC">
        <w:rPr>
          <w:lang w:val="en-GB"/>
        </w:rPr>
        <w:fldChar w:fldCharType="begin"/>
      </w:r>
      <w:r w:rsidR="003B4785" w:rsidRPr="005950CC">
        <w:rPr>
          <w:lang w:val="en-GB"/>
        </w:rPr>
        <w:instrText xml:space="preserve"> ADDIN ZOTERO_ITEM CSL_CITATION {"citationID":"4vbrfngbl","properties":{"formattedCitation":"[27,42]","plainCitation":"[27,42]"},"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Team"}],"issued":{"date-parts":[["2011"]]}}},{"id":587,"uris":["http://zotero.org/users/3767271/items/449MZIEE"],"uri":["http://zotero.org/users/3767271/items/449MZIEE"],"itemData":{"id":587,"type":"article-journal","title":"Keeping Warm: Health Risks and Vulnerable People","container-title":"Nursing and Residential Care","page":"606-610","volume":"10","issue":"12","author":[{"family":"Peate","given":"Ian"}],"issued":{"date-parts":[["2008"]]}}}],"schema":"https://github.com/citation-style-language/schema/raw/master/csl-citation.json"} </w:instrText>
      </w:r>
      <w:r w:rsidRPr="005950CC">
        <w:rPr>
          <w:lang w:val="en-GB"/>
        </w:rPr>
        <w:fldChar w:fldCharType="separate"/>
      </w:r>
      <w:r w:rsidR="003B4785" w:rsidRPr="005950CC">
        <w:rPr>
          <w:lang w:val="en-GB"/>
        </w:rPr>
        <w:t>[27,42]</w:t>
      </w:r>
      <w:r w:rsidRPr="005950CC">
        <w:rPr>
          <w:lang w:val="en-GB"/>
        </w:rPr>
        <w:fldChar w:fldCharType="end"/>
      </w:r>
      <w:r w:rsidRPr="005950CC">
        <w:rPr>
          <w:lang w:val="en-GB"/>
        </w:rPr>
        <w:t xml:space="preserve">, and that health outcomes may be substantially worse for these groups </w:t>
      </w:r>
      <w:r w:rsidRPr="005950CC">
        <w:rPr>
          <w:lang w:val="en-GB"/>
        </w:rPr>
        <w:fldChar w:fldCharType="begin"/>
      </w:r>
      <w:r w:rsidR="003B4785" w:rsidRPr="005950CC">
        <w:rPr>
          <w:lang w:val="en-GB"/>
        </w:rPr>
        <w:instrText xml:space="preserve"> ADDIN ZOTERO_ITEM CSL_CITATION {"citationID":"1g0187akd0","properties":{"formattedCitation":"{\\rtf [26,27,35,42\\uc0\\u8211{}47]}","plainCitation":"[26,27,35,42–47]"},"citationItems":[{"id":483,"uris":["http://zotero.org/users/3767271/items/IXCU2DJ3"],"uri":["http://zotero.org/users/3767271/items/IXCU2DJ3"],"itemData":{"id":483,"type":"article-journal","title":"'Only old ladies would do that': age stigma and older people's strategies for dealing with winter cold","container-title":"Health &amp; Place","page":"885-894","volume":"17","issue":"4","abstract":"Concerns over the welfare of older people in winter have led to interventions and advice campaigns meant to improve their ability to keep warm, but older people themselves are not always willing to follow these recommendations. In this paper we draw on an in-depth study that followed twenty one older person households in the UK over a cold winter and examined various aspects of their routine warmth-related practices at home and the rationales underpinning them. We find that although certain aspects of ageing did lead participants to feel they had changing warmth needs, their practices were also shaped by the problematic task of negotiating identities in the context of a wider stigmatisation of older age and an evident resistance to ageist discourses. After outlining the various ways in which this was manifest in our study, we conclude by drawing out the implications for future policy and research.","DOI":"10.1016/j.healthplace.2011.04.011","journalAbbreviation":"Health Place","author":[{"family":"Day","given":"Rosie"},{"family":"Hitchings","given":"Russell"}],"issued":{"date-parts":[["2011"]]}}},{"id":492,"uris":["http://zotero.org/users/3767271/items/DEWZVPJG"],"uri":["http://zotero.org/users/3767271/items/DEWZVPJG"],"itemData":{"id":492,"type":"webpage","title":"Disability Rights UK signs up to the Energy Revolution","URL":"https://www.disabilityrightsuk.org/policy-campaigns/campaigns/disability-rights-uk-signs-energy-revolution","author":[{"literal":"Disability Rights UK"}],"issued":{"date-parts":[["2012"]]},"accessed":{"date-parts":[["2012",11,29]]}}},{"id":496,"uris":["http://zotero.org/users/3767271/items/3W8J6ZRB"],"uri":["http://zotero.org/users/3767271/items/3W8J6ZRB"],"itemData":{"id":496,"type":"article-journal","title":"Are fuel poverty reduction schemes associated with decreased excess winter mortality in elders? A case study from London, U.K","container-title":"Chronic Illness","page":"289-294","volume":"4","issue":"4","abstract":"The London Borough of Newham, London piloted the Warm Zone, a government-led fuel poverty reduction scheme. Fuel poverty is often cited as a factor in excess winter mortality (EWM) in the U.K. This study reported in this paper assessed whether EWM decreased for people aged &gt; or =65 years in Newham as compared to all London, employing data from before and throughout the duration of the Warm Zone project. The paper also discusses the difficulties surrounding the measurement and interpretation of health impact relating to fuel poverty. We calculated and compared the yearly EWM indices for people aged &gt; or =65 years for all of London, and for Newham over 12 years (1993-2005). The yearly EWM ratio for Newham in relation to all London was then calculated and compared. No definitive evidence to support the effect of the War Zone on EMW were noted. Relationships between EWM and fewer poverty reduction schemes are difficult to interpret, as many factors are entangled. These include cold strain and biological, genetic, gender, physiological, thermoregulation, environmental, meteorological, socio-economic, healthcare provision/expenditure, lifestyle and co-morbidity aspects, besides the challenges of sample sizes and whether other fuel poverty reduction schemes were simultaneously in operation. Those in privately owned housing might be ;masked' (underestimated) in their vulnerability to fuel poverty. Redefining the specific criteria for eligibility for fuel poverty grants and tackling heat inefficiency in privately owned homes not eligible for home heating improvement despite fulfilling other criteria for vulnerability requires attention. The implications are discussed.","DOI":"10.1177/1742395308090620","journalAbbreviation":"Chronic Illn","author":[{"family":"El Ansari","given":"Walid"},{"family":"El-Silimy","given":"Sally"}],"issued":{"date-parts":[["2008"]]}}},{"id":513,"uris":["http://zotero.org/users/3767271/items/FSG5VMQZ"],"uri":["http://zotero.org/users/3767271/items/FSG5VMQZ"],"itemData":{"id":513,"type":"webpage","title":"Taking Action on Fuel Poverty","URL":"www.dpac.uk/net/2012/06/taking-action-on-fuel-poverty","author":[{"literal":"Fuel Poverty Action Group"}],"issued":{"date-parts":[["2012"]]},"accessed":{"date-parts":[["2012",11,29]]}}},{"id":523,"uris":["http://zotero.org/users/3767271/items/XZXGI9C2"],"uri":["http://zotero.org/users/3767271/items/XZXGI9C2"],"itemData":{"id":523,"type":"report","title":"Fuel poverty, older people and cold weather: An all-island analysis","publisher":"Dublin Institute of Technology","publisher-place":"Dublin","event-place":"Dublin","author":[{"family":"Goodman","given":"P."},{"family":"McAvoy","given":"H."},{"family":"Cotter","given":"N."},{"family":"Monahan","given":"E."},{"family":"Barrett","given":"E."},{"family":"Browne","given":"S."},{"family":"Zeke","given":"A."}],"issued":{"date-parts":[["2011"]]}}},{"id":535,"uris":["http://zotero.org/users/3767271/items/CMKQR4IU"],"uri":["http://zotero.org/users/3767271/items/CMKQR4IU"],"itemData":{"id":535,"type":"article-journal","title":"Housing standards: a glossary of housing and health","container-title":"Journal of Epidemiology &amp; Community Health","page":"162-168","volume":"58","issue":"3","abstract":"This glossary has been designed to provide definitions that take account of different disciplinary and policy traditions and to consider the aspects of housing that provide scope for possible concerted research and action.","DOI":"10.1136/jech.2003.011569","author":[{"family":"Howden-Chapman","given":"P."}],"issued":{"date-parts":[["2004"]]}}},{"id":143,"uris":["http://zotero.org/users/3767271/items/HE5CAPHJ"],"uri":["http://zotero.org/users/3767271/items/HE5CAPHJ"],"itemData":{"id":143,"type":"article-journal","title":"Fuel poverty and human health: A review of recent evidence","container-title":"Energy Policy","page":"2987-2997","volume":"38","issue":"6","source":"ScienceDirect","abstract":"The health impacts of tackling fuel poverty are reviewed, drawing primarily on large-scale studies completed in the last 10 years. Although physical health effects on adults appear to be modest, caregivers and children perceive significant impacts on children’s respiratory health. There also appear to be significant effects on the physical health of infants, particularly on weight gain and susceptibility to illness. Mental health effects on adults emerge as significant in most studies, as do mental health impacts on adolescents. Mental health effects on children have, as yet, never been systematically assessed. Whilst several studies are methodologically rigorous, with some also based on very large samples, methodological problems remain. In future evaluations of health impacts, clinical outcomes could be more comprehensively augmented with measures that extend beyond physical health. These include measures reflecting quality of life, changes in patterns of social engagement and daily routine, and their concomitant impacts on mental wellbeing, Such measures may provide more rounded insights into the potential health impacts of tackling fuel poverty and—equally as important for policy and practice—the processes by which these impacts become manifest.","journalAbbreviation":"Energy Policy","author":[{"family":"Liddell","given":"Christine"},{"family":"Morris","given":"Chris"}],"issued":{"date-parts":[["2010"]]}}},{"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Team"}],"issued":{"date-parts":[["2011"]]}}},{"id":587,"uris":["http://zotero.org/users/3767271/items/449MZIEE"],"uri":["http://zotero.org/users/3767271/items/449MZIEE"],"itemData":{"id":587,"type":"article-journal","title":"Keeping Warm: Health Risks and Vulnerable People","container-title":"Nursing and Residential Care","page":"606-610","volume":"10","issue":"12","author":[{"family":"Peate","given":"Ian"}],"issued":{"date-parts":[["2008"]]}}}],"schema":"https://github.com/citation-style-language/schema/raw/master/csl-citation.json"} </w:instrText>
      </w:r>
      <w:r w:rsidRPr="005950CC">
        <w:rPr>
          <w:lang w:val="en-GB"/>
        </w:rPr>
        <w:fldChar w:fldCharType="separate"/>
      </w:r>
      <w:r w:rsidR="003B4785" w:rsidRPr="005950CC">
        <w:rPr>
          <w:szCs w:val="24"/>
          <w:lang w:val="en-GB"/>
        </w:rPr>
        <w:t>[26,27,35,42</w:t>
      </w:r>
      <w:r w:rsidR="001C71BF" w:rsidRPr="005950CC">
        <w:rPr>
          <w:szCs w:val="24"/>
          <w:lang w:val="en-GB"/>
        </w:rPr>
        <w:t>–</w:t>
      </w:r>
      <w:r w:rsidR="003B4785" w:rsidRPr="005950CC">
        <w:rPr>
          <w:szCs w:val="24"/>
          <w:lang w:val="en-GB"/>
        </w:rPr>
        <w:t>47]</w:t>
      </w:r>
      <w:r w:rsidRPr="005950CC">
        <w:rPr>
          <w:lang w:val="en-GB"/>
        </w:rPr>
        <w:fldChar w:fldCharType="end"/>
      </w:r>
      <w:r w:rsidR="007B1CC9" w:rsidRPr="005950CC">
        <w:rPr>
          <w:lang w:val="en-GB"/>
        </w:rPr>
        <w:t xml:space="preserve">. </w:t>
      </w:r>
      <w:r w:rsidRPr="005950CC">
        <w:rPr>
          <w:lang w:val="en-GB"/>
        </w:rPr>
        <w:t xml:space="preserve">One of the explanatory factors is that sedentary or ill people are less able to generate their own heat </w:t>
      </w:r>
      <w:r w:rsidRPr="005950CC">
        <w:rPr>
          <w:lang w:val="en-GB"/>
        </w:rPr>
        <w:fldChar w:fldCharType="begin"/>
      </w:r>
      <w:r w:rsidR="003B4785" w:rsidRPr="005950CC">
        <w:rPr>
          <w:lang w:val="en-GB"/>
        </w:rPr>
        <w:instrText xml:space="preserve"> ADDIN ZOTERO_ITEM CSL_CITATION {"citationID":"2lsnbn8cqf","properties":{"formattedCitation":"[27,43,48]","plainCitation":"[27,43,48]"},"citationItems":[{"id":483,"uris":["http://zotero.org/users/3767271/items/IXCU2DJ3"],"uri":["http://zotero.org/users/3767271/items/IXCU2DJ3"],"itemData":{"id":483,"type":"article-journal","title":"'Only old ladies would do that': age stigma and older people's strategies for dealing with winter cold","container-title":"Health &amp; Place","page":"885-894","volume":"17","issue":"4","abstract":"Concerns over the welfare of older people in winter have led to interventions and advice campaigns meant to improve their ability to keep warm, but older people themselves are not always willing to follow these recommendations. In this paper we draw on an in-depth study that followed twenty one older person households in the UK over a cold winter and examined various aspects of their routine warmth-related practices at home and the rationales underpinning them. We find that although certain aspects of ageing did lead participants to feel they had changing warmth needs, their practices were also shaped by the problematic task of negotiating identities in the context of a wider stigmatisation of older age and an evident resistance to ageist discourses. After outlining the various ways in which this was manifest in our study, we conclude by drawing out the implications for future policy and research.","DOI":"10.1016/j.healthplace.2011.04.011","journalAbbreviation":"Health Place","author":[{"family":"Day","given":"Rosie"},{"family":"Hitchings","given":"Russell"}],"issued":{"date-parts":[["2011"]]}}},{"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Team"}],"issued":{"date-parts":[["2011"]]}}},{"id":598,"uris":["http://zotero.org/users/3767271/items/J9TKUIAI"],"uri":["http://zotero.org/users/3767271/items/J9TKUIAI"],"itemData":{"id":598,"type":"article-journal","title":"Benefits of a health impact assessment in relation to fuel poverty: assessing Luton's Affordable Warmth Strategy and the need for a national mandatory strategy","container-title":"The Journal of the Royal Society for the Promotion of Health","page":"123-129","volume":"128","issue":"3","abstract":"The links between fuel poverty and poor health are well documented, yet there is no statutory requirement on local authorities to develop fuel poverty strategies, which tend to be patchy nationally and differ substantially in quality. Fuel poverty starts from the perspective of income, even though interventions can improve health. The current public health agenda calls for more partnership-based, cost-effective strategies based on sound evidence. Fuel poverty represents a key area where there is currently little local evidence quantifying and qualifying health gain arising from strategic interventions. As a result, this initial study sought to apply the principles of a health impact assessment to Luton's Affordable Warmth Strategy, exploring the potential to identify health impact arising--as a baseline for future research--in the context of the public health agenda. A national strategy would help ensure the promotion of targeted fuel poverty strategies.","journalAbbreviation":"J R Soc Promot Health","author":[{"family":"Stewart","given":"Jill"},{"family":"Habgood","given":"Veronica"}],"issued":{"date-parts":[["2008"]]}}}],"schema":"https://github.com/citation-style-language/schema/raw/master/csl-citation.json"} </w:instrText>
      </w:r>
      <w:r w:rsidRPr="005950CC">
        <w:rPr>
          <w:lang w:val="en-GB"/>
        </w:rPr>
        <w:fldChar w:fldCharType="separate"/>
      </w:r>
      <w:r w:rsidR="003B4785" w:rsidRPr="005950CC">
        <w:rPr>
          <w:lang w:val="en-GB"/>
        </w:rPr>
        <w:t>[27,43,48]</w:t>
      </w:r>
      <w:r w:rsidRPr="005950CC">
        <w:rPr>
          <w:lang w:val="en-GB"/>
        </w:rPr>
        <w:fldChar w:fldCharType="end"/>
      </w:r>
      <w:r w:rsidRPr="005950CC">
        <w:rPr>
          <w:lang w:val="en-GB"/>
        </w:rPr>
        <w:t>. For example Parkinson</w:t>
      </w:r>
      <w:r w:rsidR="001C71BF" w:rsidRPr="005950CC">
        <w:rPr>
          <w:lang w:val="en-GB"/>
        </w:rPr>
        <w:t>’</w:t>
      </w:r>
      <w:r w:rsidRPr="005950CC">
        <w:rPr>
          <w:lang w:val="en-GB"/>
        </w:rPr>
        <w:t xml:space="preserve">s disease restricts physical activity, which in turn slows body heat generation and conservation </w:t>
      </w:r>
      <w:r w:rsidRPr="005950CC">
        <w:rPr>
          <w:lang w:val="en-GB"/>
        </w:rPr>
        <w:fldChar w:fldCharType="begin"/>
      </w:r>
      <w:r w:rsidR="000517C5" w:rsidRPr="005950CC">
        <w:rPr>
          <w:lang w:val="en-GB"/>
        </w:rPr>
        <w:instrText xml:space="preserve"> ADDIN ZOTERO_ITEM CSL_CITATION {"citationID":"1bns5pjvl4","properties":{"formattedCitation":"[27]","plainCitation":"[27]"},"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Team"}],"issued":{"date-parts":[["2011"]]}},"locator":"29","label":"page"}],"schema":"https://github.com/citation-style-language/schema/raw/master/csl-citation.json"} </w:instrText>
      </w:r>
      <w:r w:rsidRPr="005950CC">
        <w:rPr>
          <w:lang w:val="en-GB"/>
        </w:rPr>
        <w:fldChar w:fldCharType="separate"/>
      </w:r>
      <w:r w:rsidR="000517C5" w:rsidRPr="005950CC">
        <w:rPr>
          <w:lang w:val="en-GB"/>
        </w:rPr>
        <w:t>[27]</w:t>
      </w:r>
      <w:r w:rsidRPr="005950CC">
        <w:rPr>
          <w:lang w:val="en-GB"/>
        </w:rPr>
        <w:fldChar w:fldCharType="end"/>
      </w:r>
      <w:r w:rsidR="007B1CC9" w:rsidRPr="005950CC">
        <w:rPr>
          <w:lang w:val="en-GB"/>
        </w:rPr>
        <w:t>.</w:t>
      </w:r>
      <w:r w:rsidRPr="005950CC">
        <w:rPr>
          <w:lang w:val="en-GB"/>
        </w:rPr>
        <w:t xml:space="preserve"> Whilst WHO research of the 1980s was limited in terms of considering specific conditions and air temperatures, </w:t>
      </w:r>
      <w:r w:rsidRPr="005950CC">
        <w:rPr>
          <w:lang w:val="en-GB"/>
        </w:rPr>
        <w:lastRenderedPageBreak/>
        <w:t>more is now known about this. For example Osman et al</w:t>
      </w:r>
      <w:r w:rsidR="007B1CC9" w:rsidRPr="005950CC">
        <w:rPr>
          <w:lang w:val="en-GB"/>
        </w:rPr>
        <w:t>.</w:t>
      </w:r>
      <w:r w:rsidRPr="005950CC">
        <w:rPr>
          <w:i/>
          <w:lang w:val="en-GB"/>
        </w:rPr>
        <w:t xml:space="preserve"> </w:t>
      </w:r>
      <w:r w:rsidRPr="005950CC">
        <w:rPr>
          <w:lang w:val="en-GB"/>
        </w:rPr>
        <w:fldChar w:fldCharType="begin"/>
      </w:r>
      <w:r w:rsidR="003B4785" w:rsidRPr="005950CC">
        <w:rPr>
          <w:lang w:val="en-GB"/>
        </w:rPr>
        <w:instrText xml:space="preserve"> ADDIN ZOTERO_ITEM CSL_CITATION {"citationID":"duf6p1kgf","properties":{"formattedCitation":"[49]","plainCitation":"[49]"},"citationItems":[{"id":353,"uris":["http://zotero.org/users/3767271/items/PUQCKKBF"],"uri":["http://zotero.org/users/3767271/items/PUQCKKBF"],"itemData":{"id":353,"type":"article-journal","title":"Home warmth and health status of COPD patients","container-title":"European Journal of Public Health","page":"399-405","volume":"18","issue":"4","journalAbbreviation":"Eur J Public Health","author":[{"family":"Osman","given":"Liesl M."},{"family":"Ayres","given":"Jon G."},{"family":"Garden","given":"Carole"},{"family":"Reglitz","given":"Karen"},{"family":"Lyon","given":"Janice"},{"family":"Douglas","given":"J. Graham"}],"issued":{"date-parts":[["2008"]]}},"suppress-author":true}],"schema":"https://github.com/citation-style-language/schema/raw/master/csl-citation.json"} </w:instrText>
      </w:r>
      <w:r w:rsidRPr="005950CC">
        <w:rPr>
          <w:lang w:val="en-GB"/>
        </w:rPr>
        <w:fldChar w:fldCharType="separate"/>
      </w:r>
      <w:r w:rsidR="003B4785" w:rsidRPr="005950CC">
        <w:rPr>
          <w:lang w:val="en-GB"/>
        </w:rPr>
        <w:t>[49]</w:t>
      </w:r>
      <w:r w:rsidRPr="005950CC">
        <w:rPr>
          <w:lang w:val="en-GB"/>
        </w:rPr>
        <w:fldChar w:fldCharType="end"/>
      </w:r>
      <w:r w:rsidRPr="005950CC">
        <w:rPr>
          <w:lang w:val="en-GB"/>
        </w:rPr>
        <w:t xml:space="preserve">, Howden-Chapman </w:t>
      </w:r>
      <w:r w:rsidRPr="005950CC">
        <w:rPr>
          <w:lang w:val="en-GB"/>
        </w:rPr>
        <w:fldChar w:fldCharType="begin"/>
      </w:r>
      <w:r w:rsidR="003B4785" w:rsidRPr="005950CC">
        <w:rPr>
          <w:lang w:val="en-GB"/>
        </w:rPr>
        <w:instrText xml:space="preserve"> ADDIN ZOTERO_ITEM CSL_CITATION {"citationID":"s202923ka","properties":{"formattedCitation":"[47]","plainCitation":"[47]"},"citationItems":[{"id":535,"uris":["http://zotero.org/users/3767271/items/CMKQR4IU"],"uri":["http://zotero.org/users/3767271/items/CMKQR4IU"],"itemData":{"id":535,"type":"article-journal","title":"Housing standards: a glossary of housing and health","container-title":"Journal of Epidemiology &amp; Community Health","page":"162-168","volume":"58","issue":"3","abstract":"This glossary has been designed to provide definitions that take account of different disciplinary and policy traditions and to consider the aspects of housing that provide scope for possible concerted research and action.","DOI":"10.1136/jech.2003.011569","author":[{"family":"Howden-Chapman","given":"P."}],"issued":{"date-parts":[["2004"]]}},"suppress-author":true}],"schema":"https://github.com/citation-style-language/schema/raw/master/csl-citation.json"} </w:instrText>
      </w:r>
      <w:r w:rsidRPr="005950CC">
        <w:rPr>
          <w:lang w:val="en-GB"/>
        </w:rPr>
        <w:fldChar w:fldCharType="separate"/>
      </w:r>
      <w:r w:rsidR="003B4785" w:rsidRPr="005950CC">
        <w:rPr>
          <w:lang w:val="en-GB"/>
        </w:rPr>
        <w:t>[47]</w:t>
      </w:r>
      <w:r w:rsidRPr="005950CC">
        <w:rPr>
          <w:lang w:val="en-GB"/>
        </w:rPr>
        <w:fldChar w:fldCharType="end"/>
      </w:r>
      <w:r w:rsidRPr="005950CC">
        <w:rPr>
          <w:lang w:val="en-GB"/>
        </w:rPr>
        <w:t xml:space="preserve">, and Ormandy and Ezratty </w:t>
      </w:r>
      <w:r w:rsidRPr="005950CC">
        <w:rPr>
          <w:lang w:val="en-GB"/>
        </w:rPr>
        <w:fldChar w:fldCharType="begin"/>
      </w:r>
      <w:r w:rsidR="003B4785" w:rsidRPr="005950CC">
        <w:rPr>
          <w:lang w:val="en-GB"/>
        </w:rPr>
        <w:instrText xml:space="preserve"> ADDIN ZOTERO_ITEM CSL_CITATION {"citationID":"lm6je18si","properties":{"formattedCitation":"[50]","plainCitation":"[50]"},"citationItems":[{"id":581,"uris":["http://zotero.org/users/3767271/items/FTW4VSR5"],"uri":["http://zotero.org/users/3767271/items/FTW4VSR5"],"itemData":{"id":581,"type":"article-journal","title":"Health and thermal comfort: From WHO guidance to housing strategies","container-title":"Energy Policy","page":"116-121","volume":"49","abstract":"There are many references to the WHO guidance on thermal comfort in housing, but not to the original source material. Based on archive material, this paper gives the evidential basis for the WHO guidance. It then reports on evidence that some groups may be more susceptible to high or low indoor temperatures than others. It examines different methods for measuring thermal comfort, such as air temperature measurement, assessing residents' perception, and predicting satisfaction. Resident's perception was used effectively in the WHO LARES project, showing that self-reported poor health was significantly associated with poor thermal comfort.\nTools to inform strategies directed at dealing with cold homes and fuel poverty are considered, including Energy Performance Certificates, Fuel Poverty Indicators, and the English Housing Health and Safety Rating System. Conclusions from a WHO Workshop on Housing, Energy and Thermal Comfort are also summarised.\nThe WHO view of thermal comfort, which is driven by protecting health from both high and low indoor temperatures, should be recognised in energy efficiency, fuel poverty and climate change strategies. While this is a major challenge, it could provide both health gains for individuals, and economic benefits for society.","DOI":"10.1016/j.enpol.2011.09.003","journalAbbreviation":"Energy Policy","author":[{"family":"Ormandy","given":"David"},{"family":"Ezratty","given":"Véronique"}],"issued":{"date-parts":[["2012"]]}},"suppress-author":true}],"schema":"https://github.com/citation-style-language/schema/raw/master/csl-citation.json"} </w:instrText>
      </w:r>
      <w:r w:rsidRPr="005950CC">
        <w:rPr>
          <w:lang w:val="en-GB"/>
        </w:rPr>
        <w:fldChar w:fldCharType="separate"/>
      </w:r>
      <w:r w:rsidR="003B4785" w:rsidRPr="005950CC">
        <w:rPr>
          <w:lang w:val="en-GB"/>
        </w:rPr>
        <w:t>[50]</w:t>
      </w:r>
      <w:r w:rsidRPr="005950CC">
        <w:rPr>
          <w:lang w:val="en-GB"/>
        </w:rPr>
        <w:fldChar w:fldCharType="end"/>
      </w:r>
      <w:r w:rsidRPr="005950CC">
        <w:rPr>
          <w:lang w:val="en-GB"/>
        </w:rPr>
        <w:t xml:space="preserve"> suggest that those with </w:t>
      </w:r>
      <w:r w:rsidR="002B5544" w:rsidRPr="005950CC">
        <w:rPr>
          <w:lang w:val="en-GB"/>
        </w:rPr>
        <w:t xml:space="preserve">chronic obstructive pulmonary disease </w:t>
      </w:r>
      <w:r w:rsidRPr="005950CC">
        <w:rPr>
          <w:lang w:val="en-GB"/>
        </w:rPr>
        <w:t xml:space="preserve">(COPD) require a heating regime of 21 degrees centigrade </w:t>
      </w:r>
      <w:r w:rsidRPr="005950CC">
        <w:rPr>
          <w:lang w:val="en-GB"/>
        </w:rPr>
        <w:fldChar w:fldCharType="begin"/>
      </w:r>
      <w:r w:rsidR="003B4785" w:rsidRPr="005950CC">
        <w:rPr>
          <w:lang w:val="en-GB"/>
        </w:rPr>
        <w:instrText xml:space="preserve"> ADDIN ZOTERO_ITEM CSL_CITATION {"citationID":"XRe20PpH","properties":{"formattedCitation":"[50]","plainCitation":"[50]"},"citationItems":[{"id":581,"uris":["http://zotero.org/users/3767271/items/FTW4VSR5"],"uri":["http://zotero.org/users/3767271/items/FTW4VSR5"],"itemData":{"id":581,"type":"article-journal","title":"Health and thermal comfort: From WHO guidance to housing strategies","container-title":"Energy Policy","page":"116-121","volume":"49","abstract":"There are many references to the WHO guidance on thermal comfort in housing, but not to the original source material. Based on archive material, this paper gives the evidential basis for the WHO guidance. It then reports on evidence that some groups may be more susceptible to high or low indoor temperatures than others. It examines different methods for measuring thermal comfort, such as air temperature measurement, assessing residents' perception, and predicting satisfaction. Resident's perception was used effectively in the WHO LARES project, showing that self-reported poor health was significantly associated with poor thermal comfort.\nTools to inform strategies directed at dealing with cold homes and fuel poverty are considered, including Energy Performance Certificates, Fuel Poverty Indicators, and the English Housing Health and Safety Rating System. Conclusions from a WHO Workshop on Housing, Energy and Thermal Comfort are also summarised.\nThe WHO view of thermal comfort, which is driven by protecting health from both high and low indoor temperatures, should be recognised in energy efficiency, fuel poverty and climate change strategies. While this is a major challenge, it could provide both health gains for individuals, and economic benefits for society.","DOI":"10.1016/j.enpol.2011.09.003","journalAbbreviation":"Energy Policy","author":[{"family":"Ormandy","given":"David"},{"family":"Ezratty","given":"Véronique"}],"issued":{"date-parts":[["2012"]]}},"locator":"120","label":"page","suppress-author":true}],"schema":"https://github.com/citation-style-language/schema/raw/master/csl-citation.json"} </w:instrText>
      </w:r>
      <w:r w:rsidRPr="005950CC">
        <w:rPr>
          <w:lang w:val="en-GB"/>
        </w:rPr>
        <w:fldChar w:fldCharType="separate"/>
      </w:r>
      <w:r w:rsidR="003B4785" w:rsidRPr="005950CC">
        <w:rPr>
          <w:lang w:val="en-GB"/>
        </w:rPr>
        <w:t>[50]</w:t>
      </w:r>
      <w:r w:rsidRPr="005950CC">
        <w:rPr>
          <w:lang w:val="en-GB"/>
        </w:rPr>
        <w:fldChar w:fldCharType="end"/>
      </w:r>
      <w:r w:rsidRPr="005950CC">
        <w:rPr>
          <w:lang w:val="en-GB"/>
        </w:rPr>
        <w:t xml:space="preserve"> and where this is not met there are severe health implications, bo</w:t>
      </w:r>
      <w:r w:rsidR="0072795E" w:rsidRPr="005950CC">
        <w:rPr>
          <w:lang w:val="en-GB"/>
        </w:rPr>
        <w:t xml:space="preserve">th in the short and long term. </w:t>
      </w:r>
      <w:r w:rsidRPr="005950CC">
        <w:rPr>
          <w:lang w:val="en-GB"/>
        </w:rPr>
        <w:t>In addition to those with underlying health conditions, older people are regarded as being more vulnerable to the effects of low indoor temperature</w:t>
      </w:r>
      <w:r w:rsidR="0072795E" w:rsidRPr="005950CC">
        <w:rPr>
          <w:lang w:val="en-GB"/>
        </w:rPr>
        <w:t xml:space="preserve">s and poor housing conditions. </w:t>
      </w:r>
      <w:r w:rsidRPr="005950CC">
        <w:rPr>
          <w:lang w:val="en-GB"/>
        </w:rPr>
        <w:t>This relationship exists for a number o</w:t>
      </w:r>
      <w:r w:rsidR="0072795E" w:rsidRPr="005950CC">
        <w:rPr>
          <w:lang w:val="en-GB"/>
        </w:rPr>
        <w:t xml:space="preserve">f reasons: </w:t>
      </w:r>
      <w:r w:rsidRPr="005950CC">
        <w:rPr>
          <w:lang w:val="en-GB"/>
        </w:rPr>
        <w:t xml:space="preserve">the higher likelihood of older people having underlying health conditions, less subcutaneous fat, and being in the home for longer periods (and thus needing more heat for longer) </w:t>
      </w:r>
      <w:r w:rsidRPr="005950CC">
        <w:rPr>
          <w:lang w:val="en-GB"/>
        </w:rPr>
        <w:fldChar w:fldCharType="begin"/>
      </w:r>
      <w:r w:rsidR="000517C5" w:rsidRPr="005950CC">
        <w:rPr>
          <w:lang w:val="en-GB"/>
        </w:rPr>
        <w:instrText xml:space="preserve"> ADDIN ZOTERO_ITEM CSL_CITATION {"citationID":"2h58cof6ol","properties":{"formattedCitation":"[27]","plainCitation":"[27]"},"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Team"}],"issued":{"date-parts":[["2011"]]}},"locator":"24","label":"page"}],"schema":"https://github.com/citation-style-language/schema/raw/master/csl-citation.json"} </w:instrText>
      </w:r>
      <w:r w:rsidRPr="005950CC">
        <w:rPr>
          <w:lang w:val="en-GB"/>
        </w:rPr>
        <w:fldChar w:fldCharType="separate"/>
      </w:r>
      <w:r w:rsidR="000517C5" w:rsidRPr="005950CC">
        <w:rPr>
          <w:lang w:val="en-GB"/>
        </w:rPr>
        <w:t>[27]</w:t>
      </w:r>
      <w:r w:rsidRPr="005950CC">
        <w:rPr>
          <w:lang w:val="en-GB"/>
        </w:rPr>
        <w:fldChar w:fldCharType="end"/>
      </w:r>
      <w:r w:rsidR="0072795E" w:rsidRPr="005950CC">
        <w:rPr>
          <w:lang w:val="en-GB"/>
        </w:rPr>
        <w:t xml:space="preserve">. </w:t>
      </w:r>
      <w:r w:rsidRPr="005950CC">
        <w:rPr>
          <w:lang w:val="en-GB"/>
        </w:rPr>
        <w:t xml:space="preserve">There is also evidence that </w:t>
      </w:r>
      <w:r w:rsidR="0072795E" w:rsidRPr="005950CC">
        <w:rPr>
          <w:lang w:val="en-GB"/>
        </w:rPr>
        <w:t>‘</w:t>
      </w:r>
      <w:r w:rsidRPr="005950CC">
        <w:rPr>
          <w:lang w:val="en-GB"/>
        </w:rPr>
        <w:t>thermal discomfort</w:t>
      </w:r>
      <w:r w:rsidR="0072795E" w:rsidRPr="005950CC">
        <w:rPr>
          <w:lang w:val="en-GB"/>
        </w:rPr>
        <w:t>’</w:t>
      </w:r>
      <w:r w:rsidRPr="005950CC">
        <w:rPr>
          <w:lang w:val="en-GB"/>
        </w:rPr>
        <w:t xml:space="preserve"> can exacerbate existing conditions such as arthritis and rheumatism </w:t>
      </w:r>
      <w:r w:rsidRPr="005950CC">
        <w:rPr>
          <w:lang w:val="en-GB"/>
        </w:rPr>
        <w:fldChar w:fldCharType="begin"/>
      </w:r>
      <w:r w:rsidR="000517C5" w:rsidRPr="005950CC">
        <w:rPr>
          <w:lang w:val="en-GB"/>
        </w:rPr>
        <w:instrText xml:space="preserve"> ADDIN ZOTERO_ITEM CSL_CITATION {"citationID":"18plhliv1r","properties":{"formattedCitation":"[26,27]","plainCitation":"[26,27]"},"citationItems":[{"id":143,"uris":["http://zotero.org/users/3767271/items/HE5CAPHJ"],"uri":["http://zotero.org/users/3767271/items/HE5CAPHJ"],"itemData":{"id":143,"type":"article-journal","title":"Fuel poverty and human health: A review of recent evidence","container-title":"Energy Policy","page":"2987-2997","volume":"38","issue":"6","source":"ScienceDirect","abstract":"The health impacts of tackling fuel poverty are reviewed, drawing primarily on large-scale studies completed in the last 10 years. Although physical health effects on adults appear to be modest, caregivers and children perceive significant impacts on children’s respiratory health. There also appear to be significant effects on the physical health of infants, particularly on weight gain and susceptibility to illness. Mental health effects on adults emerge as significant in most studies, as do mental health impacts on adolescents. Mental health effects on children have, as yet, never been systematically assessed. Whilst several studies are methodologically rigorous, with some also based on very large samples, methodological problems remain. In future evaluations of health impacts, clinical outcomes could be more comprehensively augmented with measures that extend beyond physical health. These include measures reflecting quality of life, changes in patterns of social engagement and daily routine, and their concomitant impacts on mental wellbeing, Such measures may provide more rounded insights into the potential health impacts of tackling fuel poverty and—equally as important for policy and practice—the processes by which these impacts become manifest.","journalAbbreviation":"Energy Policy","author":[{"family":"Liddell","given":"Christine"},{"family":"Morris","given":"Chris"}],"issued":{"date-parts":[["2010"]]}}},{"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Team"}],"issued":{"date-parts":[["2011"]]}}}],"schema":"https://github.com/citation-style-language/schema/raw/master/csl-citation.json"} </w:instrText>
      </w:r>
      <w:r w:rsidRPr="005950CC">
        <w:rPr>
          <w:lang w:val="en-GB"/>
        </w:rPr>
        <w:fldChar w:fldCharType="separate"/>
      </w:r>
      <w:r w:rsidR="000517C5" w:rsidRPr="005950CC">
        <w:rPr>
          <w:lang w:val="en-GB"/>
        </w:rPr>
        <w:t>[26,27]</w:t>
      </w:r>
      <w:r w:rsidRPr="005950CC">
        <w:rPr>
          <w:lang w:val="en-GB"/>
        </w:rPr>
        <w:fldChar w:fldCharType="end"/>
      </w:r>
      <w:r w:rsidRPr="005950CC">
        <w:rPr>
          <w:lang w:val="en-GB"/>
        </w:rPr>
        <w:t xml:space="preserve"> and a relationship has been found between energy inefficient housing and increased rates of winter respiratory disease among older people </w:t>
      </w:r>
      <w:r w:rsidRPr="005950CC">
        <w:rPr>
          <w:lang w:val="en-GB"/>
        </w:rPr>
        <w:fldChar w:fldCharType="begin"/>
      </w:r>
      <w:r w:rsidR="003B4785" w:rsidRPr="005950CC">
        <w:rPr>
          <w:lang w:val="en-GB"/>
        </w:rPr>
        <w:instrText xml:space="preserve"> ADDIN ZOTERO_ITEM CSL_CITATION {"citationID":"1crps6a920","properties":{"formattedCitation":"[51]","plainCitation":"[51]"},"citationItems":[{"id":588,"uris":["http://zotero.org/users/3767271/items/4F66FNKS"],"uri":["http://zotero.org/users/3767271/items/4F66FNKS"],"itemData":{"id":588,"type":"article-journal","title":"Excess winter morbidity among older people at risk of cold homes: a population-based study in a London borough","container-title":"Journal of Public Health","page":"353-358","volume":"27","issue":"4","DOI":"10.1093/pubmed/fdi051","journalAbbreviation":"J Public Health (Oxf)","author":[{"family":"Rudge","given":"Janet"},{"family":"Gilchrist","given":"Robert"}],"issued":{"date-parts":[["2005"]]}}}],"schema":"https://github.com/citation-style-language/schema/raw/master/csl-citation.json"} </w:instrText>
      </w:r>
      <w:r w:rsidRPr="005950CC">
        <w:rPr>
          <w:lang w:val="en-GB"/>
        </w:rPr>
        <w:fldChar w:fldCharType="separate"/>
      </w:r>
      <w:r w:rsidR="003B4785" w:rsidRPr="005950CC">
        <w:rPr>
          <w:lang w:val="en-GB"/>
        </w:rPr>
        <w:t>[51]</w:t>
      </w:r>
      <w:r w:rsidRPr="005950CC">
        <w:rPr>
          <w:lang w:val="en-GB"/>
        </w:rPr>
        <w:fldChar w:fldCharType="end"/>
      </w:r>
      <w:r w:rsidRPr="005950CC">
        <w:rPr>
          <w:lang w:val="en-GB"/>
        </w:rPr>
        <w:t xml:space="preserve">. </w:t>
      </w:r>
    </w:p>
    <w:p w14:paraId="5B07F694" w14:textId="4863A694" w:rsidR="00C2663D" w:rsidRPr="005950CC" w:rsidRDefault="00C2663D" w:rsidP="007B1CC9">
      <w:pPr>
        <w:pStyle w:val="MDPI31text"/>
        <w:rPr>
          <w:lang w:val="en-GB"/>
        </w:rPr>
      </w:pPr>
      <w:r w:rsidRPr="005950CC">
        <w:rPr>
          <w:lang w:val="en-GB"/>
        </w:rPr>
        <w:t xml:space="preserve">There is also a significant body of literature that addresses </w:t>
      </w:r>
      <w:r w:rsidR="002B5544" w:rsidRPr="005950CC">
        <w:rPr>
          <w:lang w:val="en-GB"/>
        </w:rPr>
        <w:t xml:space="preserve">excess winter mortality </w:t>
      </w:r>
      <w:r w:rsidR="0072795E" w:rsidRPr="005950CC">
        <w:rPr>
          <w:lang w:val="en-GB"/>
        </w:rPr>
        <w:t xml:space="preserve">(EWM). </w:t>
      </w:r>
      <w:r w:rsidRPr="005950CC">
        <w:rPr>
          <w:lang w:val="en-GB"/>
        </w:rPr>
        <w:t>English data from 2012</w:t>
      </w:r>
      <w:r w:rsidR="002B5544" w:rsidRPr="005950CC">
        <w:rPr>
          <w:lang w:val="en-GB"/>
        </w:rPr>
        <w:t>–20</w:t>
      </w:r>
      <w:r w:rsidRPr="005950CC">
        <w:rPr>
          <w:lang w:val="en-GB"/>
        </w:rPr>
        <w:t xml:space="preserve">13 indicates that only 24 per cent of </w:t>
      </w:r>
      <w:r w:rsidR="002B5544" w:rsidRPr="005950CC">
        <w:rPr>
          <w:lang w:val="en-GB"/>
        </w:rPr>
        <w:t>cold-</w:t>
      </w:r>
      <w:r w:rsidRPr="005950CC">
        <w:rPr>
          <w:lang w:val="en-GB"/>
        </w:rPr>
        <w:t xml:space="preserve">related deaths occurred amongst those aged under 75 </w:t>
      </w:r>
      <w:r w:rsidRPr="005950CC">
        <w:rPr>
          <w:lang w:val="en-GB"/>
        </w:rPr>
        <w:fldChar w:fldCharType="begin"/>
      </w:r>
      <w:r w:rsidR="000517C5" w:rsidRPr="005950CC">
        <w:rPr>
          <w:lang w:val="en-GB"/>
        </w:rPr>
        <w:instrText xml:space="preserve"> ADDIN ZOTERO_ITEM CSL_CITATION {"citationID":"125mvh1dbk","properties":{"formattedCitation":"[39]","plainCitation":"[39]"},"citationItems":[{"id":580,"uris":["http://zotero.org/users/3767271/items/SB97MMI7"],"uri":["http://zotero.org/users/3767271/items/SB97MMI7"],"itemData":{"id":580,"type":"report","title":"Excess winter deaths and illness and the health risks associated with cold homes","publisher":"National Institute for Health and Care Excellence","publisher-place":"London","event-place":"London","author":[{"literal":"National Institute for Health and Care Excellence"}],"issued":{"date-parts":[["2015"]]}},"locator":"19","label":"page"}],"schema":"https://github.com/citation-style-language/schema/raw/master/csl-citation.json"} </w:instrText>
      </w:r>
      <w:r w:rsidRPr="005950CC">
        <w:rPr>
          <w:lang w:val="en-GB"/>
        </w:rPr>
        <w:fldChar w:fldCharType="separate"/>
      </w:r>
      <w:r w:rsidR="000517C5" w:rsidRPr="005950CC">
        <w:rPr>
          <w:lang w:val="en-GB"/>
        </w:rPr>
        <w:t>[39]</w:t>
      </w:r>
      <w:r w:rsidRPr="005950CC">
        <w:rPr>
          <w:lang w:val="en-GB"/>
        </w:rPr>
        <w:fldChar w:fldCharType="end"/>
      </w:r>
      <w:r w:rsidR="0072795E" w:rsidRPr="005950CC">
        <w:rPr>
          <w:lang w:val="en-GB"/>
        </w:rPr>
        <w:t xml:space="preserve">. </w:t>
      </w:r>
      <w:r w:rsidRPr="005950CC">
        <w:rPr>
          <w:lang w:val="en-GB"/>
        </w:rPr>
        <w:t xml:space="preserve">Once again, a relationship between chronic and severe illnesses and EWM is suggested throughout the literature </w:t>
      </w:r>
      <w:r w:rsidRPr="005950CC">
        <w:rPr>
          <w:lang w:val="en-GB"/>
        </w:rPr>
        <w:fldChar w:fldCharType="begin"/>
      </w:r>
      <w:r w:rsidR="003B4785" w:rsidRPr="005950CC">
        <w:rPr>
          <w:lang w:val="en-GB"/>
        </w:rPr>
        <w:instrText xml:space="preserve"> ADDIN ZOTERO_ITEM CSL_CITATION {"citationID":"hrccft6c8","properties":{"formattedCitation":"{\\rtf [52\\uc0\\u8211{}55]}","plainCitation":"[52–55]"},"citationItems":[{"id":478,"uris":["http://zotero.org/users/3767271/items/SS54RMK8"],"uri":["http://zotero.org/users/3767271/items/SS54RMK8"],"itemData":{"id":478,"type":"article-journal","title":"Annual variations in indoor climate in the homes of elderly persons living in Dublin, Ireland and Tromsø, Norway","container-title":"The European Journal of Public Health","page":"526-531","volume":"21","issue":"4","DOI":"10.1093/eurpub/ckp109","journalAbbreviation":"Eur J Public Health","author":[{"family":"Bøkenes","given":"Lise"},{"family":"Mercer","given":"James B."},{"family":"MacEvilly","given":"Sheila"},{"family":"Andrews","given":"James F."},{"family":"Bolle","given":"Roald"}],"issued":{"date-parts":[["2011"]]}}},{"id":489,"uris":["http://zotero.org/users/3767271/items/C6PIF96T"],"uri":["http://zotero.org/users/3767271/items/C6PIF96T"],"itemData":{"id":489,"type":"report","title":"How to reduce the risk of seasonal excess deaths systematically in vulnerable older people to impact at population level","publisher":"Department of Health","publisher-place":"London","event-place":"London","author":[{"literal":"Department of Health"}],"issued":{"date-parts":[["2010"]]}}},{"id":488,"uris":["http://zotero.org/users/3767271/items/7K49K5QQ"],"uri":["http://zotero.org/users/3767271/items/7K49K5QQ"],"itemData":{"id":488,"type":"report","title":"Improving outcomes and supporting transparency: Part 1 a public health outcomes framework for England 2013 – 2016","publisher":"Department of Health","publisher-place":"London","event-place":"London","author":[{"literal":"Department of Health"}],"issued":{"date-parts":[["2012"]]}}},{"id":525,"uris":["http://zotero.org/users/3767271/items/C9MCWTAC"],"uri":["http://zotero.org/users/3767271/items/C9MCWTAC"],"itemData":{"id":525,"type":"article-journal","title":"Seasonal patterns of mortality in relation to social factors","container-title":"Journal of Epidemiology and Community Health","page":"379-384","volume":"66","issue":"4","abstract":"BACKGROUND: New Zealand is a temperate country with substantial excess winter mortality. We investigated whether this excess winter mortality varies with social factors.\nMETHODS: Records from New Zealand censuses in 1981, 1986, 1991, 1996 and 2001 were each anonymously and probabilistically linked to 3 years of subsequent mortality data creating five cohort studies of the New Zealand adult population (age 30-74 years at census) each with 3 years' follow-up. Logistic regression analysis was used to model the risk of dying in winter compared to summer with winter deaths classified '1' and summer deaths '0'. There were 75,138 eligible mortality records with complete data on social variables recorded for 58,683 (78%).\nRESULTS: Adjusting for age, sex, census year, ethnicity and tenure, those in the lowest tertile of income were at increased risk of winter death compared to those in the highest tertile: OR 1.13 (95% CI 1.08 to 1.19). Compared to home owners, people living in rented accommodation were at greater risk of winter death: OR 1.05 (95% CI 1.01 to 1.10). Urban dwellers were also at significantly increased risk. The strongest associations were seen for infectious diseases.\nCONCLUSIONS: There was an increased risk of dying in winter for most New Zealanders, but more so among low-income people, those living in rented accommodation and those living in cities. Exact causal mechanisms are not known but possibly include correlated poorer health status, low indoor temperatures and household crowding.","DOI":"10.1136/jech.2010.111864","journalAbbreviation":"J Epidemiol Community Health","author":[{"family":"Hales","given":"Simon"},{"family":"Blakely","given":"Tony"},{"family":"Foster","given":"Rachel H."},{"family":"Baker","given":"Michael G."},{"family":"Howden-Chapman","given":"Philippa"}],"issued":{"date-parts":[["2012"]]}}}],"schema":"https://github.com/citation-style-language/schema/raw/master/csl-citation.json"} </w:instrText>
      </w:r>
      <w:r w:rsidRPr="005950CC">
        <w:rPr>
          <w:lang w:val="en-GB"/>
        </w:rPr>
        <w:fldChar w:fldCharType="separate"/>
      </w:r>
      <w:r w:rsidR="003B4785" w:rsidRPr="005950CC">
        <w:rPr>
          <w:szCs w:val="24"/>
          <w:lang w:val="en-GB"/>
        </w:rPr>
        <w:t>[52</w:t>
      </w:r>
      <w:r w:rsidR="0072795E" w:rsidRPr="005950CC">
        <w:rPr>
          <w:szCs w:val="24"/>
          <w:lang w:val="en-GB"/>
        </w:rPr>
        <w:t>–</w:t>
      </w:r>
      <w:r w:rsidR="003B4785" w:rsidRPr="005950CC">
        <w:rPr>
          <w:szCs w:val="24"/>
          <w:lang w:val="en-GB"/>
        </w:rPr>
        <w:t>55]</w:t>
      </w:r>
      <w:r w:rsidRPr="005950CC">
        <w:rPr>
          <w:lang w:val="en-GB"/>
        </w:rPr>
        <w:fldChar w:fldCharType="end"/>
      </w:r>
      <w:r w:rsidR="0072795E" w:rsidRPr="005950CC">
        <w:rPr>
          <w:lang w:val="en-GB"/>
        </w:rPr>
        <w:t xml:space="preserve">. </w:t>
      </w:r>
      <w:r w:rsidRPr="005950CC">
        <w:rPr>
          <w:lang w:val="en-GB"/>
        </w:rPr>
        <w:t>The UK</w:t>
      </w:r>
      <w:r w:rsidR="0072795E" w:rsidRPr="005950CC">
        <w:rPr>
          <w:lang w:val="en-GB"/>
        </w:rPr>
        <w:t>’</w:t>
      </w:r>
      <w:r w:rsidRPr="005950CC">
        <w:rPr>
          <w:lang w:val="en-GB"/>
        </w:rPr>
        <w:t xml:space="preserve">s Department of Health </w:t>
      </w:r>
      <w:r w:rsidRPr="005950CC">
        <w:rPr>
          <w:lang w:val="en-GB"/>
        </w:rPr>
        <w:fldChar w:fldCharType="begin"/>
      </w:r>
      <w:r w:rsidR="003B4785" w:rsidRPr="005950CC">
        <w:rPr>
          <w:lang w:val="en-GB"/>
        </w:rPr>
        <w:instrText xml:space="preserve"> ADDIN ZOTERO_ITEM CSL_CITATION {"citationID":"2ll0gu4jso","properties":{"formattedCitation":"[53]","plainCitation":"[53]"},"citationItems":[{"id":489,"uris":["http://zotero.org/users/3767271/items/C6PIF96T"],"uri":["http://zotero.org/users/3767271/items/C6PIF96T"],"itemData":{"id":489,"type":"report","title":"How to reduce the risk of seasonal excess deaths systematically in vulnerable older people to impact at population level","publisher":"Department of Health","publisher-place":"London","event-place":"London","author":[{"literal":"Department of Health"}],"issued":{"date-parts":[["2010"]]}},"suppress-author":true}],"schema":"https://github.com/citation-style-language/schema/raw/master/csl-citation.json"} </w:instrText>
      </w:r>
      <w:r w:rsidRPr="005950CC">
        <w:rPr>
          <w:lang w:val="en-GB"/>
        </w:rPr>
        <w:fldChar w:fldCharType="separate"/>
      </w:r>
      <w:r w:rsidR="003B4785" w:rsidRPr="005950CC">
        <w:rPr>
          <w:lang w:val="en-GB"/>
        </w:rPr>
        <w:t>[53]</w:t>
      </w:r>
      <w:r w:rsidRPr="005950CC">
        <w:rPr>
          <w:lang w:val="en-GB"/>
        </w:rPr>
        <w:fldChar w:fldCharType="end"/>
      </w:r>
      <w:r w:rsidRPr="005950CC">
        <w:rPr>
          <w:lang w:val="en-GB"/>
        </w:rPr>
        <w:t xml:space="preserve"> highlights that those with chronic and severe illnesses such as heart conditions, respiratory insufficiency, asthma and COPD, and </w:t>
      </w:r>
      <w:r w:rsidR="0072795E" w:rsidRPr="005950CC">
        <w:rPr>
          <w:lang w:val="en-GB"/>
        </w:rPr>
        <w:t>‘</w:t>
      </w:r>
      <w:r w:rsidRPr="005950CC">
        <w:rPr>
          <w:lang w:val="en-GB"/>
        </w:rPr>
        <w:t>co morbidities</w:t>
      </w:r>
      <w:r w:rsidR="0072795E" w:rsidRPr="005950CC">
        <w:rPr>
          <w:lang w:val="en-GB"/>
        </w:rPr>
        <w:t>’</w:t>
      </w:r>
      <w:r w:rsidRPr="005950CC">
        <w:rPr>
          <w:lang w:val="en-GB"/>
        </w:rPr>
        <w:t xml:space="preserve"> are vulnerable to EWM. </w:t>
      </w:r>
      <w:r w:rsidR="00C352DB" w:rsidRPr="005950CC">
        <w:rPr>
          <w:lang w:val="en-GB"/>
        </w:rPr>
        <w:t xml:space="preserve">While </w:t>
      </w:r>
      <w:r w:rsidRPr="005950CC">
        <w:rPr>
          <w:lang w:val="en-GB"/>
        </w:rPr>
        <w:t>EWM figures have been consistently high in the UK and Ireland since the 1980s</w:t>
      </w:r>
      <w:r w:rsidR="00C352DB" w:rsidRPr="005950CC">
        <w:rPr>
          <w:lang w:val="en-GB"/>
        </w:rPr>
        <w:t xml:space="preserve">, </w:t>
      </w:r>
      <w:r w:rsidRPr="005950CC">
        <w:rPr>
          <w:lang w:val="en-GB"/>
        </w:rPr>
        <w:t>countries with colder climates such as F</w:t>
      </w:r>
      <w:r w:rsidR="00C352DB" w:rsidRPr="005950CC">
        <w:rPr>
          <w:lang w:val="en-GB"/>
        </w:rPr>
        <w:t>inland, Norway and Poland have</w:t>
      </w:r>
      <w:r w:rsidRPr="005950CC">
        <w:rPr>
          <w:lang w:val="en-GB"/>
        </w:rPr>
        <w:t xml:space="preserve"> substantially lower rates </w:t>
      </w:r>
      <w:r w:rsidRPr="005950CC">
        <w:rPr>
          <w:lang w:val="en-GB"/>
        </w:rPr>
        <w:fldChar w:fldCharType="begin"/>
      </w:r>
      <w:r w:rsidR="003B4785" w:rsidRPr="005950CC">
        <w:rPr>
          <w:lang w:val="en-GB"/>
        </w:rPr>
        <w:instrText xml:space="preserve"> ADDIN ZOTERO_ITEM CSL_CITATION {"citationID":"2pkih8hrnm","properties":{"formattedCitation":"[56]","plainCitation":"[56]"},"citationItems":[{"id":147,"uris":["http://zotero.org/users/3767271/items/ARCV86BC"],"uri":["http://zotero.org/users/3767271/items/ARCV86BC"],"itemData":{"id":147,"type":"article-journal","title":"Excess winter deaths in 30 European countries 1980–2013: a critical review of methods","container-title":"Journal of Public Health","page":"806-814","volume":"38","issue":"4","source":"academic.oup.com","journalAbbreviation":"J Public Health (Oxf)","author":[{"family":"Liddell","given":"Christine"},{"family":"Morris","given":"Chris"},{"family":"Thomson","given":"Harriet"},{"family":"Guiney","given":"Ciara"}],"issued":{"date-parts":[["2016"]]}}}],"schema":"https://github.com/citation-style-language/schema/raw/master/csl-citation.json"} </w:instrText>
      </w:r>
      <w:r w:rsidRPr="005950CC">
        <w:rPr>
          <w:lang w:val="en-GB"/>
        </w:rPr>
        <w:fldChar w:fldCharType="separate"/>
      </w:r>
      <w:r w:rsidR="003B4785" w:rsidRPr="005950CC">
        <w:rPr>
          <w:lang w:val="en-GB"/>
        </w:rPr>
        <w:t>[56]</w:t>
      </w:r>
      <w:r w:rsidRPr="005950CC">
        <w:rPr>
          <w:lang w:val="en-GB"/>
        </w:rPr>
        <w:fldChar w:fldCharType="end"/>
      </w:r>
      <w:r w:rsidR="0072795E" w:rsidRPr="005950CC">
        <w:rPr>
          <w:lang w:val="en-GB"/>
        </w:rPr>
        <w:t>.</w:t>
      </w:r>
      <w:r w:rsidRPr="005950CC">
        <w:rPr>
          <w:lang w:val="en-GB"/>
        </w:rPr>
        <w:t xml:space="preserve"> Counterintuitively, the only countries with higher EWM rates are located in Southern Europe: Mal</w:t>
      </w:r>
      <w:r w:rsidR="0072795E" w:rsidRPr="005950CC">
        <w:rPr>
          <w:lang w:val="en-GB"/>
        </w:rPr>
        <w:t>ta, Portugal, Cyprus and Spain.</w:t>
      </w:r>
      <w:r w:rsidRPr="005950CC">
        <w:rPr>
          <w:lang w:val="en-GB"/>
        </w:rPr>
        <w:t xml:space="preserve"> In the case of the UK and Ireland, poor energy efficiency and energy costs are given as the main driver </w:t>
      </w:r>
      <w:r w:rsidRPr="005950CC">
        <w:rPr>
          <w:lang w:val="en-GB"/>
        </w:rPr>
        <w:fldChar w:fldCharType="begin"/>
      </w:r>
      <w:r w:rsidR="000517C5" w:rsidRPr="005950CC">
        <w:rPr>
          <w:lang w:val="en-GB"/>
        </w:rPr>
        <w:instrText xml:space="preserve"> ADDIN ZOTERO_ITEM CSL_CITATION {"citationID":"2no2kai911","properties":{"formattedCitation":"[27]","plainCitation":"[27]"},"citationItems":[{"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Team"}],"issued":{"date-parts":[["2011"]]}}}],"schema":"https://github.com/citation-style-language/schema/raw/master/csl-citation.json"} </w:instrText>
      </w:r>
      <w:r w:rsidRPr="005950CC">
        <w:rPr>
          <w:lang w:val="en-GB"/>
        </w:rPr>
        <w:fldChar w:fldCharType="separate"/>
      </w:r>
      <w:r w:rsidR="000517C5" w:rsidRPr="005950CC">
        <w:rPr>
          <w:lang w:val="en-GB"/>
        </w:rPr>
        <w:t>[27]</w:t>
      </w:r>
      <w:r w:rsidRPr="005950CC">
        <w:rPr>
          <w:lang w:val="en-GB"/>
        </w:rPr>
        <w:fldChar w:fldCharType="end"/>
      </w:r>
      <w:r w:rsidRPr="005950CC">
        <w:rPr>
          <w:lang w:val="en-GB"/>
        </w:rPr>
        <w:t>, whereas in Southern Europe there are other factors</w:t>
      </w:r>
      <w:r w:rsidR="00D521BE" w:rsidRPr="005950CC">
        <w:rPr>
          <w:lang w:val="en-GB"/>
        </w:rPr>
        <w:t>,</w:t>
      </w:r>
      <w:r w:rsidRPr="005950CC">
        <w:rPr>
          <w:lang w:val="en-GB"/>
        </w:rPr>
        <w:t xml:space="preserve"> such as building fabric and lifestyle adjustments </w:t>
      </w:r>
      <w:r w:rsidRPr="005950CC">
        <w:rPr>
          <w:lang w:val="en-GB"/>
        </w:rPr>
        <w:fldChar w:fldCharType="begin"/>
      </w:r>
      <w:r w:rsidR="003B4785" w:rsidRPr="005950CC">
        <w:rPr>
          <w:lang w:val="en-GB"/>
        </w:rPr>
        <w:instrText xml:space="preserve"> ADDIN ZOTERO_ITEM CSL_CITATION {"citationID":"2b071cr5qh","properties":{"formattedCitation":"[56]","plainCitation":"[56]"},"citationItems":[{"id":147,"uris":["http://zotero.org/users/3767271/items/ARCV86BC"],"uri":["http://zotero.org/users/3767271/items/ARCV86BC"],"itemData":{"id":147,"type":"article-journal","title":"Excess winter deaths in 30 European countries 1980–2013: a critical review of methods","container-title":"Journal of Public Health","page":"806-814","volume":"38","issue":"4","source":"academic.oup.com","journalAbbreviation":"J Public Health (Oxf)","author":[{"family":"Liddell","given":"Christine"},{"family":"Morris","given":"Chris"},{"family":"Thomson","given":"Harriet"},{"family":"Guiney","given":"Ciara"}],"issued":{"date-parts":[["2016"]]}}}],"schema":"https://github.com/citation-style-language/schema/raw/master/csl-citation.json"} </w:instrText>
      </w:r>
      <w:r w:rsidRPr="005950CC">
        <w:rPr>
          <w:lang w:val="en-GB"/>
        </w:rPr>
        <w:fldChar w:fldCharType="separate"/>
      </w:r>
      <w:r w:rsidR="003B4785" w:rsidRPr="005950CC">
        <w:rPr>
          <w:lang w:val="en-GB"/>
        </w:rPr>
        <w:t>[56]</w:t>
      </w:r>
      <w:r w:rsidRPr="005950CC">
        <w:rPr>
          <w:lang w:val="en-GB"/>
        </w:rPr>
        <w:fldChar w:fldCharType="end"/>
      </w:r>
      <w:r w:rsidR="0072795E" w:rsidRPr="005950CC">
        <w:rPr>
          <w:lang w:val="en-GB"/>
        </w:rPr>
        <w:t xml:space="preserve">. </w:t>
      </w:r>
    </w:p>
    <w:p w14:paraId="0F3E4C0B" w14:textId="5D9E7A05" w:rsidR="00C2663D" w:rsidRPr="005950CC" w:rsidRDefault="00C2663D" w:rsidP="007B1CC9">
      <w:pPr>
        <w:pStyle w:val="MDPI31text"/>
        <w:rPr>
          <w:spacing w:val="-2"/>
          <w:lang w:val="en-GB"/>
        </w:rPr>
      </w:pPr>
      <w:r w:rsidRPr="005950CC">
        <w:rPr>
          <w:spacing w:val="-2"/>
          <w:lang w:val="en-GB"/>
        </w:rPr>
        <w:t>However, despite the growth in interest in energy poverty and its wide-ranging health and well-being impacts, the European literature base t</w:t>
      </w:r>
      <w:r w:rsidR="0072795E" w:rsidRPr="005950CC">
        <w:rPr>
          <w:spacing w:val="-2"/>
          <w:lang w:val="en-GB"/>
        </w:rPr>
        <w:t>ends to be both British-centric—</w:t>
      </w:r>
      <w:r w:rsidRPr="005950CC">
        <w:rPr>
          <w:spacing w:val="-2"/>
          <w:lang w:val="en-GB"/>
        </w:rPr>
        <w:t xml:space="preserve">as a consequence of its long history of academic scholarship, practice-based responses and policy </w:t>
      </w:r>
      <w:r w:rsidR="0072795E" w:rsidRPr="005950CC">
        <w:rPr>
          <w:spacing w:val="-2"/>
          <w:lang w:val="en-GB"/>
        </w:rPr>
        <w:t>frameworks to address the issue—</w:t>
      </w:r>
      <w:r w:rsidRPr="005950CC">
        <w:rPr>
          <w:spacing w:val="-2"/>
          <w:lang w:val="en-GB"/>
        </w:rPr>
        <w:t xml:space="preserve">and populated with </w:t>
      </w:r>
      <w:r w:rsidR="00D521BE" w:rsidRPr="005950CC">
        <w:rPr>
          <w:spacing w:val="-2"/>
          <w:lang w:val="en-GB"/>
        </w:rPr>
        <w:t>single-</w:t>
      </w:r>
      <w:r w:rsidRPr="005950CC">
        <w:rPr>
          <w:spacing w:val="-2"/>
          <w:lang w:val="en-GB"/>
        </w:rPr>
        <w:t xml:space="preserve">country studies. Beyond analyses of EWM rates across Europe </w:t>
      </w:r>
      <w:r w:rsidRPr="005950CC">
        <w:rPr>
          <w:spacing w:val="-2"/>
          <w:lang w:val="en-GB"/>
        </w:rPr>
        <w:fldChar w:fldCharType="begin"/>
      </w:r>
      <w:r w:rsidR="003B4785" w:rsidRPr="005950CC">
        <w:rPr>
          <w:spacing w:val="-2"/>
          <w:lang w:val="en-GB"/>
        </w:rPr>
        <w:instrText xml:space="preserve"> ADDIN ZOTERO_ITEM CSL_CITATION {"citationID":"ivbtrdthn","properties":{"formattedCitation":"{\\rtf [56\\uc0\\u8211{}58]}","plainCitation":"[56–58]"},"citationItems":[{"id":509,"uris":["http://zotero.org/users/3767271/items/BF3Q8QHX"],"uri":["http://zotero.org/users/3767271/items/BF3Q8QHX"],"itemData":{"id":509,"type":"article-journal","title":"Excess winter deaths in Europe: a multi-country descriptive analysis","container-title":"European Journal of Public Health","page":"339-345","volume":"25","issue":"2","abstract":"BACKGROUND: Winter deaths are a known health and social care challenge for many countries. A previous international comparison showed significant differences in excess winter deaths across Europe in the 1990s, with the northern countries having lower excess winter mortality than those in southern Europe.\nMETHODS: The Excess Winter Deaths Index (EWDI) is the ratio of deaths in the winter period (December to March) compared with deaths in the non-winter period. Data from the Eurostat database and national registries were used to calculate the EWDI for 31 countries in Europe across the time period 2002/2003 to 2010/2011.\nRESULTS: National EWDI values show heterogeneity, with a broad pattern of increasing EWDI values from northern to southern Europe and increasing mean winter temperature (r(2) = 0.50, P &gt; 0.0001). Malta, Portugal, Spain, Cyprus and Belgium all had an EWDI that was statistically significantly higher than the average EWDI for the other 30 European countries. There was no clear association between country-level EWDI and the level of inter-annual variability in winter temperature across Europe.\nDISCUSSION: This article demonstrates the differences in EWDI that exist between European countries with implications for both research and policy. Many deaths may be avoidable as environmental, social and personal factors are known to contribute to winter mortality. We now need to work to better understand the causes of inter-country differences.","DOI":"10.1093/eurpub/cku073","shortTitle":"Excess winter deaths in Europe","journalAbbreviation":"Eur J Public Health","author":[{"family":"Fowler","given":"Tom"},{"family":"Southgate","given":"Rosamund J."},{"family":"Waite","given":"Thomas"},{"family":"Harrell","given":"Ruth"},{"family":"Kovats","given":"Sari"},{"family":"Bone","given":"Angie"},{"family":"Doyle","given":"Yvonne"},{"family":"Murray","given":"Virginia"}],"issued":{"date-parts":[["2015"]]}}},{"id":338,"uris":["http://zotero.org/users/3767271/items/IGEIJ9D2"],"uri":["http://zotero.org/users/3767271/items/IGEIJ9D2"],"itemData":{"id":338,"type":"article-journal","title":"Excess winter mortality in Europe: a cross country analysis identifying key risk factors","container-title":"Journal of Epidemiology &amp; Community Health","page":"784-789","volume":"57","issue":"10","source":"jech.bmj.com","abstract":"Objective: Much debate remains regarding why certain countries experience dramatically higher winter mortality. Potential causative factors other than cold exposure have rarely been analysed. Comparatively less research exists on excess winter deaths in southern Europe. Multiple time series data on a variety of risk factors are analysed against seasonal-mortality patterns in 14 European countries to identify key relations\nSubjects and setting: Excess winter deaths (all causes), 1988–97, EU-14.\nDesign: Coefficients of seasonal variation in mortality are calculated for EU-14 using monthly mortality data. Comparable, longitudinal datasets on risk factors pertaining to climate, macroeconomy, health care, lifestyle, socioeconomics, and housing were also obtained. Poisson regression identifies seasonality relations over time.\nResults: Portugal suffers from the highest rates of excess winter mortality (28%, CI=25% to 31%) followed jointly by Spain (21%, CI=19% to 23%), and Ireland (21%, CI=18% to 24%). Cross country variations in mean winter environmental temperature (regression coefficient (β)=0.27), mean winter relative humidity (β=0.54), parity adjusted per capita national income (β=1.08), per capita health expenditure (β=−1.19), rates of income poverty (β=−0.47), inequality (β=0.97), deprivation (β=0.11), and fuel poverty (β=0.44), and several indicators of residential thermal standards are found to be significantly related to variations in relative excess winter mortality at the 5% level. The strong, positive relation with environmental temperature and strong negative relation with thermal efficiency indicate that housing standards in southern and western Europe play strong parts in such seasonality.\nConclusions: High seasonal mortality in southern and western Europe could be reduced through improved protection from the cold indoors, increased public spending on health care, and improved socioeconomic circumstances resulting in more equitable income distribution.","note":"PMID: 14573581","language":"en","author":[{"family":"Healy","given":"J. D."}],"issued":{"date-parts":[["2003"]]}}},{"id":147,"uris":["http://zotero.org/users/3767271/items/ARCV86BC"],"uri":["http://zotero.org/users/3767271/items/ARCV86BC"],"itemData":{"id":147,"type":"article-journal","title":"Excess winter deaths in 30 European countries 1980–2013: a critical review of methods","container-title":"Journal of Public Health","page":"806-814","volume":"38","issue":"4","source":"academic.oup.com","journalAbbreviation":"J Public Health (Oxf)","author":[{"family":"Liddell","given":"Christine"},{"family":"Morris","given":"Chris"},{"family":"Thomson","given":"Harriet"},{"family":"Guiney","given":"Ciara"}],"issued":{"date-parts":[["2016"]]}}}],"schema":"https://github.com/citation-style-language/schema/raw/master/csl-citation.json"} </w:instrText>
      </w:r>
      <w:r w:rsidRPr="005950CC">
        <w:rPr>
          <w:spacing w:val="-2"/>
          <w:lang w:val="en-GB"/>
        </w:rPr>
        <w:fldChar w:fldCharType="separate"/>
      </w:r>
      <w:r w:rsidR="003B4785" w:rsidRPr="005950CC">
        <w:rPr>
          <w:spacing w:val="-2"/>
          <w:szCs w:val="24"/>
          <w:lang w:val="en-GB"/>
        </w:rPr>
        <w:t>[56</w:t>
      </w:r>
      <w:r w:rsidR="0072795E" w:rsidRPr="005950CC">
        <w:rPr>
          <w:spacing w:val="-2"/>
          <w:szCs w:val="24"/>
          <w:lang w:val="en-GB"/>
        </w:rPr>
        <w:t>–</w:t>
      </w:r>
      <w:r w:rsidR="003B4785" w:rsidRPr="005950CC">
        <w:rPr>
          <w:spacing w:val="-2"/>
          <w:szCs w:val="24"/>
          <w:lang w:val="en-GB"/>
        </w:rPr>
        <w:t>58]</w:t>
      </w:r>
      <w:r w:rsidRPr="005950CC">
        <w:rPr>
          <w:spacing w:val="-2"/>
          <w:lang w:val="en-GB"/>
        </w:rPr>
        <w:fldChar w:fldCharType="end"/>
      </w:r>
      <w:r w:rsidRPr="005950CC">
        <w:rPr>
          <w:spacing w:val="-2"/>
          <w:lang w:val="en-GB"/>
        </w:rPr>
        <w:t xml:space="preserve">, virtually no comparative research has been conducted to understand the relationship between energy poverty, health and well-being in Europe. To date the only </w:t>
      </w:r>
      <w:r w:rsidR="008F4FF8" w:rsidRPr="005950CC">
        <w:rPr>
          <w:spacing w:val="-2"/>
          <w:lang w:val="en-GB"/>
        </w:rPr>
        <w:t xml:space="preserve">study </w:t>
      </w:r>
      <w:r w:rsidRPr="005950CC">
        <w:rPr>
          <w:spacing w:val="-2"/>
          <w:lang w:val="en-GB"/>
        </w:rPr>
        <w:t xml:space="preserve">of this nature </w:t>
      </w:r>
      <w:r w:rsidR="008F4FF8" w:rsidRPr="005950CC">
        <w:rPr>
          <w:spacing w:val="-2"/>
          <w:lang w:val="en-GB"/>
        </w:rPr>
        <w:t>was</w:t>
      </w:r>
      <w:r w:rsidRPr="005950CC">
        <w:rPr>
          <w:spacing w:val="-2"/>
          <w:lang w:val="en-GB"/>
        </w:rPr>
        <w:t xml:space="preserve"> a report by WHO on the environmental burden of disease associated with poor housing </w:t>
      </w:r>
      <w:r w:rsidRPr="005950CC">
        <w:rPr>
          <w:spacing w:val="-2"/>
          <w:lang w:val="en-GB"/>
        </w:rPr>
        <w:fldChar w:fldCharType="begin"/>
      </w:r>
      <w:r w:rsidR="003B4785" w:rsidRPr="005950CC">
        <w:rPr>
          <w:spacing w:val="-2"/>
          <w:lang w:val="en-GB"/>
        </w:rPr>
        <w:instrText xml:space="preserve"> ADDIN ZOTERO_ITEM CSL_CITATION {"citationID":"2egh1ir59g","properties":{"formattedCitation":"[59]","plainCitation":"[59]"},"citationItems":[{"id":47,"uris":["http://zotero.org/users/3767271/items/MU2GM7Q9"],"uri":["http://zotero.org/users/3767271/items/MU2GM7Q9"],"itemData":{"id":47,"type":"report","title":"Environmental burden of disease associated with inadequate housing","publisher":"WHO Regional Office for Europe","publisher-place":"Copenhagen","event-place":"Copenhagen","author":[{"family":"Braubach","given":"Matthias"},{"family":"Jacobs","given":"David E"},{"family":"Ormandy","given":"David"}],"issued":{"date-parts":[["2011"]]}}}],"schema":"https://github.com/citation-style-language/schema/raw/master/csl-citation.json"} </w:instrText>
      </w:r>
      <w:r w:rsidRPr="005950CC">
        <w:rPr>
          <w:spacing w:val="-2"/>
          <w:lang w:val="en-GB"/>
        </w:rPr>
        <w:fldChar w:fldCharType="separate"/>
      </w:r>
      <w:r w:rsidR="003B4785" w:rsidRPr="005950CC">
        <w:rPr>
          <w:spacing w:val="-2"/>
          <w:lang w:val="en-GB"/>
        </w:rPr>
        <w:t>[59]</w:t>
      </w:r>
      <w:r w:rsidRPr="005950CC">
        <w:rPr>
          <w:spacing w:val="-2"/>
          <w:lang w:val="en-GB"/>
        </w:rPr>
        <w:fldChar w:fldCharType="end"/>
      </w:r>
      <w:r w:rsidRPr="005950CC">
        <w:rPr>
          <w:spacing w:val="-2"/>
          <w:lang w:val="en-GB"/>
        </w:rPr>
        <w:t xml:space="preserve">, and an older examination of the health inequalities associated with energy poverty in the EU14 Member States </w:t>
      </w:r>
      <w:r w:rsidRPr="005950CC">
        <w:rPr>
          <w:spacing w:val="-2"/>
          <w:lang w:val="en-GB"/>
        </w:rPr>
        <w:fldChar w:fldCharType="begin"/>
      </w:r>
      <w:r w:rsidR="003B4785" w:rsidRPr="005950CC">
        <w:rPr>
          <w:spacing w:val="-2"/>
          <w:lang w:val="en-GB"/>
        </w:rPr>
        <w:instrText xml:space="preserve"> ADDIN ZOTERO_ITEM CSL_CITATION {"citationID":"17tuidog10","properties":{"formattedCitation":"[60]","plainCitation":"[60]"},"citationItems":[{"id":115,"uris":["http://zotero.org/users/3767271/items/PK2KMWF6"],"uri":["http://zotero.org/users/3767271/items/PK2KMWF6"],"itemData":{"id":115,"type":"book","title":"Housing, Fuel Poverty and Health: A Pan-European Analysis","publisher":"Ashgate","publisher-place":"Aldershot","event-place":"Aldershot","author":[{"family":"Healy","given":"John D."}],"issued":{"date-parts":[["2004"]]}}}],"schema":"https://github.com/citation-style-language/schema/raw/master/csl-citation.json"} </w:instrText>
      </w:r>
      <w:r w:rsidRPr="005950CC">
        <w:rPr>
          <w:spacing w:val="-2"/>
          <w:lang w:val="en-GB"/>
        </w:rPr>
        <w:fldChar w:fldCharType="separate"/>
      </w:r>
      <w:r w:rsidR="003B4785" w:rsidRPr="005950CC">
        <w:rPr>
          <w:spacing w:val="-2"/>
          <w:lang w:val="en-GB"/>
        </w:rPr>
        <w:t>[60]</w:t>
      </w:r>
      <w:r w:rsidRPr="005950CC">
        <w:rPr>
          <w:spacing w:val="-2"/>
          <w:lang w:val="en-GB"/>
        </w:rPr>
        <w:fldChar w:fldCharType="end"/>
      </w:r>
      <w:r w:rsidRPr="005950CC">
        <w:rPr>
          <w:spacing w:val="-2"/>
          <w:lang w:val="en-GB"/>
        </w:rPr>
        <w:t xml:space="preserve">. </w:t>
      </w:r>
    </w:p>
    <w:p w14:paraId="3A155A31" w14:textId="7F73EDD9" w:rsidR="00C2663D" w:rsidRPr="005950CC" w:rsidRDefault="00C2663D" w:rsidP="007B1CC9">
      <w:pPr>
        <w:pStyle w:val="MDPI31text"/>
        <w:rPr>
          <w:lang w:val="en-GB"/>
        </w:rPr>
      </w:pPr>
      <w:r w:rsidRPr="005950CC">
        <w:rPr>
          <w:lang w:val="en-GB"/>
        </w:rPr>
        <w:t>In response to these significant research gaps, this paper examines the relationship between energy poverty and</w:t>
      </w:r>
      <w:r w:rsidR="002B5544" w:rsidRPr="005950CC">
        <w:rPr>
          <w:lang w:val="en-GB"/>
        </w:rPr>
        <w:t>:</w:t>
      </w:r>
      <w:r w:rsidRPr="005950CC">
        <w:rPr>
          <w:lang w:val="en-GB"/>
        </w:rPr>
        <w:t xml:space="preserve"> </w:t>
      </w:r>
      <w:r w:rsidR="0072795E" w:rsidRPr="005950CC">
        <w:rPr>
          <w:lang w:val="en-GB"/>
        </w:rPr>
        <w:t>(</w:t>
      </w:r>
      <w:r w:rsidR="002B5544" w:rsidRPr="005950CC">
        <w:rPr>
          <w:lang w:val="en-GB"/>
        </w:rPr>
        <w:t>1</w:t>
      </w:r>
      <w:r w:rsidRPr="005950CC">
        <w:rPr>
          <w:lang w:val="en-GB"/>
        </w:rPr>
        <w:t>) general health</w:t>
      </w:r>
      <w:r w:rsidR="002B5544" w:rsidRPr="005950CC">
        <w:rPr>
          <w:lang w:val="en-GB"/>
        </w:rPr>
        <w:t>;</w:t>
      </w:r>
      <w:r w:rsidRPr="005950CC">
        <w:rPr>
          <w:lang w:val="en-GB"/>
        </w:rPr>
        <w:t xml:space="preserve"> and </w:t>
      </w:r>
      <w:r w:rsidR="0072795E" w:rsidRPr="005950CC">
        <w:rPr>
          <w:lang w:val="en-GB"/>
        </w:rPr>
        <w:t>(</w:t>
      </w:r>
      <w:r w:rsidR="002B5544" w:rsidRPr="005950CC">
        <w:rPr>
          <w:lang w:val="en-GB"/>
        </w:rPr>
        <w:t>2</w:t>
      </w:r>
      <w:r w:rsidRPr="005950CC">
        <w:rPr>
          <w:lang w:val="en-GB"/>
        </w:rPr>
        <w:t>) mental well-being</w:t>
      </w:r>
      <w:r w:rsidR="00C352DB" w:rsidRPr="005950CC">
        <w:rPr>
          <w:lang w:val="en-GB"/>
        </w:rPr>
        <w:t>,</w:t>
      </w:r>
      <w:r w:rsidRPr="005950CC">
        <w:rPr>
          <w:lang w:val="en-GB"/>
        </w:rPr>
        <w:t xml:space="preserve"> across 32 countries in Europe using 2012 micro data from the European Quality of Life Survey. However, it should be emphasised that this is an initial exploratory study, and the research is both shaped and limited by the prevailing data infrastructure. The subsequent sections of this paper describe both the research methodology and its limitations, before presenting the core results from secondary data analysis, and ending with a consideration of the </w:t>
      </w:r>
      <w:r w:rsidR="0072795E" w:rsidRPr="005950CC">
        <w:rPr>
          <w:lang w:val="en-GB"/>
        </w:rPr>
        <w:t>findings in a European context.</w:t>
      </w:r>
    </w:p>
    <w:p w14:paraId="4212271A" w14:textId="2DAD8037" w:rsidR="00004544" w:rsidRPr="005950CC" w:rsidRDefault="000F0E65" w:rsidP="007B1CC9">
      <w:pPr>
        <w:pStyle w:val="MDPI21heading1"/>
        <w:rPr>
          <w:lang w:val="en-GB"/>
        </w:rPr>
      </w:pPr>
      <w:r w:rsidRPr="005950CC">
        <w:rPr>
          <w:lang w:val="en-GB"/>
        </w:rPr>
        <w:t xml:space="preserve">3. </w:t>
      </w:r>
      <w:r w:rsidR="002E21AA">
        <w:rPr>
          <w:lang w:val="en-GB"/>
        </w:rPr>
        <w:t>Materials and Methods</w:t>
      </w:r>
    </w:p>
    <w:p w14:paraId="73DAFA4A" w14:textId="6ACB1751" w:rsidR="007E4B91" w:rsidRPr="005950CC" w:rsidRDefault="007E4B91" w:rsidP="007B1CC9">
      <w:pPr>
        <w:pStyle w:val="MDPI22heading2"/>
        <w:rPr>
          <w:lang w:val="en-GB"/>
        </w:rPr>
      </w:pPr>
      <w:r w:rsidRPr="005950CC">
        <w:rPr>
          <w:lang w:val="en-GB"/>
        </w:rPr>
        <w:t>3.1</w:t>
      </w:r>
      <w:r w:rsidR="00BD20C8" w:rsidRPr="005950CC">
        <w:rPr>
          <w:lang w:val="en-GB"/>
        </w:rPr>
        <w:t>.</w:t>
      </w:r>
      <w:r w:rsidRPr="005950CC">
        <w:rPr>
          <w:lang w:val="en-GB"/>
        </w:rPr>
        <w:t xml:space="preserve"> Data</w:t>
      </w:r>
    </w:p>
    <w:p w14:paraId="32C0EF61" w14:textId="64000E7D" w:rsidR="007E4B91" w:rsidRPr="005950CC" w:rsidRDefault="007E4B91" w:rsidP="007B1CC9">
      <w:pPr>
        <w:pStyle w:val="MDPI31text"/>
        <w:rPr>
          <w:lang w:val="en-GB"/>
        </w:rPr>
      </w:pPr>
      <w:r w:rsidRPr="005950CC">
        <w:rPr>
          <w:lang w:val="en-GB"/>
        </w:rPr>
        <w:t>Cross-sectional data from the 2012 European Quality of Life Survey (EQLS) dataset</w:t>
      </w:r>
      <w:r w:rsidR="00D91766" w:rsidRPr="005950CC">
        <w:rPr>
          <w:lang w:val="en-GB"/>
        </w:rPr>
        <w:t xml:space="preserve"> </w:t>
      </w:r>
      <w:r w:rsidR="00D91766" w:rsidRPr="005950CC">
        <w:rPr>
          <w:lang w:val="en-GB"/>
        </w:rPr>
        <w:fldChar w:fldCharType="begin"/>
      </w:r>
      <w:r w:rsidR="003B4785" w:rsidRPr="005950CC">
        <w:rPr>
          <w:lang w:val="en-GB"/>
        </w:rPr>
        <w:instrText xml:space="preserve"> ADDIN ZOTERO_ITEM CSL_CITATION {"citationID":"2nanog0qrh","properties":{"formattedCitation":"[61]","plainCitation":"[61]"},"citationItems":[{"id":92,"uris":["http://zotero.org/users/3767271/items/IAFRCSKR"],"uri":["http://zotero.org/users/3767271/items/IAFRCSKR"],"itemData":{"id":92,"type":"article","title":"European Quality of Life Survey, 2011-2012 [computer file]. 2nd Edition. Essex: UK Data Archive [distributor], January 2014. SN: 7316","author":[{"literal":"Eurofound"}],"issued":{"date-parts":[["2014"]]}}}],"schema":"https://github.com/citation-style-language/schema/raw/master/csl-citation.json"} </w:instrText>
      </w:r>
      <w:r w:rsidR="00D91766" w:rsidRPr="005950CC">
        <w:rPr>
          <w:lang w:val="en-GB"/>
        </w:rPr>
        <w:fldChar w:fldCharType="separate"/>
      </w:r>
      <w:r w:rsidR="003B4785" w:rsidRPr="005950CC">
        <w:rPr>
          <w:noProof/>
          <w:lang w:val="en-GB"/>
        </w:rPr>
        <w:t>[61]</w:t>
      </w:r>
      <w:r w:rsidR="00D91766" w:rsidRPr="005950CC">
        <w:rPr>
          <w:lang w:val="en-GB"/>
        </w:rPr>
        <w:fldChar w:fldCharType="end"/>
      </w:r>
      <w:r w:rsidRPr="005950CC">
        <w:rPr>
          <w:lang w:val="en-GB"/>
        </w:rPr>
        <w:t xml:space="preserve"> is used, covering 41,560 individuals (aged 18 years or over) from 32 European countries that are currently Member States of the European Union (EU), or are official candidates for EU membership. The EQLS is a specialist repeated cross-sectional survey that focuses on living conditions, attitudes, health and well-being throughout Europe, and has nationally repr</w:t>
      </w:r>
      <w:r w:rsidR="0072795E" w:rsidRPr="005950CC">
        <w:rPr>
          <w:lang w:val="en-GB"/>
        </w:rPr>
        <w:t>esentative samples of between 1000 and 3</w:t>
      </w:r>
      <w:r w:rsidRPr="005950CC">
        <w:rPr>
          <w:lang w:val="en-GB"/>
        </w:rPr>
        <w:t xml:space="preserve">000 respondents from each country </w:t>
      </w:r>
      <w:r w:rsidRPr="005950CC">
        <w:rPr>
          <w:lang w:val="en-GB"/>
        </w:rPr>
        <w:fldChar w:fldCharType="begin"/>
      </w:r>
      <w:r w:rsidR="003B4785" w:rsidRPr="005950CC">
        <w:rPr>
          <w:lang w:val="en-GB"/>
        </w:rPr>
        <w:instrText xml:space="preserve"> ADDIN ZOTERO_ITEM CSL_CITATION {"citationID":"2ajn3h498b","properties":{"formattedCitation":"[62,63]","plainCitation":"[62,63]"},"citationItems":[{"id":94,"uris":["http://zotero.org/users/3767271/items/JAK8WK56"],"uri":["http://zotero.org/users/3767271/items/JAK8WK56"],"itemData":{"id":94,"type":"report","title":"Second European Quality of Life Survey: Overview","publisher":"Office for Official Publications of the European Communities","publisher-place":"Luxembourg","event-place":"Luxembourg","author":[{"literal":"Eurofound"}],"issued":{"date-parts":[["2009"]]}}},{"id":501,"uris":["http://zotero.org/users/3767271/items/RXKDJ4CR"],"uri":["http://zotero.org/users/3767271/items/RXKDJ4CR"],"itemData":{"id":501,"type":"report","title":"Third European Quality of Life Survey - Quality of life in Europe: Impacts of the crisis.","publisher":"Publications Office of the European Union","publisher-place":"Luxembourg","event-place":"Luxembourg","author":[{"literal":"Eurofound"}],"issued":{"date-parts":[["2012"]]}}}],"schema":"https://github.com/citation-style-language/schema/raw/master/csl-citation.json"} </w:instrText>
      </w:r>
      <w:r w:rsidRPr="005950CC">
        <w:rPr>
          <w:lang w:val="en-GB"/>
        </w:rPr>
        <w:fldChar w:fldCharType="separate"/>
      </w:r>
      <w:r w:rsidR="003B4785" w:rsidRPr="005950CC">
        <w:rPr>
          <w:lang w:val="en-GB"/>
        </w:rPr>
        <w:t>[62,63]</w:t>
      </w:r>
      <w:r w:rsidRPr="005950CC">
        <w:rPr>
          <w:lang w:val="en-GB"/>
        </w:rPr>
        <w:fldChar w:fldCharType="end"/>
      </w:r>
      <w:r w:rsidRPr="005950CC">
        <w:rPr>
          <w:lang w:val="en-GB"/>
        </w:rPr>
        <w:t xml:space="preserve">. </w:t>
      </w:r>
    </w:p>
    <w:p w14:paraId="327DB3F4" w14:textId="0F72F5AD" w:rsidR="007E4B91" w:rsidRPr="005950CC" w:rsidRDefault="00BD20C8" w:rsidP="007B1CC9">
      <w:pPr>
        <w:pStyle w:val="MDPI22heading2"/>
        <w:rPr>
          <w:lang w:val="en-GB"/>
        </w:rPr>
      </w:pPr>
      <w:r w:rsidRPr="005950CC">
        <w:rPr>
          <w:lang w:val="en-GB"/>
        </w:rPr>
        <w:t xml:space="preserve">3.2. </w:t>
      </w:r>
      <w:r w:rsidR="00252EB7">
        <w:rPr>
          <w:lang w:val="en-GB"/>
        </w:rPr>
        <w:t>Variables</w:t>
      </w:r>
    </w:p>
    <w:p w14:paraId="1B6D6EDC" w14:textId="678EAF36" w:rsidR="007E4B91" w:rsidRPr="005950CC" w:rsidRDefault="00BD20C8" w:rsidP="007B1CC9">
      <w:pPr>
        <w:pStyle w:val="MDPI23heading3"/>
        <w:rPr>
          <w:lang w:val="en-GB"/>
        </w:rPr>
      </w:pPr>
      <w:r w:rsidRPr="005950CC">
        <w:rPr>
          <w:lang w:val="en-GB"/>
        </w:rPr>
        <w:lastRenderedPageBreak/>
        <w:t xml:space="preserve">3.2.1. </w:t>
      </w:r>
      <w:r w:rsidR="007E4B91" w:rsidRPr="005950CC">
        <w:rPr>
          <w:lang w:val="en-GB"/>
        </w:rPr>
        <w:t xml:space="preserve">Predictor </w:t>
      </w:r>
      <w:r w:rsidR="007B1CC9" w:rsidRPr="005950CC">
        <w:rPr>
          <w:lang w:val="en-GB"/>
        </w:rPr>
        <w:t>Variable</w:t>
      </w:r>
    </w:p>
    <w:p w14:paraId="29AEFB47" w14:textId="7D83FDCF" w:rsidR="007E4B91" w:rsidRPr="005950CC" w:rsidRDefault="007E4B91" w:rsidP="007B1CC9">
      <w:pPr>
        <w:pStyle w:val="MDPI31text"/>
        <w:rPr>
          <w:lang w:val="en-GB"/>
        </w:rPr>
      </w:pPr>
      <w:r w:rsidRPr="005950CC">
        <w:rPr>
          <w:lang w:val="en-GB"/>
        </w:rPr>
        <w:t>As discussed in the introduction, the dominant method of defining energy poverty amongst EU countries is based arou</w:t>
      </w:r>
      <w:r w:rsidR="00EA6BDF" w:rsidRPr="005950CC">
        <w:rPr>
          <w:lang w:val="en-GB"/>
        </w:rPr>
        <w:t>nd the affordability of energy.</w:t>
      </w:r>
      <w:r w:rsidRPr="005950CC">
        <w:rPr>
          <w:lang w:val="en-GB"/>
        </w:rPr>
        <w:t xml:space="preserve"> At a national policy level energy poverty measures are typically based on the relati</w:t>
      </w:r>
      <w:r w:rsidR="00C352DB" w:rsidRPr="005950CC">
        <w:rPr>
          <w:lang w:val="en-GB"/>
        </w:rPr>
        <w:t xml:space="preserve">onship between household </w:t>
      </w:r>
      <w:r w:rsidRPr="005950CC">
        <w:rPr>
          <w:lang w:val="en-GB"/>
        </w:rPr>
        <w:t xml:space="preserve">expenditure on energy, income, and in some </w:t>
      </w:r>
      <w:r w:rsidR="00EA6BDF" w:rsidRPr="005950CC">
        <w:rPr>
          <w:lang w:val="en-GB"/>
        </w:rPr>
        <w:t>instances heating requirements.</w:t>
      </w:r>
      <w:r w:rsidRPr="005950CC">
        <w:rPr>
          <w:lang w:val="en-GB"/>
        </w:rPr>
        <w:t xml:space="preserve"> Such policy measures of affordability are used in Ireland, the UK, France, and more recently Slovakia and Austria. One of the prevailing indictors used to capture self-reported affordability and to measure energy poverty asks whether a household can afford to keep their home adequately warm. Within the EQLS this i</w:t>
      </w:r>
      <w:r w:rsidR="00BD20C8" w:rsidRPr="005950CC">
        <w:rPr>
          <w:lang w:val="en-GB"/>
        </w:rPr>
        <w:t xml:space="preserve">ndicator is worded as follows: </w:t>
      </w:r>
    </w:p>
    <w:p w14:paraId="38EA93E8" w14:textId="3E807688" w:rsidR="007E4B91" w:rsidRPr="005950CC" w:rsidRDefault="00EA6BDF" w:rsidP="002E21AA">
      <w:pPr>
        <w:pStyle w:val="MDPI31text"/>
        <w:spacing w:before="120" w:after="120"/>
        <w:ind w:left="284" w:right="284"/>
        <w:rPr>
          <w:lang w:val="en-GB"/>
        </w:rPr>
      </w:pPr>
      <w:r w:rsidRPr="005950CC">
        <w:rPr>
          <w:lang w:val="en-GB"/>
        </w:rPr>
        <w:t>“</w:t>
      </w:r>
      <w:r w:rsidR="007E4B91" w:rsidRPr="005950CC">
        <w:rPr>
          <w:i/>
          <w:lang w:val="en-GB"/>
        </w:rPr>
        <w:t>There are some things that many people cannot afford, even if they would like them. For each of the following things on this card, can I just check whether your household can afford it if you want it? Keeping the home adequately warm</w:t>
      </w:r>
      <w:r w:rsidRPr="005950CC">
        <w:rPr>
          <w:lang w:val="en-GB"/>
        </w:rPr>
        <w:t>”</w:t>
      </w:r>
      <w:r w:rsidR="007E4B91" w:rsidRPr="005950CC">
        <w:rPr>
          <w:lang w:val="en-GB"/>
        </w:rPr>
        <w:t xml:space="preserve"> </w:t>
      </w:r>
      <w:r w:rsidR="007E4B91" w:rsidRPr="005950CC">
        <w:rPr>
          <w:lang w:val="en-GB"/>
        </w:rPr>
        <w:fldChar w:fldCharType="begin"/>
      </w:r>
      <w:r w:rsidR="003B4785" w:rsidRPr="005950CC">
        <w:rPr>
          <w:lang w:val="en-GB"/>
        </w:rPr>
        <w:instrText xml:space="preserve"> ADDIN ZOTERO_ITEM CSL_CITATION {"citationID":"2ooq2gmlpc","properties":{"formattedCitation":"[63]","plainCitation":"[63]"},"citationItems":[{"id":501,"uris":["http://zotero.org/users/3767271/items/RXKDJ4CR"],"uri":["http://zotero.org/users/3767271/items/RXKDJ4CR"],"itemData":{"id":501,"type":"report","title":"Third European Quality of Life Survey - Quality of life in Europe: Impacts of the crisis.","publisher":"Publications Office of the European Union","publisher-place":"Luxembourg","event-place":"Luxembourg","author":[{"literal":"Eurofound"}],"issued":{"date-parts":[["2012"]]}}}],"schema":"https://github.com/citation-style-language/schema/raw/master/csl-citation.json"} </w:instrText>
      </w:r>
      <w:r w:rsidR="007E4B91" w:rsidRPr="005950CC">
        <w:rPr>
          <w:lang w:val="en-GB"/>
        </w:rPr>
        <w:fldChar w:fldCharType="separate"/>
      </w:r>
      <w:r w:rsidR="003B4785" w:rsidRPr="005950CC">
        <w:rPr>
          <w:lang w:val="en-GB"/>
        </w:rPr>
        <w:t>[63]</w:t>
      </w:r>
      <w:r w:rsidR="007E4B91" w:rsidRPr="005950CC">
        <w:rPr>
          <w:lang w:val="en-GB"/>
        </w:rPr>
        <w:fldChar w:fldCharType="end"/>
      </w:r>
      <w:r w:rsidR="007E4B91" w:rsidRPr="005950CC">
        <w:rPr>
          <w:lang w:val="en-GB"/>
        </w:rPr>
        <w:t>.</w:t>
      </w:r>
    </w:p>
    <w:p w14:paraId="17A33227" w14:textId="76B01DDA" w:rsidR="007E4B91" w:rsidRPr="005950CC" w:rsidRDefault="00613A11" w:rsidP="007B1CC9">
      <w:pPr>
        <w:pStyle w:val="MDPI31text"/>
        <w:rPr>
          <w:lang w:val="en-GB"/>
        </w:rPr>
      </w:pPr>
      <w:r w:rsidRPr="005950CC">
        <w:rPr>
          <w:lang w:val="en-GB"/>
        </w:rPr>
        <w:t xml:space="preserve">Subjective measures such as this have been </w:t>
      </w:r>
      <w:r w:rsidR="00C52891" w:rsidRPr="005950CC">
        <w:rPr>
          <w:lang w:val="en-GB"/>
        </w:rPr>
        <w:t>criticized</w:t>
      </w:r>
      <w:r w:rsidRPr="005950CC">
        <w:rPr>
          <w:lang w:val="en-GB"/>
        </w:rPr>
        <w:t xml:space="preserve"> for their lack of </w:t>
      </w:r>
      <w:r w:rsidR="00C52891" w:rsidRPr="005950CC">
        <w:rPr>
          <w:lang w:val="en-GB"/>
        </w:rPr>
        <w:t>consistency</w:t>
      </w:r>
      <w:r w:rsidR="00EA6BDF" w:rsidRPr="005950CC">
        <w:rPr>
          <w:lang w:val="en-GB"/>
        </w:rPr>
        <w:t xml:space="preserve"> across respondents.</w:t>
      </w:r>
      <w:r w:rsidRPr="005950CC">
        <w:rPr>
          <w:lang w:val="en-GB"/>
        </w:rPr>
        <w:t xml:space="preserve"> For example, Hills suggests that a complex mix of cultural, generational and demographic factors influence participants</w:t>
      </w:r>
      <w:r w:rsidR="00EA6BDF" w:rsidRPr="005950CC">
        <w:rPr>
          <w:lang w:val="en-GB"/>
        </w:rPr>
        <w:t>’</w:t>
      </w:r>
      <w:r w:rsidRPr="005950CC">
        <w:rPr>
          <w:lang w:val="en-GB"/>
        </w:rPr>
        <w:t xml:space="preserve"> responses</w:t>
      </w:r>
      <w:r w:rsidR="008F60AE" w:rsidRPr="005950CC">
        <w:rPr>
          <w:lang w:val="en-GB"/>
        </w:rPr>
        <w:t xml:space="preserve"> </w:t>
      </w:r>
      <w:r w:rsidR="008F60AE" w:rsidRPr="005950CC">
        <w:rPr>
          <w:lang w:val="en-GB"/>
        </w:rPr>
        <w:fldChar w:fldCharType="begin"/>
      </w:r>
      <w:r w:rsidR="008F60AE" w:rsidRPr="005950CC">
        <w:rPr>
          <w:lang w:val="en-GB"/>
        </w:rPr>
        <w:instrText xml:space="preserve"> ADDIN ZOTERO_ITEM CSL_CITATION {"citationID":"2313021133","properties":{"formattedCitation":"[5]","plainCitation":"[5]"},"citationItems":[{"id":122,"uris":["http://zotero.org/users/3767271/items/IF7KS2DN"],"uri":["http://zotero.org/users/3767271/items/IF7KS2DN"],"itemData":{"id":122,"type":"report","title":"Getting the measure of fuel poverty: Final Report of the Fuel Poverty Review","collection-title":"CASE Report 72","publisher-place":"London","event-place":"London","author":[{"family":"Hills","given":"John"}],"issued":{"date-parts":[["2012"]]}}}],"schema":"https://github.com/citation-style-language/schema/raw/master/csl-citation.json"} </w:instrText>
      </w:r>
      <w:r w:rsidR="008F60AE" w:rsidRPr="005950CC">
        <w:rPr>
          <w:lang w:val="en-GB"/>
        </w:rPr>
        <w:fldChar w:fldCharType="separate"/>
      </w:r>
      <w:r w:rsidR="008F60AE" w:rsidRPr="005950CC">
        <w:rPr>
          <w:noProof/>
          <w:lang w:val="en-GB"/>
        </w:rPr>
        <w:t>[5]</w:t>
      </w:r>
      <w:r w:rsidR="008F60AE" w:rsidRPr="005950CC">
        <w:rPr>
          <w:lang w:val="en-GB"/>
        </w:rPr>
        <w:fldChar w:fldCharType="end"/>
      </w:r>
      <w:r w:rsidR="008F60AE" w:rsidRPr="005950CC">
        <w:rPr>
          <w:lang w:val="en-GB"/>
        </w:rPr>
        <w:t xml:space="preserve">. There are also risks associated with </w:t>
      </w:r>
      <w:r w:rsidR="00C52891" w:rsidRPr="005950CC">
        <w:rPr>
          <w:lang w:val="en-GB"/>
        </w:rPr>
        <w:t>potential errors of exclusion and biases</w:t>
      </w:r>
      <w:r w:rsidR="007E2481" w:rsidRPr="005950CC">
        <w:rPr>
          <w:lang w:val="en-GB"/>
        </w:rPr>
        <w:t xml:space="preserve"> </w:t>
      </w:r>
      <w:r w:rsidR="007E2481" w:rsidRPr="005950CC">
        <w:rPr>
          <w:lang w:val="en-GB"/>
        </w:rPr>
        <w:fldChar w:fldCharType="begin"/>
      </w:r>
      <w:r w:rsidR="00566CC8" w:rsidRPr="005950CC">
        <w:rPr>
          <w:lang w:val="en-GB"/>
        </w:rPr>
        <w:instrText xml:space="preserve"> ADDIN ZOTERO_ITEM CSL_CITATION {"citationID":"1anrnn4ip0","properties":{"formattedCitation":"[64]","plainCitation":"[64]"},"citationItems":[{"id":683,"uris":["http://zotero.org/users/3767271/items/VXED8XSG"],"uri":["http://zotero.org/users/3767271/items/VXED8XSG"],"itemData":{"id":683,"type":"article-journal","title":"Rethinking the measurement of energy poverty in Europe: A critical analysis of indicators and data","container-title":"Indoor and Built Environment","source":"SAGE Journals","abstract":"Energy poverty – which has also been recognised via terms such as ‘fuel poverty’ and ‘energy vulnerability’ – occurs when a household experiences inadequate levels of energy services in the home. Measuring energy poverty is challenging, as it is a culturally sensitive and private condition, which is temporally and spatially dynamic. This is compounded by the limited availability of appropriate data and indicators, and lack of consensus on how energy poverty should be conceptualised and measured. Statistical indicators of energy poverty are an important and necessary part of the research and policy landscape. They carry great political weight, and are often used to guide the targeting of energy poverty measures – due to their perceived objectivity – with important consequences for both the indoor and built environment of housing. Focussing on the European Union specifically, this paper critically assesses the available statistical options for monitoring energy poverty, whilst also presenting options for improving existing data. This is examined through the lens of vulnerability thinking, by considering the ways in which policies and institutions, the built fabric and everyday practices shape energy use, alongside the manner in which energy poor households experience and address the issue on a day-to-day basis.","DOI":"10.1177/1420326X17699260","author":[{"family":"Thomson","given":"Harriet"},{"family":"Bouzarovski","given":"Stefan"},{"family":"Snell","given":"Carolyn"}],"issued":{"date-parts":[["2017"]]}}}],"schema":"https://github.com/citation-style-language/schema/raw/master/csl-citation.json"} </w:instrText>
      </w:r>
      <w:r w:rsidR="007E2481" w:rsidRPr="005950CC">
        <w:rPr>
          <w:lang w:val="en-GB"/>
        </w:rPr>
        <w:fldChar w:fldCharType="separate"/>
      </w:r>
      <w:r w:rsidR="00566CC8" w:rsidRPr="005950CC">
        <w:rPr>
          <w:noProof/>
          <w:lang w:val="en-GB"/>
        </w:rPr>
        <w:t>[64]</w:t>
      </w:r>
      <w:r w:rsidR="007E2481" w:rsidRPr="005950CC">
        <w:rPr>
          <w:lang w:val="en-GB"/>
        </w:rPr>
        <w:fldChar w:fldCharType="end"/>
      </w:r>
      <w:r w:rsidR="00C52891" w:rsidRPr="005950CC">
        <w:rPr>
          <w:lang w:val="en-GB"/>
        </w:rPr>
        <w:t>.</w:t>
      </w:r>
      <w:r w:rsidRPr="005950CC">
        <w:rPr>
          <w:lang w:val="en-GB"/>
        </w:rPr>
        <w:t xml:space="preserve"> </w:t>
      </w:r>
      <w:r w:rsidR="00C52891" w:rsidRPr="005950CC">
        <w:rPr>
          <w:lang w:val="en-GB"/>
        </w:rPr>
        <w:t>Despite these criticisms t</w:t>
      </w:r>
      <w:r w:rsidR="007E4B91" w:rsidRPr="005950CC">
        <w:rPr>
          <w:lang w:val="en-GB"/>
        </w:rPr>
        <w:t xml:space="preserve">his indicator </w:t>
      </w:r>
      <w:r w:rsidR="00C52891" w:rsidRPr="005950CC">
        <w:rPr>
          <w:lang w:val="en-GB"/>
        </w:rPr>
        <w:t xml:space="preserve">(along with other subjective measures) </w:t>
      </w:r>
      <w:r w:rsidR="007E4B91" w:rsidRPr="005950CC">
        <w:rPr>
          <w:lang w:val="en-GB"/>
        </w:rPr>
        <w:t xml:space="preserve">has been widely used in comparative analyses of energy poverty across Europe </w:t>
      </w:r>
      <w:r w:rsidR="007E4B91" w:rsidRPr="005950CC">
        <w:rPr>
          <w:lang w:val="en-GB"/>
        </w:rPr>
        <w:fldChar w:fldCharType="begin"/>
      </w:r>
      <w:r w:rsidR="00566CC8" w:rsidRPr="005950CC">
        <w:rPr>
          <w:lang w:val="en-GB"/>
        </w:rPr>
        <w:instrText xml:space="preserve"> ADDIN ZOTERO_ITEM CSL_CITATION {"citationID":"1o7rdj9lkn","properties":{"formattedCitation":"[17,18,20,60,65]","plainCitation":"[17,18,20,60,65]"},"citationItems":[{"id":25,"uris":["http://zotero.org/users/3767271/items/3CPVPBJW"],"uri":["http://zotero.org/users/3767271/items/3CPVPBJW"],"itemData":{"id":25,"type":"article-journal","title":"The energy divide: Integrating energy transitions, regional inequalities and poverty trends in the European Union","container-title":"European Urban and Regional Studies","page":"69-86","volume":"24","issue":"1","source":"SAGE Journals","abstract":"Energy poverty can be understood as the inability of a household to secure a socially and materially necessitated level of energy services in the home. While the condition is widespread across Europe, its spatial and social distribution is highly uneven. In this paper, the existence of a geographical energy poverty divide in the European Union (EU) provides a starting point for conceptualizing and exploring the relationship between energy transitions – commonly described as wide-ranging processes of socio-technical change – and existing patterns of regional economic inequality. We have undertaken a comprehensive analysis of spatial and temporal trends in the national-scale patterns of energy poverty, as well as gas and electricity prices. The results of our work indicate that the classic economic development distinction between the core and periphery also holds true in the case of energy poverty, as the incidence of this phenomenon is significantly higher in Southern and Eastern European EU Member States. The paper thus aims to provide the building blocks for a novel theoretical integration of questions of path-dependency, uneven development and material deprivation in existing interpretations of energy transitions.","journalAbbreviation":"European Urban and Regional Studies","author":[{"family":"Bouzarovski","given":"Stefan"},{"family":"Tirado Herrero","given":"Sergio"}],"issued":{"date-parts":[["2017"]]}}},{"id":79,"uris":["http://zotero.org/users/3767271/items/4QDDJIHC"],"uri":["http://zotero.org/users/3767271/items/4QDDJIHC"],"itemData":{"id":79,"type":"article-journal","title":"Energy affordability and energy inequality in Europe: Implications for policymaking","container-title":"Energy Research &amp; Social Science","page":"21-35","volume":"18","source":"ScienceDirect","abstract":"The concept of fuel (or energy) poverty is a much-debated topic both at the EU level and in individual countries. However, the specific forms of energy services deprivation differ between European countries. This paper explores an analytical framework of energy poverty at the macro-scale, based firstly on energy services deprivation and secondly on an analysis of energy inequality, where energy inequality relates to the fact that different household groups are not affected in the same way by energy services deprivation. This framework allows for a comparison between EU countries and discloses their relative affectedness. Policy implications with respect to the differing fuel poverty problems and recommendations are discussed.","journalAbbreviation":"Energy Research &amp; Social Science","author":[{"family":"Dubois","given":"Ute"},{"family":"Meier","given":"Helena"}],"issued":{"date-parts":[["2016"]]}}},{"id":115,"uris":["http://zotero.org/users/3767271/items/PK2KMWF6"],"uri":["http://zotero.org/users/3767271/items/PK2KMWF6"],"itemData":{"id":115,"type":"book","title":"Housing, Fuel Poverty and Health: A Pan-European Analysis","publisher":"Ashgate","publisher-place":"Aldershot","event-place":"Aldershot","author":[{"family":"Healy","given":"John D."}],"issued":{"date-parts":[["2004"]]}}},{"id":116,"uris":["http://zotero.org/users/3767271/items/69MRWEBQ"],"uri":["http://zotero.org/users/3767271/items/69MRWEBQ"],"itemData":{"id":116,"type":"report","title":"Fuel poverty in Europe: A cross-country analysis using a new composite measure","collection-title":"Environmental Studies Research Series","publisher":"University College Dublin","author":[{"family":"Healy","given":"John D."},{"family":"Clinch","given":"J. Peter"}],"issued":{"date-parts":[["2002"]]}}},{"id":197,"uris":["http://zotero.org/users/3767271/items/DRNBIZNX"],"uri":["http://zotero.org/users/3767271/items/DRNBIZNX"],"itemData":{"id":197,"type":"article-journal","title":"Quantifying the prevalence of fuel poverty across the European Union","container-title":"Energy Policy","page":"563-572","volume":"52","source":"ScienceDirect","journalAbbreviation":"Energy Policy","author":[{"family":"Thomson","given":"Harriet"},{"family":"Snell","given":"Carolyn"}],"issued":{"date-parts":[["2013"]]}}}],"schema":"https://github.com/citation-style-language/schema/raw/master/csl-citation.json"} </w:instrText>
      </w:r>
      <w:r w:rsidR="007E4B91" w:rsidRPr="005950CC">
        <w:rPr>
          <w:lang w:val="en-GB"/>
        </w:rPr>
        <w:fldChar w:fldCharType="separate"/>
      </w:r>
      <w:r w:rsidR="00566CC8" w:rsidRPr="005950CC">
        <w:rPr>
          <w:lang w:val="en-GB"/>
        </w:rPr>
        <w:t>[17,18,20,60,65]</w:t>
      </w:r>
      <w:r w:rsidR="007E4B91" w:rsidRPr="005950CC">
        <w:rPr>
          <w:lang w:val="en-GB"/>
        </w:rPr>
        <w:fldChar w:fldCharType="end"/>
      </w:r>
      <w:r w:rsidR="007E4B91" w:rsidRPr="005950CC">
        <w:rPr>
          <w:lang w:val="en-GB"/>
        </w:rPr>
        <w:t xml:space="preserve">, as well as in the analysis of energy poverty and poor health in France </w:t>
      </w:r>
      <w:r w:rsidR="007E4B91" w:rsidRPr="005950CC">
        <w:rPr>
          <w:lang w:val="en-GB"/>
        </w:rPr>
        <w:fldChar w:fldCharType="begin"/>
      </w:r>
      <w:r w:rsidR="000517C5" w:rsidRPr="005950CC">
        <w:rPr>
          <w:lang w:val="en-GB"/>
        </w:rPr>
        <w:instrText xml:space="preserve"> ADDIN ZOTERO_ITEM CSL_CITATION {"citationID":"22hik60is8","properties":{"formattedCitation":"[21]","plainCitation":"[21]"},"citationItems":[{"id":550,"uris":["http://zotero.org/users/3767271/items/JCFAED5C"],"uri":["http://zotero.org/users/3767271/items/JCFAED5C"],"itemData":{"id":550,"type":"article-journal","title":"Fuel poverty as a major determinant of perceived health: the case of France","container-title":"Public Health","page":"517-524","volume":"129","issue":"5","abstract":"OBJECTIVES: The number of households in fuel poverty is growing. Individuals increasingly struggle to heat their homes, and therefore, a growing number of individuals are exposed to low temperatures, which can affect their health. This study sought to determine the link between a subjective measure of fuel poverty (self-reported feeling cold) and self-reported health. The impact of other particular individual and environmental features on self-reported health were also analysed.\nSTUDY DESIGN: Econometric analysis.\nMETHODS: The study method uses self-reported perception of thermal discomfort (self-reported feeling cold) as a proxy for fuel poverty. The French database of the Healthcare and Insurance survey carried by the Institute for Research and Information on Health Economics (IRDES) was used to estimate a dichotomous probit model.\nRESULTS: The estimation allows us to infer a negative impact of fuel poverty on self-reported health. Thus, a person in fuel poverty is 2.36 percentage points more likely to report poor or fair health status than a person who is not in fuel poverty.\nCONCLUSION: It may be appropriate to reduce the impacts of fuel poverty to provide support for the most vulnerable categories of individuals with respect to the health impacts of fuel poverty and cold homes, e.g., chronic patients who experience difficulty heating their homes.","DOI":"10.1016/j.puhe.2015.02.007","journalAbbreviation":"Public Health","author":[{"family":"Lacroix","given":"E."},{"family":"Chaton","given":"C."}],"issued":{"date-parts":[["2015"]]}}}],"schema":"https://github.com/citation-style-language/schema/raw/master/csl-citation.json"} </w:instrText>
      </w:r>
      <w:r w:rsidR="007E4B91" w:rsidRPr="005950CC">
        <w:rPr>
          <w:lang w:val="en-GB"/>
        </w:rPr>
        <w:fldChar w:fldCharType="separate"/>
      </w:r>
      <w:r w:rsidR="000517C5" w:rsidRPr="005950CC">
        <w:rPr>
          <w:lang w:val="en-GB"/>
        </w:rPr>
        <w:t>[21]</w:t>
      </w:r>
      <w:r w:rsidR="007E4B91" w:rsidRPr="005950CC">
        <w:rPr>
          <w:lang w:val="en-GB"/>
        </w:rPr>
        <w:fldChar w:fldCharType="end"/>
      </w:r>
      <w:r w:rsidR="007E4B91" w:rsidRPr="005950CC">
        <w:rPr>
          <w:lang w:val="en-GB"/>
        </w:rPr>
        <w:t>. The popularity of this subjective variable can be attributed to both epistemological and pragmatic considerations. For researchers such as Fahmy et al</w:t>
      </w:r>
      <w:r w:rsidR="00EA6BDF" w:rsidRPr="005950CC">
        <w:rPr>
          <w:lang w:val="en-GB"/>
        </w:rPr>
        <w:t>.</w:t>
      </w:r>
      <w:r w:rsidR="007E4B91" w:rsidRPr="005950CC">
        <w:rPr>
          <w:lang w:val="en-GB"/>
        </w:rPr>
        <w:t xml:space="preserve"> </w:t>
      </w:r>
      <w:r w:rsidR="007E4B91" w:rsidRPr="005950CC">
        <w:rPr>
          <w:lang w:val="en-GB"/>
        </w:rPr>
        <w:fldChar w:fldCharType="begin"/>
      </w:r>
      <w:r w:rsidR="00BD20C8" w:rsidRPr="005950CC">
        <w:rPr>
          <w:lang w:val="en-GB"/>
        </w:rPr>
        <w:instrText xml:space="preserve"> ADDIN ZOTERO_ITEM CSL_CITATION {"citationID":"iOOKzd60","properties":{"formattedCitation":"[2]","plainCitation":"[2]"},"citationItems":[{"id":503,"uris":["http://zotero.org/users/3767271/items/EPPV7GSA"],"uri":["http://zotero.org/users/3767271/items/EPPV7GSA"],"itemData":{"id":503,"type":"article-journal","title":"Predicting fuel poverty at a small-area level in England","container-title":"Energy Policy","page":"4370-4377","volume":"39","issue":"7","source":"ScienceDirect","abstract":"This paper describes the development of a series of models for predicting the incidence of fuel poverty in England at a small-area level and examines the adequacy of the modelled results in informing our understanding of the geography of fuel poverty. This paper summarises the development of alternative approaches to model specification based upon different approaches to the treatment of household income. Since 2003 small-area fuel poverty estimates have been widely used to inform affordable warmth policies and local targeting of fuel poverty programs. Whilst improvements in data sources and methods in recent years provide an opportunity to better understand the spatial distribution of fuel poverty, these analyses suggest that our understanding of the incidence and spatial distribution of fuel poverty is highly sensitive to the way in which household incomes are measured.","DOI":"10.1016/j.enpol.2011.04.057","journalAbbreviation":"Energy Policy","author":[{"family":"Fahmy","given":"Eldin"},{"family":"Gordon","given":"David"},{"family":"Patsios","given":"Demi"}],"issued":{"date-parts":[["2011"]]}},"suppress-author":true}],"schema":"https://github.com/citation-style-language/schema/raw/master/csl-citation.json"} </w:instrText>
      </w:r>
      <w:r w:rsidR="007E4B91" w:rsidRPr="005950CC">
        <w:rPr>
          <w:lang w:val="en-GB"/>
        </w:rPr>
        <w:fldChar w:fldCharType="separate"/>
      </w:r>
      <w:r w:rsidR="00BD20C8" w:rsidRPr="005950CC">
        <w:rPr>
          <w:lang w:val="en-GB"/>
        </w:rPr>
        <w:t>[2]</w:t>
      </w:r>
      <w:r w:rsidR="007E4B91" w:rsidRPr="005950CC">
        <w:rPr>
          <w:lang w:val="en-GB"/>
        </w:rPr>
        <w:fldChar w:fldCharType="end"/>
      </w:r>
      <w:r w:rsidR="007E4B91" w:rsidRPr="005950CC">
        <w:rPr>
          <w:lang w:val="en-GB"/>
        </w:rPr>
        <w:t xml:space="preserve"> subjective measures provide a more nuanced perspective of energy poverty, capturing lived experience and need in a manner that cannot be captured by objective measures </w:t>
      </w:r>
      <w:r w:rsidR="007E4B91" w:rsidRPr="005950CC">
        <w:rPr>
          <w:lang w:val="en-GB"/>
        </w:rPr>
        <w:fldChar w:fldCharType="begin"/>
      </w:r>
      <w:r w:rsidR="00BD20C8" w:rsidRPr="005950CC">
        <w:rPr>
          <w:lang w:val="en-GB"/>
        </w:rPr>
        <w:instrText xml:space="preserve"> ADDIN ZOTERO_ITEM CSL_CITATION {"citationID":"17jmju75qm","properties":{"formattedCitation":"[2,6]","plainCitation":"[2,6]"},"citationItems":[{"id":503,"uris":["http://zotero.org/users/3767271/items/EPPV7GSA"],"uri":["http://zotero.org/users/3767271/items/EPPV7GSA"],"itemData":{"id":503,"type":"article-journal","title":"Predicting fuel poverty at a small-area level in England","container-title":"Energy Policy","page":"4370-4377","volume":"39","issue":"7","source":"ScienceDirect","abstract":"This paper describes the development of a series of models for predicting the incidence of fuel poverty in England at a small-area level and examines the adequacy of the modelled results in informing our understanding of the geography of fuel poverty. This paper summarises the development of alternative approaches to model specification based upon different approaches to the treatment of household income. Since 2003 small-area fuel poverty estimates have been widely used to inform affordable warmth policies and local targeting of fuel poverty programs. Whilst improvements in data sources and methods in recent years provide an opportunity to better understand the spatial distribution of fuel poverty, these analyses suggest that our understanding of the incidence and spatial distribution of fuel poverty is highly sensitive to the way in which household incomes are measured.","DOI":"10.1016/j.enpol.2011.04.057","journalAbbreviation":"Energy Policy","author":[{"family":"Fahmy","given":"Eldin"},{"family":"Gordon","given":"David"},{"family":"Patsios","given":"Demi"}],"issued":{"date-parts":[["2011"]]}}},{"id":547,"uris":["http://zotero.org/users/3767271/items/MVHPDINP"],"uri":["http://zotero.org/users/3767271/items/MVHPDINP"],"itemData":{"id":547,"type":"report","title":"Fuel Poverty: Perspectives from the front line","collection-title":"Fuel Poverty Series","publisher":"University of Sheffield, Centre for Energy, Environment and Sustainability","publisher-place":"Sheffield","event-place":"Sheffield","author":[{"family":"Koh","given":"L"},{"family":"Marchand","given":"Robert"},{"family":"Genovese","given":"A."},{"family":"Brennan","given":"A."}],"issued":{"date-parts":[["2012"]]}}}],"schema":"https://github.com/citation-style-language/schema/raw/master/csl-citation.json"} </w:instrText>
      </w:r>
      <w:r w:rsidR="007E4B91" w:rsidRPr="005950CC">
        <w:rPr>
          <w:lang w:val="en-GB"/>
        </w:rPr>
        <w:fldChar w:fldCharType="separate"/>
      </w:r>
      <w:r w:rsidR="00BD20C8" w:rsidRPr="005950CC">
        <w:rPr>
          <w:lang w:val="en-GB"/>
        </w:rPr>
        <w:t>[2,6]</w:t>
      </w:r>
      <w:r w:rsidR="007E4B91" w:rsidRPr="005950CC">
        <w:rPr>
          <w:lang w:val="en-GB"/>
        </w:rPr>
        <w:fldChar w:fldCharType="end"/>
      </w:r>
      <w:r w:rsidR="00021148" w:rsidRPr="005950CC">
        <w:rPr>
          <w:lang w:val="en-GB"/>
        </w:rPr>
        <w:t>.</w:t>
      </w:r>
      <w:r w:rsidR="00EA6BDF" w:rsidRPr="005950CC">
        <w:rPr>
          <w:lang w:val="en-GB"/>
        </w:rPr>
        <w:t xml:space="preserve"> </w:t>
      </w:r>
      <w:r w:rsidR="007E4B91" w:rsidRPr="005950CC">
        <w:rPr>
          <w:lang w:val="en-GB"/>
        </w:rPr>
        <w:t xml:space="preserve">Advocates of subjective measures also argue that they are better able to capture the wider social exclusion and material deprivation elements associated with energy poverty than formulaic expenditure-based measures </w:t>
      </w:r>
      <w:r w:rsidR="007E4B91" w:rsidRPr="005950CC">
        <w:rPr>
          <w:lang w:val="en-GB"/>
        </w:rPr>
        <w:fldChar w:fldCharType="begin"/>
      </w:r>
      <w:r w:rsidR="003B4785" w:rsidRPr="005950CC">
        <w:rPr>
          <w:lang w:val="en-GB"/>
        </w:rPr>
        <w:instrText xml:space="preserve"> ADDIN ZOTERO_ITEM CSL_CITATION {"citationID":"1i8et60qrs","properties":{"formattedCitation":"[60]","plainCitation":"[60]"},"citationItems":[{"id":115,"uris":["http://zotero.org/users/3767271/items/PK2KMWF6"],"uri":["http://zotero.org/users/3767271/items/PK2KMWF6"],"itemData":{"id":115,"type":"book","title":"Housing, Fuel Poverty and Health: A Pan-European Analysis","publisher":"Ashgate","publisher-place":"Aldershot","event-place":"Aldershot","author":[{"family":"Healy","given":"John D."}],"issued":{"date-parts":[["2004"]]}}}],"schema":"https://github.com/citation-style-language/schema/raw/master/csl-citation.json"} </w:instrText>
      </w:r>
      <w:r w:rsidR="007E4B91" w:rsidRPr="005950CC">
        <w:rPr>
          <w:lang w:val="en-GB"/>
        </w:rPr>
        <w:fldChar w:fldCharType="separate"/>
      </w:r>
      <w:r w:rsidR="003B4785" w:rsidRPr="005950CC">
        <w:rPr>
          <w:lang w:val="en-GB"/>
        </w:rPr>
        <w:t>[60]</w:t>
      </w:r>
      <w:r w:rsidR="007E4B91" w:rsidRPr="005950CC">
        <w:rPr>
          <w:lang w:val="en-GB"/>
        </w:rPr>
        <w:fldChar w:fldCharType="end"/>
      </w:r>
      <w:r w:rsidR="008F60AE" w:rsidRPr="005950CC">
        <w:rPr>
          <w:lang w:val="en-GB"/>
        </w:rPr>
        <w:t xml:space="preserve">. </w:t>
      </w:r>
      <w:r w:rsidR="00C52891" w:rsidRPr="005950CC">
        <w:rPr>
          <w:lang w:val="en-GB"/>
        </w:rPr>
        <w:t>Furthermore, s</w:t>
      </w:r>
      <w:r w:rsidR="007E4B91" w:rsidRPr="005950CC">
        <w:rPr>
          <w:lang w:val="en-GB"/>
        </w:rPr>
        <w:t xml:space="preserve">ubjective measures have also been used as proxies of energy poverty in the absence of valid and reliable expenditure data, for example, when making comparisons across jurisdictions that do not have comparable expenditure data </w:t>
      </w:r>
      <w:r w:rsidR="007E4B91" w:rsidRPr="005950CC">
        <w:rPr>
          <w:lang w:val="en-GB"/>
        </w:rPr>
        <w:fldChar w:fldCharType="begin"/>
      </w:r>
      <w:r w:rsidR="00BD20C8" w:rsidRPr="005950CC">
        <w:rPr>
          <w:lang w:val="en-GB"/>
        </w:rPr>
        <w:instrText xml:space="preserve"> ADDIN ZOTERO_ITEM CSL_CITATION {"citationID":"oqpte7dsb","properties":{"formattedCitation":"[7]","plainCitation":"[7]"},"citationItems":[{"id":607,"uris":["http://zotero.org/users/3767271/items/83HJ8GUR"],"uri":["http://zotero.org/users/3767271/items/83HJ8GUR"],"itemData":{"id":607,"type":"report","title":"Affordability of utilities' services: extent, practice, policy","publisher":"Centre on Regulation in Europe","publisher-place":"Brussels","event-place":"Brussels","author":[{"family":"Waddams","given":"C."},{"family":"Deller","given":"D."}],"issued":{"date-parts":[["2015"]]}},"locator":"15","label":"page"}],"schema":"https://github.com/citation-style-language/schema/raw/master/csl-citation.json"} </w:instrText>
      </w:r>
      <w:r w:rsidR="007E4B91" w:rsidRPr="005950CC">
        <w:rPr>
          <w:lang w:val="en-GB"/>
        </w:rPr>
        <w:fldChar w:fldCharType="separate"/>
      </w:r>
      <w:r w:rsidR="00BD20C8" w:rsidRPr="005950CC">
        <w:rPr>
          <w:lang w:val="en-GB"/>
        </w:rPr>
        <w:t>[7]</w:t>
      </w:r>
      <w:r w:rsidR="007E4B91" w:rsidRPr="005950CC">
        <w:rPr>
          <w:lang w:val="en-GB"/>
        </w:rPr>
        <w:fldChar w:fldCharType="end"/>
      </w:r>
      <w:r w:rsidR="00EA6BDF" w:rsidRPr="005950CC">
        <w:rPr>
          <w:lang w:val="en-GB"/>
        </w:rPr>
        <w:t>.</w:t>
      </w:r>
    </w:p>
    <w:p w14:paraId="00FC9EA6" w14:textId="6AB466AE" w:rsidR="00F84D8C" w:rsidRPr="005950CC" w:rsidRDefault="00946C5E" w:rsidP="007B1CC9">
      <w:pPr>
        <w:pStyle w:val="MDPI31text"/>
        <w:rPr>
          <w:lang w:val="en-GB"/>
        </w:rPr>
      </w:pPr>
      <w:r w:rsidRPr="005950CC">
        <w:rPr>
          <w:lang w:val="en-GB"/>
        </w:rPr>
        <w:t>It should also be noted that this indicator does not reflect</w:t>
      </w:r>
      <w:r w:rsidR="00EA6BDF" w:rsidRPr="005950CC">
        <w:rPr>
          <w:lang w:val="en-GB"/>
        </w:rPr>
        <w:t xml:space="preserve"> energy demands such as cooling—</w:t>
      </w:r>
      <w:r w:rsidRPr="005950CC">
        <w:rPr>
          <w:lang w:val="en-GB"/>
        </w:rPr>
        <w:t>an issue more common in Southern Europe</w:t>
      </w:r>
      <w:r w:rsidR="008F60AE" w:rsidRPr="005950CC">
        <w:rPr>
          <w:lang w:val="en-GB"/>
        </w:rPr>
        <w:t xml:space="preserve"> </w:t>
      </w:r>
      <w:r w:rsidR="008F60AE" w:rsidRPr="005950CC">
        <w:rPr>
          <w:lang w:val="en-GB"/>
        </w:rPr>
        <w:fldChar w:fldCharType="begin"/>
      </w:r>
      <w:r w:rsidR="008F60AE" w:rsidRPr="005950CC">
        <w:rPr>
          <w:lang w:val="en-GB"/>
        </w:rPr>
        <w:instrText xml:space="preserve"> ADDIN ZOTERO_ITEM CSL_CITATION {"citationID":"1qrriei192","properties":{"formattedCitation":"[10]","plainCitation":"[10]"},"citationItems":[{"id":680,"uris":["http://zotero.org/users/3767271/items/5G2KXIZD"],"uri":["http://zotero.org/users/3767271/items/5G2KXIZD"],"itemData":{"id":680,"type":"report","title":"Pobreza energética en España. Análisis de tendencias","publisher":"Asociación de Ciencias Ambientales","publisher-place":"Madrid","event-place":"Madrid","author":[{"family":"Tirado Herrero","given":"S"},{"family":"Jiménez Meneses","given":"L"},{"family":"López Fernández","given":"J.L"},{"family":"Martín García","given":"J"}],"issued":{"date-parts":[["2014"]]}}}],"schema":"https://github.com/citation-style-language/schema/raw/master/csl-citation.json"} </w:instrText>
      </w:r>
      <w:r w:rsidR="008F60AE" w:rsidRPr="005950CC">
        <w:rPr>
          <w:lang w:val="en-GB"/>
        </w:rPr>
        <w:fldChar w:fldCharType="separate"/>
      </w:r>
      <w:r w:rsidR="008F60AE" w:rsidRPr="005950CC">
        <w:rPr>
          <w:noProof/>
          <w:lang w:val="en-GB"/>
        </w:rPr>
        <w:t>[10]</w:t>
      </w:r>
      <w:r w:rsidR="008F60AE" w:rsidRPr="005950CC">
        <w:rPr>
          <w:lang w:val="en-GB"/>
        </w:rPr>
        <w:fldChar w:fldCharType="end"/>
      </w:r>
      <w:r w:rsidR="008F60AE" w:rsidRPr="005950CC">
        <w:rPr>
          <w:lang w:val="en-GB"/>
        </w:rPr>
        <w:t>.</w:t>
      </w:r>
      <w:r w:rsidRPr="005950CC">
        <w:rPr>
          <w:lang w:val="en-GB"/>
        </w:rPr>
        <w:t xml:space="preserve"> As such, the indicator of energy poverty used </w:t>
      </w:r>
      <w:r w:rsidR="00EA6BDF" w:rsidRPr="005950CC">
        <w:rPr>
          <w:lang w:val="en-GB"/>
        </w:rPr>
        <w:t xml:space="preserve">is relatively narrow in scope. </w:t>
      </w:r>
      <w:r w:rsidR="001E7AE9" w:rsidRPr="005950CC">
        <w:rPr>
          <w:lang w:val="en-GB"/>
        </w:rPr>
        <w:t>This, along with the other limitations described</w:t>
      </w:r>
      <w:r w:rsidR="00C52891" w:rsidRPr="005950CC">
        <w:rPr>
          <w:lang w:val="en-GB"/>
        </w:rPr>
        <w:t xml:space="preserve"> above</w:t>
      </w:r>
      <w:r w:rsidR="001E7AE9" w:rsidRPr="005950CC">
        <w:rPr>
          <w:lang w:val="en-GB"/>
        </w:rPr>
        <w:t xml:space="preserve">, is typically </w:t>
      </w:r>
      <w:r w:rsidR="00F84D8C" w:rsidRPr="005950CC">
        <w:rPr>
          <w:lang w:val="en-GB"/>
        </w:rPr>
        <w:t>associated with conducting secondary data analysis (</w:t>
      </w:r>
      <w:r w:rsidR="001E7AE9" w:rsidRPr="005950CC">
        <w:rPr>
          <w:lang w:val="en-GB"/>
        </w:rPr>
        <w:t>see for example</w:t>
      </w:r>
      <w:r w:rsidR="005D5700" w:rsidRPr="005950CC">
        <w:rPr>
          <w:lang w:val="en-GB"/>
        </w:rPr>
        <w:t xml:space="preserve"> </w:t>
      </w:r>
      <w:r w:rsidR="005D5700" w:rsidRPr="005950CC">
        <w:rPr>
          <w:lang w:val="en-GB"/>
        </w:rPr>
        <w:fldChar w:fldCharType="begin"/>
      </w:r>
      <w:r w:rsidR="00566CC8" w:rsidRPr="005950CC">
        <w:rPr>
          <w:lang w:val="en-GB"/>
        </w:rPr>
        <w:instrText xml:space="preserve"> ADDIN ZOTERO_ITEM CSL_CITATION {"citationID":"mkq5bgkdj","properties":{"formattedCitation":"[66]","plainCitation":"[66]"},"citationItems":[{"id":685,"uris":["http://zotero.org/users/3767271/items/MHVZ6ZJZ"],"uri":["http://zotero.org/users/3767271/items/MHVZ6ZJZ"],"itemData":{"id":685,"type":"article-journal","title":"Secondary Data Analysis as an Efficient and Effective Approach to Nursing Research","container-title":"Western Journal of Nursing Research","page":"1295-1307","volume":"37","issue":"10","abstract":"Meeting the expectation for scholarly productivity can be challenging for nursing faculty, especially in the absence of grant or other funding. Secondary data analysis is one strategy to address this challenge. The use of existing data to test new hypotheses or answer new research questions has several advantages. It typically takes less time and resources, is low risk to participants, and allows access to large data sets and longitudinal data. Despite these advantages, limitations do exist, including a lack of knowledge of the existence of rich data sets and how to obtain and evaluate the contents, insufficient or outdated data, and lack of funds to hire staff to assist with the work. Exemplars of secondary data analysis using public government and private data sets are presented along with the skills needed to conduct this type of analysis. Secondary data analysis is an efficient and effective approach to conducting nursing research.","journalAbbreviation":"West J Nurs Res","author":[{"family":"Dunn","given":"Susan L."},{"family":"Arslanian-Engoren","given":"Cynthia"},{"family":"DeKoekkoek","given":"Tracy"},{"family":"Jadack","given":"Rosemary"},{"family":"Scott","given":"Linda D."}],"issued":{"date-parts":[["2015"]]}}}],"schema":"https://github.com/citation-style-language/schema/raw/master/csl-citation.json"} </w:instrText>
      </w:r>
      <w:r w:rsidR="005D5700" w:rsidRPr="005950CC">
        <w:rPr>
          <w:lang w:val="en-GB"/>
        </w:rPr>
        <w:fldChar w:fldCharType="separate"/>
      </w:r>
      <w:r w:rsidR="00566CC8" w:rsidRPr="005950CC">
        <w:rPr>
          <w:noProof/>
          <w:lang w:val="en-GB"/>
        </w:rPr>
        <w:t>[66]</w:t>
      </w:r>
      <w:r w:rsidR="005D5700" w:rsidRPr="005950CC">
        <w:rPr>
          <w:lang w:val="en-GB"/>
        </w:rPr>
        <w:fldChar w:fldCharType="end"/>
      </w:r>
      <w:r w:rsidR="001E7AE9" w:rsidRPr="005950CC">
        <w:rPr>
          <w:lang w:val="en-GB" w:eastAsia="en-US"/>
        </w:rPr>
        <w:t>)</w:t>
      </w:r>
      <w:r w:rsidR="00EA6BDF" w:rsidRPr="005950CC">
        <w:rPr>
          <w:lang w:val="en-GB" w:eastAsia="en-US"/>
        </w:rPr>
        <w:t xml:space="preserve">. </w:t>
      </w:r>
      <w:r w:rsidR="00C52891" w:rsidRPr="005950CC">
        <w:rPr>
          <w:lang w:val="en-GB" w:eastAsia="en-US"/>
        </w:rPr>
        <w:t xml:space="preserve">Despite these limitations, this indicator </w:t>
      </w:r>
      <w:r w:rsidR="001E7AE9" w:rsidRPr="005950CC">
        <w:rPr>
          <w:lang w:val="en-GB"/>
        </w:rPr>
        <w:t xml:space="preserve">currently represents one of the few available methods of quantifying energy poverty related issues across Europe, and is the measure used within this paper (from here on the term </w:t>
      </w:r>
      <w:r w:rsidR="008F4FF8" w:rsidRPr="005950CC">
        <w:rPr>
          <w:lang w:val="en-GB"/>
        </w:rPr>
        <w:t>‘</w:t>
      </w:r>
      <w:r w:rsidR="001E7AE9" w:rsidRPr="005950CC">
        <w:rPr>
          <w:lang w:val="en-GB"/>
        </w:rPr>
        <w:t>energy po</w:t>
      </w:r>
      <w:r w:rsidR="00EA6BDF" w:rsidRPr="005950CC">
        <w:rPr>
          <w:lang w:val="en-GB"/>
        </w:rPr>
        <w:t>verty</w:t>
      </w:r>
      <w:r w:rsidR="008F4FF8" w:rsidRPr="005950CC">
        <w:rPr>
          <w:lang w:val="en-GB"/>
        </w:rPr>
        <w:t>’</w:t>
      </w:r>
      <w:r w:rsidR="00EA6BDF" w:rsidRPr="005950CC">
        <w:rPr>
          <w:lang w:val="en-GB"/>
        </w:rPr>
        <w:t xml:space="preserve"> relates to this measure).</w:t>
      </w:r>
    </w:p>
    <w:p w14:paraId="0D4ACD31" w14:textId="420E281E" w:rsidR="007E4B91" w:rsidRPr="005950CC" w:rsidRDefault="00BD20C8" w:rsidP="007B1CC9">
      <w:pPr>
        <w:pStyle w:val="MDPI23heading3"/>
        <w:rPr>
          <w:lang w:val="en-GB"/>
        </w:rPr>
      </w:pPr>
      <w:r w:rsidRPr="005950CC">
        <w:rPr>
          <w:lang w:val="en-GB"/>
        </w:rPr>
        <w:t xml:space="preserve">3.2.2. </w:t>
      </w:r>
      <w:r w:rsidR="007E4B91" w:rsidRPr="005950CC">
        <w:rPr>
          <w:lang w:val="en-GB"/>
        </w:rPr>
        <w:t xml:space="preserve">Health and </w:t>
      </w:r>
      <w:r w:rsidR="007B1CC9" w:rsidRPr="005950CC">
        <w:rPr>
          <w:lang w:val="en-GB"/>
        </w:rPr>
        <w:t>Well</w:t>
      </w:r>
      <w:r w:rsidR="007E4B91" w:rsidRPr="005950CC">
        <w:rPr>
          <w:lang w:val="en-GB"/>
        </w:rPr>
        <w:t>-</w:t>
      </w:r>
      <w:r w:rsidR="007B1CC9" w:rsidRPr="005950CC">
        <w:rPr>
          <w:lang w:val="en-GB"/>
        </w:rPr>
        <w:t>Being Outcomes</w:t>
      </w:r>
    </w:p>
    <w:p w14:paraId="09AE7FEF" w14:textId="68C31051" w:rsidR="007E4B91" w:rsidRPr="005950CC" w:rsidRDefault="007E4B91" w:rsidP="007B1CC9">
      <w:pPr>
        <w:pStyle w:val="MDPI31text"/>
        <w:rPr>
          <w:lang w:val="en-GB"/>
        </w:rPr>
      </w:pPr>
      <w:r w:rsidRPr="005950CC">
        <w:rPr>
          <w:lang w:val="en-GB"/>
        </w:rPr>
        <w:t>To assess poor health</w:t>
      </w:r>
      <w:r w:rsidR="002B5544" w:rsidRPr="005950CC">
        <w:rPr>
          <w:lang w:val="en-GB"/>
        </w:rPr>
        <w:t>,</w:t>
      </w:r>
      <w:r w:rsidRPr="005950CC">
        <w:rPr>
          <w:lang w:val="en-GB"/>
        </w:rPr>
        <w:t xml:space="preserve"> the self-reported health status (SRH) variable available in the EQLS is used. SRH is a well-established indicator that has been used extensively in public health and epidemiological research </w:t>
      </w:r>
      <w:r w:rsidRPr="005950CC">
        <w:rPr>
          <w:lang w:val="en-GB"/>
        </w:rPr>
        <w:fldChar w:fldCharType="begin"/>
      </w:r>
      <w:r w:rsidR="00566CC8" w:rsidRPr="005950CC">
        <w:rPr>
          <w:lang w:val="en-GB"/>
        </w:rPr>
        <w:instrText xml:space="preserve"> ADDIN ZOTERO_ITEM CSL_CITATION {"citationID":"2ccbbm1i16","properties":{"formattedCitation":"[67,68]","plainCitation":"[67,68]"},"citationItems":[{"id":476,"uris":["http://zotero.org/users/3767271/items/HW5FB6IH"],"uri":["http://zotero.org/users/3767271/items/HW5FB6IH"],"itemData":{"id":476,"type":"article-journal","title":"Long working hours and health in Europe: Gender and welfare state differences in a context of economic crisis","container-title":"Health &amp; Place","page":"161-168","volume":"40","abstract":"This article examines the relationship between moderately long working hours and health status in Europe. A cross-sectional study based on data from the 2010 European Working Conditions Survey (13,518 men and 9381 women) was performed. Working moderately long hours was consistently associated with poor health status and poor psychological wellbeing in countries with traditional family models, in both sexes in Liberal countries and primarily among women in Continental and Southern European countries. A combination of economic vulnerability, increasing labour market deregulation and work overload related to the combination of job and domestic work could explain these findings.","DOI":"10.1016/j.healthplace.2016.06.004","journalAbbreviation":"Health &amp; Place","author":[{"family":"Artazcoz","given":"Lucía"},{"family":"Cortès","given":"Imma"},{"family":"Benavides","given":"Fernando G."},{"family":"Escribà-Agüir","given":"Vicenta"},{"family":"Bartoll","given":"Xavier"},{"family":"Vargas","given":"Hernán"},{"family":"Borrell","given":"Carme"}],"issued":{"date-parts":[["2016",7]]}}},{"id":574,"uris":["http://zotero.org/users/3767271/items/TDEMR8NR"],"uri":["http://zotero.org/users/3767271/items/TDEMR8NR"],"itemData":{"id":574,"type":"article-journal","title":"Questioning the discriminatory accuracy of broad migrant categories in public health: self-rated health in Sweden","container-title":"European Journal of Public Health","page":"911-917","volume":"25","issue":"6","DOI":"10.1093/eurpub/ckv099","journalAbbreviation":"Eur J Public Health","author":[{"family":"Mulinari","given":"Shai"},{"family":"Bredström","given":"Anna"},{"family":"Merlo","given":"Juan"}],"issued":{"date-parts":[["2015"]]}}}],"schema":"https://github.com/citation-style-language/schema/raw/master/csl-citation.json"} </w:instrText>
      </w:r>
      <w:r w:rsidRPr="005950CC">
        <w:rPr>
          <w:lang w:val="en-GB"/>
        </w:rPr>
        <w:fldChar w:fldCharType="separate"/>
      </w:r>
      <w:r w:rsidR="00566CC8" w:rsidRPr="005950CC">
        <w:rPr>
          <w:lang w:val="en-GB"/>
        </w:rPr>
        <w:t>[67,68]</w:t>
      </w:r>
      <w:r w:rsidRPr="005950CC">
        <w:rPr>
          <w:lang w:val="en-GB"/>
        </w:rPr>
        <w:fldChar w:fldCharType="end"/>
      </w:r>
      <w:r w:rsidRPr="005950CC">
        <w:rPr>
          <w:lang w:val="en-GB"/>
        </w:rPr>
        <w:t xml:space="preserve">, with respondents asked to rate their general health on a 5-point scale: </w:t>
      </w:r>
      <w:r w:rsidR="00EA6BDF" w:rsidRPr="005950CC">
        <w:rPr>
          <w:lang w:val="en-GB"/>
        </w:rPr>
        <w:t>“</w:t>
      </w:r>
      <w:r w:rsidRPr="005950CC">
        <w:rPr>
          <w:lang w:val="en-GB"/>
        </w:rPr>
        <w:t>In general, would you say your health is…Very Good/Good/Fair/Bad/Very Bad</w:t>
      </w:r>
      <w:r w:rsidR="00EA6BDF" w:rsidRPr="005950CC">
        <w:rPr>
          <w:lang w:val="en-GB"/>
        </w:rPr>
        <w:t>”</w:t>
      </w:r>
      <w:r w:rsidRPr="005950CC">
        <w:rPr>
          <w:lang w:val="en-GB"/>
        </w:rPr>
        <w:t xml:space="preserve"> </w:t>
      </w:r>
      <w:r w:rsidRPr="005950CC">
        <w:rPr>
          <w:lang w:val="en-GB"/>
        </w:rPr>
        <w:fldChar w:fldCharType="begin"/>
      </w:r>
      <w:r w:rsidR="003B4785" w:rsidRPr="005950CC">
        <w:rPr>
          <w:lang w:val="en-GB"/>
        </w:rPr>
        <w:instrText xml:space="preserve"> ADDIN ZOTERO_ITEM CSL_CITATION {"citationID":"2ln1mgngl5","properties":{"formattedCitation":"[63]","plainCitation":"[63]"},"citationItems":[{"id":501,"uris":["http://zotero.org/users/3767271/items/RXKDJ4CR"],"uri":["http://zotero.org/users/3767271/items/RXKDJ4CR"],"itemData":{"id":501,"type":"report","title":"Third European Quality of Life Survey - Quality of life in Europe: Impacts of the crisis.","publisher":"Publications Office of the European Union","publisher-place":"Luxembourg","event-place":"Luxembourg","author":[{"literal":"Eurofound"}],"issued":{"date-parts":[["2012"]]}},"locator":"24","label":"page"}],"schema":"https://github.com/citation-style-language/schema/raw/master/csl-citation.json"} </w:instrText>
      </w:r>
      <w:r w:rsidRPr="005950CC">
        <w:rPr>
          <w:lang w:val="en-GB"/>
        </w:rPr>
        <w:fldChar w:fldCharType="separate"/>
      </w:r>
      <w:r w:rsidR="003B4785" w:rsidRPr="005950CC">
        <w:rPr>
          <w:lang w:val="en-GB"/>
        </w:rPr>
        <w:t>[63]</w:t>
      </w:r>
      <w:r w:rsidRPr="005950CC">
        <w:rPr>
          <w:lang w:val="en-GB"/>
        </w:rPr>
        <w:fldChar w:fldCharType="end"/>
      </w:r>
      <w:r w:rsidRPr="005950CC">
        <w:rPr>
          <w:lang w:val="en-GB"/>
        </w:rPr>
        <w:t xml:space="preserve">, where </w:t>
      </w:r>
      <w:r w:rsidR="00EA6BDF" w:rsidRPr="005950CC">
        <w:rPr>
          <w:lang w:val="en-GB"/>
        </w:rPr>
        <w:t>‘</w:t>
      </w:r>
      <w:r w:rsidRPr="005950CC">
        <w:rPr>
          <w:lang w:val="en-GB"/>
        </w:rPr>
        <w:t>very good</w:t>
      </w:r>
      <w:r w:rsidR="00EA6BDF" w:rsidRPr="005950CC">
        <w:rPr>
          <w:lang w:val="en-GB"/>
        </w:rPr>
        <w:t>’</w:t>
      </w:r>
      <w:r w:rsidRPr="005950CC">
        <w:rPr>
          <w:lang w:val="en-GB"/>
        </w:rPr>
        <w:t xml:space="preserve"> is assigned a score of 1 and </w:t>
      </w:r>
      <w:r w:rsidR="00EA6BDF" w:rsidRPr="005950CC">
        <w:rPr>
          <w:lang w:val="en-GB"/>
        </w:rPr>
        <w:t>‘</w:t>
      </w:r>
      <w:r w:rsidRPr="005950CC">
        <w:rPr>
          <w:lang w:val="en-GB"/>
        </w:rPr>
        <w:t>very bad</w:t>
      </w:r>
      <w:r w:rsidR="00EA6BDF" w:rsidRPr="005950CC">
        <w:rPr>
          <w:lang w:val="en-GB"/>
        </w:rPr>
        <w:t>’</w:t>
      </w:r>
      <w:r w:rsidRPr="005950CC">
        <w:rPr>
          <w:lang w:val="en-GB"/>
        </w:rPr>
        <w:t xml:space="preserve"> is scored 5. Whilst this variable is self-reported, and thus risks the possibility of recall and response biases, existing evidence suggests that SRH is a highly reliable and valid measure of health status </w:t>
      </w:r>
      <w:r w:rsidRPr="005950CC">
        <w:rPr>
          <w:lang w:val="en-GB"/>
        </w:rPr>
        <w:fldChar w:fldCharType="begin"/>
      </w:r>
      <w:r w:rsidR="00566CC8" w:rsidRPr="005950CC">
        <w:rPr>
          <w:lang w:val="en-GB"/>
        </w:rPr>
        <w:instrText xml:space="preserve"> ADDIN ZOTERO_ITEM CSL_CITATION {"citationID":"1gl6e90hc3","properties":{"formattedCitation":"{\\rtf [69\\uc0\\u8211{}71]}","plainCitation":"[69–71]"},"citationItems":[{"id":556,"uris":["http://zotero.org/users/3767271/items/C7MR2DVU"],"uri":["http://zotero.org/users/3767271/items/C7MR2DVU"],"itemData":{"id":556,"type":"article-journal","title":"Assessing reliability of a measure of self-rated health","container-title":"Scandinavian Journal of Social Medicine","page":"218-224","volume":"24","issue":"3","abstract":"The test-retest reliability of self-rated health is analysed and compared with the reliability of health questions phrased more as well as less precisely. Differences in reliability between men and women and between age groups are also assessed. The study is based on 204 and 409 re-interviews from the 1991 Swedish Level of Living Survey and the 1989 Survey of Living Conditions respectively. The results show that the reliability of self-rated health is as good as or even better than that of most of the more specific questions. Only an indicator of high blood pressure showed significantly higher reliability. The reliability of self-rated health is good in all subgroups studied, and is even excellent among older men. It is concluded that the good overall reliability of self-rated health found in this study is in line with previous results concerning the validity of people's assessments of their general health as well as results concerning the basis upon which they make these judgements.","ISSN":"0300-8037","journalAbbreviation":"Scand J Soc Med","author":[{"family":"Lundberg","given":"O."},{"family":"Manderbacka","given":"K."}],"issued":{"date-parts":[["1996"]]}}},{"id":558,"uris":["http://zotero.org/users/3767271/items/P437H929"],"uri":["http://zotero.org/users/3767271/items/P437H929"],"itemData":{"id":558,"type":"article-journal","title":"Self-reported health and socio-economic inequalities in England, 1996–2009: Repeated national cross-sectional study","container-title":"Social Science &amp; Medicine","page":"135-146","volume":"136–137","abstract":"Tackling social inequalities in health has been a priority for recent UK governments. We used repeated national cross-sectional data for 155,311 participants (aged ≥16 years) in the Health Survey of England to examine trends in socio-economic inequalities in self-reported health over a recent period of sustained policy focus by successive UK governments aimed at tackling social inequalities in health. Socio-economic related inequalities in self-reported health were estimated using the Registrar General's occupational classification (1996–2009), and for sensitivity analyses, the National Statistics Socio-Economic Classification (NS-SEC; 2001–2011). Multi-level regression was used to evaluate time trends in General Health Questionnaire (GHQ-12) scores and bad or very bad self-assessed health (SAH), as well as EQ-5D utility scores.\nThe study found that the probability of reporting GHQ-12 scores ≥4 and ≥ 1 was higher in those from lower social classes, and decreased for all social classes between 1997 and 2009. For SAH, the probability of reporting bad or very bad health remained relatively constant for social class I (professional) [0.028 (95%CI: 0.026, 0.029) in 1996 compared to 0.028 (95%CI: 0.024, 0.032) in 2009], but increased in lower social classes, with the greatest increase observed amongst those in social class V (unskilled manual) [0.089 (95%CI: 0.085, 0.093) in 1996 compared to 0.155 (95%CI: 0.141, 0.168) in 2009]. EQ-5D utility scores were lower for those in lower social classes, but remained comparable across survey years. In sensitivity analyses using the NS-SEC, health outcomes improved from 2001 to 2011, with no evidence of widening socio-economic inequalities. Our findings suggest that socio-economic inequalities have persisted, with evidence of widening for some adverse self-reported health outcomes.","DOI":"10.1016/j.socscimed.2015.05.026","journalAbbreviation":"Social Science &amp; Medicine","author":[{"family":"Maheswaran","given":"Hendramoorthy"},{"family":"Kupek","given":"Emil"},{"family":"Petrou","given":"Stavros"}],"issued":{"date-parts":[["2015"]]}}},{"id":566,"uris":["http://zotero.org/users/3767271/items/UVUTW3D7"],"uri":["http://zotero.org/users/3767271/items/UVUTW3D7"],"itemData":{"id":566,"type":"article-journal","title":"Subjective relative deprivation is associated with poorer physical and mental health","container-title":"Social Science &amp; Medicine","page":"144-149","volume":"147","abstract":"Substantial epidemiological evidence has shown that income inequality and objective measures of relative deprivation are associated with poorer health outcomes. However, surprisingly little research has examined whether subjective feelings of relative deprivation are similarly linked with poorer health outcomes. The relative deprivation hypothesis suggests that inequality affects health at the individual level through negative consequences of social comparison. We directly examined the relationship between subjective feelings of personal relative deprivation and self-reported physical and mental health in a diverse community sample (n = 328). Results demonstrated that subjective feelings of personal relative deprivation are associated with significantly poorer physical and mental health. These relationships held even when accounting for covariates that have been previously associated with both relative deprivation and health. These results further support the link between relative deprivation and health outcomes and suggest that addressing root causes of relative deprivation may lead to greater individual health.","DOI":"10.1016/j.socscimed.2015.10.030","journalAbbreviation":"Social Science &amp; Medicine","author":[{"family":"Mishra","given":"Sandeep"},{"family":"Carleton","given":"R. Nicholas"}],"issued":{"date-parts":[["2015"]]}}}],"schema":"https://github.com/citation-style-language/schema/raw/master/csl-citation.json"} </w:instrText>
      </w:r>
      <w:r w:rsidRPr="005950CC">
        <w:rPr>
          <w:lang w:val="en-GB"/>
        </w:rPr>
        <w:fldChar w:fldCharType="separate"/>
      </w:r>
      <w:r w:rsidR="00566CC8" w:rsidRPr="005950CC">
        <w:rPr>
          <w:szCs w:val="24"/>
          <w:lang w:val="en-GB"/>
        </w:rPr>
        <w:t>[69</w:t>
      </w:r>
      <w:r w:rsidR="00EA6BDF" w:rsidRPr="005950CC">
        <w:rPr>
          <w:szCs w:val="24"/>
          <w:lang w:val="en-GB"/>
        </w:rPr>
        <w:t>–</w:t>
      </w:r>
      <w:r w:rsidR="00566CC8" w:rsidRPr="005950CC">
        <w:rPr>
          <w:szCs w:val="24"/>
          <w:lang w:val="en-GB"/>
        </w:rPr>
        <w:t>71]</w:t>
      </w:r>
      <w:r w:rsidRPr="005950CC">
        <w:rPr>
          <w:lang w:val="en-GB"/>
        </w:rPr>
        <w:fldChar w:fldCharType="end"/>
      </w:r>
      <w:r w:rsidRPr="005950CC">
        <w:rPr>
          <w:lang w:val="en-GB"/>
        </w:rPr>
        <w:t xml:space="preserve">, which has been found to be predictive of future health outcomes </w:t>
      </w:r>
      <w:r w:rsidRPr="005950CC">
        <w:rPr>
          <w:lang w:val="en-GB"/>
        </w:rPr>
        <w:fldChar w:fldCharType="begin"/>
      </w:r>
      <w:r w:rsidR="00566CC8" w:rsidRPr="005950CC">
        <w:rPr>
          <w:lang w:val="en-GB"/>
        </w:rPr>
        <w:instrText xml:space="preserve"> ADDIN ZOTERO_ITEM CSL_CITATION {"citationID":"121496s5vr","properties":{"formattedCitation":"[72,73]","plainCitation":"[72,73]"},"citationItems":[{"id":564,"uris":["http://zotero.org/users/3767271/items/8UA7BVPX"],"uri":["http://zotero.org/users/3767271/items/8UA7BVPX"],"itemData":{"id":564,"type":"article-journal","title":"Self-rated health status as a health measure: the predictive value of self-reported health status on the use of physician services and on mortality in the working-age population","container-title":"Journal of Clinical Epidemiology","page":"517-528","volume":"50","issue":"5","abstract":"The validity of various self-reported health assessments in predicting physician contracts and all-cause mortality was investigated in a prospective study in Finland. The follow-up periods were one year for the use of physician services and ten years ten months for the mortality. The study cohort comprised 1340 men and 1500 women, 35-63 years of age at the beginning of the study. The initial health assessments were derived from postal questionnaires in 1980 (response rate 77.5%). The survey was repeated one year later to verify the stability of the respondents' perceived health status. The data on the physician contacts and mortality were registered independently. The stability of perceived health status was relatively good and the perceived health was inversely associated with the number of physician contacts per year. A consistent inverse association, standardized by age, sex and social status, was observed between perceived health status and perceived physical fitness and mortality, while the predictive value of self-reported chronic diseases was low. The results suggest that the subjective health assessments are valid health status indicator in middle-aged populations, and they can be used in cohort studies and population health monitoring.","journalAbbreviation":"J Clin Epidemiol","author":[{"family":"Miilunpalo","given":"S."},{"family":"Vuori","given":"I."},{"family":"Oja","given":"P."},{"family":"Pasanen","given":"M."},{"family":"Urponen","given":"H."}],"issued":{"date-parts":[["1997"]]}}},{"id":572,"uris":["http://zotero.org/users/3767271/items/7IE3BJ3M"],"uri":["http://zotero.org/users/3767271/items/7IE3BJ3M"],"itemData":{"id":572,"type":"article-journal","title":"Self-rated health: a predictor of mortality among the elderly","container-title":"American Journal of Public Health","page":"800-808","volume":"72","issue":"8","abstract":"Data from the Manitoba Longitudinal Study on Aging (MLSA) were used to test the hypothesis that self-rated health (SRH) is a predictor of mortality independent of \"objective health status\" (OHS). Subjects were a random sample of non-institutionalized residents of Manitoba aged 65+ in 1971 (n = 3,128). A single item measure of SRH was obtained during a survey conducted in 1971; a baseline measure of OHS was derived from physician and self-reported conditions and health service utilization data. Occurrence and date of death during the years 1971-1977 were known. Analyses of the data revealed that, controlling for OHS, age, sex, life satisfaction, income and urban/rural residence, the risk of early mortality (1971-1973) and late mortality (1974-1977) for persons whose SRH was poor was 2.92 and 2.77 times that of those whose SRH was excellent. This increased risk of death associated with poor self-rated health was greater than that associated with poor OHS, poor life satisfaction, low income and being male. These findings provide empirical support for the long held, but inadequately substantiated, belief that the way a person views his health is importantly related to subsequent health outcomes.","journalAbbreviation":"Am J Public Health","author":[{"family":"Mossey","given":"J. M."},{"family":"Shapiro","given":"E."}],"issued":{"date-parts":[["1982"]]}}}],"schema":"https://github.com/citation-style-language/schema/raw/master/csl-citation.json"} </w:instrText>
      </w:r>
      <w:r w:rsidRPr="005950CC">
        <w:rPr>
          <w:lang w:val="en-GB"/>
        </w:rPr>
        <w:fldChar w:fldCharType="separate"/>
      </w:r>
      <w:r w:rsidR="00566CC8" w:rsidRPr="005950CC">
        <w:rPr>
          <w:lang w:val="en-GB"/>
        </w:rPr>
        <w:t>[72,73]</w:t>
      </w:r>
      <w:r w:rsidRPr="005950CC">
        <w:rPr>
          <w:lang w:val="en-GB"/>
        </w:rPr>
        <w:fldChar w:fldCharType="end"/>
      </w:r>
      <w:r w:rsidRPr="005950CC">
        <w:rPr>
          <w:lang w:val="en-GB"/>
        </w:rPr>
        <w:t xml:space="preserve">. The SRH variable was dichotomised to create an indicator of poor health, with 1 representing bad or very bad health, and 0 representing fair, good, and very good health, in line with previous categorisations of self-assessed poor health </w:t>
      </w:r>
      <w:r w:rsidRPr="005950CC">
        <w:rPr>
          <w:lang w:val="en-GB"/>
        </w:rPr>
        <w:fldChar w:fldCharType="begin"/>
      </w:r>
      <w:r w:rsidR="00566CC8" w:rsidRPr="005950CC">
        <w:rPr>
          <w:lang w:val="en-GB"/>
        </w:rPr>
        <w:instrText xml:space="preserve"> ADDIN ZOTERO_ITEM CSL_CITATION {"citationID":"1clmvfcf70","properties":{"formattedCitation":"[60,63,74]","plainCitation":"[60,63,74]"},"citationItems":[{"id":501,"uris":["http://zotero.org/users/3767271/items/RXKDJ4CR"],"uri":["http://zotero.org/users/3767271/items/RXKDJ4CR"],"itemData":{"id":501,"type":"report","title":"Third European Quality of Life Survey - Quality of life in Europe: Impacts of the crisis.","publisher":"Publications Office of the European Union","publisher-place":"Luxembourg","event-place":"Luxembourg","author":[{"literal":"Eurofound"}],"issued":{"date-parts":[["2012"]]}}},{"id":100,"uris":["http://zotero.org/users/3767271/items/BVFRFMMG"],"uri":["http://zotero.org/users/3767271/items/BVFRFMMG"],"itemData":{"id":100,"type":"report","title":"Description of Target Variables: Cross-sectional and Longitudinal. EU-SILC 065/08","publisher":"Publications Office of the European Union","publisher-place":"Luxembourg","event-place":"Luxembourg","author":[{"literal":"Eurostat"}],"issued":{"date-parts":[["2010"]]}}},{"id":115,"uris":["http://zotero.org/users/3767271/items/PK2KMWF6"],"uri":["http://zotero.org/users/3767271/items/PK2KMWF6"],"itemData":{"id":115,"type":"book","title":"Housing, Fuel Poverty and Health: A Pan-European Analysis","publisher":"Ashgate","publisher-place":"Aldershot","event-place":"Aldershot","author":[{"family":"Healy","given":"John D."}],"issued":{"date-parts":[["2004"]]}}}],"schema":"https://github.com/citation-style-language/schema/raw/master/csl-citation.json"} </w:instrText>
      </w:r>
      <w:r w:rsidRPr="005950CC">
        <w:rPr>
          <w:lang w:val="en-GB"/>
        </w:rPr>
        <w:fldChar w:fldCharType="separate"/>
      </w:r>
      <w:r w:rsidR="00566CC8" w:rsidRPr="005950CC">
        <w:rPr>
          <w:lang w:val="en-GB"/>
        </w:rPr>
        <w:t>[60,63,74]</w:t>
      </w:r>
      <w:r w:rsidRPr="005950CC">
        <w:rPr>
          <w:lang w:val="en-GB"/>
        </w:rPr>
        <w:fldChar w:fldCharType="end"/>
      </w:r>
      <w:r w:rsidRPr="005950CC">
        <w:rPr>
          <w:lang w:val="en-GB"/>
        </w:rPr>
        <w:t>.</w:t>
      </w:r>
    </w:p>
    <w:p w14:paraId="5F87D5F6" w14:textId="5F7E4FB5" w:rsidR="007E4B91" w:rsidRPr="005950CC" w:rsidRDefault="00432DEF" w:rsidP="007B1CC9">
      <w:pPr>
        <w:pStyle w:val="MDPI31text"/>
        <w:rPr>
          <w:lang w:val="en-GB"/>
        </w:rPr>
      </w:pPr>
      <w:r w:rsidRPr="005950CC">
        <w:rPr>
          <w:lang w:val="en-GB"/>
        </w:rPr>
        <w:t>The EQLS uses the</w:t>
      </w:r>
      <w:r w:rsidR="007E4B91" w:rsidRPr="005950CC">
        <w:rPr>
          <w:lang w:val="en-GB"/>
        </w:rPr>
        <w:t xml:space="preserve"> 5-item World Health Organization Well-being Index (WHO-5)</w:t>
      </w:r>
      <w:r w:rsidRPr="005950CC">
        <w:rPr>
          <w:lang w:val="en-GB"/>
        </w:rPr>
        <w:t xml:space="preserve"> to measure subjective</w:t>
      </w:r>
      <w:r w:rsidR="007A6C30" w:rsidRPr="005950CC">
        <w:rPr>
          <w:lang w:val="en-GB"/>
        </w:rPr>
        <w:t xml:space="preserve"> emotional </w:t>
      </w:r>
      <w:r w:rsidRPr="005950CC">
        <w:rPr>
          <w:lang w:val="en-GB"/>
        </w:rPr>
        <w:t>well</w:t>
      </w:r>
      <w:r w:rsidR="00795F84" w:rsidRPr="005950CC">
        <w:rPr>
          <w:lang w:val="en-GB"/>
        </w:rPr>
        <w:t>-</w:t>
      </w:r>
      <w:r w:rsidRPr="005950CC">
        <w:rPr>
          <w:lang w:val="en-GB"/>
        </w:rPr>
        <w:t>being</w:t>
      </w:r>
      <w:r w:rsidR="007E4B91" w:rsidRPr="005950CC">
        <w:rPr>
          <w:lang w:val="en-GB"/>
        </w:rPr>
        <w:t xml:space="preserve">. The WHO-5 index is one of the most widely used questionnaires for assessing subjective psychological well-being and has been translated into over 30 languages </w:t>
      </w:r>
      <w:r w:rsidR="007E4B91" w:rsidRPr="005950CC">
        <w:rPr>
          <w:lang w:val="en-GB"/>
        </w:rPr>
        <w:fldChar w:fldCharType="begin"/>
      </w:r>
      <w:r w:rsidR="00566CC8" w:rsidRPr="005950CC">
        <w:rPr>
          <w:lang w:val="en-GB"/>
        </w:rPr>
        <w:instrText xml:space="preserve"> ADDIN ZOTERO_ITEM CSL_CITATION {"citationID":"7pcb29b2g","properties":{"formattedCitation":"[75]","plainCitation":"[75]"},"citationItems":[{"id":605,"uris":["http://zotero.org/users/3767271/items/SJFJHHVH"],"uri":["http://zotero.org/users/3767271/items/SJFJHHVH"],"itemData":{"id":605,"type":"article-journal","title":"The WHO-5 Well-Being Index: a systematic review of the literature","container-title":"Psychotherapy and Psychosomatics","page":"167-176","volume":"84","issue":"3","abstract":"BACKGROUND: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WHO-5.\nMETHODS: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fields.\nRESULTS: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high.\nCONCLUSIONS: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fields.","DOI":"10.1159/000376585","journalAbbreviation":"Psychother Psychosom","author":[{"family":"Topp","given":"Christian Winther"},{"family":"Østergaard","given":"Søren Dinesen"},{"family":"Søndergaard","given":"Susan"},{"family":"Bech","given":"Per"}],"issued":{"date-parts":[["2015"]]}}}],"schema":"https://github.com/citation-style-language/schema/raw/master/csl-citation.json"} </w:instrText>
      </w:r>
      <w:r w:rsidR="007E4B91" w:rsidRPr="005950CC">
        <w:rPr>
          <w:lang w:val="en-GB"/>
        </w:rPr>
        <w:fldChar w:fldCharType="separate"/>
      </w:r>
      <w:r w:rsidR="00566CC8" w:rsidRPr="005950CC">
        <w:rPr>
          <w:lang w:val="en-GB"/>
        </w:rPr>
        <w:t>[75]</w:t>
      </w:r>
      <w:r w:rsidR="007E4B91" w:rsidRPr="005950CC">
        <w:rPr>
          <w:lang w:val="en-GB"/>
        </w:rPr>
        <w:fldChar w:fldCharType="end"/>
      </w:r>
      <w:r w:rsidR="007E4B91" w:rsidRPr="005950CC">
        <w:rPr>
          <w:lang w:val="en-GB"/>
        </w:rPr>
        <w:t>. The WHO-5 index is comprised of the following statements:</w:t>
      </w:r>
    </w:p>
    <w:p w14:paraId="12F61244" w14:textId="77777777" w:rsidR="007E4B91" w:rsidRPr="005950CC" w:rsidRDefault="007E4B91" w:rsidP="002E21AA">
      <w:pPr>
        <w:pStyle w:val="MDPI31text"/>
        <w:spacing w:before="120"/>
        <w:ind w:left="425" w:hanging="425"/>
        <w:rPr>
          <w:lang w:val="en-GB"/>
        </w:rPr>
      </w:pPr>
      <w:r w:rsidRPr="005950CC">
        <w:rPr>
          <w:lang w:val="en-GB"/>
        </w:rPr>
        <w:lastRenderedPageBreak/>
        <w:t>I have felt cheerful and in good spirits;</w:t>
      </w:r>
    </w:p>
    <w:p w14:paraId="0527663E" w14:textId="77777777" w:rsidR="007E4B91" w:rsidRPr="005950CC" w:rsidRDefault="007E4B91" w:rsidP="002E21AA">
      <w:pPr>
        <w:pStyle w:val="MDPI31text"/>
        <w:ind w:left="425" w:hanging="425"/>
        <w:rPr>
          <w:lang w:val="en-GB"/>
        </w:rPr>
      </w:pPr>
      <w:r w:rsidRPr="005950CC">
        <w:rPr>
          <w:lang w:val="en-GB"/>
        </w:rPr>
        <w:t>I have felt calm and relaxed</w:t>
      </w:r>
      <w:proofErr w:type="gramStart"/>
      <w:r w:rsidRPr="005950CC">
        <w:rPr>
          <w:lang w:val="en-GB"/>
        </w:rPr>
        <w:t>;</w:t>
      </w:r>
      <w:proofErr w:type="gramEnd"/>
    </w:p>
    <w:p w14:paraId="5389FA17" w14:textId="77777777" w:rsidR="007E4B91" w:rsidRPr="005950CC" w:rsidRDefault="007E4B91" w:rsidP="002E21AA">
      <w:pPr>
        <w:pStyle w:val="MDPI31text"/>
        <w:ind w:left="425" w:hanging="425"/>
        <w:rPr>
          <w:lang w:val="en-GB"/>
        </w:rPr>
      </w:pPr>
      <w:r w:rsidRPr="005950CC">
        <w:rPr>
          <w:lang w:val="en-GB"/>
        </w:rPr>
        <w:t>I have felt active and vigorous</w:t>
      </w:r>
      <w:proofErr w:type="gramStart"/>
      <w:r w:rsidRPr="005950CC">
        <w:rPr>
          <w:lang w:val="en-GB"/>
        </w:rPr>
        <w:t>;</w:t>
      </w:r>
      <w:proofErr w:type="gramEnd"/>
    </w:p>
    <w:p w14:paraId="6F4C2C94" w14:textId="77777777" w:rsidR="007E4B91" w:rsidRPr="005950CC" w:rsidRDefault="007E4B91" w:rsidP="002E21AA">
      <w:pPr>
        <w:pStyle w:val="MDPI31text"/>
        <w:ind w:left="425" w:hanging="425"/>
        <w:rPr>
          <w:lang w:val="en-GB"/>
        </w:rPr>
      </w:pPr>
      <w:r w:rsidRPr="005950CC">
        <w:rPr>
          <w:lang w:val="en-GB"/>
        </w:rPr>
        <w:t>I woke up feeling fresh and rested</w:t>
      </w:r>
      <w:proofErr w:type="gramStart"/>
      <w:r w:rsidRPr="005950CC">
        <w:rPr>
          <w:lang w:val="en-GB"/>
        </w:rPr>
        <w:t>;</w:t>
      </w:r>
      <w:proofErr w:type="gramEnd"/>
    </w:p>
    <w:p w14:paraId="58571D01" w14:textId="77777777" w:rsidR="007E4B91" w:rsidRPr="005950CC" w:rsidRDefault="007E4B91" w:rsidP="002E21AA">
      <w:pPr>
        <w:pStyle w:val="MDPI31text"/>
        <w:ind w:left="425" w:hanging="425"/>
        <w:rPr>
          <w:lang w:val="en-GB"/>
        </w:rPr>
      </w:pPr>
      <w:r w:rsidRPr="005950CC">
        <w:rPr>
          <w:lang w:val="en-GB"/>
        </w:rPr>
        <w:t>My daily life has been filled with things that interest me.</w:t>
      </w:r>
    </w:p>
    <w:p w14:paraId="2EB8C940" w14:textId="6215E77B" w:rsidR="007E4B91" w:rsidRPr="005950CC" w:rsidRDefault="007E4B91" w:rsidP="00863893">
      <w:pPr>
        <w:pStyle w:val="MDPI31text"/>
        <w:spacing w:before="120"/>
        <w:rPr>
          <w:lang w:val="en-GB"/>
        </w:rPr>
      </w:pPr>
      <w:r w:rsidRPr="005950CC">
        <w:rPr>
          <w:lang w:val="en-GB"/>
        </w:rPr>
        <w:t xml:space="preserve">Each component is rated on a 6-point Likert scale, ranging from </w:t>
      </w:r>
      <w:r w:rsidR="00EA6BDF" w:rsidRPr="005950CC">
        <w:rPr>
          <w:lang w:val="en-GB"/>
        </w:rPr>
        <w:t>‘</w:t>
      </w:r>
      <w:r w:rsidRPr="005950CC">
        <w:rPr>
          <w:lang w:val="en-GB"/>
        </w:rPr>
        <w:t>All of the time</w:t>
      </w:r>
      <w:r w:rsidR="00EA6BDF" w:rsidRPr="005950CC">
        <w:rPr>
          <w:lang w:val="en-GB"/>
        </w:rPr>
        <w:t>’</w:t>
      </w:r>
      <w:r w:rsidRPr="005950CC">
        <w:rPr>
          <w:lang w:val="en-GB"/>
        </w:rPr>
        <w:t xml:space="preserve">, which is allocated a score of 5, through to </w:t>
      </w:r>
      <w:r w:rsidR="00EA6BDF" w:rsidRPr="005950CC">
        <w:rPr>
          <w:lang w:val="en-GB"/>
        </w:rPr>
        <w:t>‘</w:t>
      </w:r>
      <w:r w:rsidRPr="005950CC">
        <w:rPr>
          <w:lang w:val="en-GB"/>
        </w:rPr>
        <w:t>At no time</w:t>
      </w:r>
      <w:r w:rsidR="00EA6BDF" w:rsidRPr="005950CC">
        <w:rPr>
          <w:lang w:val="en-GB"/>
        </w:rPr>
        <w:t>’</w:t>
      </w:r>
      <w:r w:rsidRPr="005950CC">
        <w:rPr>
          <w:lang w:val="en-GB"/>
        </w:rPr>
        <w:t xml:space="preserve">, which is assigned a score of 0. The raw scores, which range from 0 to 25, are multiplied by 4 to give a maximum value of 100 </w:t>
      </w:r>
      <w:r w:rsidRPr="005950CC">
        <w:rPr>
          <w:lang w:val="en-GB"/>
        </w:rPr>
        <w:fldChar w:fldCharType="begin"/>
      </w:r>
      <w:r w:rsidR="00566CC8" w:rsidRPr="005950CC">
        <w:rPr>
          <w:lang w:val="en-GB"/>
        </w:rPr>
        <w:instrText xml:space="preserve"> ADDIN ZOTERO_ITEM CSL_CITATION {"citationID":"akgs0eub7","properties":{"formattedCitation":"[75]","plainCitation":"[75]"},"citationItems":[{"id":605,"uris":["http://zotero.org/users/3767271/items/SJFJHHVH"],"uri":["http://zotero.org/users/3767271/items/SJFJHHVH"],"itemData":{"id":605,"type":"article-journal","title":"The WHO-5 Well-Being Index: a systematic review of the literature","container-title":"Psychotherapy and Psychosomatics","page":"167-176","volume":"84","issue":"3","abstract":"BACKGROUND: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WHO-5.\nMETHODS: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fields.\nRESULTS: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high.\nCONCLUSIONS: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fields.","DOI":"10.1159/000376585","journalAbbreviation":"Psychother Psychosom","author":[{"family":"Topp","given":"Christian Winther"},{"family":"Østergaard","given":"Søren Dinesen"},{"family":"Søndergaard","given":"Susan"},{"family":"Bech","given":"Per"}],"issued":{"date-parts":[["2015"]]}}}],"schema":"https://github.com/citation-style-language/schema/raw/master/csl-citation.json"} </w:instrText>
      </w:r>
      <w:r w:rsidRPr="005950CC">
        <w:rPr>
          <w:lang w:val="en-GB"/>
        </w:rPr>
        <w:fldChar w:fldCharType="separate"/>
      </w:r>
      <w:r w:rsidR="00566CC8" w:rsidRPr="005950CC">
        <w:rPr>
          <w:lang w:val="en-GB"/>
        </w:rPr>
        <w:t>[75]</w:t>
      </w:r>
      <w:r w:rsidRPr="005950CC">
        <w:rPr>
          <w:lang w:val="en-GB"/>
        </w:rPr>
        <w:fldChar w:fldCharType="end"/>
      </w:r>
      <w:r w:rsidRPr="005950CC">
        <w:rPr>
          <w:lang w:val="en-GB"/>
        </w:rPr>
        <w:t xml:space="preserve">. Higher scores indicate better well-being </w:t>
      </w:r>
      <w:r w:rsidRPr="005950CC">
        <w:rPr>
          <w:lang w:val="en-GB"/>
        </w:rPr>
        <w:fldChar w:fldCharType="begin"/>
      </w:r>
      <w:r w:rsidR="00566CC8" w:rsidRPr="005950CC">
        <w:rPr>
          <w:lang w:val="en-GB"/>
        </w:rPr>
        <w:instrText xml:space="preserve"> ADDIN ZOTERO_ITEM CSL_CITATION {"citationID":"2eimbdcgsj","properties":{"formattedCitation":"[67,76]","plainCitation":"[67,76]"},"citationItems":[{"id":476,"uris":["http://zotero.org/users/3767271/items/HW5FB6IH"],"uri":["http://zotero.org/users/3767271/items/HW5FB6IH"],"itemData":{"id":476,"type":"article-journal","title":"Long working hours and health in Europe: Gender and welfare state differences in a context of economic crisis","container-title":"Health &amp; Place","page":"161-168","volume":"40","abstract":"This article examines the relationship between moderately long working hours and health status in Europe. A cross-sectional study based on data from the 2010 European Working Conditions Survey (13,518 men and 9381 women) was performed. Working moderately long hours was consistently associated with poor health status and poor psychological wellbeing in countries with traditional family models, in both sexes in Liberal countries and primarily among women in Continental and Southern European countries. A combination of economic vulnerability, increasing labour market deregulation and work overload related to the combination of job and domestic work could explain these findings.","DOI":"10.1016/j.healthplace.2016.06.004","journalAbbreviation":"Health &amp; Place","author":[{"family":"Artazcoz","given":"Lucía"},{"family":"Cortès","given":"Imma"},{"family":"Benavides","given":"Fernando G."},{"family":"Escribà-Agüir","given":"Vicenta"},{"family":"Bartoll","given":"Xavier"},{"family":"Vargas","given":"Hernán"},{"family":"Borrell","given":"Carme"}],"issued":{"date-parts":[["2016",7]]}}},{"id":548,"uris":["http://zotero.org/users/3767271/items/K6GR2KGX"],"uri":["http://zotero.org/users/3767271/items/K6GR2KGX"],"itemData":{"id":548,"type":"article-journal","title":"Measuring depression with a well-being index: further evidence for the validity of the WHO Well-Being Index (WHO-5) as a measure of the severity of depression","container-title":"Journal of Affective Disorders","page":"240-244","volume":"156","abstract":"BACKGROUND: In recent years, the WHO Wellbeing Index (WHO-5) has been used as a screening measure for depression. Nevertheless, research on the validity of this measure in the context of clinical depression is sparse.\nQUESTIONS: The aim of the present study was to investigate the measurement invariance of the WHO-5 across depressed and non-depressed individuals, as well as the shape and specificity of its relationship to measures of depression severity.\nMETHOD: Of the 414 subjects who completed the WHO-5 and the Beck Depression Inventory-II (BDI-II), 207 had a diagnosis of a major depressive episode (MDE). A subsample also completed the Beck Anxiety Inventory (BAI) and was assessed by clinicians using the Hamilton Depression Rating Scale (HAM-D) and the Hamilton Anxiety Rating Scale (HAM-A).\nRESULTS: The WHO-5 demonstrated strong measurement invariance regarding the presence or absence of a current MDE. The WHO-5 showed a very high negative association with self- and observer-rated measures of depressive symptoms, especially in the range of mild to moderate symptoms. These associations were still substantial after controlling for measures of anxiety symptoms.\nLIMITATIONS: In addition to a diagnostic interview, only one measure for self- and observer-rated symptoms of depression was used. Furthermore, the observer-rated measure was only assessed in one subsample that exhibited a somewhat restricted range of depression severity.\nCONCLUSION: Although this index was originally designed as a measure of well-being, the results support the use of the WHO-5 in the context of depression research.","DOI":"10.1016/j.jad.2013.12.015","journalAbbreviation":"J Affect Disord","author":[{"family":"Krieger","given":"Tobias"},{"family":"Zimmermann","given":"Johannes"},{"family":"Huffziger","given":"Silke"},{"family":"Ubl","given":"Bettina"},{"family":"Diener","given":"Carsten"},{"family":"Kuehner","given":"Christine"},{"family":"Grosse Holtforth","given":"Martin"}],"issued":{"date-parts":[["2014"]]}}}],"schema":"https://github.com/citation-style-language/schema/raw/master/csl-citation.json"} </w:instrText>
      </w:r>
      <w:r w:rsidRPr="005950CC">
        <w:rPr>
          <w:lang w:val="en-GB"/>
        </w:rPr>
        <w:fldChar w:fldCharType="separate"/>
      </w:r>
      <w:r w:rsidR="00566CC8" w:rsidRPr="005950CC">
        <w:rPr>
          <w:lang w:val="en-GB"/>
        </w:rPr>
        <w:t>[67,76]</w:t>
      </w:r>
      <w:r w:rsidRPr="005950CC">
        <w:rPr>
          <w:lang w:val="en-GB"/>
        </w:rPr>
        <w:fldChar w:fldCharType="end"/>
      </w:r>
      <w:r w:rsidRPr="005950CC">
        <w:rPr>
          <w:lang w:val="en-GB"/>
        </w:rPr>
        <w:t xml:space="preserve">. As evidenced by the statements above, the WHO-5 index focuses on mental well-being rather than symptoms </w:t>
      </w:r>
      <w:r w:rsidRPr="005950CC">
        <w:rPr>
          <w:lang w:val="en-GB"/>
        </w:rPr>
        <w:fldChar w:fldCharType="begin"/>
      </w:r>
      <w:r w:rsidR="00566CC8" w:rsidRPr="005950CC">
        <w:rPr>
          <w:lang w:val="en-GB"/>
        </w:rPr>
        <w:instrText xml:space="preserve"> ADDIN ZOTERO_ITEM CSL_CITATION {"citationID":"ilc9tt194","properties":{"formattedCitation":"[77]","plainCitation":"[77]"},"citationItems":[{"id":561,"uris":["http://zotero.org/users/3767271/items/KANUGDTK"],"uri":["http://zotero.org/users/3767271/items/KANUGDTK"],"itemData":{"id":561,"type":"article-journal","title":"Measures of self-perceived well-being","container-title":"Journal of Psychosomatic Research","page":"69-79","volume":"69","issue":"1","abstract":"As people lead longer and generally healthier lives, aspirations and expectations of health care extend to include well-being and enhanced quality of life. Several measurement scales exist to evaluate how well health care reaches these goals. However, the definitions of well-being or quality of life remain open to considerable debate, which complicates the design, validation, and subsequent choice of an appropriate measurement.\nObjective\nThis article reviews nine measures of psychological well-being, tracing their origins in alternative conceptual approaches to defining well-being. It compares their psychometric properties and suggests how they may be used.\nMethods\nThe review covers the Life Satisfaction Index, the Bradburn Affect Balance Scale, single-item measures, the Philadelphia Morale scale, the General Well-Being Schedule, the Satisfaction With Life scale, the Positive and Negative Affect Scale, the World Health Organization 5-item well-being index, and the Ryff's scales of psychological well-being.\nResults\nScales range in size from a single item to 22; levels of reliability and validity range from good to excellent, although for some of the newer scales we lack information on some forms of validity.\nConclusion\nMeasures exist to assess several conceptions of psychological well-being. Most instruments perform adequately for survey research, but we know less about their adequacy for use in evaluating health care interventions. There remains active debate over how adequately the questions included portray the theoretical definition of well-being on which they are based.","DOI":"10.1016/j.jpsychores.2009.07.002","journalAbbreviation":"Journal of Psychosomatic Research","author":[{"family":"McDowell","given":"Ian"}],"issued":{"date-parts":[["2010"]]}}}],"schema":"https://github.com/citation-style-language/schema/raw/master/csl-citation.json"} </w:instrText>
      </w:r>
      <w:r w:rsidRPr="005950CC">
        <w:rPr>
          <w:lang w:val="en-GB"/>
        </w:rPr>
        <w:fldChar w:fldCharType="separate"/>
      </w:r>
      <w:r w:rsidR="00566CC8" w:rsidRPr="005950CC">
        <w:rPr>
          <w:lang w:val="en-GB"/>
        </w:rPr>
        <w:t>[77]</w:t>
      </w:r>
      <w:r w:rsidRPr="005950CC">
        <w:rPr>
          <w:lang w:val="en-GB"/>
        </w:rPr>
        <w:fldChar w:fldCharType="end"/>
      </w:r>
      <w:r w:rsidRPr="005950CC">
        <w:rPr>
          <w:lang w:val="en-GB"/>
        </w:rPr>
        <w:t xml:space="preserve">. Despite this focus, several studies have found that the WHO-5 index offers a good screening test for depression when assessed against clinical interviews </w:t>
      </w:r>
      <w:r w:rsidRPr="005950CC">
        <w:rPr>
          <w:lang w:val="en-GB"/>
        </w:rPr>
        <w:fldChar w:fldCharType="begin"/>
      </w:r>
      <w:r w:rsidR="00566CC8" w:rsidRPr="005950CC">
        <w:rPr>
          <w:lang w:val="en-GB"/>
        </w:rPr>
        <w:instrText xml:space="preserve"> ADDIN ZOTERO_ITEM CSL_CITATION {"citationID":"21dscr3ts6","properties":{"formattedCitation":"{\\rtf [76\\uc0\\u8211{}78]}","plainCitation":"[76–78]"},"citationItems":[{"id":490,"uris":["http://zotero.org/users/3767271/items/Q2IIQFBP"],"uri":["http://zotero.org/users/3767271/items/Q2IIQFBP"],"itemData":{"id":490,"type":"article-journal","title":"Validation of the WHO-5 Well-Being Index in adolescents with type 1 diabetes","container-title":"Diabetes Care","page":"2003-2006","volume":"30","issue":"8","DOI":"10.2337/dc07-0447","journalAbbreviation":"Diabetes Care","author":[{"family":"Wit","given":"Maartie","non-dropping-particle":"de"},{"family":"Pouwer","given":"Frans"},{"family":"Gemke","given":"R. J."},{"family":"Delemarre-van de Waal","given":"Henriette A."},{"family":"Snoek","given":"Frank J."}],"issued":{"date-parts":[["2007"]]}}},{"id":548,"uris":["http://zotero.org/users/3767271/items/K6GR2KGX"],"uri":["http://zotero.org/users/3767271/items/K6GR2KGX"],"itemData":{"id":548,"type":"article-journal","title":"Measuring depression with a well-being index: further evidence for the validity of the WHO Well-Being Index (WHO-5) as a measure of the severity of depression","container-title":"Journal of Affective Disorders","page":"240-244","volume":"156","abstract":"BACKGROUND: In recent years, the WHO Wellbeing Index (WHO-5) has been used as a screening measure for depression. Nevertheless, research on the validity of this measure in the context of clinical depression is sparse.\nQUESTIONS: The aim of the present study was to investigate the measurement invariance of the WHO-5 across depressed and non-depressed individuals, as well as the shape and specificity of its relationship to measures of depression severity.\nMETHOD: Of the 414 subjects who completed the WHO-5 and the Beck Depression Inventory-II (BDI-II), 207 had a diagnosis of a major depressive episode (MDE). A subsample also completed the Beck Anxiety Inventory (BAI) and was assessed by clinicians using the Hamilton Depression Rating Scale (HAM-D) and the Hamilton Anxiety Rating Scale (HAM-A).\nRESULTS: The WHO-5 demonstrated strong measurement invariance regarding the presence or absence of a current MDE. The WHO-5 showed a very high negative association with self- and observer-rated measures of depressive symptoms, especially in the range of mild to moderate symptoms. These associations were still substantial after controlling for measures of anxiety symptoms.\nLIMITATIONS: In addition to a diagnostic interview, only one measure for self- and observer-rated symptoms of depression was used. Furthermore, the observer-rated measure was only assessed in one subsample that exhibited a somewhat restricted range of depression severity.\nCONCLUSION: Although this index was originally designed as a measure of well-being, the results support the use of the WHO-5 in the context of depression research.","DOI":"10.1016/j.jad.2013.12.015","journalAbbreviation":"J Affect Disord","author":[{"family":"Krieger","given":"Tobias"},{"family":"Zimmermann","given":"Johannes"},{"family":"Huffziger","given":"Silke"},{"family":"Ubl","given":"Bettina"},{"family":"Diener","given":"Carsten"},{"family":"Kuehner","given":"Christine"},{"family":"Grosse Holtforth","given":"Martin"}],"issued":{"date-parts":[["2014"]]}}},{"id":561,"uris":["http://zotero.org/users/3767271/items/KANUGDTK"],"uri":["http://zotero.org/users/3767271/items/KANUGDTK"],"itemData":{"id":561,"type":"article-journal","title":"Measures of self-perceived well-being","container-title":"Journal of Psychosomatic Research","page":"69-79","volume":"69","issue":"1","abstract":"As people lead longer and generally healthier lives, aspirations and expectations of health care extend to include well-being and enhanced quality of life. Several measurement scales exist to evaluate how well health care reaches these goals. However, the definitions of well-being or quality of life remain open to considerable debate, which complicates the design, validation, and subsequent choice of an appropriate measurement.\nObjective\nThis article reviews nine measures of psychological well-being, tracing their origins in alternative conceptual approaches to defining well-being. It compares their psychometric properties and suggests how they may be used.\nMethods\nThe review covers the Life Satisfaction Index, the Bradburn Affect Balance Scale, single-item measures, the Philadelphia Morale scale, the General Well-Being Schedule, the Satisfaction With Life scale, the Positive and Negative Affect Scale, the World Health Organization 5-item well-being index, and the Ryff's scales of psychological well-being.\nResults\nScales range in size from a single item to 22; levels of reliability and validity range from good to excellent, although for some of the newer scales we lack information on some forms of validity.\nConclusion\nMeasures exist to assess several conceptions of psychological well-being. Most instruments perform adequately for survey research, but we know less about their adequacy for use in evaluating health care interventions. There remains active debate over how adequately the questions included portray the theoretical definition of well-being on which they are based.","DOI":"10.1016/j.jpsychores.2009.07.002","journalAbbreviation":"Journal of Psychosomatic Research","author":[{"family":"McDowell","given":"Ian"}],"issued":{"date-parts":[["2010"]]}}}],"schema":"https://github.com/citation-style-language/schema/raw/master/csl-citation.json"} </w:instrText>
      </w:r>
      <w:r w:rsidRPr="005950CC">
        <w:rPr>
          <w:lang w:val="en-GB"/>
        </w:rPr>
        <w:fldChar w:fldCharType="separate"/>
      </w:r>
      <w:r w:rsidR="00566CC8" w:rsidRPr="005950CC">
        <w:rPr>
          <w:szCs w:val="24"/>
          <w:lang w:val="en-GB"/>
        </w:rPr>
        <w:t>[76</w:t>
      </w:r>
      <w:r w:rsidR="00050D6D" w:rsidRPr="005950CC">
        <w:rPr>
          <w:szCs w:val="24"/>
          <w:lang w:val="en-GB"/>
        </w:rPr>
        <w:t>–</w:t>
      </w:r>
      <w:r w:rsidR="00566CC8" w:rsidRPr="005950CC">
        <w:rPr>
          <w:szCs w:val="24"/>
          <w:lang w:val="en-GB"/>
        </w:rPr>
        <w:t>78]</w:t>
      </w:r>
      <w:r w:rsidRPr="005950CC">
        <w:rPr>
          <w:lang w:val="en-GB"/>
        </w:rPr>
        <w:fldChar w:fldCharType="end"/>
      </w:r>
      <w:r w:rsidRPr="005950CC">
        <w:rPr>
          <w:lang w:val="en-GB"/>
        </w:rPr>
        <w:t>. From this index, two dichotomised variables were created, firstly a flag variable for identifying re</w:t>
      </w:r>
      <w:r w:rsidR="00050D6D" w:rsidRPr="005950CC">
        <w:rPr>
          <w:lang w:val="en-GB"/>
        </w:rPr>
        <w:t>spondents with an index score ≤</w:t>
      </w:r>
      <w:r w:rsidR="002B5544" w:rsidRPr="005950CC">
        <w:rPr>
          <w:lang w:val="en-GB"/>
        </w:rPr>
        <w:t xml:space="preserve"> </w:t>
      </w:r>
      <w:r w:rsidRPr="005950CC">
        <w:rPr>
          <w:lang w:val="en-GB"/>
        </w:rPr>
        <w:t xml:space="preserve">50, which suggests poor emotional well-being, although not necessarily depression, and secondly for identifying respondents with a score of ≤28, which is commonly used as an indicator of likely depression </w:t>
      </w:r>
      <w:r w:rsidRPr="005950CC">
        <w:rPr>
          <w:lang w:val="en-GB"/>
        </w:rPr>
        <w:fldChar w:fldCharType="begin"/>
      </w:r>
      <w:r w:rsidR="00566CC8" w:rsidRPr="005950CC">
        <w:rPr>
          <w:lang w:val="en-GB"/>
        </w:rPr>
        <w:instrText xml:space="preserve"> ADDIN ZOTERO_ITEM CSL_CITATION {"citationID":"1s3vfs45r9","properties":{"formattedCitation":"[75,78]","plainCitation":"[75,78]"},"citationItems":[{"id":490,"uris":["http://zotero.org/users/3767271/items/Q2IIQFBP"],"uri":["http://zotero.org/users/3767271/items/Q2IIQFBP"],"itemData":{"id":490,"type":"article-journal","title":"Validation of the WHO-5 Well-Being Index in adolescents with type 1 diabetes","container-title":"Diabetes Care","page":"2003-2006","volume":"30","issue":"8","DOI":"10.2337/dc07-0447","journalAbbreviation":"Diabetes Care","author":[{"family":"Wit","given":"Maartie","non-dropping-particle":"de"},{"family":"Pouwer","given":"Frans"},{"family":"Gemke","given":"R. J."},{"family":"Delemarre-van de Waal","given":"Henriette A."},{"family":"Snoek","given":"Frank J."}],"issued":{"date-parts":[["2007"]]}}},{"id":605,"uris":["http://zotero.org/users/3767271/items/SJFJHHVH"],"uri":["http://zotero.org/users/3767271/items/SJFJHHVH"],"itemData":{"id":605,"type":"article-journal","title":"The WHO-5 Well-Being Index: a systematic review of the literature","container-title":"Psychotherapy and Psychosomatics","page":"167-176","volume":"84","issue":"3","abstract":"BACKGROUND: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WHO-5.\nMETHODS: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fields.\nRESULTS: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high.\nCONCLUSIONS: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fields.","DOI":"10.1159/000376585","journalAbbreviation":"Psychother Psychosom","author":[{"family":"Topp","given":"Christian Winther"},{"family":"Østergaard","given":"Søren Dinesen"},{"family":"Søndergaard","given":"Susan"},{"family":"Bech","given":"Per"}],"issued":{"date-parts":[["2015"]]}}}],"schema":"https://github.com/citation-style-language/schema/raw/master/csl-citation.json"} </w:instrText>
      </w:r>
      <w:r w:rsidRPr="005950CC">
        <w:rPr>
          <w:lang w:val="en-GB"/>
        </w:rPr>
        <w:fldChar w:fldCharType="separate"/>
      </w:r>
      <w:r w:rsidR="00566CC8" w:rsidRPr="005950CC">
        <w:rPr>
          <w:lang w:val="en-GB"/>
        </w:rPr>
        <w:t>[75,78]</w:t>
      </w:r>
      <w:r w:rsidRPr="005950CC">
        <w:rPr>
          <w:lang w:val="en-GB"/>
        </w:rPr>
        <w:fldChar w:fldCharType="end"/>
      </w:r>
      <w:r w:rsidRPr="005950CC">
        <w:rPr>
          <w:lang w:val="en-GB"/>
        </w:rPr>
        <w:t>.</w:t>
      </w:r>
    </w:p>
    <w:p w14:paraId="58476FBC" w14:textId="77777777" w:rsidR="007E4B91" w:rsidRPr="005950CC" w:rsidRDefault="007E4B91" w:rsidP="00A24EF8">
      <w:pPr>
        <w:pStyle w:val="MDPI31text"/>
        <w:rPr>
          <w:lang w:val="en-GB"/>
        </w:rPr>
      </w:pPr>
      <w:r w:rsidRPr="005950CC">
        <w:rPr>
          <w:lang w:val="en-GB"/>
        </w:rPr>
        <w:t xml:space="preserve">The overall weighted prevalence rates for all of the measures operationalized in this research can be found in Table 1 below. Initial observations from this table suggest that the incidence of energy poverty, poor health and </w:t>
      </w:r>
      <w:proofErr w:type="gramStart"/>
      <w:r w:rsidRPr="005950CC">
        <w:rPr>
          <w:lang w:val="en-GB"/>
        </w:rPr>
        <w:t>well-being</w:t>
      </w:r>
      <w:proofErr w:type="gramEnd"/>
      <w:r w:rsidRPr="005950CC">
        <w:rPr>
          <w:lang w:val="en-GB"/>
        </w:rPr>
        <w:t xml:space="preserve"> are distributed unevenly across Europe. In all cases, a higher proportion of respondents report poor </w:t>
      </w:r>
      <w:proofErr w:type="gramStart"/>
      <w:r w:rsidRPr="005950CC">
        <w:rPr>
          <w:lang w:val="en-GB"/>
        </w:rPr>
        <w:t>well-being</w:t>
      </w:r>
      <w:proofErr w:type="gramEnd"/>
      <w:r w:rsidRPr="005950CC">
        <w:rPr>
          <w:lang w:val="en-GB"/>
        </w:rPr>
        <w:t xml:space="preserve"> than they do bad or very bad health. </w:t>
      </w:r>
    </w:p>
    <w:p w14:paraId="0F18FAEC" w14:textId="2B504409" w:rsidR="00021148" w:rsidRPr="005950CC" w:rsidRDefault="00021148" w:rsidP="00A24EF8">
      <w:pPr>
        <w:pStyle w:val="MDPI41tablecaption"/>
        <w:rPr>
          <w:lang w:val="en-GB"/>
        </w:rPr>
      </w:pPr>
      <w:r w:rsidRPr="005950CC">
        <w:rPr>
          <w:b/>
          <w:lang w:val="en-GB"/>
        </w:rPr>
        <w:t>Table 1</w:t>
      </w:r>
      <w:r w:rsidR="00A24EF8" w:rsidRPr="005950CC">
        <w:rPr>
          <w:b/>
          <w:lang w:val="en-GB"/>
        </w:rPr>
        <w:t>.</w:t>
      </w:r>
      <w:r w:rsidRPr="005950CC">
        <w:rPr>
          <w:lang w:val="en-GB"/>
        </w:rPr>
        <w:t xml:space="preserve"> Prevalence rates (weighted) for key measures of energy poverty, health, and </w:t>
      </w:r>
      <w:proofErr w:type="gramStart"/>
      <w:r w:rsidRPr="005950CC">
        <w:rPr>
          <w:lang w:val="en-GB"/>
        </w:rPr>
        <w:t>well-being</w:t>
      </w:r>
      <w:proofErr w:type="gramEnd"/>
      <w:r w:rsidR="005A6DDC" w:rsidRPr="005950CC">
        <w:rPr>
          <w:lang w:val="en-GB"/>
        </w:rPr>
        <w:t>, sorted by energy poverty rates</w:t>
      </w:r>
      <w:r w:rsidR="00A24EF8" w:rsidRPr="005950CC">
        <w:rPr>
          <w:lang w:val="en-GB"/>
        </w:rPr>
        <w:t>.</w:t>
      </w:r>
      <w:r w:rsidR="002B5544" w:rsidRPr="005950CC">
        <w:rPr>
          <w:lang w:val="en-GB"/>
        </w:rPr>
        <w:t xml:space="preserve"> SRH: self-reported health status</w:t>
      </w:r>
    </w:p>
    <w:tbl>
      <w:tblPr>
        <w:tblStyle w:val="TableGrid"/>
        <w:tblW w:w="4363"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134"/>
        <w:gridCol w:w="1417"/>
        <w:gridCol w:w="993"/>
        <w:gridCol w:w="1417"/>
        <w:gridCol w:w="1559"/>
      </w:tblGrid>
      <w:tr w:rsidR="00050D6D" w:rsidRPr="002E21AA" w14:paraId="445AED39" w14:textId="77777777" w:rsidTr="002E21AA">
        <w:trPr>
          <w:jc w:val="center"/>
        </w:trPr>
        <w:tc>
          <w:tcPr>
            <w:tcW w:w="876" w:type="pct"/>
            <w:tcBorders>
              <w:top w:val="single" w:sz="8" w:space="0" w:color="auto"/>
              <w:bottom w:val="single" w:sz="4" w:space="0" w:color="auto"/>
            </w:tcBorders>
            <w:vAlign w:val="center"/>
          </w:tcPr>
          <w:p w14:paraId="4C5EE4A2" w14:textId="77777777" w:rsidR="00777B58" w:rsidRPr="002E21AA" w:rsidRDefault="00777B58" w:rsidP="00234143">
            <w:pPr>
              <w:pStyle w:val="MDPI42tablebody"/>
              <w:rPr>
                <w:rFonts w:eastAsia="Arial"/>
                <w:b/>
                <w:sz w:val="16"/>
                <w:szCs w:val="16"/>
                <w:lang w:val="en-GB" w:eastAsia="en-GB"/>
              </w:rPr>
            </w:pPr>
            <w:r w:rsidRPr="002E21AA">
              <w:rPr>
                <w:b/>
                <w:sz w:val="16"/>
                <w:szCs w:val="16"/>
                <w:lang w:val="en-GB"/>
              </w:rPr>
              <w:t>Country</w:t>
            </w:r>
          </w:p>
        </w:tc>
        <w:tc>
          <w:tcPr>
            <w:tcW w:w="717" w:type="pct"/>
            <w:tcBorders>
              <w:top w:val="single" w:sz="8" w:space="0" w:color="auto"/>
              <w:bottom w:val="single" w:sz="4" w:space="0" w:color="auto"/>
            </w:tcBorders>
            <w:vAlign w:val="center"/>
          </w:tcPr>
          <w:p w14:paraId="32AEA160" w14:textId="410D70B7" w:rsidR="00777B58" w:rsidRPr="002E21AA" w:rsidRDefault="00777B58" w:rsidP="00050D6D">
            <w:pPr>
              <w:pStyle w:val="MDPI42tablebody"/>
              <w:jc w:val="center"/>
              <w:rPr>
                <w:b/>
                <w:sz w:val="16"/>
                <w:szCs w:val="16"/>
                <w:lang w:val="en-GB"/>
              </w:rPr>
            </w:pPr>
            <w:r w:rsidRPr="002E21AA">
              <w:rPr>
                <w:b/>
                <w:sz w:val="16"/>
                <w:szCs w:val="16"/>
                <w:lang w:val="en-GB"/>
              </w:rPr>
              <w:t xml:space="preserve">Unweighted </w:t>
            </w:r>
            <w:r w:rsidR="00A24EF8" w:rsidRPr="002E21AA">
              <w:rPr>
                <w:b/>
                <w:sz w:val="16"/>
                <w:szCs w:val="16"/>
                <w:lang w:val="en-GB"/>
              </w:rPr>
              <w:t>Sample Size</w:t>
            </w:r>
          </w:p>
        </w:tc>
        <w:tc>
          <w:tcPr>
            <w:tcW w:w="896" w:type="pct"/>
            <w:tcBorders>
              <w:top w:val="single" w:sz="8" w:space="0" w:color="auto"/>
              <w:bottom w:val="single" w:sz="4" w:space="0" w:color="auto"/>
            </w:tcBorders>
            <w:vAlign w:val="center"/>
          </w:tcPr>
          <w:p w14:paraId="6F75FDD4" w14:textId="70672503" w:rsidR="00777B58" w:rsidRPr="002E21AA" w:rsidRDefault="00777B58" w:rsidP="00050D6D">
            <w:pPr>
              <w:pStyle w:val="MDPI42tablebody"/>
              <w:jc w:val="center"/>
              <w:rPr>
                <w:rFonts w:eastAsia="Arial"/>
                <w:b/>
                <w:sz w:val="16"/>
                <w:szCs w:val="16"/>
                <w:lang w:val="en-GB" w:eastAsia="en-GB"/>
              </w:rPr>
            </w:pPr>
            <w:r w:rsidRPr="002E21AA">
              <w:rPr>
                <w:b/>
                <w:sz w:val="16"/>
                <w:szCs w:val="16"/>
                <w:lang w:val="en-GB"/>
              </w:rPr>
              <w:t xml:space="preserve">Energy </w:t>
            </w:r>
            <w:r w:rsidR="00A24EF8" w:rsidRPr="002E21AA">
              <w:rPr>
                <w:b/>
                <w:sz w:val="16"/>
                <w:szCs w:val="16"/>
                <w:lang w:val="en-GB"/>
              </w:rPr>
              <w:t xml:space="preserve">Poverty </w:t>
            </w:r>
            <w:r w:rsidRPr="002E21AA">
              <w:rPr>
                <w:b/>
                <w:sz w:val="16"/>
                <w:szCs w:val="16"/>
                <w:lang w:val="en-GB"/>
              </w:rPr>
              <w:t>(%)</w:t>
            </w:r>
          </w:p>
        </w:tc>
        <w:tc>
          <w:tcPr>
            <w:tcW w:w="628" w:type="pct"/>
            <w:tcBorders>
              <w:top w:val="single" w:sz="8" w:space="0" w:color="auto"/>
              <w:bottom w:val="single" w:sz="4" w:space="0" w:color="auto"/>
            </w:tcBorders>
            <w:vAlign w:val="center"/>
          </w:tcPr>
          <w:p w14:paraId="1C97AC33" w14:textId="77777777" w:rsidR="00777B58" w:rsidRPr="002E21AA" w:rsidRDefault="00777B58" w:rsidP="00050D6D">
            <w:pPr>
              <w:pStyle w:val="MDPI42tablebody"/>
              <w:jc w:val="center"/>
              <w:rPr>
                <w:rFonts w:eastAsia="Arial"/>
                <w:b/>
                <w:sz w:val="16"/>
                <w:szCs w:val="16"/>
                <w:lang w:val="en-GB" w:eastAsia="en-GB"/>
              </w:rPr>
            </w:pPr>
            <w:r w:rsidRPr="002E21AA">
              <w:rPr>
                <w:b/>
                <w:sz w:val="16"/>
                <w:szCs w:val="16"/>
                <w:lang w:val="en-GB"/>
              </w:rPr>
              <w:t>Poor SRH (%)</w:t>
            </w:r>
          </w:p>
        </w:tc>
        <w:tc>
          <w:tcPr>
            <w:tcW w:w="896" w:type="pct"/>
            <w:tcBorders>
              <w:top w:val="single" w:sz="8" w:space="0" w:color="auto"/>
              <w:bottom w:val="single" w:sz="4" w:space="0" w:color="auto"/>
            </w:tcBorders>
            <w:vAlign w:val="center"/>
          </w:tcPr>
          <w:p w14:paraId="01B5CF83" w14:textId="4C54ED69" w:rsidR="00777B58" w:rsidRPr="002E21AA" w:rsidRDefault="00777B58" w:rsidP="00050D6D">
            <w:pPr>
              <w:pStyle w:val="MDPI42tablebody"/>
              <w:jc w:val="center"/>
              <w:rPr>
                <w:rFonts w:eastAsia="Arial"/>
                <w:b/>
                <w:sz w:val="16"/>
                <w:szCs w:val="16"/>
                <w:lang w:val="en-GB" w:eastAsia="en-GB"/>
              </w:rPr>
            </w:pPr>
            <w:r w:rsidRPr="002E21AA">
              <w:rPr>
                <w:b/>
                <w:sz w:val="16"/>
                <w:szCs w:val="16"/>
                <w:lang w:val="en-GB"/>
              </w:rPr>
              <w:t xml:space="preserve">Poor </w:t>
            </w:r>
            <w:r w:rsidR="00A24EF8" w:rsidRPr="002E21AA">
              <w:rPr>
                <w:b/>
                <w:sz w:val="16"/>
                <w:szCs w:val="16"/>
                <w:lang w:val="en-GB"/>
              </w:rPr>
              <w:t>Well</w:t>
            </w:r>
            <w:r w:rsidRPr="002E21AA">
              <w:rPr>
                <w:b/>
                <w:sz w:val="16"/>
                <w:szCs w:val="16"/>
                <w:lang w:val="en-GB"/>
              </w:rPr>
              <w:t>-</w:t>
            </w:r>
            <w:r w:rsidR="00A24EF8" w:rsidRPr="002E21AA">
              <w:rPr>
                <w:b/>
                <w:sz w:val="16"/>
                <w:szCs w:val="16"/>
                <w:lang w:val="en-GB"/>
              </w:rPr>
              <w:t xml:space="preserve">Being </w:t>
            </w:r>
            <w:r w:rsidRPr="002E21AA">
              <w:rPr>
                <w:b/>
                <w:sz w:val="16"/>
                <w:szCs w:val="16"/>
                <w:lang w:val="en-GB"/>
              </w:rPr>
              <w:t>(%)</w:t>
            </w:r>
          </w:p>
        </w:tc>
        <w:tc>
          <w:tcPr>
            <w:tcW w:w="986" w:type="pct"/>
            <w:tcBorders>
              <w:top w:val="single" w:sz="8" w:space="0" w:color="auto"/>
              <w:bottom w:val="single" w:sz="4" w:space="0" w:color="auto"/>
            </w:tcBorders>
            <w:vAlign w:val="center"/>
          </w:tcPr>
          <w:p w14:paraId="36E683CC" w14:textId="26629658" w:rsidR="00777B58" w:rsidRPr="002E21AA" w:rsidRDefault="00777B58" w:rsidP="00050D6D">
            <w:pPr>
              <w:pStyle w:val="MDPI42tablebody"/>
              <w:jc w:val="center"/>
              <w:rPr>
                <w:rFonts w:eastAsia="Arial"/>
                <w:b/>
                <w:sz w:val="16"/>
                <w:szCs w:val="16"/>
                <w:lang w:val="en-GB" w:eastAsia="en-GB"/>
              </w:rPr>
            </w:pPr>
            <w:r w:rsidRPr="002E21AA">
              <w:rPr>
                <w:b/>
                <w:sz w:val="16"/>
                <w:szCs w:val="16"/>
                <w:lang w:val="en-GB"/>
              </w:rPr>
              <w:t xml:space="preserve">Likely </w:t>
            </w:r>
            <w:r w:rsidR="00A24EF8" w:rsidRPr="002E21AA">
              <w:rPr>
                <w:b/>
                <w:sz w:val="16"/>
                <w:szCs w:val="16"/>
                <w:lang w:val="en-GB"/>
              </w:rPr>
              <w:t xml:space="preserve">Depression </w:t>
            </w:r>
            <w:r w:rsidRPr="002E21AA">
              <w:rPr>
                <w:b/>
                <w:sz w:val="16"/>
                <w:szCs w:val="16"/>
                <w:lang w:val="en-GB"/>
              </w:rPr>
              <w:t>(%)</w:t>
            </w:r>
          </w:p>
        </w:tc>
      </w:tr>
      <w:tr w:rsidR="00050D6D" w:rsidRPr="002E21AA" w14:paraId="6313F1DD" w14:textId="77777777" w:rsidTr="002E21AA">
        <w:trPr>
          <w:jc w:val="center"/>
        </w:trPr>
        <w:tc>
          <w:tcPr>
            <w:tcW w:w="876" w:type="pct"/>
            <w:tcBorders>
              <w:top w:val="single" w:sz="4" w:space="0" w:color="auto"/>
            </w:tcBorders>
            <w:vAlign w:val="center"/>
          </w:tcPr>
          <w:p w14:paraId="6F4B7274" w14:textId="6770653C" w:rsidR="005A6DDC" w:rsidRPr="002E21AA" w:rsidRDefault="005A6DDC" w:rsidP="00050D6D">
            <w:pPr>
              <w:pStyle w:val="MDPI42tablebody"/>
              <w:rPr>
                <w:rFonts w:eastAsia="Arial"/>
                <w:sz w:val="16"/>
                <w:szCs w:val="16"/>
                <w:lang w:val="en-GB" w:eastAsia="en-GB"/>
              </w:rPr>
            </w:pPr>
            <w:r w:rsidRPr="002E21AA">
              <w:rPr>
                <w:sz w:val="16"/>
                <w:szCs w:val="16"/>
                <w:lang w:val="en-GB"/>
              </w:rPr>
              <w:t>Sweden</w:t>
            </w:r>
          </w:p>
        </w:tc>
        <w:tc>
          <w:tcPr>
            <w:tcW w:w="717" w:type="pct"/>
            <w:tcBorders>
              <w:top w:val="single" w:sz="4" w:space="0" w:color="auto"/>
            </w:tcBorders>
            <w:vAlign w:val="center"/>
          </w:tcPr>
          <w:p w14:paraId="570B0659" w14:textId="35E6D596" w:rsidR="005A6DDC" w:rsidRPr="002E21AA" w:rsidRDefault="005A6DDC" w:rsidP="00050D6D">
            <w:pPr>
              <w:pStyle w:val="MDPI42tablebody"/>
              <w:jc w:val="center"/>
              <w:rPr>
                <w:sz w:val="16"/>
                <w:szCs w:val="16"/>
                <w:lang w:val="en-GB"/>
              </w:rPr>
            </w:pPr>
            <w:r w:rsidRPr="002E21AA">
              <w:rPr>
                <w:sz w:val="16"/>
                <w:szCs w:val="16"/>
                <w:lang w:val="en-GB"/>
              </w:rPr>
              <w:t>1007</w:t>
            </w:r>
          </w:p>
        </w:tc>
        <w:tc>
          <w:tcPr>
            <w:tcW w:w="896" w:type="pct"/>
            <w:tcBorders>
              <w:top w:val="single" w:sz="4" w:space="0" w:color="auto"/>
            </w:tcBorders>
            <w:vAlign w:val="center"/>
          </w:tcPr>
          <w:p w14:paraId="3C72C8AC" w14:textId="425AA70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w:t>
            </w:r>
          </w:p>
        </w:tc>
        <w:tc>
          <w:tcPr>
            <w:tcW w:w="628" w:type="pct"/>
            <w:tcBorders>
              <w:top w:val="single" w:sz="4" w:space="0" w:color="auto"/>
            </w:tcBorders>
            <w:vAlign w:val="center"/>
          </w:tcPr>
          <w:p w14:paraId="1A894421" w14:textId="2AC581D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7.7</w:t>
            </w:r>
          </w:p>
        </w:tc>
        <w:tc>
          <w:tcPr>
            <w:tcW w:w="896" w:type="pct"/>
            <w:tcBorders>
              <w:top w:val="single" w:sz="4" w:space="0" w:color="auto"/>
            </w:tcBorders>
            <w:vAlign w:val="center"/>
          </w:tcPr>
          <w:p w14:paraId="1F077112" w14:textId="761302F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21.3</w:t>
            </w:r>
          </w:p>
        </w:tc>
        <w:tc>
          <w:tcPr>
            <w:tcW w:w="986" w:type="pct"/>
            <w:tcBorders>
              <w:top w:val="single" w:sz="4" w:space="0" w:color="auto"/>
            </w:tcBorders>
            <w:vAlign w:val="center"/>
          </w:tcPr>
          <w:p w14:paraId="7B897329" w14:textId="5265090E"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5.0</w:t>
            </w:r>
          </w:p>
        </w:tc>
      </w:tr>
      <w:tr w:rsidR="00050D6D" w:rsidRPr="002E21AA" w14:paraId="22D432A8" w14:textId="77777777" w:rsidTr="002E21AA">
        <w:trPr>
          <w:jc w:val="center"/>
        </w:trPr>
        <w:tc>
          <w:tcPr>
            <w:tcW w:w="876" w:type="pct"/>
            <w:vAlign w:val="center"/>
          </w:tcPr>
          <w:p w14:paraId="0F32A2CD" w14:textId="091943C4" w:rsidR="005A6DDC" w:rsidRPr="002E21AA" w:rsidRDefault="005A6DDC" w:rsidP="00050D6D">
            <w:pPr>
              <w:pStyle w:val="MDPI42tablebody"/>
              <w:rPr>
                <w:rFonts w:eastAsia="Arial"/>
                <w:sz w:val="16"/>
                <w:szCs w:val="16"/>
                <w:lang w:val="en-GB" w:eastAsia="en-GB"/>
              </w:rPr>
            </w:pPr>
            <w:r w:rsidRPr="002E21AA">
              <w:rPr>
                <w:sz w:val="16"/>
                <w:szCs w:val="16"/>
                <w:lang w:val="en-GB"/>
              </w:rPr>
              <w:t>Finland</w:t>
            </w:r>
          </w:p>
        </w:tc>
        <w:tc>
          <w:tcPr>
            <w:tcW w:w="717" w:type="pct"/>
            <w:vAlign w:val="center"/>
          </w:tcPr>
          <w:p w14:paraId="4DD7B81E" w14:textId="739CA5D1" w:rsidR="005A6DDC" w:rsidRPr="002E21AA" w:rsidRDefault="005A6DDC" w:rsidP="00050D6D">
            <w:pPr>
              <w:pStyle w:val="MDPI42tablebody"/>
              <w:jc w:val="center"/>
              <w:rPr>
                <w:sz w:val="16"/>
                <w:szCs w:val="16"/>
                <w:lang w:val="en-GB"/>
              </w:rPr>
            </w:pPr>
            <w:r w:rsidRPr="002E21AA">
              <w:rPr>
                <w:sz w:val="16"/>
                <w:szCs w:val="16"/>
                <w:lang w:val="en-GB"/>
              </w:rPr>
              <w:t>1020</w:t>
            </w:r>
          </w:p>
        </w:tc>
        <w:tc>
          <w:tcPr>
            <w:tcW w:w="896" w:type="pct"/>
            <w:vAlign w:val="center"/>
          </w:tcPr>
          <w:p w14:paraId="249C3B16" w14:textId="0333C9A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1.5</w:t>
            </w:r>
          </w:p>
        </w:tc>
        <w:tc>
          <w:tcPr>
            <w:tcW w:w="628" w:type="pct"/>
            <w:vAlign w:val="center"/>
          </w:tcPr>
          <w:p w14:paraId="18937FB4" w14:textId="74CCFB4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7.0</w:t>
            </w:r>
          </w:p>
        </w:tc>
        <w:tc>
          <w:tcPr>
            <w:tcW w:w="896" w:type="pct"/>
            <w:vAlign w:val="center"/>
          </w:tcPr>
          <w:p w14:paraId="6D96E585" w14:textId="76D03E7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15.6</w:t>
            </w:r>
          </w:p>
        </w:tc>
        <w:tc>
          <w:tcPr>
            <w:tcW w:w="986" w:type="pct"/>
            <w:vAlign w:val="center"/>
          </w:tcPr>
          <w:p w14:paraId="50F003F2" w14:textId="2DFA29A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3.2</w:t>
            </w:r>
          </w:p>
        </w:tc>
      </w:tr>
      <w:tr w:rsidR="00050D6D" w:rsidRPr="002E21AA" w14:paraId="3B6BDAA4" w14:textId="77777777" w:rsidTr="002E21AA">
        <w:trPr>
          <w:jc w:val="center"/>
        </w:trPr>
        <w:tc>
          <w:tcPr>
            <w:tcW w:w="876" w:type="pct"/>
            <w:vAlign w:val="center"/>
          </w:tcPr>
          <w:p w14:paraId="41A82568" w14:textId="711C1F2A" w:rsidR="005A6DDC" w:rsidRPr="002E21AA" w:rsidRDefault="005A6DDC" w:rsidP="00050D6D">
            <w:pPr>
              <w:pStyle w:val="MDPI42tablebody"/>
              <w:rPr>
                <w:rFonts w:eastAsia="Arial"/>
                <w:sz w:val="16"/>
                <w:szCs w:val="16"/>
                <w:lang w:val="en-GB" w:eastAsia="en-GB"/>
              </w:rPr>
            </w:pPr>
            <w:r w:rsidRPr="002E21AA">
              <w:rPr>
                <w:sz w:val="16"/>
                <w:szCs w:val="16"/>
                <w:lang w:val="en-GB"/>
              </w:rPr>
              <w:t>Austria</w:t>
            </w:r>
          </w:p>
        </w:tc>
        <w:tc>
          <w:tcPr>
            <w:tcW w:w="717" w:type="pct"/>
            <w:vAlign w:val="center"/>
          </w:tcPr>
          <w:p w14:paraId="2F41775D" w14:textId="163A0E53"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032</w:t>
            </w:r>
          </w:p>
        </w:tc>
        <w:tc>
          <w:tcPr>
            <w:tcW w:w="896" w:type="pct"/>
            <w:vAlign w:val="center"/>
          </w:tcPr>
          <w:p w14:paraId="6AAFE078" w14:textId="7E9C54D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2.0</w:t>
            </w:r>
          </w:p>
        </w:tc>
        <w:tc>
          <w:tcPr>
            <w:tcW w:w="628" w:type="pct"/>
            <w:vAlign w:val="center"/>
          </w:tcPr>
          <w:p w14:paraId="784345B0" w14:textId="4E6EE4B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3.9</w:t>
            </w:r>
          </w:p>
        </w:tc>
        <w:tc>
          <w:tcPr>
            <w:tcW w:w="896" w:type="pct"/>
            <w:vAlign w:val="center"/>
          </w:tcPr>
          <w:p w14:paraId="47D578EF" w14:textId="0F4A089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17.6</w:t>
            </w:r>
          </w:p>
        </w:tc>
        <w:tc>
          <w:tcPr>
            <w:tcW w:w="986" w:type="pct"/>
            <w:vAlign w:val="center"/>
          </w:tcPr>
          <w:p w14:paraId="638D3660" w14:textId="2638723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5.1</w:t>
            </w:r>
          </w:p>
        </w:tc>
      </w:tr>
      <w:tr w:rsidR="00050D6D" w:rsidRPr="002E21AA" w14:paraId="0354BDDB" w14:textId="77777777" w:rsidTr="002E21AA">
        <w:trPr>
          <w:jc w:val="center"/>
        </w:trPr>
        <w:tc>
          <w:tcPr>
            <w:tcW w:w="876" w:type="pct"/>
            <w:vAlign w:val="center"/>
          </w:tcPr>
          <w:p w14:paraId="33AF9048" w14:textId="5E821D90" w:rsidR="005A6DDC" w:rsidRPr="002E21AA" w:rsidRDefault="005A6DDC" w:rsidP="00050D6D">
            <w:pPr>
              <w:pStyle w:val="MDPI42tablebody"/>
              <w:rPr>
                <w:rFonts w:eastAsia="Arial"/>
                <w:sz w:val="16"/>
                <w:szCs w:val="16"/>
                <w:lang w:val="en-GB" w:eastAsia="en-GB"/>
              </w:rPr>
            </w:pPr>
            <w:r w:rsidRPr="002E21AA">
              <w:rPr>
                <w:sz w:val="16"/>
                <w:szCs w:val="16"/>
                <w:lang w:val="en-GB"/>
              </w:rPr>
              <w:t>Denmark</w:t>
            </w:r>
          </w:p>
        </w:tc>
        <w:tc>
          <w:tcPr>
            <w:tcW w:w="717" w:type="pct"/>
            <w:vAlign w:val="center"/>
          </w:tcPr>
          <w:p w14:paraId="258A04B7" w14:textId="6F91D099"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024</w:t>
            </w:r>
          </w:p>
        </w:tc>
        <w:tc>
          <w:tcPr>
            <w:tcW w:w="896" w:type="pct"/>
            <w:vAlign w:val="center"/>
          </w:tcPr>
          <w:p w14:paraId="713EF7AA" w14:textId="7DCD130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w:t>
            </w:r>
          </w:p>
        </w:tc>
        <w:tc>
          <w:tcPr>
            <w:tcW w:w="628" w:type="pct"/>
            <w:vAlign w:val="center"/>
          </w:tcPr>
          <w:p w14:paraId="17B028F9" w14:textId="3F60A56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12.7</w:t>
            </w:r>
          </w:p>
        </w:tc>
        <w:tc>
          <w:tcPr>
            <w:tcW w:w="896" w:type="pct"/>
            <w:vAlign w:val="center"/>
          </w:tcPr>
          <w:p w14:paraId="5C20A7CE" w14:textId="79B6259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13.3</w:t>
            </w:r>
          </w:p>
        </w:tc>
        <w:tc>
          <w:tcPr>
            <w:tcW w:w="986" w:type="pct"/>
            <w:vAlign w:val="center"/>
          </w:tcPr>
          <w:p w14:paraId="6BD27162" w14:textId="5BCC6B5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2.8</w:t>
            </w:r>
          </w:p>
        </w:tc>
      </w:tr>
      <w:tr w:rsidR="00050D6D" w:rsidRPr="002E21AA" w14:paraId="6C237F55" w14:textId="77777777" w:rsidTr="002E21AA">
        <w:trPr>
          <w:jc w:val="center"/>
        </w:trPr>
        <w:tc>
          <w:tcPr>
            <w:tcW w:w="876" w:type="pct"/>
            <w:vAlign w:val="center"/>
          </w:tcPr>
          <w:p w14:paraId="65043AC5" w14:textId="4C3EDB05" w:rsidR="005A6DDC" w:rsidRPr="002E21AA" w:rsidRDefault="005A6DDC" w:rsidP="00050D6D">
            <w:pPr>
              <w:pStyle w:val="MDPI42tablebody"/>
              <w:rPr>
                <w:rFonts w:eastAsia="Arial"/>
                <w:sz w:val="16"/>
                <w:szCs w:val="16"/>
                <w:lang w:val="en-GB" w:eastAsia="en-GB"/>
              </w:rPr>
            </w:pPr>
            <w:r w:rsidRPr="002E21AA">
              <w:rPr>
                <w:sz w:val="16"/>
                <w:szCs w:val="16"/>
                <w:lang w:val="en-GB"/>
              </w:rPr>
              <w:t>Luxembourg</w:t>
            </w:r>
          </w:p>
        </w:tc>
        <w:tc>
          <w:tcPr>
            <w:tcW w:w="717" w:type="pct"/>
            <w:vAlign w:val="center"/>
          </w:tcPr>
          <w:p w14:paraId="48176B05" w14:textId="3B7844F1"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005</w:t>
            </w:r>
          </w:p>
        </w:tc>
        <w:tc>
          <w:tcPr>
            <w:tcW w:w="896" w:type="pct"/>
            <w:vAlign w:val="center"/>
          </w:tcPr>
          <w:p w14:paraId="6E4F8AF5" w14:textId="1FEF0E8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w:t>
            </w:r>
          </w:p>
        </w:tc>
        <w:tc>
          <w:tcPr>
            <w:tcW w:w="628" w:type="pct"/>
            <w:vAlign w:val="center"/>
          </w:tcPr>
          <w:p w14:paraId="7C92BF5A" w14:textId="310CDA5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6.7</w:t>
            </w:r>
          </w:p>
        </w:tc>
        <w:tc>
          <w:tcPr>
            <w:tcW w:w="896" w:type="pct"/>
            <w:vAlign w:val="center"/>
          </w:tcPr>
          <w:p w14:paraId="24C3E4B2" w14:textId="5520DCC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22.6</w:t>
            </w:r>
          </w:p>
        </w:tc>
        <w:tc>
          <w:tcPr>
            <w:tcW w:w="986" w:type="pct"/>
            <w:vAlign w:val="center"/>
          </w:tcPr>
          <w:p w14:paraId="0A294407" w14:textId="68C369D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7.2</w:t>
            </w:r>
          </w:p>
        </w:tc>
      </w:tr>
      <w:tr w:rsidR="00050D6D" w:rsidRPr="002E21AA" w14:paraId="6C077B5E" w14:textId="77777777" w:rsidTr="002E21AA">
        <w:trPr>
          <w:jc w:val="center"/>
        </w:trPr>
        <w:tc>
          <w:tcPr>
            <w:tcW w:w="876" w:type="pct"/>
            <w:vAlign w:val="center"/>
          </w:tcPr>
          <w:p w14:paraId="28D8C1F6" w14:textId="2BC0D80B" w:rsidR="005A6DDC" w:rsidRPr="002E21AA" w:rsidRDefault="005A6DDC" w:rsidP="00050D6D">
            <w:pPr>
              <w:pStyle w:val="MDPI42tablebody"/>
              <w:rPr>
                <w:rFonts w:eastAsia="Arial"/>
                <w:sz w:val="16"/>
                <w:szCs w:val="16"/>
                <w:lang w:val="en-GB" w:eastAsia="en-GB"/>
              </w:rPr>
            </w:pPr>
            <w:r w:rsidRPr="002E21AA">
              <w:rPr>
                <w:sz w:val="16"/>
                <w:szCs w:val="16"/>
                <w:lang w:val="en-GB"/>
              </w:rPr>
              <w:t>Netherlands</w:t>
            </w:r>
          </w:p>
        </w:tc>
        <w:tc>
          <w:tcPr>
            <w:tcW w:w="717" w:type="pct"/>
            <w:vAlign w:val="center"/>
          </w:tcPr>
          <w:p w14:paraId="2DE0CEB0" w14:textId="0B0E5371" w:rsidR="005A6DDC" w:rsidRPr="002E21AA" w:rsidRDefault="005A6DDC" w:rsidP="00050D6D">
            <w:pPr>
              <w:pStyle w:val="MDPI42tablebody"/>
              <w:jc w:val="center"/>
              <w:rPr>
                <w:sz w:val="16"/>
                <w:szCs w:val="16"/>
                <w:lang w:val="en-GB"/>
              </w:rPr>
            </w:pPr>
            <w:r w:rsidRPr="002E21AA">
              <w:rPr>
                <w:sz w:val="16"/>
                <w:szCs w:val="16"/>
                <w:lang w:val="en-GB"/>
              </w:rPr>
              <w:t>1008</w:t>
            </w:r>
          </w:p>
        </w:tc>
        <w:tc>
          <w:tcPr>
            <w:tcW w:w="896" w:type="pct"/>
            <w:vAlign w:val="center"/>
          </w:tcPr>
          <w:p w14:paraId="1E95CB5E" w14:textId="743BABCE"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w:t>
            </w:r>
          </w:p>
        </w:tc>
        <w:tc>
          <w:tcPr>
            <w:tcW w:w="628" w:type="pct"/>
            <w:vAlign w:val="center"/>
          </w:tcPr>
          <w:p w14:paraId="73A7962F" w14:textId="303AF24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9.9</w:t>
            </w:r>
          </w:p>
        </w:tc>
        <w:tc>
          <w:tcPr>
            <w:tcW w:w="896" w:type="pct"/>
            <w:vAlign w:val="center"/>
          </w:tcPr>
          <w:p w14:paraId="7F397C63" w14:textId="606D4BC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20.0</w:t>
            </w:r>
          </w:p>
        </w:tc>
        <w:tc>
          <w:tcPr>
            <w:tcW w:w="986" w:type="pct"/>
            <w:vAlign w:val="center"/>
          </w:tcPr>
          <w:p w14:paraId="5B65D0C8" w14:textId="5C0033A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5.8</w:t>
            </w:r>
          </w:p>
        </w:tc>
      </w:tr>
      <w:tr w:rsidR="00050D6D" w:rsidRPr="002E21AA" w14:paraId="480508DE" w14:textId="77777777" w:rsidTr="002E21AA">
        <w:trPr>
          <w:jc w:val="center"/>
        </w:trPr>
        <w:tc>
          <w:tcPr>
            <w:tcW w:w="876" w:type="pct"/>
            <w:vAlign w:val="center"/>
          </w:tcPr>
          <w:p w14:paraId="7614C8DF" w14:textId="0EC9A5BF" w:rsidR="005A6DDC" w:rsidRPr="002E21AA" w:rsidRDefault="005A6DDC" w:rsidP="00050D6D">
            <w:pPr>
              <w:pStyle w:val="MDPI42tablebody"/>
              <w:rPr>
                <w:rFonts w:eastAsia="Arial"/>
                <w:sz w:val="16"/>
                <w:szCs w:val="16"/>
                <w:lang w:val="en-GB" w:eastAsia="en-GB"/>
              </w:rPr>
            </w:pPr>
            <w:r w:rsidRPr="002E21AA">
              <w:rPr>
                <w:sz w:val="16"/>
                <w:szCs w:val="16"/>
                <w:lang w:val="en-GB"/>
              </w:rPr>
              <w:t>Slovenia</w:t>
            </w:r>
          </w:p>
        </w:tc>
        <w:tc>
          <w:tcPr>
            <w:tcW w:w="717" w:type="pct"/>
            <w:vAlign w:val="center"/>
          </w:tcPr>
          <w:p w14:paraId="769B4373" w14:textId="08465F6D"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008</w:t>
            </w:r>
          </w:p>
        </w:tc>
        <w:tc>
          <w:tcPr>
            <w:tcW w:w="896" w:type="pct"/>
            <w:vAlign w:val="center"/>
          </w:tcPr>
          <w:p w14:paraId="166AF971" w14:textId="31DF22B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2.3</w:t>
            </w:r>
          </w:p>
        </w:tc>
        <w:tc>
          <w:tcPr>
            <w:tcW w:w="628" w:type="pct"/>
            <w:vAlign w:val="center"/>
          </w:tcPr>
          <w:p w14:paraId="20F02338" w14:textId="5842A4C9"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9.8</w:t>
            </w:r>
          </w:p>
        </w:tc>
        <w:tc>
          <w:tcPr>
            <w:tcW w:w="896" w:type="pct"/>
            <w:vAlign w:val="center"/>
          </w:tcPr>
          <w:p w14:paraId="3783D38A" w14:textId="0FB88D9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29.8</w:t>
            </w:r>
          </w:p>
        </w:tc>
        <w:tc>
          <w:tcPr>
            <w:tcW w:w="986" w:type="pct"/>
            <w:vAlign w:val="center"/>
          </w:tcPr>
          <w:p w14:paraId="575737D0" w14:textId="361D644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10.4</w:t>
            </w:r>
          </w:p>
        </w:tc>
      </w:tr>
      <w:tr w:rsidR="00050D6D" w:rsidRPr="002E21AA" w14:paraId="624F93C2" w14:textId="77777777" w:rsidTr="002E21AA">
        <w:trPr>
          <w:jc w:val="center"/>
        </w:trPr>
        <w:tc>
          <w:tcPr>
            <w:tcW w:w="876" w:type="pct"/>
            <w:vAlign w:val="center"/>
          </w:tcPr>
          <w:p w14:paraId="0432127B" w14:textId="383893B9" w:rsidR="005A6DDC" w:rsidRPr="002E21AA" w:rsidRDefault="00050D6D" w:rsidP="00050D6D">
            <w:pPr>
              <w:pStyle w:val="MDPI42tablebody"/>
              <w:rPr>
                <w:rFonts w:eastAsia="Arial"/>
                <w:sz w:val="16"/>
                <w:szCs w:val="16"/>
                <w:lang w:val="en-GB" w:eastAsia="en-GB"/>
              </w:rPr>
            </w:pPr>
            <w:r w:rsidRPr="002E21AA">
              <w:rPr>
                <w:sz w:val="16"/>
                <w:szCs w:val="16"/>
                <w:lang w:val="en-GB"/>
              </w:rPr>
              <w:t xml:space="preserve">Czech </w:t>
            </w:r>
            <w:r w:rsidR="005A6DDC" w:rsidRPr="002E21AA">
              <w:rPr>
                <w:sz w:val="16"/>
                <w:szCs w:val="16"/>
                <w:lang w:val="en-GB"/>
              </w:rPr>
              <w:t>Republic</w:t>
            </w:r>
          </w:p>
        </w:tc>
        <w:tc>
          <w:tcPr>
            <w:tcW w:w="717" w:type="pct"/>
            <w:vAlign w:val="center"/>
          </w:tcPr>
          <w:p w14:paraId="2EF83CD0" w14:textId="1A7D6DBF"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012</w:t>
            </w:r>
          </w:p>
        </w:tc>
        <w:tc>
          <w:tcPr>
            <w:tcW w:w="896" w:type="pct"/>
            <w:vAlign w:val="center"/>
          </w:tcPr>
          <w:p w14:paraId="0FFBA665" w14:textId="22743C0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5.4</w:t>
            </w:r>
          </w:p>
        </w:tc>
        <w:tc>
          <w:tcPr>
            <w:tcW w:w="628" w:type="pct"/>
            <w:vAlign w:val="center"/>
          </w:tcPr>
          <w:p w14:paraId="442B1C86" w14:textId="602E89B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11.7</w:t>
            </w:r>
          </w:p>
        </w:tc>
        <w:tc>
          <w:tcPr>
            <w:tcW w:w="896" w:type="pct"/>
            <w:vAlign w:val="center"/>
          </w:tcPr>
          <w:p w14:paraId="44F2247C" w14:textId="74670B4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25.2</w:t>
            </w:r>
          </w:p>
        </w:tc>
        <w:tc>
          <w:tcPr>
            <w:tcW w:w="986" w:type="pct"/>
            <w:vAlign w:val="center"/>
          </w:tcPr>
          <w:p w14:paraId="186E80CA" w14:textId="302860A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6.5</w:t>
            </w:r>
          </w:p>
        </w:tc>
      </w:tr>
      <w:tr w:rsidR="00050D6D" w:rsidRPr="002E21AA" w14:paraId="0C2E0D2F" w14:textId="77777777" w:rsidTr="002E21AA">
        <w:trPr>
          <w:jc w:val="center"/>
        </w:trPr>
        <w:tc>
          <w:tcPr>
            <w:tcW w:w="876" w:type="pct"/>
            <w:vAlign w:val="center"/>
          </w:tcPr>
          <w:p w14:paraId="21E4532B" w14:textId="1811F4EA" w:rsidR="005A6DDC" w:rsidRPr="002E21AA" w:rsidRDefault="005A6DDC" w:rsidP="00050D6D">
            <w:pPr>
              <w:pStyle w:val="MDPI42tablebody"/>
              <w:rPr>
                <w:rFonts w:eastAsia="Arial"/>
                <w:sz w:val="16"/>
                <w:szCs w:val="16"/>
                <w:lang w:val="en-GB" w:eastAsia="en-GB"/>
              </w:rPr>
            </w:pPr>
            <w:r w:rsidRPr="002E21AA">
              <w:rPr>
                <w:sz w:val="16"/>
                <w:szCs w:val="16"/>
                <w:lang w:val="en-GB"/>
              </w:rPr>
              <w:t>Germany</w:t>
            </w:r>
          </w:p>
        </w:tc>
        <w:tc>
          <w:tcPr>
            <w:tcW w:w="717" w:type="pct"/>
            <w:vAlign w:val="center"/>
          </w:tcPr>
          <w:p w14:paraId="688D364F" w14:textId="5666F6E7" w:rsidR="005A6DDC" w:rsidRPr="002E21AA" w:rsidRDefault="002E42B2" w:rsidP="00050D6D">
            <w:pPr>
              <w:pStyle w:val="MDPI42tablebody"/>
              <w:jc w:val="center"/>
              <w:rPr>
                <w:sz w:val="16"/>
                <w:szCs w:val="16"/>
                <w:lang w:val="en-GB"/>
              </w:rPr>
            </w:pPr>
            <w:r w:rsidRPr="002E21AA">
              <w:rPr>
                <w:sz w:val="16"/>
                <w:szCs w:val="16"/>
                <w:lang w:val="en-GB"/>
              </w:rPr>
              <w:t>3</w:t>
            </w:r>
            <w:r w:rsidR="005A6DDC" w:rsidRPr="002E21AA">
              <w:rPr>
                <w:sz w:val="16"/>
                <w:szCs w:val="16"/>
                <w:lang w:val="en-GB"/>
              </w:rPr>
              <w:t>055</w:t>
            </w:r>
          </w:p>
        </w:tc>
        <w:tc>
          <w:tcPr>
            <w:tcW w:w="896" w:type="pct"/>
            <w:vAlign w:val="center"/>
          </w:tcPr>
          <w:p w14:paraId="4F575C5B" w14:textId="483832E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6.2</w:t>
            </w:r>
          </w:p>
        </w:tc>
        <w:tc>
          <w:tcPr>
            <w:tcW w:w="628" w:type="pct"/>
            <w:vAlign w:val="center"/>
          </w:tcPr>
          <w:p w14:paraId="657EF0B0" w14:textId="2F0610B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8.9</w:t>
            </w:r>
          </w:p>
        </w:tc>
        <w:tc>
          <w:tcPr>
            <w:tcW w:w="896" w:type="pct"/>
            <w:vAlign w:val="center"/>
          </w:tcPr>
          <w:p w14:paraId="51E483C7" w14:textId="16BC819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18.7</w:t>
            </w:r>
          </w:p>
        </w:tc>
        <w:tc>
          <w:tcPr>
            <w:tcW w:w="986" w:type="pct"/>
            <w:vAlign w:val="center"/>
          </w:tcPr>
          <w:p w14:paraId="46A03C17" w14:textId="58C5604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5.8</w:t>
            </w:r>
          </w:p>
        </w:tc>
      </w:tr>
      <w:tr w:rsidR="00050D6D" w:rsidRPr="002E21AA" w14:paraId="0D0BAE6D" w14:textId="77777777" w:rsidTr="002E21AA">
        <w:trPr>
          <w:jc w:val="center"/>
        </w:trPr>
        <w:tc>
          <w:tcPr>
            <w:tcW w:w="876" w:type="pct"/>
            <w:vAlign w:val="center"/>
          </w:tcPr>
          <w:p w14:paraId="5DBC7AD8" w14:textId="270AF0B0" w:rsidR="005A6DDC" w:rsidRPr="002E21AA" w:rsidRDefault="005A6DDC" w:rsidP="00050D6D">
            <w:pPr>
              <w:pStyle w:val="MDPI42tablebody"/>
              <w:rPr>
                <w:rFonts w:eastAsia="Arial"/>
                <w:sz w:val="16"/>
                <w:szCs w:val="16"/>
                <w:lang w:val="en-GB" w:eastAsia="en-GB"/>
              </w:rPr>
            </w:pPr>
            <w:r w:rsidRPr="002E21AA">
              <w:rPr>
                <w:sz w:val="16"/>
                <w:szCs w:val="16"/>
                <w:lang w:val="en-GB"/>
              </w:rPr>
              <w:t>Belgium</w:t>
            </w:r>
          </w:p>
        </w:tc>
        <w:tc>
          <w:tcPr>
            <w:tcW w:w="717" w:type="pct"/>
            <w:vAlign w:val="center"/>
          </w:tcPr>
          <w:p w14:paraId="413E5B8D" w14:textId="6B92C4A1"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013</w:t>
            </w:r>
          </w:p>
        </w:tc>
        <w:tc>
          <w:tcPr>
            <w:tcW w:w="896" w:type="pct"/>
            <w:vAlign w:val="center"/>
          </w:tcPr>
          <w:p w14:paraId="22C1A835" w14:textId="13D23E0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7.1</w:t>
            </w:r>
          </w:p>
        </w:tc>
        <w:tc>
          <w:tcPr>
            <w:tcW w:w="628" w:type="pct"/>
            <w:vAlign w:val="center"/>
          </w:tcPr>
          <w:p w14:paraId="7A5EB6C4" w14:textId="03A318F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8.9</w:t>
            </w:r>
          </w:p>
        </w:tc>
        <w:tc>
          <w:tcPr>
            <w:tcW w:w="896" w:type="pct"/>
            <w:vAlign w:val="center"/>
          </w:tcPr>
          <w:p w14:paraId="1E968247" w14:textId="2300B37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21.7</w:t>
            </w:r>
          </w:p>
        </w:tc>
        <w:tc>
          <w:tcPr>
            <w:tcW w:w="986" w:type="pct"/>
            <w:vAlign w:val="center"/>
          </w:tcPr>
          <w:p w14:paraId="0F10A80D" w14:textId="6CF09A0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5.9</w:t>
            </w:r>
          </w:p>
        </w:tc>
      </w:tr>
      <w:tr w:rsidR="00050D6D" w:rsidRPr="002E21AA" w14:paraId="73842594" w14:textId="77777777" w:rsidTr="002E21AA">
        <w:trPr>
          <w:jc w:val="center"/>
        </w:trPr>
        <w:tc>
          <w:tcPr>
            <w:tcW w:w="876" w:type="pct"/>
            <w:vAlign w:val="center"/>
          </w:tcPr>
          <w:p w14:paraId="142F4BD0" w14:textId="65516C7C" w:rsidR="005A6DDC" w:rsidRPr="002E21AA" w:rsidRDefault="005A6DDC" w:rsidP="00050D6D">
            <w:pPr>
              <w:pStyle w:val="MDPI42tablebody"/>
              <w:rPr>
                <w:rFonts w:eastAsia="Arial"/>
                <w:sz w:val="16"/>
                <w:szCs w:val="16"/>
                <w:lang w:val="en-GB" w:eastAsia="en-GB"/>
              </w:rPr>
            </w:pPr>
            <w:r w:rsidRPr="002E21AA">
              <w:rPr>
                <w:sz w:val="16"/>
                <w:szCs w:val="16"/>
                <w:lang w:val="en-GB"/>
              </w:rPr>
              <w:t>Montenegro</w:t>
            </w:r>
          </w:p>
        </w:tc>
        <w:tc>
          <w:tcPr>
            <w:tcW w:w="717" w:type="pct"/>
            <w:vAlign w:val="center"/>
          </w:tcPr>
          <w:p w14:paraId="2AD92D75" w14:textId="04CA3947"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000</w:t>
            </w:r>
          </w:p>
        </w:tc>
        <w:tc>
          <w:tcPr>
            <w:tcW w:w="896" w:type="pct"/>
            <w:vAlign w:val="center"/>
          </w:tcPr>
          <w:p w14:paraId="757C3796" w14:textId="5EE5092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7.5</w:t>
            </w:r>
          </w:p>
        </w:tc>
        <w:tc>
          <w:tcPr>
            <w:tcW w:w="628" w:type="pct"/>
            <w:vAlign w:val="center"/>
          </w:tcPr>
          <w:p w14:paraId="396D6B35" w14:textId="139C4B9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9.9</w:t>
            </w:r>
          </w:p>
        </w:tc>
        <w:tc>
          <w:tcPr>
            <w:tcW w:w="896" w:type="pct"/>
            <w:vAlign w:val="center"/>
          </w:tcPr>
          <w:p w14:paraId="35B69184" w14:textId="6E0C014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21.7</w:t>
            </w:r>
          </w:p>
        </w:tc>
        <w:tc>
          <w:tcPr>
            <w:tcW w:w="986" w:type="pct"/>
            <w:vAlign w:val="center"/>
          </w:tcPr>
          <w:p w14:paraId="37F956CF" w14:textId="5D9A919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5.5</w:t>
            </w:r>
          </w:p>
        </w:tc>
      </w:tr>
      <w:tr w:rsidR="00050D6D" w:rsidRPr="002E21AA" w14:paraId="28C18FD5" w14:textId="77777777" w:rsidTr="002E21AA">
        <w:trPr>
          <w:jc w:val="center"/>
        </w:trPr>
        <w:tc>
          <w:tcPr>
            <w:tcW w:w="876" w:type="pct"/>
            <w:vAlign w:val="center"/>
          </w:tcPr>
          <w:p w14:paraId="2FA28B90" w14:textId="0DD0CECA" w:rsidR="005A6DDC" w:rsidRPr="002E21AA" w:rsidRDefault="005A6DDC" w:rsidP="00050D6D">
            <w:pPr>
              <w:pStyle w:val="MDPI42tablebody"/>
              <w:rPr>
                <w:rFonts w:eastAsia="Arial"/>
                <w:sz w:val="16"/>
                <w:szCs w:val="16"/>
                <w:lang w:val="en-GB" w:eastAsia="en-GB"/>
              </w:rPr>
            </w:pPr>
            <w:r w:rsidRPr="002E21AA">
              <w:rPr>
                <w:sz w:val="16"/>
                <w:szCs w:val="16"/>
                <w:lang w:val="en-GB"/>
              </w:rPr>
              <w:t>France</w:t>
            </w:r>
          </w:p>
        </w:tc>
        <w:tc>
          <w:tcPr>
            <w:tcW w:w="717" w:type="pct"/>
            <w:vAlign w:val="center"/>
          </w:tcPr>
          <w:p w14:paraId="056A10C6" w14:textId="01ECA6FF" w:rsidR="005A6DDC" w:rsidRPr="002E21AA" w:rsidRDefault="002E42B2" w:rsidP="00050D6D">
            <w:pPr>
              <w:pStyle w:val="MDPI42tablebody"/>
              <w:jc w:val="center"/>
              <w:rPr>
                <w:sz w:val="16"/>
                <w:szCs w:val="16"/>
                <w:lang w:val="en-GB"/>
              </w:rPr>
            </w:pPr>
            <w:r w:rsidRPr="002E21AA">
              <w:rPr>
                <w:sz w:val="16"/>
                <w:szCs w:val="16"/>
                <w:lang w:val="en-GB"/>
              </w:rPr>
              <w:t>2</w:t>
            </w:r>
            <w:r w:rsidR="005A6DDC" w:rsidRPr="002E21AA">
              <w:rPr>
                <w:sz w:val="16"/>
                <w:szCs w:val="16"/>
                <w:lang w:val="en-GB"/>
              </w:rPr>
              <w:t>270</w:t>
            </w:r>
          </w:p>
        </w:tc>
        <w:tc>
          <w:tcPr>
            <w:tcW w:w="896" w:type="pct"/>
            <w:vAlign w:val="center"/>
          </w:tcPr>
          <w:p w14:paraId="09D0E344" w14:textId="0CBE89D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8.2</w:t>
            </w:r>
          </w:p>
        </w:tc>
        <w:tc>
          <w:tcPr>
            <w:tcW w:w="628" w:type="pct"/>
            <w:vAlign w:val="center"/>
          </w:tcPr>
          <w:p w14:paraId="2DAB53EA" w14:textId="04B9B64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6.6</w:t>
            </w:r>
          </w:p>
        </w:tc>
        <w:tc>
          <w:tcPr>
            <w:tcW w:w="896" w:type="pct"/>
            <w:vAlign w:val="center"/>
          </w:tcPr>
          <w:p w14:paraId="20BEF1EE" w14:textId="639165E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26.7</w:t>
            </w:r>
          </w:p>
        </w:tc>
        <w:tc>
          <w:tcPr>
            <w:tcW w:w="986" w:type="pct"/>
            <w:vAlign w:val="center"/>
          </w:tcPr>
          <w:p w14:paraId="5853FA98" w14:textId="5BFE3E2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9.1</w:t>
            </w:r>
          </w:p>
        </w:tc>
      </w:tr>
      <w:tr w:rsidR="00050D6D" w:rsidRPr="002E21AA" w14:paraId="2E1EB02C" w14:textId="77777777" w:rsidTr="002E21AA">
        <w:trPr>
          <w:jc w:val="center"/>
        </w:trPr>
        <w:tc>
          <w:tcPr>
            <w:tcW w:w="876" w:type="pct"/>
            <w:vAlign w:val="center"/>
          </w:tcPr>
          <w:p w14:paraId="24B7A676" w14:textId="43A36111" w:rsidR="005A6DDC" w:rsidRPr="002E21AA" w:rsidRDefault="005A6DDC" w:rsidP="00050D6D">
            <w:pPr>
              <w:pStyle w:val="MDPI42tablebody"/>
              <w:rPr>
                <w:rFonts w:eastAsia="Arial"/>
                <w:sz w:val="16"/>
                <w:szCs w:val="16"/>
                <w:lang w:val="en-GB" w:eastAsia="en-GB"/>
              </w:rPr>
            </w:pPr>
            <w:r w:rsidRPr="002E21AA">
              <w:rPr>
                <w:sz w:val="16"/>
                <w:szCs w:val="16"/>
                <w:lang w:val="en-GB"/>
              </w:rPr>
              <w:t>Ireland</w:t>
            </w:r>
          </w:p>
        </w:tc>
        <w:tc>
          <w:tcPr>
            <w:tcW w:w="717" w:type="pct"/>
            <w:vAlign w:val="center"/>
          </w:tcPr>
          <w:p w14:paraId="423E541E" w14:textId="20466F97"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051</w:t>
            </w:r>
          </w:p>
        </w:tc>
        <w:tc>
          <w:tcPr>
            <w:tcW w:w="896" w:type="pct"/>
            <w:vAlign w:val="center"/>
          </w:tcPr>
          <w:p w14:paraId="3479CCAB" w14:textId="538DAC8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8.8</w:t>
            </w:r>
          </w:p>
        </w:tc>
        <w:tc>
          <w:tcPr>
            <w:tcW w:w="628" w:type="pct"/>
            <w:vAlign w:val="center"/>
          </w:tcPr>
          <w:p w14:paraId="3FAD80C1" w14:textId="7D2092D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4.4</w:t>
            </w:r>
          </w:p>
        </w:tc>
        <w:tc>
          <w:tcPr>
            <w:tcW w:w="896" w:type="pct"/>
            <w:vAlign w:val="center"/>
          </w:tcPr>
          <w:p w14:paraId="7E3154A3" w14:textId="65ADBC69"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22.2</w:t>
            </w:r>
          </w:p>
        </w:tc>
        <w:tc>
          <w:tcPr>
            <w:tcW w:w="986" w:type="pct"/>
            <w:vAlign w:val="center"/>
          </w:tcPr>
          <w:p w14:paraId="4588D9F7" w14:textId="5521E97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7.9</w:t>
            </w:r>
          </w:p>
        </w:tc>
      </w:tr>
      <w:tr w:rsidR="00050D6D" w:rsidRPr="002E21AA" w14:paraId="5C9D8BDB" w14:textId="77777777" w:rsidTr="002E21AA">
        <w:trPr>
          <w:jc w:val="center"/>
        </w:trPr>
        <w:tc>
          <w:tcPr>
            <w:tcW w:w="876" w:type="pct"/>
            <w:vAlign w:val="center"/>
          </w:tcPr>
          <w:p w14:paraId="6A5960D9" w14:textId="1106C54A" w:rsidR="005A6DDC" w:rsidRPr="002E21AA" w:rsidRDefault="005A6DDC" w:rsidP="00050D6D">
            <w:pPr>
              <w:pStyle w:val="MDPI42tablebody"/>
              <w:rPr>
                <w:rFonts w:eastAsia="Arial"/>
                <w:sz w:val="16"/>
                <w:szCs w:val="16"/>
                <w:lang w:val="en-GB" w:eastAsia="en-GB"/>
              </w:rPr>
            </w:pPr>
            <w:r w:rsidRPr="002E21AA">
              <w:rPr>
                <w:sz w:val="16"/>
                <w:szCs w:val="16"/>
                <w:lang w:val="en-GB"/>
              </w:rPr>
              <w:t>Croatia</w:t>
            </w:r>
          </w:p>
        </w:tc>
        <w:tc>
          <w:tcPr>
            <w:tcW w:w="717" w:type="pct"/>
            <w:vAlign w:val="center"/>
          </w:tcPr>
          <w:p w14:paraId="34E4C291" w14:textId="5E597188"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001</w:t>
            </w:r>
          </w:p>
        </w:tc>
        <w:tc>
          <w:tcPr>
            <w:tcW w:w="896" w:type="pct"/>
            <w:vAlign w:val="center"/>
          </w:tcPr>
          <w:p w14:paraId="01E54F02" w14:textId="54E6D9C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8.9</w:t>
            </w:r>
          </w:p>
        </w:tc>
        <w:tc>
          <w:tcPr>
            <w:tcW w:w="628" w:type="pct"/>
            <w:vAlign w:val="center"/>
          </w:tcPr>
          <w:p w14:paraId="5514C1F6" w14:textId="373E525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13.5</w:t>
            </w:r>
          </w:p>
        </w:tc>
        <w:tc>
          <w:tcPr>
            <w:tcW w:w="896" w:type="pct"/>
            <w:vAlign w:val="center"/>
          </w:tcPr>
          <w:p w14:paraId="1861EA17" w14:textId="6CE95DF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25.9</w:t>
            </w:r>
          </w:p>
        </w:tc>
        <w:tc>
          <w:tcPr>
            <w:tcW w:w="986" w:type="pct"/>
            <w:vAlign w:val="center"/>
          </w:tcPr>
          <w:p w14:paraId="7F5E3829" w14:textId="4FC5E94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8.0</w:t>
            </w:r>
          </w:p>
        </w:tc>
      </w:tr>
      <w:tr w:rsidR="00050D6D" w:rsidRPr="002E21AA" w14:paraId="513FAFCA" w14:textId="77777777" w:rsidTr="002E21AA">
        <w:trPr>
          <w:jc w:val="center"/>
        </w:trPr>
        <w:tc>
          <w:tcPr>
            <w:tcW w:w="876" w:type="pct"/>
            <w:vAlign w:val="center"/>
          </w:tcPr>
          <w:p w14:paraId="230B4047" w14:textId="76940776" w:rsidR="005A6DDC" w:rsidRPr="002E21AA" w:rsidRDefault="005A6DDC" w:rsidP="00050D6D">
            <w:pPr>
              <w:pStyle w:val="MDPI42tablebody"/>
              <w:rPr>
                <w:rFonts w:eastAsia="Arial"/>
                <w:sz w:val="16"/>
                <w:szCs w:val="16"/>
                <w:lang w:val="en-GB" w:eastAsia="en-GB"/>
              </w:rPr>
            </w:pPr>
            <w:r w:rsidRPr="002E21AA">
              <w:rPr>
                <w:sz w:val="16"/>
                <w:szCs w:val="16"/>
                <w:lang w:val="en-GB"/>
              </w:rPr>
              <w:t>Italy</w:t>
            </w:r>
          </w:p>
        </w:tc>
        <w:tc>
          <w:tcPr>
            <w:tcW w:w="717" w:type="pct"/>
            <w:vAlign w:val="center"/>
          </w:tcPr>
          <w:p w14:paraId="4247E693" w14:textId="527454D5" w:rsidR="005A6DDC" w:rsidRPr="002E21AA" w:rsidRDefault="002E42B2" w:rsidP="00050D6D">
            <w:pPr>
              <w:pStyle w:val="MDPI42tablebody"/>
              <w:jc w:val="center"/>
              <w:rPr>
                <w:sz w:val="16"/>
                <w:szCs w:val="16"/>
                <w:lang w:val="en-GB"/>
              </w:rPr>
            </w:pPr>
            <w:r w:rsidRPr="002E21AA">
              <w:rPr>
                <w:sz w:val="16"/>
                <w:szCs w:val="16"/>
                <w:lang w:val="en-GB"/>
              </w:rPr>
              <w:t>2</w:t>
            </w:r>
            <w:r w:rsidR="005A6DDC" w:rsidRPr="002E21AA">
              <w:rPr>
                <w:sz w:val="16"/>
                <w:szCs w:val="16"/>
                <w:lang w:val="en-GB"/>
              </w:rPr>
              <w:t>250</w:t>
            </w:r>
          </w:p>
        </w:tc>
        <w:tc>
          <w:tcPr>
            <w:tcW w:w="896" w:type="pct"/>
            <w:vAlign w:val="center"/>
          </w:tcPr>
          <w:p w14:paraId="01ADB6F8" w14:textId="1CCD962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8.9</w:t>
            </w:r>
          </w:p>
        </w:tc>
        <w:tc>
          <w:tcPr>
            <w:tcW w:w="628" w:type="pct"/>
            <w:vAlign w:val="center"/>
          </w:tcPr>
          <w:p w14:paraId="0050ED0A" w14:textId="1606440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5.6</w:t>
            </w:r>
          </w:p>
        </w:tc>
        <w:tc>
          <w:tcPr>
            <w:tcW w:w="896" w:type="pct"/>
            <w:vAlign w:val="center"/>
          </w:tcPr>
          <w:p w14:paraId="3BA23ACE" w14:textId="096C0BD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21.0</w:t>
            </w:r>
          </w:p>
        </w:tc>
        <w:tc>
          <w:tcPr>
            <w:tcW w:w="986" w:type="pct"/>
            <w:vAlign w:val="center"/>
          </w:tcPr>
          <w:p w14:paraId="59B6B4B7" w14:textId="1110294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5.2</w:t>
            </w:r>
          </w:p>
        </w:tc>
      </w:tr>
      <w:tr w:rsidR="00050D6D" w:rsidRPr="002E21AA" w14:paraId="42F21587" w14:textId="77777777" w:rsidTr="002E21AA">
        <w:trPr>
          <w:jc w:val="center"/>
        </w:trPr>
        <w:tc>
          <w:tcPr>
            <w:tcW w:w="876" w:type="pct"/>
            <w:vAlign w:val="center"/>
          </w:tcPr>
          <w:p w14:paraId="1347B406" w14:textId="340B61C7" w:rsidR="005A6DDC" w:rsidRPr="002E21AA" w:rsidRDefault="005A6DDC" w:rsidP="00050D6D">
            <w:pPr>
              <w:pStyle w:val="MDPI42tablebody"/>
              <w:rPr>
                <w:rFonts w:eastAsia="Arial"/>
                <w:sz w:val="16"/>
                <w:szCs w:val="16"/>
                <w:lang w:val="en-GB" w:eastAsia="en-GB"/>
              </w:rPr>
            </w:pPr>
            <w:r w:rsidRPr="002E21AA">
              <w:rPr>
                <w:sz w:val="16"/>
                <w:szCs w:val="16"/>
                <w:lang w:val="en-GB"/>
              </w:rPr>
              <w:t>Slovakia</w:t>
            </w:r>
          </w:p>
        </w:tc>
        <w:tc>
          <w:tcPr>
            <w:tcW w:w="717" w:type="pct"/>
            <w:vAlign w:val="center"/>
          </w:tcPr>
          <w:p w14:paraId="5A5B925F" w14:textId="6A9A7EE5"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000</w:t>
            </w:r>
          </w:p>
        </w:tc>
        <w:tc>
          <w:tcPr>
            <w:tcW w:w="896" w:type="pct"/>
            <w:vAlign w:val="center"/>
          </w:tcPr>
          <w:p w14:paraId="40D20346" w14:textId="725BA6E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10.6</w:t>
            </w:r>
          </w:p>
        </w:tc>
        <w:tc>
          <w:tcPr>
            <w:tcW w:w="628" w:type="pct"/>
            <w:vAlign w:val="center"/>
          </w:tcPr>
          <w:p w14:paraId="53D47E01" w14:textId="411DC1AE"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10.6</w:t>
            </w:r>
          </w:p>
        </w:tc>
        <w:tc>
          <w:tcPr>
            <w:tcW w:w="896" w:type="pct"/>
            <w:vAlign w:val="center"/>
          </w:tcPr>
          <w:p w14:paraId="19F2C395" w14:textId="2D9C160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30.5</w:t>
            </w:r>
          </w:p>
        </w:tc>
        <w:tc>
          <w:tcPr>
            <w:tcW w:w="986" w:type="pct"/>
            <w:vAlign w:val="center"/>
          </w:tcPr>
          <w:p w14:paraId="1145EF18" w14:textId="580651B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11.8</w:t>
            </w:r>
          </w:p>
        </w:tc>
      </w:tr>
      <w:tr w:rsidR="00050D6D" w:rsidRPr="002E21AA" w14:paraId="7655E033" w14:textId="77777777" w:rsidTr="002E21AA">
        <w:trPr>
          <w:jc w:val="center"/>
        </w:trPr>
        <w:tc>
          <w:tcPr>
            <w:tcW w:w="876" w:type="pct"/>
            <w:vAlign w:val="center"/>
          </w:tcPr>
          <w:p w14:paraId="5C30C384" w14:textId="05793897" w:rsidR="005A6DDC" w:rsidRPr="002E21AA" w:rsidRDefault="005A6DDC" w:rsidP="00050D6D">
            <w:pPr>
              <w:pStyle w:val="MDPI42tablebody"/>
              <w:rPr>
                <w:rFonts w:eastAsia="Arial"/>
                <w:sz w:val="16"/>
                <w:szCs w:val="16"/>
                <w:lang w:val="en-GB" w:eastAsia="en-GB"/>
              </w:rPr>
            </w:pPr>
            <w:r w:rsidRPr="002E21AA">
              <w:rPr>
                <w:sz w:val="16"/>
                <w:szCs w:val="16"/>
                <w:lang w:val="en-GB"/>
              </w:rPr>
              <w:t>UK</w:t>
            </w:r>
          </w:p>
        </w:tc>
        <w:tc>
          <w:tcPr>
            <w:tcW w:w="717" w:type="pct"/>
            <w:vAlign w:val="center"/>
          </w:tcPr>
          <w:p w14:paraId="7515A0A8" w14:textId="411C039C" w:rsidR="005A6DDC" w:rsidRPr="002E21AA" w:rsidRDefault="002E42B2" w:rsidP="00050D6D">
            <w:pPr>
              <w:pStyle w:val="MDPI42tablebody"/>
              <w:jc w:val="center"/>
              <w:rPr>
                <w:sz w:val="16"/>
                <w:szCs w:val="16"/>
                <w:lang w:val="en-GB"/>
              </w:rPr>
            </w:pPr>
            <w:r w:rsidRPr="002E21AA">
              <w:rPr>
                <w:sz w:val="16"/>
                <w:szCs w:val="16"/>
                <w:lang w:val="en-GB"/>
              </w:rPr>
              <w:t>2</w:t>
            </w:r>
            <w:r w:rsidR="005A6DDC" w:rsidRPr="002E21AA">
              <w:rPr>
                <w:sz w:val="16"/>
                <w:szCs w:val="16"/>
                <w:lang w:val="en-GB"/>
              </w:rPr>
              <w:t>252</w:t>
            </w:r>
          </w:p>
        </w:tc>
        <w:tc>
          <w:tcPr>
            <w:tcW w:w="896" w:type="pct"/>
            <w:vAlign w:val="center"/>
          </w:tcPr>
          <w:p w14:paraId="55C9993C" w14:textId="496A595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12.0</w:t>
            </w:r>
          </w:p>
        </w:tc>
        <w:tc>
          <w:tcPr>
            <w:tcW w:w="628" w:type="pct"/>
            <w:vAlign w:val="center"/>
          </w:tcPr>
          <w:p w14:paraId="32087D6C" w14:textId="0FF2A01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11.0</w:t>
            </w:r>
          </w:p>
        </w:tc>
        <w:tc>
          <w:tcPr>
            <w:tcW w:w="896" w:type="pct"/>
            <w:vAlign w:val="center"/>
          </w:tcPr>
          <w:p w14:paraId="0AC05DEC" w14:textId="69F3AC3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32.6</w:t>
            </w:r>
          </w:p>
        </w:tc>
        <w:tc>
          <w:tcPr>
            <w:tcW w:w="986" w:type="pct"/>
            <w:vAlign w:val="center"/>
          </w:tcPr>
          <w:p w14:paraId="10DFD75E" w14:textId="4423172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11.9</w:t>
            </w:r>
          </w:p>
        </w:tc>
      </w:tr>
      <w:tr w:rsidR="00050D6D" w:rsidRPr="002E21AA" w14:paraId="50809DC7" w14:textId="77777777" w:rsidTr="002E21AA">
        <w:trPr>
          <w:jc w:val="center"/>
        </w:trPr>
        <w:tc>
          <w:tcPr>
            <w:tcW w:w="876" w:type="pct"/>
            <w:vAlign w:val="center"/>
          </w:tcPr>
          <w:p w14:paraId="5787076D" w14:textId="113CAE41" w:rsidR="005A6DDC" w:rsidRPr="002E21AA" w:rsidRDefault="005A6DDC" w:rsidP="00050D6D">
            <w:pPr>
              <w:pStyle w:val="MDPI42tablebody"/>
              <w:rPr>
                <w:rFonts w:eastAsia="Arial"/>
                <w:sz w:val="16"/>
                <w:szCs w:val="16"/>
                <w:lang w:val="en-GB" w:eastAsia="en-GB"/>
              </w:rPr>
            </w:pPr>
            <w:r w:rsidRPr="002E21AA">
              <w:rPr>
                <w:sz w:val="16"/>
                <w:szCs w:val="16"/>
                <w:lang w:val="en-GB"/>
              </w:rPr>
              <w:t>Macedonia</w:t>
            </w:r>
          </w:p>
        </w:tc>
        <w:tc>
          <w:tcPr>
            <w:tcW w:w="717" w:type="pct"/>
            <w:vAlign w:val="center"/>
          </w:tcPr>
          <w:p w14:paraId="657262ED" w14:textId="645406A7"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006</w:t>
            </w:r>
          </w:p>
        </w:tc>
        <w:tc>
          <w:tcPr>
            <w:tcW w:w="896" w:type="pct"/>
            <w:vAlign w:val="center"/>
          </w:tcPr>
          <w:p w14:paraId="7234C706" w14:textId="71FD622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13.4</w:t>
            </w:r>
          </w:p>
        </w:tc>
        <w:tc>
          <w:tcPr>
            <w:tcW w:w="628" w:type="pct"/>
            <w:vAlign w:val="center"/>
          </w:tcPr>
          <w:p w14:paraId="6DC416A1" w14:textId="20AB40F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6.5</w:t>
            </w:r>
          </w:p>
        </w:tc>
        <w:tc>
          <w:tcPr>
            <w:tcW w:w="896" w:type="pct"/>
            <w:vAlign w:val="center"/>
          </w:tcPr>
          <w:p w14:paraId="16A51C98" w14:textId="64E92D6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19.9</w:t>
            </w:r>
          </w:p>
        </w:tc>
        <w:tc>
          <w:tcPr>
            <w:tcW w:w="986" w:type="pct"/>
            <w:vAlign w:val="center"/>
          </w:tcPr>
          <w:p w14:paraId="5746C1AB" w14:textId="607FE68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7.3</w:t>
            </w:r>
          </w:p>
        </w:tc>
      </w:tr>
      <w:tr w:rsidR="00050D6D" w:rsidRPr="002E21AA" w14:paraId="393DB411" w14:textId="77777777" w:rsidTr="002E21AA">
        <w:trPr>
          <w:jc w:val="center"/>
        </w:trPr>
        <w:tc>
          <w:tcPr>
            <w:tcW w:w="876" w:type="pct"/>
            <w:vAlign w:val="center"/>
          </w:tcPr>
          <w:p w14:paraId="7131C145" w14:textId="25BB39D6" w:rsidR="005A6DDC" w:rsidRPr="002E21AA" w:rsidRDefault="005A6DDC" w:rsidP="00050D6D">
            <w:pPr>
              <w:pStyle w:val="MDPI42tablebody"/>
              <w:rPr>
                <w:rFonts w:eastAsia="Arial"/>
                <w:sz w:val="16"/>
                <w:szCs w:val="16"/>
                <w:lang w:val="en-GB" w:eastAsia="en-GB"/>
              </w:rPr>
            </w:pPr>
            <w:r w:rsidRPr="002E21AA">
              <w:rPr>
                <w:sz w:val="16"/>
                <w:szCs w:val="16"/>
                <w:lang w:val="en-GB"/>
              </w:rPr>
              <w:t>Hungary</w:t>
            </w:r>
          </w:p>
        </w:tc>
        <w:tc>
          <w:tcPr>
            <w:tcW w:w="717" w:type="pct"/>
            <w:vAlign w:val="center"/>
          </w:tcPr>
          <w:p w14:paraId="61351E4C" w14:textId="63AB334E"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024</w:t>
            </w:r>
          </w:p>
        </w:tc>
        <w:tc>
          <w:tcPr>
            <w:tcW w:w="896" w:type="pct"/>
            <w:vAlign w:val="center"/>
          </w:tcPr>
          <w:p w14:paraId="1CD05613" w14:textId="00665F9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15.3</w:t>
            </w:r>
          </w:p>
        </w:tc>
        <w:tc>
          <w:tcPr>
            <w:tcW w:w="628" w:type="pct"/>
            <w:vAlign w:val="center"/>
          </w:tcPr>
          <w:p w14:paraId="7F82E0DA" w14:textId="726EBDB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16.0</w:t>
            </w:r>
          </w:p>
        </w:tc>
        <w:tc>
          <w:tcPr>
            <w:tcW w:w="896" w:type="pct"/>
            <w:vAlign w:val="center"/>
          </w:tcPr>
          <w:p w14:paraId="5AF9161C" w14:textId="1D71BBE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27.3</w:t>
            </w:r>
          </w:p>
        </w:tc>
        <w:tc>
          <w:tcPr>
            <w:tcW w:w="986" w:type="pct"/>
            <w:vAlign w:val="center"/>
          </w:tcPr>
          <w:p w14:paraId="20D22763" w14:textId="2F415BD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10.2</w:t>
            </w:r>
          </w:p>
        </w:tc>
      </w:tr>
      <w:tr w:rsidR="00050D6D" w:rsidRPr="002E21AA" w14:paraId="48C2B695" w14:textId="77777777" w:rsidTr="002E21AA">
        <w:trPr>
          <w:jc w:val="center"/>
        </w:trPr>
        <w:tc>
          <w:tcPr>
            <w:tcW w:w="876" w:type="pct"/>
            <w:vAlign w:val="center"/>
          </w:tcPr>
          <w:p w14:paraId="0F31C55F" w14:textId="796DFECE" w:rsidR="005A6DDC" w:rsidRPr="002E21AA" w:rsidRDefault="005A6DDC" w:rsidP="00050D6D">
            <w:pPr>
              <w:pStyle w:val="MDPI42tablebody"/>
              <w:rPr>
                <w:rFonts w:eastAsia="Arial"/>
                <w:sz w:val="16"/>
                <w:szCs w:val="16"/>
                <w:lang w:val="en-GB" w:eastAsia="en-GB"/>
              </w:rPr>
            </w:pPr>
            <w:r w:rsidRPr="002E21AA">
              <w:rPr>
                <w:sz w:val="16"/>
                <w:szCs w:val="16"/>
                <w:lang w:val="en-GB"/>
              </w:rPr>
              <w:t>Serbia</w:t>
            </w:r>
          </w:p>
        </w:tc>
        <w:tc>
          <w:tcPr>
            <w:tcW w:w="717" w:type="pct"/>
            <w:vAlign w:val="center"/>
          </w:tcPr>
          <w:p w14:paraId="79F6EBE0" w14:textId="4D2C5EC2"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002</w:t>
            </w:r>
          </w:p>
        </w:tc>
        <w:tc>
          <w:tcPr>
            <w:tcW w:w="896" w:type="pct"/>
            <w:vAlign w:val="center"/>
          </w:tcPr>
          <w:p w14:paraId="036D9526" w14:textId="08D2DB3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16.9</w:t>
            </w:r>
          </w:p>
        </w:tc>
        <w:tc>
          <w:tcPr>
            <w:tcW w:w="628" w:type="pct"/>
            <w:vAlign w:val="center"/>
          </w:tcPr>
          <w:p w14:paraId="1DFF78CC" w14:textId="1C30789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16.4</w:t>
            </w:r>
          </w:p>
        </w:tc>
        <w:tc>
          <w:tcPr>
            <w:tcW w:w="896" w:type="pct"/>
            <w:vAlign w:val="center"/>
          </w:tcPr>
          <w:p w14:paraId="6CC9E11B" w14:textId="0A8F07C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39.6</w:t>
            </w:r>
          </w:p>
        </w:tc>
        <w:tc>
          <w:tcPr>
            <w:tcW w:w="986" w:type="pct"/>
            <w:vAlign w:val="center"/>
          </w:tcPr>
          <w:p w14:paraId="17CDAF17" w14:textId="2C295B3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16.4</w:t>
            </w:r>
          </w:p>
        </w:tc>
      </w:tr>
      <w:tr w:rsidR="00050D6D" w:rsidRPr="002E21AA" w14:paraId="568AF09D" w14:textId="77777777" w:rsidTr="002E21AA">
        <w:trPr>
          <w:jc w:val="center"/>
        </w:trPr>
        <w:tc>
          <w:tcPr>
            <w:tcW w:w="876" w:type="pct"/>
            <w:vAlign w:val="center"/>
          </w:tcPr>
          <w:p w14:paraId="70E358EE" w14:textId="499D4098" w:rsidR="005A6DDC" w:rsidRPr="002E21AA" w:rsidRDefault="005A6DDC" w:rsidP="00050D6D">
            <w:pPr>
              <w:pStyle w:val="MDPI42tablebody"/>
              <w:rPr>
                <w:rFonts w:eastAsia="Arial"/>
                <w:sz w:val="16"/>
                <w:szCs w:val="16"/>
                <w:lang w:val="en-GB" w:eastAsia="en-GB"/>
              </w:rPr>
            </w:pPr>
            <w:r w:rsidRPr="002E21AA">
              <w:rPr>
                <w:sz w:val="16"/>
                <w:szCs w:val="16"/>
                <w:lang w:val="en-GB"/>
              </w:rPr>
              <w:t>Spain</w:t>
            </w:r>
          </w:p>
        </w:tc>
        <w:tc>
          <w:tcPr>
            <w:tcW w:w="717" w:type="pct"/>
            <w:vAlign w:val="center"/>
          </w:tcPr>
          <w:p w14:paraId="45844B72" w14:textId="2CBD08EE"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512</w:t>
            </w:r>
          </w:p>
        </w:tc>
        <w:tc>
          <w:tcPr>
            <w:tcW w:w="896" w:type="pct"/>
            <w:vAlign w:val="center"/>
          </w:tcPr>
          <w:p w14:paraId="5CD78464" w14:textId="672D5C2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17.3</w:t>
            </w:r>
          </w:p>
        </w:tc>
        <w:tc>
          <w:tcPr>
            <w:tcW w:w="628" w:type="pct"/>
            <w:vAlign w:val="center"/>
          </w:tcPr>
          <w:p w14:paraId="52FED9C0" w14:textId="5234D37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5.6</w:t>
            </w:r>
          </w:p>
        </w:tc>
        <w:tc>
          <w:tcPr>
            <w:tcW w:w="896" w:type="pct"/>
            <w:vAlign w:val="center"/>
          </w:tcPr>
          <w:p w14:paraId="15F48A65" w14:textId="4FA0E514"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20.9</w:t>
            </w:r>
          </w:p>
        </w:tc>
        <w:tc>
          <w:tcPr>
            <w:tcW w:w="986" w:type="pct"/>
            <w:vAlign w:val="center"/>
          </w:tcPr>
          <w:p w14:paraId="616E10E4" w14:textId="6A81053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7.0</w:t>
            </w:r>
          </w:p>
        </w:tc>
      </w:tr>
      <w:tr w:rsidR="00050D6D" w:rsidRPr="002E21AA" w14:paraId="70862072" w14:textId="77777777" w:rsidTr="002E21AA">
        <w:trPr>
          <w:jc w:val="center"/>
        </w:trPr>
        <w:tc>
          <w:tcPr>
            <w:tcW w:w="876" w:type="pct"/>
            <w:vAlign w:val="center"/>
          </w:tcPr>
          <w:p w14:paraId="2B3DA58E" w14:textId="72B2A7E2" w:rsidR="005A6DDC" w:rsidRPr="002E21AA" w:rsidRDefault="005A6DDC" w:rsidP="00050D6D">
            <w:pPr>
              <w:pStyle w:val="MDPI42tablebody"/>
              <w:rPr>
                <w:rFonts w:eastAsia="Arial"/>
                <w:sz w:val="16"/>
                <w:szCs w:val="16"/>
                <w:lang w:val="en-GB" w:eastAsia="en-GB"/>
              </w:rPr>
            </w:pPr>
            <w:r w:rsidRPr="002E21AA">
              <w:rPr>
                <w:sz w:val="16"/>
                <w:szCs w:val="16"/>
                <w:lang w:val="en-GB"/>
              </w:rPr>
              <w:t>Romania</w:t>
            </w:r>
          </w:p>
        </w:tc>
        <w:tc>
          <w:tcPr>
            <w:tcW w:w="717" w:type="pct"/>
            <w:vAlign w:val="center"/>
          </w:tcPr>
          <w:p w14:paraId="1DD34C96" w14:textId="51C40FC5"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542</w:t>
            </w:r>
          </w:p>
        </w:tc>
        <w:tc>
          <w:tcPr>
            <w:tcW w:w="896" w:type="pct"/>
            <w:vAlign w:val="center"/>
          </w:tcPr>
          <w:p w14:paraId="77050F5A" w14:textId="7C7828F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18.4</w:t>
            </w:r>
          </w:p>
        </w:tc>
        <w:tc>
          <w:tcPr>
            <w:tcW w:w="628" w:type="pct"/>
            <w:vAlign w:val="center"/>
          </w:tcPr>
          <w:p w14:paraId="182AD693" w14:textId="28C7BCC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17.2</w:t>
            </w:r>
          </w:p>
        </w:tc>
        <w:tc>
          <w:tcPr>
            <w:tcW w:w="896" w:type="pct"/>
            <w:vAlign w:val="center"/>
          </w:tcPr>
          <w:p w14:paraId="3E768804" w14:textId="11A1273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36.6</w:t>
            </w:r>
          </w:p>
        </w:tc>
        <w:tc>
          <w:tcPr>
            <w:tcW w:w="986" w:type="pct"/>
            <w:vAlign w:val="center"/>
          </w:tcPr>
          <w:p w14:paraId="644CC749" w14:textId="6E6AEA9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16.8</w:t>
            </w:r>
          </w:p>
        </w:tc>
      </w:tr>
      <w:tr w:rsidR="00050D6D" w:rsidRPr="002E21AA" w14:paraId="3852A3D4" w14:textId="77777777" w:rsidTr="002E21AA">
        <w:trPr>
          <w:jc w:val="center"/>
        </w:trPr>
        <w:tc>
          <w:tcPr>
            <w:tcW w:w="876" w:type="pct"/>
            <w:vAlign w:val="center"/>
          </w:tcPr>
          <w:p w14:paraId="6497A8F4" w14:textId="16B64267" w:rsidR="005A6DDC" w:rsidRPr="002E21AA" w:rsidRDefault="005A6DDC" w:rsidP="00050D6D">
            <w:pPr>
              <w:pStyle w:val="MDPI42tablebody"/>
              <w:rPr>
                <w:rFonts w:eastAsia="Arial"/>
                <w:sz w:val="16"/>
                <w:szCs w:val="16"/>
                <w:lang w:val="en-GB" w:eastAsia="en-GB"/>
              </w:rPr>
            </w:pPr>
            <w:r w:rsidRPr="002E21AA">
              <w:rPr>
                <w:sz w:val="16"/>
                <w:szCs w:val="16"/>
                <w:lang w:val="en-GB"/>
              </w:rPr>
              <w:t>Latvia</w:t>
            </w:r>
          </w:p>
        </w:tc>
        <w:tc>
          <w:tcPr>
            <w:tcW w:w="717" w:type="pct"/>
            <w:vAlign w:val="center"/>
          </w:tcPr>
          <w:p w14:paraId="5061A178" w14:textId="6A1E891A"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009</w:t>
            </w:r>
          </w:p>
        </w:tc>
        <w:tc>
          <w:tcPr>
            <w:tcW w:w="896" w:type="pct"/>
            <w:vAlign w:val="center"/>
          </w:tcPr>
          <w:p w14:paraId="29397614" w14:textId="45FEEF9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19.0</w:t>
            </w:r>
          </w:p>
        </w:tc>
        <w:tc>
          <w:tcPr>
            <w:tcW w:w="628" w:type="pct"/>
            <w:vAlign w:val="center"/>
          </w:tcPr>
          <w:p w14:paraId="1C73A426" w14:textId="6039673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16.1</w:t>
            </w:r>
          </w:p>
        </w:tc>
        <w:tc>
          <w:tcPr>
            <w:tcW w:w="896" w:type="pct"/>
            <w:vAlign w:val="center"/>
          </w:tcPr>
          <w:p w14:paraId="1B6D1934" w14:textId="1539852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34.8</w:t>
            </w:r>
          </w:p>
        </w:tc>
        <w:tc>
          <w:tcPr>
            <w:tcW w:w="986" w:type="pct"/>
            <w:vAlign w:val="center"/>
          </w:tcPr>
          <w:p w14:paraId="436C99BC" w14:textId="5AB59FF3"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13.1</w:t>
            </w:r>
          </w:p>
        </w:tc>
      </w:tr>
      <w:tr w:rsidR="00050D6D" w:rsidRPr="002E21AA" w14:paraId="0C899074" w14:textId="77777777" w:rsidTr="002E21AA">
        <w:trPr>
          <w:jc w:val="center"/>
        </w:trPr>
        <w:tc>
          <w:tcPr>
            <w:tcW w:w="876" w:type="pct"/>
            <w:vAlign w:val="center"/>
          </w:tcPr>
          <w:p w14:paraId="5563D062" w14:textId="04C6205F" w:rsidR="005A6DDC" w:rsidRPr="002E21AA" w:rsidRDefault="005A6DDC" w:rsidP="00050D6D">
            <w:pPr>
              <w:pStyle w:val="MDPI42tablebody"/>
              <w:rPr>
                <w:rFonts w:eastAsia="Arial"/>
                <w:sz w:val="16"/>
                <w:szCs w:val="16"/>
                <w:lang w:val="en-GB" w:eastAsia="en-GB"/>
              </w:rPr>
            </w:pPr>
            <w:r w:rsidRPr="002E21AA">
              <w:rPr>
                <w:sz w:val="16"/>
                <w:szCs w:val="16"/>
                <w:lang w:val="en-GB"/>
              </w:rPr>
              <w:t>Bulgaria</w:t>
            </w:r>
          </w:p>
        </w:tc>
        <w:tc>
          <w:tcPr>
            <w:tcW w:w="717" w:type="pct"/>
            <w:vAlign w:val="center"/>
          </w:tcPr>
          <w:p w14:paraId="5867BE83" w14:textId="035D56E6"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000</w:t>
            </w:r>
          </w:p>
        </w:tc>
        <w:tc>
          <w:tcPr>
            <w:tcW w:w="896" w:type="pct"/>
            <w:vAlign w:val="center"/>
          </w:tcPr>
          <w:p w14:paraId="713E2DAB" w14:textId="58A4AE9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22.9</w:t>
            </w:r>
          </w:p>
        </w:tc>
        <w:tc>
          <w:tcPr>
            <w:tcW w:w="628" w:type="pct"/>
            <w:vAlign w:val="center"/>
          </w:tcPr>
          <w:p w14:paraId="796AF2CD" w14:textId="40CA6385"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11.1</w:t>
            </w:r>
          </w:p>
        </w:tc>
        <w:tc>
          <w:tcPr>
            <w:tcW w:w="896" w:type="pct"/>
            <w:vAlign w:val="center"/>
          </w:tcPr>
          <w:p w14:paraId="16F1A214" w14:textId="2F58B38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24.5</w:t>
            </w:r>
          </w:p>
        </w:tc>
        <w:tc>
          <w:tcPr>
            <w:tcW w:w="986" w:type="pct"/>
            <w:vAlign w:val="center"/>
          </w:tcPr>
          <w:p w14:paraId="4EE399A1" w14:textId="78ECA73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11.0</w:t>
            </w:r>
          </w:p>
        </w:tc>
      </w:tr>
      <w:tr w:rsidR="00050D6D" w:rsidRPr="002E21AA" w14:paraId="469189C4" w14:textId="77777777" w:rsidTr="002E21AA">
        <w:trPr>
          <w:jc w:val="center"/>
        </w:trPr>
        <w:tc>
          <w:tcPr>
            <w:tcW w:w="876" w:type="pct"/>
            <w:vAlign w:val="center"/>
          </w:tcPr>
          <w:p w14:paraId="14777940" w14:textId="29D90E3B" w:rsidR="005A6DDC" w:rsidRPr="002E21AA" w:rsidRDefault="005A6DDC" w:rsidP="00050D6D">
            <w:pPr>
              <w:pStyle w:val="MDPI42tablebody"/>
              <w:rPr>
                <w:rFonts w:eastAsia="Arial"/>
                <w:sz w:val="16"/>
                <w:szCs w:val="16"/>
                <w:lang w:val="en-GB" w:eastAsia="en-GB"/>
              </w:rPr>
            </w:pPr>
            <w:r w:rsidRPr="002E21AA">
              <w:rPr>
                <w:sz w:val="16"/>
                <w:szCs w:val="16"/>
                <w:lang w:val="en-GB"/>
              </w:rPr>
              <w:t>Lithuania</w:t>
            </w:r>
          </w:p>
        </w:tc>
        <w:tc>
          <w:tcPr>
            <w:tcW w:w="717" w:type="pct"/>
            <w:vAlign w:val="center"/>
          </w:tcPr>
          <w:p w14:paraId="0D4D4EF6" w14:textId="324DAA19"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134</w:t>
            </w:r>
          </w:p>
        </w:tc>
        <w:tc>
          <w:tcPr>
            <w:tcW w:w="896" w:type="pct"/>
            <w:vAlign w:val="center"/>
          </w:tcPr>
          <w:p w14:paraId="46734E30" w14:textId="3254CFE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23.3</w:t>
            </w:r>
          </w:p>
        </w:tc>
        <w:tc>
          <w:tcPr>
            <w:tcW w:w="628" w:type="pct"/>
            <w:vAlign w:val="center"/>
          </w:tcPr>
          <w:p w14:paraId="508B5B48" w14:textId="7AB89E5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20.8</w:t>
            </w:r>
          </w:p>
        </w:tc>
        <w:tc>
          <w:tcPr>
            <w:tcW w:w="896" w:type="pct"/>
            <w:vAlign w:val="center"/>
          </w:tcPr>
          <w:p w14:paraId="0D39BCD0" w14:textId="179E7B9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33.3</w:t>
            </w:r>
          </w:p>
        </w:tc>
        <w:tc>
          <w:tcPr>
            <w:tcW w:w="986" w:type="pct"/>
            <w:vAlign w:val="center"/>
          </w:tcPr>
          <w:p w14:paraId="7B0D415D" w14:textId="35F92F5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10.0</w:t>
            </w:r>
          </w:p>
        </w:tc>
      </w:tr>
      <w:tr w:rsidR="00050D6D" w:rsidRPr="002E21AA" w14:paraId="018C1651" w14:textId="77777777" w:rsidTr="002E21AA">
        <w:trPr>
          <w:jc w:val="center"/>
        </w:trPr>
        <w:tc>
          <w:tcPr>
            <w:tcW w:w="876" w:type="pct"/>
            <w:vAlign w:val="center"/>
          </w:tcPr>
          <w:p w14:paraId="585EFD24" w14:textId="339A1FBB" w:rsidR="005A6DDC" w:rsidRPr="002E21AA" w:rsidRDefault="005A6DDC" w:rsidP="00050D6D">
            <w:pPr>
              <w:pStyle w:val="MDPI42tablebody"/>
              <w:rPr>
                <w:rFonts w:eastAsia="Arial"/>
                <w:sz w:val="16"/>
                <w:szCs w:val="16"/>
                <w:lang w:val="en-GB" w:eastAsia="en-GB"/>
              </w:rPr>
            </w:pPr>
            <w:r w:rsidRPr="002E21AA">
              <w:rPr>
                <w:sz w:val="16"/>
                <w:szCs w:val="16"/>
                <w:lang w:val="en-GB"/>
              </w:rPr>
              <w:t>Poland</w:t>
            </w:r>
          </w:p>
        </w:tc>
        <w:tc>
          <w:tcPr>
            <w:tcW w:w="717" w:type="pct"/>
            <w:vAlign w:val="center"/>
          </w:tcPr>
          <w:p w14:paraId="0DD6BE25" w14:textId="0EEB47F3" w:rsidR="005A6DDC" w:rsidRPr="002E21AA" w:rsidRDefault="002E42B2" w:rsidP="00050D6D">
            <w:pPr>
              <w:pStyle w:val="MDPI42tablebody"/>
              <w:jc w:val="center"/>
              <w:rPr>
                <w:sz w:val="16"/>
                <w:szCs w:val="16"/>
                <w:lang w:val="en-GB"/>
              </w:rPr>
            </w:pPr>
            <w:r w:rsidRPr="002E21AA">
              <w:rPr>
                <w:sz w:val="16"/>
                <w:szCs w:val="16"/>
                <w:lang w:val="en-GB"/>
              </w:rPr>
              <w:t>2</w:t>
            </w:r>
            <w:r w:rsidR="005A6DDC" w:rsidRPr="002E21AA">
              <w:rPr>
                <w:sz w:val="16"/>
                <w:szCs w:val="16"/>
                <w:lang w:val="en-GB"/>
              </w:rPr>
              <w:t>262</w:t>
            </w:r>
          </w:p>
        </w:tc>
        <w:tc>
          <w:tcPr>
            <w:tcW w:w="896" w:type="pct"/>
            <w:vAlign w:val="center"/>
          </w:tcPr>
          <w:p w14:paraId="4F223F38" w14:textId="7745202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23.9</w:t>
            </w:r>
          </w:p>
        </w:tc>
        <w:tc>
          <w:tcPr>
            <w:tcW w:w="628" w:type="pct"/>
            <w:vAlign w:val="center"/>
          </w:tcPr>
          <w:p w14:paraId="6FE02BD2" w14:textId="31EEBB8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13.0</w:t>
            </w:r>
          </w:p>
        </w:tc>
        <w:tc>
          <w:tcPr>
            <w:tcW w:w="896" w:type="pct"/>
            <w:vAlign w:val="center"/>
          </w:tcPr>
          <w:p w14:paraId="05FE0763" w14:textId="2E9DEC29"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33.4</w:t>
            </w:r>
          </w:p>
        </w:tc>
        <w:tc>
          <w:tcPr>
            <w:tcW w:w="986" w:type="pct"/>
            <w:vAlign w:val="center"/>
          </w:tcPr>
          <w:p w14:paraId="7D6E0A3F" w14:textId="7B79B5DC"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14.4</w:t>
            </w:r>
          </w:p>
        </w:tc>
      </w:tr>
      <w:tr w:rsidR="00050D6D" w:rsidRPr="002E21AA" w14:paraId="1A27A140" w14:textId="77777777" w:rsidTr="002E21AA">
        <w:trPr>
          <w:jc w:val="center"/>
        </w:trPr>
        <w:tc>
          <w:tcPr>
            <w:tcW w:w="876" w:type="pct"/>
            <w:vAlign w:val="center"/>
          </w:tcPr>
          <w:p w14:paraId="7640C59D" w14:textId="0742B861" w:rsidR="005A6DDC" w:rsidRPr="002E21AA" w:rsidRDefault="005A6DDC" w:rsidP="00050D6D">
            <w:pPr>
              <w:pStyle w:val="MDPI42tablebody"/>
              <w:rPr>
                <w:rFonts w:eastAsia="Arial"/>
                <w:sz w:val="16"/>
                <w:szCs w:val="16"/>
                <w:lang w:val="en-GB" w:eastAsia="en-GB"/>
              </w:rPr>
            </w:pPr>
            <w:r w:rsidRPr="002E21AA">
              <w:rPr>
                <w:sz w:val="16"/>
                <w:szCs w:val="16"/>
                <w:lang w:val="en-GB"/>
              </w:rPr>
              <w:t>Estonia</w:t>
            </w:r>
          </w:p>
        </w:tc>
        <w:tc>
          <w:tcPr>
            <w:tcW w:w="717" w:type="pct"/>
            <w:vAlign w:val="center"/>
          </w:tcPr>
          <w:p w14:paraId="4FD47DD1" w14:textId="297505C9"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002</w:t>
            </w:r>
          </w:p>
        </w:tc>
        <w:tc>
          <w:tcPr>
            <w:tcW w:w="896" w:type="pct"/>
            <w:vAlign w:val="center"/>
          </w:tcPr>
          <w:p w14:paraId="2DEA0DFA" w14:textId="3C0743F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24.7</w:t>
            </w:r>
          </w:p>
        </w:tc>
        <w:tc>
          <w:tcPr>
            <w:tcW w:w="628" w:type="pct"/>
            <w:vAlign w:val="center"/>
          </w:tcPr>
          <w:p w14:paraId="0726EB18" w14:textId="7DC7211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14.9</w:t>
            </w:r>
          </w:p>
        </w:tc>
        <w:tc>
          <w:tcPr>
            <w:tcW w:w="896" w:type="pct"/>
            <w:vAlign w:val="center"/>
          </w:tcPr>
          <w:p w14:paraId="7B159ED4" w14:textId="5B4D385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33.1</w:t>
            </w:r>
          </w:p>
        </w:tc>
        <w:tc>
          <w:tcPr>
            <w:tcW w:w="986" w:type="pct"/>
            <w:vAlign w:val="center"/>
          </w:tcPr>
          <w:p w14:paraId="077B242E" w14:textId="3C77121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7.6</w:t>
            </w:r>
          </w:p>
        </w:tc>
      </w:tr>
      <w:tr w:rsidR="00050D6D" w:rsidRPr="002E21AA" w14:paraId="7C009295" w14:textId="77777777" w:rsidTr="002E21AA">
        <w:trPr>
          <w:jc w:val="center"/>
        </w:trPr>
        <w:tc>
          <w:tcPr>
            <w:tcW w:w="876" w:type="pct"/>
            <w:vAlign w:val="center"/>
          </w:tcPr>
          <w:p w14:paraId="7D61D1FD" w14:textId="3EFD9D79" w:rsidR="005A6DDC" w:rsidRPr="002E21AA" w:rsidRDefault="005A6DDC" w:rsidP="00050D6D">
            <w:pPr>
              <w:pStyle w:val="MDPI42tablebody"/>
              <w:rPr>
                <w:rFonts w:eastAsia="Arial"/>
                <w:sz w:val="16"/>
                <w:szCs w:val="16"/>
                <w:lang w:val="en-GB" w:eastAsia="en-GB"/>
              </w:rPr>
            </w:pPr>
            <w:r w:rsidRPr="002E21AA">
              <w:rPr>
                <w:sz w:val="16"/>
                <w:szCs w:val="16"/>
                <w:lang w:val="en-GB"/>
              </w:rPr>
              <w:t>Malta</w:t>
            </w:r>
          </w:p>
        </w:tc>
        <w:tc>
          <w:tcPr>
            <w:tcW w:w="717" w:type="pct"/>
            <w:vAlign w:val="center"/>
          </w:tcPr>
          <w:p w14:paraId="5D5A61FA" w14:textId="07204F1D"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001</w:t>
            </w:r>
          </w:p>
        </w:tc>
        <w:tc>
          <w:tcPr>
            <w:tcW w:w="896" w:type="pct"/>
            <w:vAlign w:val="center"/>
          </w:tcPr>
          <w:p w14:paraId="2CC1CA87" w14:textId="655B84E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27.1</w:t>
            </w:r>
          </w:p>
        </w:tc>
        <w:tc>
          <w:tcPr>
            <w:tcW w:w="628" w:type="pct"/>
            <w:vAlign w:val="center"/>
          </w:tcPr>
          <w:p w14:paraId="21835B03" w14:textId="0306511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3.2</w:t>
            </w:r>
          </w:p>
        </w:tc>
        <w:tc>
          <w:tcPr>
            <w:tcW w:w="896" w:type="pct"/>
            <w:vAlign w:val="center"/>
          </w:tcPr>
          <w:p w14:paraId="47473DE2" w14:textId="24617131"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31.3</w:t>
            </w:r>
          </w:p>
        </w:tc>
        <w:tc>
          <w:tcPr>
            <w:tcW w:w="986" w:type="pct"/>
            <w:vAlign w:val="center"/>
          </w:tcPr>
          <w:p w14:paraId="131DDEFF" w14:textId="4940211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11.1</w:t>
            </w:r>
          </w:p>
        </w:tc>
      </w:tr>
      <w:tr w:rsidR="00050D6D" w:rsidRPr="002E21AA" w14:paraId="1C57478C" w14:textId="77777777" w:rsidTr="002E21AA">
        <w:trPr>
          <w:jc w:val="center"/>
        </w:trPr>
        <w:tc>
          <w:tcPr>
            <w:tcW w:w="876" w:type="pct"/>
            <w:vAlign w:val="center"/>
          </w:tcPr>
          <w:p w14:paraId="3D0455F1" w14:textId="3C437535" w:rsidR="005A6DDC" w:rsidRPr="002E21AA" w:rsidRDefault="005A6DDC" w:rsidP="00050D6D">
            <w:pPr>
              <w:pStyle w:val="MDPI42tablebody"/>
              <w:rPr>
                <w:rFonts w:eastAsia="Arial"/>
                <w:sz w:val="16"/>
                <w:szCs w:val="16"/>
                <w:lang w:val="en-GB" w:eastAsia="en-GB"/>
              </w:rPr>
            </w:pPr>
            <w:r w:rsidRPr="002E21AA">
              <w:rPr>
                <w:sz w:val="16"/>
                <w:szCs w:val="16"/>
                <w:lang w:val="en-GB"/>
              </w:rPr>
              <w:t>Greece</w:t>
            </w:r>
          </w:p>
        </w:tc>
        <w:tc>
          <w:tcPr>
            <w:tcW w:w="717" w:type="pct"/>
            <w:vAlign w:val="center"/>
          </w:tcPr>
          <w:p w14:paraId="5892C18F" w14:textId="5E1ECC16"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004</w:t>
            </w:r>
          </w:p>
        </w:tc>
        <w:tc>
          <w:tcPr>
            <w:tcW w:w="896" w:type="pct"/>
            <w:vAlign w:val="center"/>
          </w:tcPr>
          <w:p w14:paraId="6A61C31C" w14:textId="7188215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28.3</w:t>
            </w:r>
          </w:p>
        </w:tc>
        <w:tc>
          <w:tcPr>
            <w:tcW w:w="628" w:type="pct"/>
            <w:vAlign w:val="center"/>
          </w:tcPr>
          <w:p w14:paraId="4386EABB" w14:textId="0E742576"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8.1</w:t>
            </w:r>
          </w:p>
        </w:tc>
        <w:tc>
          <w:tcPr>
            <w:tcW w:w="896" w:type="pct"/>
            <w:vAlign w:val="center"/>
          </w:tcPr>
          <w:p w14:paraId="29E7CE71" w14:textId="18CDC70F"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34.3</w:t>
            </w:r>
          </w:p>
        </w:tc>
        <w:tc>
          <w:tcPr>
            <w:tcW w:w="986" w:type="pct"/>
            <w:vAlign w:val="center"/>
          </w:tcPr>
          <w:p w14:paraId="3CE79BF8" w14:textId="295A3DD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12.0</w:t>
            </w:r>
          </w:p>
        </w:tc>
      </w:tr>
      <w:tr w:rsidR="00050D6D" w:rsidRPr="002E21AA" w14:paraId="59953A1B" w14:textId="77777777" w:rsidTr="002E21AA">
        <w:trPr>
          <w:jc w:val="center"/>
        </w:trPr>
        <w:tc>
          <w:tcPr>
            <w:tcW w:w="876" w:type="pct"/>
            <w:vAlign w:val="center"/>
          </w:tcPr>
          <w:p w14:paraId="5B608027" w14:textId="06039EE7" w:rsidR="005A6DDC" w:rsidRPr="002E21AA" w:rsidRDefault="005A6DDC" w:rsidP="00050D6D">
            <w:pPr>
              <w:pStyle w:val="MDPI42tablebody"/>
              <w:rPr>
                <w:rFonts w:eastAsia="Arial"/>
                <w:sz w:val="16"/>
                <w:szCs w:val="16"/>
                <w:lang w:val="en-GB" w:eastAsia="en-GB"/>
              </w:rPr>
            </w:pPr>
            <w:r w:rsidRPr="002E21AA">
              <w:rPr>
                <w:sz w:val="16"/>
                <w:szCs w:val="16"/>
                <w:lang w:val="en-GB"/>
              </w:rPr>
              <w:t>Portugal</w:t>
            </w:r>
          </w:p>
        </w:tc>
        <w:tc>
          <w:tcPr>
            <w:tcW w:w="717" w:type="pct"/>
            <w:vAlign w:val="center"/>
          </w:tcPr>
          <w:p w14:paraId="6F3E724B" w14:textId="2C525A0D"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013</w:t>
            </w:r>
          </w:p>
        </w:tc>
        <w:tc>
          <w:tcPr>
            <w:tcW w:w="896" w:type="pct"/>
            <w:vAlign w:val="center"/>
          </w:tcPr>
          <w:p w14:paraId="20213E26" w14:textId="485C4907"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32.3</w:t>
            </w:r>
          </w:p>
        </w:tc>
        <w:tc>
          <w:tcPr>
            <w:tcW w:w="628" w:type="pct"/>
            <w:vAlign w:val="center"/>
          </w:tcPr>
          <w:p w14:paraId="3659F373" w14:textId="176A60D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14.9</w:t>
            </w:r>
          </w:p>
        </w:tc>
        <w:tc>
          <w:tcPr>
            <w:tcW w:w="896" w:type="pct"/>
            <w:vAlign w:val="center"/>
          </w:tcPr>
          <w:p w14:paraId="33DD4CBC" w14:textId="6711128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19.3</w:t>
            </w:r>
          </w:p>
        </w:tc>
        <w:tc>
          <w:tcPr>
            <w:tcW w:w="986" w:type="pct"/>
            <w:vAlign w:val="center"/>
          </w:tcPr>
          <w:p w14:paraId="4BD5867D" w14:textId="14FFE43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7.5</w:t>
            </w:r>
          </w:p>
        </w:tc>
      </w:tr>
      <w:tr w:rsidR="00050D6D" w:rsidRPr="002E21AA" w14:paraId="7A6706A6" w14:textId="77777777" w:rsidTr="002E21AA">
        <w:trPr>
          <w:jc w:val="center"/>
        </w:trPr>
        <w:tc>
          <w:tcPr>
            <w:tcW w:w="876" w:type="pct"/>
            <w:vAlign w:val="center"/>
          </w:tcPr>
          <w:p w14:paraId="4CE30FB3" w14:textId="37E3B7ED" w:rsidR="005A6DDC" w:rsidRPr="002E21AA" w:rsidRDefault="005A6DDC" w:rsidP="00050D6D">
            <w:pPr>
              <w:pStyle w:val="MDPI42tablebody"/>
              <w:rPr>
                <w:rFonts w:eastAsia="Arial"/>
                <w:sz w:val="16"/>
                <w:szCs w:val="16"/>
                <w:lang w:val="en-GB" w:eastAsia="en-GB"/>
              </w:rPr>
            </w:pPr>
            <w:r w:rsidRPr="002E21AA">
              <w:rPr>
                <w:sz w:val="16"/>
                <w:szCs w:val="16"/>
                <w:lang w:val="en-GB"/>
              </w:rPr>
              <w:t>Cyprus</w:t>
            </w:r>
          </w:p>
        </w:tc>
        <w:tc>
          <w:tcPr>
            <w:tcW w:w="717" w:type="pct"/>
            <w:vAlign w:val="center"/>
          </w:tcPr>
          <w:p w14:paraId="0C317845" w14:textId="60D3ECC2" w:rsidR="005A6DDC" w:rsidRPr="002E21AA" w:rsidRDefault="002E42B2" w:rsidP="00050D6D">
            <w:pPr>
              <w:pStyle w:val="MDPI42tablebody"/>
              <w:jc w:val="center"/>
              <w:rPr>
                <w:sz w:val="16"/>
                <w:szCs w:val="16"/>
                <w:lang w:val="en-GB"/>
              </w:rPr>
            </w:pPr>
            <w:r w:rsidRPr="002E21AA">
              <w:rPr>
                <w:sz w:val="16"/>
                <w:szCs w:val="16"/>
                <w:lang w:val="en-GB"/>
              </w:rPr>
              <w:t>1</w:t>
            </w:r>
            <w:r w:rsidR="005A6DDC" w:rsidRPr="002E21AA">
              <w:rPr>
                <w:sz w:val="16"/>
                <w:szCs w:val="16"/>
                <w:lang w:val="en-GB"/>
              </w:rPr>
              <w:t>006</w:t>
            </w:r>
          </w:p>
        </w:tc>
        <w:tc>
          <w:tcPr>
            <w:tcW w:w="896" w:type="pct"/>
            <w:vAlign w:val="center"/>
          </w:tcPr>
          <w:p w14:paraId="3DDE2377" w14:textId="30067CE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35.2</w:t>
            </w:r>
          </w:p>
        </w:tc>
        <w:tc>
          <w:tcPr>
            <w:tcW w:w="628" w:type="pct"/>
            <w:vAlign w:val="center"/>
          </w:tcPr>
          <w:p w14:paraId="0E03531E" w14:textId="03F34F0B"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3.3</w:t>
            </w:r>
          </w:p>
        </w:tc>
        <w:tc>
          <w:tcPr>
            <w:tcW w:w="896" w:type="pct"/>
            <w:vAlign w:val="center"/>
          </w:tcPr>
          <w:p w14:paraId="309852EE" w14:textId="282BFC4A"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31.8</w:t>
            </w:r>
          </w:p>
        </w:tc>
        <w:tc>
          <w:tcPr>
            <w:tcW w:w="986" w:type="pct"/>
            <w:vAlign w:val="center"/>
          </w:tcPr>
          <w:p w14:paraId="5EB254AB" w14:textId="3A7A6B90"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15.6</w:t>
            </w:r>
          </w:p>
        </w:tc>
      </w:tr>
      <w:tr w:rsidR="00050D6D" w:rsidRPr="002E21AA" w14:paraId="19B075ED" w14:textId="77777777" w:rsidTr="002E21AA">
        <w:trPr>
          <w:jc w:val="center"/>
        </w:trPr>
        <w:tc>
          <w:tcPr>
            <w:tcW w:w="876" w:type="pct"/>
            <w:vAlign w:val="center"/>
          </w:tcPr>
          <w:p w14:paraId="5D770909" w14:textId="057D5480" w:rsidR="005A6DDC" w:rsidRPr="002E21AA" w:rsidRDefault="005A6DDC" w:rsidP="00050D6D">
            <w:pPr>
              <w:pStyle w:val="MDPI42tablebody"/>
              <w:rPr>
                <w:rFonts w:eastAsia="Arial"/>
                <w:sz w:val="16"/>
                <w:szCs w:val="16"/>
                <w:lang w:val="en-GB" w:eastAsia="en-GB"/>
              </w:rPr>
            </w:pPr>
            <w:r w:rsidRPr="002E21AA">
              <w:rPr>
                <w:sz w:val="16"/>
                <w:szCs w:val="16"/>
                <w:lang w:val="en-GB"/>
              </w:rPr>
              <w:t>Turkey</w:t>
            </w:r>
          </w:p>
        </w:tc>
        <w:tc>
          <w:tcPr>
            <w:tcW w:w="717" w:type="pct"/>
            <w:vAlign w:val="center"/>
          </w:tcPr>
          <w:p w14:paraId="7E296324" w14:textId="459F5332" w:rsidR="005A6DDC" w:rsidRPr="002E21AA" w:rsidRDefault="002E42B2" w:rsidP="00050D6D">
            <w:pPr>
              <w:pStyle w:val="MDPI42tablebody"/>
              <w:jc w:val="center"/>
              <w:rPr>
                <w:sz w:val="16"/>
                <w:szCs w:val="16"/>
                <w:lang w:val="en-GB"/>
              </w:rPr>
            </w:pPr>
            <w:r w:rsidRPr="002E21AA">
              <w:rPr>
                <w:sz w:val="16"/>
                <w:szCs w:val="16"/>
                <w:lang w:val="en-GB"/>
              </w:rPr>
              <w:t>2</w:t>
            </w:r>
            <w:r w:rsidR="005A6DDC" w:rsidRPr="002E21AA">
              <w:rPr>
                <w:sz w:val="16"/>
                <w:szCs w:val="16"/>
                <w:lang w:val="en-GB"/>
              </w:rPr>
              <w:t>035</w:t>
            </w:r>
          </w:p>
        </w:tc>
        <w:tc>
          <w:tcPr>
            <w:tcW w:w="896" w:type="pct"/>
            <w:vAlign w:val="center"/>
          </w:tcPr>
          <w:p w14:paraId="3AA28C7D" w14:textId="313974C8"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42.5</w:t>
            </w:r>
          </w:p>
        </w:tc>
        <w:tc>
          <w:tcPr>
            <w:tcW w:w="628" w:type="pct"/>
            <w:vAlign w:val="center"/>
          </w:tcPr>
          <w:p w14:paraId="08F478AC" w14:textId="0441E93D"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8.6</w:t>
            </w:r>
          </w:p>
        </w:tc>
        <w:tc>
          <w:tcPr>
            <w:tcW w:w="896" w:type="pct"/>
            <w:vAlign w:val="center"/>
          </w:tcPr>
          <w:p w14:paraId="25C6091F" w14:textId="6F9D6EB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37.6</w:t>
            </w:r>
          </w:p>
        </w:tc>
        <w:tc>
          <w:tcPr>
            <w:tcW w:w="986" w:type="pct"/>
            <w:vAlign w:val="center"/>
          </w:tcPr>
          <w:p w14:paraId="3958AB4D" w14:textId="05ACA2F2" w:rsidR="005A6DDC" w:rsidRPr="002E21AA" w:rsidRDefault="005A6DDC" w:rsidP="00050D6D">
            <w:pPr>
              <w:pStyle w:val="MDPI42tablebody"/>
              <w:jc w:val="center"/>
              <w:rPr>
                <w:rFonts w:eastAsia="Arial"/>
                <w:sz w:val="16"/>
                <w:szCs w:val="16"/>
                <w:lang w:val="en-GB" w:eastAsia="en-GB"/>
              </w:rPr>
            </w:pPr>
            <w:r w:rsidRPr="002E21AA">
              <w:rPr>
                <w:sz w:val="16"/>
                <w:szCs w:val="16"/>
                <w:lang w:val="en-GB"/>
              </w:rPr>
              <w:t>25.4</w:t>
            </w:r>
          </w:p>
        </w:tc>
      </w:tr>
    </w:tbl>
    <w:p w14:paraId="054674A7" w14:textId="3DC9262E" w:rsidR="007E4B91" w:rsidRPr="005950CC" w:rsidRDefault="00BD20C8" w:rsidP="00A24EF8">
      <w:pPr>
        <w:pStyle w:val="MDPI23heading3"/>
        <w:rPr>
          <w:lang w:val="en-GB"/>
        </w:rPr>
      </w:pPr>
      <w:r w:rsidRPr="005950CC">
        <w:rPr>
          <w:lang w:val="en-GB"/>
        </w:rPr>
        <w:t xml:space="preserve">3.2.3. </w:t>
      </w:r>
      <w:r w:rsidR="007E4B91" w:rsidRPr="005950CC">
        <w:rPr>
          <w:lang w:val="en-GB"/>
        </w:rPr>
        <w:t>Socio-</w:t>
      </w:r>
      <w:r w:rsidR="00A24EF8" w:rsidRPr="005950CC">
        <w:rPr>
          <w:lang w:val="en-GB"/>
        </w:rPr>
        <w:t>D</w:t>
      </w:r>
      <w:r w:rsidR="002E21AA">
        <w:rPr>
          <w:lang w:val="en-GB"/>
        </w:rPr>
        <w:t>emographic Adjustment Variables</w:t>
      </w:r>
    </w:p>
    <w:p w14:paraId="7AF5DE71" w14:textId="0E379502" w:rsidR="007E4B91" w:rsidRPr="005950CC" w:rsidRDefault="007E4B91" w:rsidP="00A24EF8">
      <w:pPr>
        <w:pStyle w:val="MDPI31text"/>
        <w:rPr>
          <w:lang w:val="en-GB"/>
        </w:rPr>
      </w:pPr>
      <w:r w:rsidRPr="005950CC">
        <w:rPr>
          <w:lang w:val="en-GB"/>
        </w:rPr>
        <w:lastRenderedPageBreak/>
        <w:t>A range of socio-demographic variables were used to control for factors which may confound or mediate the relationship between health and well-being status and energy poverty, namely age of respondent at last birthday (18</w:t>
      </w:r>
      <w:r w:rsidR="004300D9" w:rsidRPr="005950CC">
        <w:rPr>
          <w:lang w:val="en-GB"/>
        </w:rPr>
        <w:t>–</w:t>
      </w:r>
      <w:r w:rsidRPr="005950CC">
        <w:rPr>
          <w:lang w:val="en-GB"/>
        </w:rPr>
        <w:t>24; 25</w:t>
      </w:r>
      <w:r w:rsidR="004300D9" w:rsidRPr="005950CC">
        <w:rPr>
          <w:lang w:val="en-GB"/>
        </w:rPr>
        <w:t>–</w:t>
      </w:r>
      <w:r w:rsidRPr="005950CC">
        <w:rPr>
          <w:lang w:val="en-GB"/>
        </w:rPr>
        <w:t>34; 35</w:t>
      </w:r>
      <w:r w:rsidR="004300D9" w:rsidRPr="005950CC">
        <w:rPr>
          <w:lang w:val="en-GB"/>
        </w:rPr>
        <w:t>–</w:t>
      </w:r>
      <w:r w:rsidRPr="005950CC">
        <w:rPr>
          <w:lang w:val="en-GB"/>
        </w:rPr>
        <w:t>49; 50</w:t>
      </w:r>
      <w:r w:rsidR="004300D9" w:rsidRPr="005950CC">
        <w:rPr>
          <w:lang w:val="en-GB"/>
        </w:rPr>
        <w:t>–</w:t>
      </w:r>
      <w:r w:rsidRPr="005950CC">
        <w:rPr>
          <w:lang w:val="en-GB"/>
        </w:rPr>
        <w:t>64; 65+ years), gender (</w:t>
      </w:r>
      <w:r w:rsidR="002B5544" w:rsidRPr="005950CC">
        <w:rPr>
          <w:lang w:val="en-GB"/>
        </w:rPr>
        <w:t>male</w:t>
      </w:r>
      <w:r w:rsidRPr="005950CC">
        <w:rPr>
          <w:lang w:val="en-GB"/>
        </w:rPr>
        <w:t xml:space="preserve">; </w:t>
      </w:r>
      <w:r w:rsidR="002B5544" w:rsidRPr="005950CC">
        <w:rPr>
          <w:lang w:val="en-GB"/>
        </w:rPr>
        <w:t>female</w:t>
      </w:r>
      <w:r w:rsidRPr="005950CC">
        <w:rPr>
          <w:lang w:val="en-GB"/>
        </w:rPr>
        <w:t>), highest educational attainment (</w:t>
      </w:r>
      <w:r w:rsidR="002B5544" w:rsidRPr="005950CC">
        <w:rPr>
          <w:lang w:val="en-GB"/>
        </w:rPr>
        <w:t xml:space="preserve">primary </w:t>
      </w:r>
      <w:r w:rsidRPr="005950CC">
        <w:rPr>
          <w:lang w:val="en-GB"/>
        </w:rPr>
        <w:t xml:space="preserve">or less; </w:t>
      </w:r>
      <w:r w:rsidR="002B5544" w:rsidRPr="005950CC">
        <w:rPr>
          <w:lang w:val="en-GB"/>
        </w:rPr>
        <w:t>secondary</w:t>
      </w:r>
      <w:r w:rsidRPr="005950CC">
        <w:rPr>
          <w:lang w:val="en-GB"/>
        </w:rPr>
        <w:t xml:space="preserve">; </w:t>
      </w:r>
      <w:r w:rsidR="002B5544" w:rsidRPr="005950CC">
        <w:rPr>
          <w:lang w:val="en-GB"/>
        </w:rPr>
        <w:t>tertiary</w:t>
      </w:r>
      <w:r w:rsidRPr="005950CC">
        <w:rPr>
          <w:lang w:val="en-GB"/>
        </w:rPr>
        <w:t>), and income quartiles.</w:t>
      </w:r>
    </w:p>
    <w:p w14:paraId="1595F0A4" w14:textId="7D5E55FC" w:rsidR="007E4B91" w:rsidRPr="005950CC" w:rsidRDefault="00BD20C8" w:rsidP="00A24EF8">
      <w:pPr>
        <w:pStyle w:val="MDPI22heading2"/>
        <w:rPr>
          <w:lang w:val="en-GB"/>
        </w:rPr>
      </w:pPr>
      <w:r w:rsidRPr="005950CC">
        <w:rPr>
          <w:lang w:val="en-GB"/>
        </w:rPr>
        <w:t xml:space="preserve">3.3. </w:t>
      </w:r>
      <w:r w:rsidR="007E4B91" w:rsidRPr="005950CC">
        <w:rPr>
          <w:lang w:val="en-GB"/>
        </w:rPr>
        <w:t xml:space="preserve">Statistical </w:t>
      </w:r>
      <w:r w:rsidR="00A24EF8" w:rsidRPr="005950CC">
        <w:rPr>
          <w:lang w:val="en-GB"/>
        </w:rPr>
        <w:t>Analysis</w:t>
      </w:r>
    </w:p>
    <w:p w14:paraId="343D7AE0" w14:textId="055C1F1C" w:rsidR="007E4B91" w:rsidRPr="005950CC" w:rsidRDefault="007E4B91" w:rsidP="00A24EF8">
      <w:pPr>
        <w:pStyle w:val="MDPI31text"/>
        <w:rPr>
          <w:lang w:val="en-GB"/>
        </w:rPr>
      </w:pPr>
      <w:r w:rsidRPr="005950CC">
        <w:rPr>
          <w:lang w:val="en-GB"/>
        </w:rPr>
        <w:t>Mann</w:t>
      </w:r>
      <w:r w:rsidR="002B5544" w:rsidRPr="005950CC">
        <w:rPr>
          <w:lang w:val="en-GB"/>
        </w:rPr>
        <w:t>–</w:t>
      </w:r>
      <w:r w:rsidRPr="005950CC">
        <w:rPr>
          <w:lang w:val="en-GB"/>
        </w:rPr>
        <w:t xml:space="preserve">Whitney U tests were conducted to explore the differences in general health and WHO-5 well-being scores between groups in energy poverty and those that are not. Next the prevalence rates and rate differences were calculated for poor health and </w:t>
      </w:r>
      <w:proofErr w:type="gramStart"/>
      <w:r w:rsidRPr="005950CC">
        <w:rPr>
          <w:lang w:val="en-GB"/>
        </w:rPr>
        <w:t>well-being</w:t>
      </w:r>
      <w:proofErr w:type="gramEnd"/>
      <w:r w:rsidRPr="005950CC">
        <w:rPr>
          <w:lang w:val="en-GB"/>
        </w:rPr>
        <w:t xml:space="preserve"> among the energy poor group and overall survey populations. Logistic regression was then used to compare the same relationships adjusting for potential socio-demographic confounders. The results are presented as odds ratios with 95% confidence intervals (CI) for poor health, and poor </w:t>
      </w:r>
      <w:proofErr w:type="gramStart"/>
      <w:r w:rsidRPr="005950CC">
        <w:rPr>
          <w:lang w:val="en-GB"/>
        </w:rPr>
        <w:t>well-being</w:t>
      </w:r>
      <w:proofErr w:type="gramEnd"/>
      <w:r w:rsidRPr="005950CC">
        <w:rPr>
          <w:lang w:val="en-GB"/>
        </w:rPr>
        <w:t xml:space="preserve">, among individuals living in energy poverty. A weighting </w:t>
      </w:r>
      <w:r w:rsidR="00C352DB" w:rsidRPr="005950CC">
        <w:rPr>
          <w:lang w:val="en-GB"/>
        </w:rPr>
        <w:t xml:space="preserve">variable </w:t>
      </w:r>
      <w:r w:rsidRPr="005950CC">
        <w:rPr>
          <w:lang w:val="en-GB"/>
        </w:rPr>
        <w:t xml:space="preserve">(w4) was applied in all analyses to ensure that the results are representative for the population of individual countries </w:t>
      </w:r>
      <w:r w:rsidRPr="005950CC">
        <w:rPr>
          <w:lang w:val="en-GB"/>
        </w:rPr>
        <w:fldChar w:fldCharType="begin"/>
      </w:r>
      <w:r w:rsidR="003B4785" w:rsidRPr="005950CC">
        <w:rPr>
          <w:lang w:val="en-GB"/>
        </w:rPr>
        <w:instrText xml:space="preserve"> ADDIN ZOTERO_ITEM CSL_CITATION {"citationID":"2p1ig8e6te","properties":{"formattedCitation":"[63]","plainCitation":"[63]"},"citationItems":[{"id":501,"uris":["http://zotero.org/users/3767271/items/RXKDJ4CR"],"uri":["http://zotero.org/users/3767271/items/RXKDJ4CR"],"itemData":{"id":501,"type":"report","title":"Third European Quality of Life Survey - Quality of life in Europe: Impacts of the crisis.","publisher":"Publications Office of the European Union","publisher-place":"Luxembourg","event-place":"Luxembourg","author":[{"literal":"Eurofound"}],"issued":{"date-parts":[["2012"]]}}}],"schema":"https://github.com/citation-style-language/schema/raw/master/csl-citation.json"} </w:instrText>
      </w:r>
      <w:r w:rsidRPr="005950CC">
        <w:rPr>
          <w:lang w:val="en-GB"/>
        </w:rPr>
        <w:fldChar w:fldCharType="separate"/>
      </w:r>
      <w:r w:rsidR="003B4785" w:rsidRPr="005950CC">
        <w:rPr>
          <w:lang w:val="en-GB"/>
        </w:rPr>
        <w:t>[63]</w:t>
      </w:r>
      <w:r w:rsidRPr="005950CC">
        <w:rPr>
          <w:lang w:val="en-GB"/>
        </w:rPr>
        <w:fldChar w:fldCharType="end"/>
      </w:r>
      <w:r w:rsidRPr="005950CC">
        <w:rPr>
          <w:lang w:val="en-GB"/>
        </w:rPr>
        <w:t xml:space="preserve">. </w:t>
      </w:r>
    </w:p>
    <w:p w14:paraId="27400EF0" w14:textId="32782318" w:rsidR="00004544" w:rsidRPr="005950CC" w:rsidRDefault="000F0E65" w:rsidP="00A24EF8">
      <w:pPr>
        <w:pStyle w:val="MDPI21heading1"/>
        <w:rPr>
          <w:lang w:val="en-GB"/>
        </w:rPr>
      </w:pPr>
      <w:r w:rsidRPr="005950CC">
        <w:rPr>
          <w:lang w:val="en-GB"/>
        </w:rPr>
        <w:t>4</w:t>
      </w:r>
      <w:r w:rsidR="00004544" w:rsidRPr="005950CC">
        <w:rPr>
          <w:lang w:val="en-GB"/>
        </w:rPr>
        <w:t>. Results</w:t>
      </w:r>
    </w:p>
    <w:p w14:paraId="08538229" w14:textId="3A9EF001" w:rsidR="00021148" w:rsidRPr="005950CC" w:rsidRDefault="00021148" w:rsidP="00A24EF8">
      <w:pPr>
        <w:pStyle w:val="MDPI22heading2"/>
        <w:rPr>
          <w:lang w:val="en-GB"/>
        </w:rPr>
      </w:pPr>
      <w:r w:rsidRPr="005950CC">
        <w:rPr>
          <w:lang w:val="en-GB"/>
        </w:rPr>
        <w:t xml:space="preserve">4.1. Poor SRH </w:t>
      </w:r>
      <w:r w:rsidR="00A24EF8" w:rsidRPr="005950CC">
        <w:rPr>
          <w:lang w:val="en-GB"/>
        </w:rPr>
        <w:t xml:space="preserve">Status </w:t>
      </w:r>
      <w:r w:rsidRPr="005950CC">
        <w:rPr>
          <w:lang w:val="en-GB"/>
        </w:rPr>
        <w:t xml:space="preserve">and </w:t>
      </w:r>
      <w:r w:rsidR="002E21AA">
        <w:rPr>
          <w:lang w:val="en-GB"/>
        </w:rPr>
        <w:t>Energy Poverty</w:t>
      </w:r>
    </w:p>
    <w:p w14:paraId="06B5069C" w14:textId="77777777" w:rsidR="00021148" w:rsidRPr="005950CC" w:rsidRDefault="00021148" w:rsidP="00A24EF8">
      <w:pPr>
        <w:pStyle w:val="MDPI31text"/>
        <w:rPr>
          <w:lang w:val="en-GB"/>
        </w:rPr>
      </w:pPr>
      <w:r w:rsidRPr="005950CC">
        <w:rPr>
          <w:lang w:val="en-GB"/>
        </w:rPr>
        <w:t xml:space="preserve">To understand the underlying trends in poor health status, the differences in mean SRH scores between groups in energy poverty and those that are not were examined first. In all instances, the mean health score was higher for individuals in energy poverty than those who were not, indicating the former has poorer SRH health. Based on Mann–Whitney U tests, statistically significant differences in scores were found in 30 of the 32 study countries, the exceptions being Austria and Finland. </w:t>
      </w:r>
    </w:p>
    <w:p w14:paraId="37422BA1" w14:textId="160F5054" w:rsidR="00021148" w:rsidRPr="005950CC" w:rsidRDefault="00021148" w:rsidP="00A24EF8">
      <w:pPr>
        <w:pStyle w:val="MDPI31text"/>
        <w:spacing w:after="240"/>
        <w:rPr>
          <w:lang w:val="en-GB"/>
        </w:rPr>
      </w:pPr>
      <w:r w:rsidRPr="005950CC">
        <w:rPr>
          <w:lang w:val="en-GB"/>
        </w:rPr>
        <w:t xml:space="preserve">In the next stage, the prevalence rates for poor health among the energy poor population and </w:t>
      </w:r>
      <w:r w:rsidR="00A42C45" w:rsidRPr="005950CC">
        <w:rPr>
          <w:lang w:val="en-GB"/>
        </w:rPr>
        <w:t>non-energy poor</w:t>
      </w:r>
      <w:r w:rsidRPr="005950CC">
        <w:rPr>
          <w:lang w:val="en-GB"/>
        </w:rPr>
        <w:t xml:space="preserve"> population were calculated, as shown below in Figure 1. From this figure, a number of observations can be made. Firstly, it is evident that poor SRH is unequally distributed across the 32 countries, with the highest overall rates of poor SRH found within Central and Eastern European countries, such as Lithuania, Romania, and Serbia. Secondly, the population of energy poor individuals living across Europe has a higher incidence of poor health compared to the </w:t>
      </w:r>
      <w:r w:rsidR="000E38CF" w:rsidRPr="005950CC">
        <w:rPr>
          <w:lang w:val="en-GB"/>
        </w:rPr>
        <w:t>non-energy poor</w:t>
      </w:r>
      <w:r w:rsidRPr="005950CC">
        <w:rPr>
          <w:lang w:val="en-GB"/>
        </w:rPr>
        <w:t xml:space="preserve"> population, without exception. </w:t>
      </w:r>
    </w:p>
    <w:p w14:paraId="78C488D9" w14:textId="195D3C21" w:rsidR="00A24EF8" w:rsidRPr="005950CC" w:rsidRDefault="00A24EF8" w:rsidP="00E44F88">
      <w:pPr>
        <w:pStyle w:val="MDPI52figure"/>
        <w:rPr>
          <w:lang w:val="en-GB"/>
        </w:rPr>
      </w:pPr>
      <w:r w:rsidRPr="005950CC">
        <w:rPr>
          <w:noProof/>
          <w:lang w:eastAsia="en-US" w:bidi="ar-SA"/>
        </w:rPr>
        <w:drawing>
          <wp:inline distT="0" distB="0" distL="0" distR="0" wp14:anchorId="66D751A6" wp14:editId="6C900375">
            <wp:extent cx="5749925" cy="3198454"/>
            <wp:effectExtent l="0" t="0" r="15875" b="279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5DEBF8" w14:textId="36B1644C" w:rsidR="00744A6A" w:rsidRPr="005950CC" w:rsidRDefault="00744A6A" w:rsidP="00E44F88">
      <w:pPr>
        <w:pStyle w:val="MDPI51figurecaption"/>
        <w:rPr>
          <w:snapToGrid w:val="0"/>
          <w:lang w:val="en-GB"/>
        </w:rPr>
      </w:pPr>
      <w:r w:rsidRPr="005950CC">
        <w:rPr>
          <w:b/>
          <w:snapToGrid w:val="0"/>
          <w:lang w:val="en-GB"/>
        </w:rPr>
        <w:lastRenderedPageBreak/>
        <w:t>Figure 1</w:t>
      </w:r>
      <w:r w:rsidR="00E44F88" w:rsidRPr="005950CC">
        <w:rPr>
          <w:b/>
          <w:snapToGrid w:val="0"/>
          <w:lang w:val="en-GB"/>
        </w:rPr>
        <w:t>.</w:t>
      </w:r>
      <w:r w:rsidRPr="005950CC">
        <w:rPr>
          <w:snapToGrid w:val="0"/>
          <w:lang w:val="en-GB"/>
        </w:rPr>
        <w:t xml:space="preserve"> Line graph showing the prevalence of poor health among the energy poor and </w:t>
      </w:r>
      <w:r w:rsidR="000E38CF" w:rsidRPr="005950CC">
        <w:rPr>
          <w:snapToGrid w:val="0"/>
          <w:lang w:val="en-GB"/>
        </w:rPr>
        <w:t>non-energy poor</w:t>
      </w:r>
      <w:r w:rsidRPr="005950CC">
        <w:rPr>
          <w:snapToGrid w:val="0"/>
          <w:lang w:val="en-GB"/>
        </w:rPr>
        <w:t xml:space="preserve"> population</w:t>
      </w:r>
      <w:r w:rsidR="000E38CF" w:rsidRPr="005950CC">
        <w:rPr>
          <w:snapToGrid w:val="0"/>
          <w:lang w:val="en-GB"/>
        </w:rPr>
        <w:t>s</w:t>
      </w:r>
      <w:r w:rsidRPr="005950CC">
        <w:rPr>
          <w:snapToGrid w:val="0"/>
          <w:lang w:val="en-GB"/>
        </w:rPr>
        <w:t xml:space="preserve"> across 32 European countries</w:t>
      </w:r>
      <w:r w:rsidR="00E44F88" w:rsidRPr="005950CC">
        <w:rPr>
          <w:snapToGrid w:val="0"/>
          <w:lang w:val="en-GB"/>
        </w:rPr>
        <w:t>.</w:t>
      </w:r>
    </w:p>
    <w:p w14:paraId="361036BD" w14:textId="5793E539" w:rsidR="00021148" w:rsidRPr="005950CC" w:rsidRDefault="00021148" w:rsidP="00E44F88">
      <w:pPr>
        <w:pStyle w:val="MDPI31text"/>
        <w:spacing w:after="240"/>
        <w:rPr>
          <w:lang w:val="en-GB"/>
        </w:rPr>
      </w:pPr>
      <w:r w:rsidRPr="005950CC">
        <w:rPr>
          <w:lang w:val="en-GB"/>
        </w:rPr>
        <w:t xml:space="preserve">The most striking aspect of Figure 1 is the magnitude of the difference in poor health prevalence between the </w:t>
      </w:r>
      <w:r w:rsidR="000E38CF" w:rsidRPr="005950CC">
        <w:rPr>
          <w:lang w:val="en-GB"/>
        </w:rPr>
        <w:t xml:space="preserve">non-energy poor </w:t>
      </w:r>
      <w:r w:rsidRPr="005950CC">
        <w:rPr>
          <w:lang w:val="en-GB"/>
        </w:rPr>
        <w:t>and the energy poor population</w:t>
      </w:r>
      <w:r w:rsidR="000E38CF" w:rsidRPr="005950CC">
        <w:rPr>
          <w:lang w:val="en-GB"/>
        </w:rPr>
        <w:t>s</w:t>
      </w:r>
      <w:r w:rsidRPr="005950CC">
        <w:rPr>
          <w:lang w:val="en-GB"/>
        </w:rPr>
        <w:t xml:space="preserve"> within each country. </w:t>
      </w:r>
      <w:r w:rsidR="004157F9" w:rsidRPr="005950CC">
        <w:rPr>
          <w:lang w:val="en-GB"/>
        </w:rPr>
        <w:t xml:space="preserve">Indeed, </w:t>
      </w:r>
      <w:r w:rsidRPr="005950CC">
        <w:rPr>
          <w:lang w:val="en-GB"/>
        </w:rPr>
        <w:t>Slovenia, Sweden and the Netherlands have the largest differences, ranging from 4</w:t>
      </w:r>
      <w:r w:rsidR="00A12104" w:rsidRPr="005950CC">
        <w:rPr>
          <w:lang w:val="en-GB"/>
        </w:rPr>
        <w:t>6</w:t>
      </w:r>
      <w:r w:rsidRPr="005950CC">
        <w:rPr>
          <w:lang w:val="en-GB"/>
        </w:rPr>
        <w:t>.</w:t>
      </w:r>
      <w:r w:rsidR="00A12104" w:rsidRPr="005950CC">
        <w:rPr>
          <w:lang w:val="en-GB"/>
        </w:rPr>
        <w:t>9</w:t>
      </w:r>
      <w:r w:rsidRPr="005950CC">
        <w:rPr>
          <w:lang w:val="en-GB"/>
        </w:rPr>
        <w:t xml:space="preserve"> percentage points in Slovenia, to 30.</w:t>
      </w:r>
      <w:r w:rsidR="00A12104" w:rsidRPr="005950CC">
        <w:rPr>
          <w:lang w:val="en-GB"/>
        </w:rPr>
        <w:t>8</w:t>
      </w:r>
      <w:r w:rsidRPr="005950CC">
        <w:rPr>
          <w:lang w:val="en-GB"/>
        </w:rPr>
        <w:t xml:space="preserve"> percentage points in the Netherlands, despite being relatively equal societies. </w:t>
      </w:r>
      <w:r w:rsidR="004157F9" w:rsidRPr="005950CC">
        <w:rPr>
          <w:lang w:val="en-GB"/>
        </w:rPr>
        <w:t xml:space="preserve">To explore this relationship further, Figure 2 plots the percentage point differences in poor SRH rates between energy poor and non-energy poor populations against the overall energy poverty rates for each country, revealing interesting trends. </w:t>
      </w:r>
      <w:r w:rsidR="00B01244" w:rsidRPr="005950CC">
        <w:rPr>
          <w:lang w:val="en-GB"/>
        </w:rPr>
        <w:t xml:space="preserve">The full country name for each two-letter country code can be found in Table A1 in Appendix A. </w:t>
      </w:r>
      <w:r w:rsidR="004157F9" w:rsidRPr="005950CC">
        <w:rPr>
          <w:lang w:val="en-GB"/>
        </w:rPr>
        <w:t xml:space="preserve">In a number of instances larger disparities in poor SRH </w:t>
      </w:r>
      <w:r w:rsidRPr="005950CC">
        <w:rPr>
          <w:lang w:val="en-GB"/>
        </w:rPr>
        <w:t>can be found in countries with low</w:t>
      </w:r>
      <w:r w:rsidR="00C85B4A" w:rsidRPr="005950CC">
        <w:rPr>
          <w:lang w:val="en-GB"/>
        </w:rPr>
        <w:t>er rates of energy poverty, which</w:t>
      </w:r>
      <w:r w:rsidRPr="005950CC">
        <w:rPr>
          <w:lang w:val="en-GB"/>
        </w:rPr>
        <w:t xml:space="preserve"> app</w:t>
      </w:r>
      <w:r w:rsidR="00C85B4A" w:rsidRPr="005950CC">
        <w:rPr>
          <w:lang w:val="en-GB"/>
        </w:rPr>
        <w:t>ears to be somewhat paradoxical. H</w:t>
      </w:r>
      <w:r w:rsidRPr="005950CC">
        <w:rPr>
          <w:lang w:val="en-GB"/>
        </w:rPr>
        <w:t xml:space="preserve">owever, it is important to note that this trend may partly be influenced by the smaller sub-sample sizes found in countries with low rates of energy poverty. Further analysis of larger datasets is necessary to confirm this initial observation. </w:t>
      </w:r>
    </w:p>
    <w:p w14:paraId="094D8949" w14:textId="2B996688" w:rsidR="00E44F88" w:rsidRPr="005950CC" w:rsidRDefault="00E44F88" w:rsidP="00E44F88">
      <w:pPr>
        <w:pStyle w:val="MDPI52figure"/>
        <w:rPr>
          <w:lang w:val="en-GB"/>
        </w:rPr>
      </w:pPr>
      <w:r w:rsidRPr="005950CC">
        <w:rPr>
          <w:noProof/>
          <w:lang w:eastAsia="en-US" w:bidi="ar-SA"/>
        </w:rPr>
        <w:drawing>
          <wp:inline distT="0" distB="0" distL="0" distR="0" wp14:anchorId="36FF2D73" wp14:editId="52DB9315">
            <wp:extent cx="5615940" cy="3492378"/>
            <wp:effectExtent l="0" t="0" r="3810"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EDD2C1" w14:textId="1B93472B" w:rsidR="00C85B4A" w:rsidRPr="005950CC" w:rsidRDefault="00C85B4A" w:rsidP="00E44F88">
      <w:pPr>
        <w:pStyle w:val="MDPI51figurecaption"/>
        <w:rPr>
          <w:snapToGrid w:val="0"/>
          <w:lang w:val="en-GB"/>
        </w:rPr>
      </w:pPr>
      <w:r w:rsidRPr="005950CC">
        <w:rPr>
          <w:b/>
          <w:snapToGrid w:val="0"/>
          <w:lang w:val="en-GB"/>
        </w:rPr>
        <w:t>Figure 2</w:t>
      </w:r>
      <w:r w:rsidR="00E44F88" w:rsidRPr="005950CC">
        <w:rPr>
          <w:b/>
          <w:snapToGrid w:val="0"/>
          <w:lang w:val="en-GB"/>
        </w:rPr>
        <w:t>.</w:t>
      </w:r>
      <w:r w:rsidRPr="005950CC">
        <w:rPr>
          <w:snapToGrid w:val="0"/>
          <w:lang w:val="en-GB"/>
        </w:rPr>
        <w:t xml:space="preserve"> Scatterplot of energy rates and differences in poor SRH rates between energy poor and non-energy poor populations across 32 European countries</w:t>
      </w:r>
      <w:r w:rsidR="00E44F88" w:rsidRPr="005950CC">
        <w:rPr>
          <w:snapToGrid w:val="0"/>
          <w:lang w:val="en-GB"/>
        </w:rPr>
        <w:t>.</w:t>
      </w:r>
    </w:p>
    <w:p w14:paraId="488ED52F" w14:textId="32D08397" w:rsidR="009B5493" w:rsidRPr="005950CC" w:rsidRDefault="00021148" w:rsidP="00E44F88">
      <w:pPr>
        <w:pStyle w:val="MDPI31text"/>
        <w:rPr>
          <w:lang w:val="en-GB"/>
        </w:rPr>
      </w:pPr>
      <w:r w:rsidRPr="005950CC">
        <w:rPr>
          <w:lang w:val="en-GB"/>
        </w:rPr>
        <w:t xml:space="preserve">The logistic regression results for the association between energy poverty and poor SRH are displayed in Table 2. The results show that households living in energy poverty have a significantly increased risk of reporting poor SRH in the majority of European countries, after adjustments for socioeconomic factors. The highest risks of poor SRH are found in Slovenia, Sweden, and Ireland, where energy poor households are 26.32, 7.12 and 6.52 times more likely to report poor SRH compared to non-energy poor households. </w:t>
      </w:r>
    </w:p>
    <w:p w14:paraId="0EAC501F" w14:textId="250F0F8E" w:rsidR="00744A6A" w:rsidRPr="005950CC" w:rsidRDefault="00744A6A" w:rsidP="00E44F88">
      <w:pPr>
        <w:pStyle w:val="MDPI41tablecaption"/>
        <w:rPr>
          <w:lang w:val="en-GB"/>
        </w:rPr>
      </w:pPr>
      <w:r w:rsidRPr="005950CC">
        <w:rPr>
          <w:b/>
          <w:lang w:val="en-GB"/>
        </w:rPr>
        <w:t>Table 2</w:t>
      </w:r>
      <w:r w:rsidR="00E44F88" w:rsidRPr="005950CC">
        <w:rPr>
          <w:b/>
          <w:lang w:val="en-GB"/>
        </w:rPr>
        <w:t>.</w:t>
      </w:r>
      <w:r w:rsidRPr="005950CC">
        <w:rPr>
          <w:lang w:val="en-GB"/>
        </w:rPr>
        <w:t xml:space="preserve"> Logistic regression results for the association between energy poverty and poor SRH. </w:t>
      </w:r>
      <w:proofErr w:type="gramStart"/>
      <w:r w:rsidRPr="005950CC">
        <w:rPr>
          <w:lang w:val="en-GB"/>
        </w:rPr>
        <w:t>Odds ratio (OR) and 95% confidence intervals (95% CI)</w:t>
      </w:r>
      <w:r w:rsidR="00E44F88" w:rsidRPr="005950CC">
        <w:rPr>
          <w:lang w:val="en-GB"/>
        </w:rPr>
        <w:t>.</w:t>
      </w:r>
      <w:proofErr w:type="gramEnd"/>
      <w:r w:rsidRPr="005950CC">
        <w:rPr>
          <w:lang w:val="en-GB"/>
        </w:rPr>
        <w:t xml:space="preserve"> </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576"/>
        <w:gridCol w:w="1016"/>
      </w:tblGrid>
      <w:tr w:rsidR="00744A6A" w:rsidRPr="005950CC" w14:paraId="5E639981" w14:textId="77777777" w:rsidTr="00312E29">
        <w:trPr>
          <w:jc w:val="center"/>
        </w:trPr>
        <w:tc>
          <w:tcPr>
            <w:tcW w:w="0" w:type="auto"/>
            <w:tcBorders>
              <w:top w:val="single" w:sz="8" w:space="0" w:color="auto"/>
              <w:bottom w:val="single" w:sz="4" w:space="0" w:color="auto"/>
            </w:tcBorders>
            <w:vAlign w:val="center"/>
          </w:tcPr>
          <w:p w14:paraId="038A6C7D"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Country</w:t>
            </w:r>
          </w:p>
        </w:tc>
        <w:tc>
          <w:tcPr>
            <w:tcW w:w="0" w:type="auto"/>
            <w:tcBorders>
              <w:top w:val="single" w:sz="8" w:space="0" w:color="auto"/>
              <w:bottom w:val="single" w:sz="4" w:space="0" w:color="auto"/>
            </w:tcBorders>
            <w:vAlign w:val="center"/>
          </w:tcPr>
          <w:p w14:paraId="7070A5DD"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 xml:space="preserve">OR </w:t>
            </w:r>
          </w:p>
        </w:tc>
        <w:tc>
          <w:tcPr>
            <w:tcW w:w="0" w:type="auto"/>
            <w:tcBorders>
              <w:top w:val="single" w:sz="8" w:space="0" w:color="auto"/>
              <w:bottom w:val="single" w:sz="4" w:space="0" w:color="auto"/>
            </w:tcBorders>
            <w:vAlign w:val="center"/>
          </w:tcPr>
          <w:p w14:paraId="2C9800CE"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95% CI</w:t>
            </w:r>
          </w:p>
        </w:tc>
      </w:tr>
      <w:tr w:rsidR="00744A6A" w:rsidRPr="005950CC" w14:paraId="2DCDB56F" w14:textId="77777777" w:rsidTr="00312E29">
        <w:trPr>
          <w:jc w:val="center"/>
        </w:trPr>
        <w:tc>
          <w:tcPr>
            <w:tcW w:w="0" w:type="auto"/>
            <w:tcBorders>
              <w:top w:val="single" w:sz="4" w:space="0" w:color="auto"/>
            </w:tcBorders>
            <w:vAlign w:val="center"/>
          </w:tcPr>
          <w:p w14:paraId="2E04CC52"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Austria</w:t>
            </w:r>
          </w:p>
        </w:tc>
        <w:tc>
          <w:tcPr>
            <w:tcW w:w="0" w:type="auto"/>
            <w:tcBorders>
              <w:top w:val="single" w:sz="4" w:space="0" w:color="auto"/>
            </w:tcBorders>
            <w:shd w:val="clear" w:color="auto" w:fill="auto"/>
            <w:vAlign w:val="center"/>
          </w:tcPr>
          <w:p w14:paraId="091F3332"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3.19</w:t>
            </w:r>
          </w:p>
        </w:tc>
        <w:tc>
          <w:tcPr>
            <w:tcW w:w="0" w:type="auto"/>
            <w:tcBorders>
              <w:top w:val="single" w:sz="4" w:space="0" w:color="auto"/>
            </w:tcBorders>
            <w:shd w:val="clear" w:color="auto" w:fill="auto"/>
            <w:vAlign w:val="center"/>
          </w:tcPr>
          <w:p w14:paraId="0CFBAAA2" w14:textId="03FF0656" w:rsidR="00744A6A" w:rsidRPr="005950CC" w:rsidRDefault="00A774B8" w:rsidP="00A774B8">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0.52–</w:t>
            </w:r>
            <w:r w:rsidR="00744A6A" w:rsidRPr="005950CC">
              <w:rPr>
                <w:rFonts w:ascii="Palatino Linotype" w:hAnsi="Palatino Linotype" w:cs="Times New Roman"/>
                <w:sz w:val="16"/>
                <w:szCs w:val="16"/>
              </w:rPr>
              <w:t>19.65</w:t>
            </w:r>
          </w:p>
        </w:tc>
      </w:tr>
      <w:tr w:rsidR="00744A6A" w:rsidRPr="005950CC" w14:paraId="7EC37553" w14:textId="77777777" w:rsidTr="00312E29">
        <w:trPr>
          <w:jc w:val="center"/>
        </w:trPr>
        <w:tc>
          <w:tcPr>
            <w:tcW w:w="0" w:type="auto"/>
            <w:vAlign w:val="center"/>
          </w:tcPr>
          <w:p w14:paraId="47B64016"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Belgium</w:t>
            </w:r>
          </w:p>
        </w:tc>
        <w:tc>
          <w:tcPr>
            <w:tcW w:w="0" w:type="auto"/>
            <w:vAlign w:val="center"/>
          </w:tcPr>
          <w:p w14:paraId="35C560E3"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3.11</w:t>
            </w:r>
          </w:p>
        </w:tc>
        <w:tc>
          <w:tcPr>
            <w:tcW w:w="0" w:type="auto"/>
            <w:vAlign w:val="center"/>
          </w:tcPr>
          <w:p w14:paraId="7022B695" w14:textId="2BB1AD20" w:rsidR="00744A6A" w:rsidRPr="005950CC" w:rsidRDefault="00A774B8" w:rsidP="00A774B8">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1.50–</w:t>
            </w:r>
            <w:r w:rsidR="00744A6A" w:rsidRPr="005950CC">
              <w:rPr>
                <w:rFonts w:ascii="Palatino Linotype" w:hAnsi="Palatino Linotype" w:cs="Times New Roman"/>
                <w:b/>
                <w:sz w:val="16"/>
                <w:szCs w:val="16"/>
              </w:rPr>
              <w:t>6.43</w:t>
            </w:r>
          </w:p>
        </w:tc>
      </w:tr>
      <w:tr w:rsidR="00744A6A" w:rsidRPr="005950CC" w14:paraId="28B939F3" w14:textId="77777777" w:rsidTr="00312E29">
        <w:trPr>
          <w:jc w:val="center"/>
        </w:trPr>
        <w:tc>
          <w:tcPr>
            <w:tcW w:w="0" w:type="auto"/>
            <w:vAlign w:val="center"/>
          </w:tcPr>
          <w:p w14:paraId="2B78F374"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Bulgaria</w:t>
            </w:r>
          </w:p>
        </w:tc>
        <w:tc>
          <w:tcPr>
            <w:tcW w:w="0" w:type="auto"/>
            <w:vAlign w:val="center"/>
          </w:tcPr>
          <w:p w14:paraId="5A207E2F"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2.10</w:t>
            </w:r>
          </w:p>
        </w:tc>
        <w:tc>
          <w:tcPr>
            <w:tcW w:w="0" w:type="auto"/>
            <w:vAlign w:val="center"/>
          </w:tcPr>
          <w:p w14:paraId="2B95B122" w14:textId="2F5FB92A"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1.24</w:t>
            </w:r>
            <w:r w:rsidR="00744A6A" w:rsidRPr="005950CC">
              <w:rPr>
                <w:rFonts w:ascii="Palatino Linotype" w:hAnsi="Palatino Linotype" w:cs="Times New Roman"/>
                <w:b/>
                <w:sz w:val="16"/>
                <w:szCs w:val="16"/>
              </w:rPr>
              <w:t>–3.53</w:t>
            </w:r>
          </w:p>
        </w:tc>
      </w:tr>
      <w:tr w:rsidR="00744A6A" w:rsidRPr="005950CC" w14:paraId="2EA2B8E0" w14:textId="77777777" w:rsidTr="00312E29">
        <w:trPr>
          <w:jc w:val="center"/>
        </w:trPr>
        <w:tc>
          <w:tcPr>
            <w:tcW w:w="0" w:type="auto"/>
            <w:vAlign w:val="center"/>
          </w:tcPr>
          <w:p w14:paraId="64F0D586"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lastRenderedPageBreak/>
              <w:t>Croatia</w:t>
            </w:r>
          </w:p>
        </w:tc>
        <w:tc>
          <w:tcPr>
            <w:tcW w:w="0" w:type="auto"/>
            <w:vAlign w:val="center"/>
          </w:tcPr>
          <w:p w14:paraId="063C6301"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1.33</w:t>
            </w:r>
          </w:p>
        </w:tc>
        <w:tc>
          <w:tcPr>
            <w:tcW w:w="0" w:type="auto"/>
            <w:vAlign w:val="center"/>
          </w:tcPr>
          <w:p w14:paraId="55AED15D" w14:textId="25053B79"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0.67–</w:t>
            </w:r>
            <w:r w:rsidR="00744A6A" w:rsidRPr="005950CC">
              <w:rPr>
                <w:rFonts w:ascii="Palatino Linotype" w:hAnsi="Palatino Linotype" w:cs="Times New Roman"/>
                <w:sz w:val="16"/>
                <w:szCs w:val="16"/>
              </w:rPr>
              <w:t>2.64</w:t>
            </w:r>
          </w:p>
        </w:tc>
      </w:tr>
      <w:tr w:rsidR="00744A6A" w:rsidRPr="005950CC" w14:paraId="157F0465" w14:textId="77777777" w:rsidTr="00312E29">
        <w:trPr>
          <w:jc w:val="center"/>
        </w:trPr>
        <w:tc>
          <w:tcPr>
            <w:tcW w:w="0" w:type="auto"/>
            <w:vAlign w:val="center"/>
          </w:tcPr>
          <w:p w14:paraId="339B25EB"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Cyprus</w:t>
            </w:r>
          </w:p>
        </w:tc>
        <w:tc>
          <w:tcPr>
            <w:tcW w:w="0" w:type="auto"/>
            <w:vAlign w:val="center"/>
          </w:tcPr>
          <w:p w14:paraId="620A7938"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2.22</w:t>
            </w:r>
          </w:p>
        </w:tc>
        <w:tc>
          <w:tcPr>
            <w:tcW w:w="0" w:type="auto"/>
            <w:vAlign w:val="center"/>
          </w:tcPr>
          <w:p w14:paraId="46D932CF" w14:textId="0237B4D5"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1.00–</w:t>
            </w:r>
            <w:r w:rsidR="00744A6A" w:rsidRPr="005950CC">
              <w:rPr>
                <w:rFonts w:ascii="Palatino Linotype" w:hAnsi="Palatino Linotype" w:cs="Times New Roman"/>
                <w:sz w:val="16"/>
                <w:szCs w:val="16"/>
              </w:rPr>
              <w:t>5.15</w:t>
            </w:r>
          </w:p>
        </w:tc>
      </w:tr>
      <w:tr w:rsidR="00744A6A" w:rsidRPr="005950CC" w14:paraId="44F98CFC" w14:textId="77777777" w:rsidTr="00312E29">
        <w:trPr>
          <w:jc w:val="center"/>
        </w:trPr>
        <w:tc>
          <w:tcPr>
            <w:tcW w:w="0" w:type="auto"/>
            <w:vAlign w:val="center"/>
          </w:tcPr>
          <w:p w14:paraId="44D85E53"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Czech Republic</w:t>
            </w:r>
          </w:p>
        </w:tc>
        <w:tc>
          <w:tcPr>
            <w:tcW w:w="0" w:type="auto"/>
            <w:vAlign w:val="center"/>
          </w:tcPr>
          <w:p w14:paraId="3BA76281"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1.99</w:t>
            </w:r>
          </w:p>
        </w:tc>
        <w:tc>
          <w:tcPr>
            <w:tcW w:w="0" w:type="auto"/>
            <w:vAlign w:val="center"/>
          </w:tcPr>
          <w:p w14:paraId="1F7ACC3A" w14:textId="7DF58EDF"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0.92–</w:t>
            </w:r>
            <w:r w:rsidR="00744A6A" w:rsidRPr="005950CC">
              <w:rPr>
                <w:rFonts w:ascii="Palatino Linotype" w:hAnsi="Palatino Linotype" w:cs="Times New Roman"/>
                <w:sz w:val="16"/>
                <w:szCs w:val="16"/>
              </w:rPr>
              <w:t>4.30</w:t>
            </w:r>
          </w:p>
        </w:tc>
      </w:tr>
      <w:tr w:rsidR="00744A6A" w:rsidRPr="005950CC" w14:paraId="168A3C40" w14:textId="77777777" w:rsidTr="00312E29">
        <w:trPr>
          <w:jc w:val="center"/>
        </w:trPr>
        <w:tc>
          <w:tcPr>
            <w:tcW w:w="0" w:type="auto"/>
            <w:vAlign w:val="center"/>
          </w:tcPr>
          <w:p w14:paraId="34A27710"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Denmark</w:t>
            </w:r>
          </w:p>
        </w:tc>
        <w:tc>
          <w:tcPr>
            <w:tcW w:w="0" w:type="auto"/>
            <w:vAlign w:val="center"/>
          </w:tcPr>
          <w:p w14:paraId="57BE80A5"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2.81</w:t>
            </w:r>
          </w:p>
        </w:tc>
        <w:tc>
          <w:tcPr>
            <w:tcW w:w="0" w:type="auto"/>
            <w:vAlign w:val="center"/>
          </w:tcPr>
          <w:p w14:paraId="425A1FFE" w14:textId="2604E7A0"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0.96–</w:t>
            </w:r>
            <w:r w:rsidR="00744A6A" w:rsidRPr="005950CC">
              <w:rPr>
                <w:rFonts w:ascii="Palatino Linotype" w:hAnsi="Palatino Linotype" w:cs="Times New Roman"/>
                <w:sz w:val="16"/>
                <w:szCs w:val="16"/>
              </w:rPr>
              <w:t>8.24</w:t>
            </w:r>
          </w:p>
        </w:tc>
      </w:tr>
      <w:tr w:rsidR="00744A6A" w:rsidRPr="005950CC" w14:paraId="4453BEE9" w14:textId="77777777" w:rsidTr="00312E29">
        <w:trPr>
          <w:jc w:val="center"/>
        </w:trPr>
        <w:tc>
          <w:tcPr>
            <w:tcW w:w="0" w:type="auto"/>
            <w:vAlign w:val="center"/>
          </w:tcPr>
          <w:p w14:paraId="50362915"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Estonia</w:t>
            </w:r>
          </w:p>
        </w:tc>
        <w:tc>
          <w:tcPr>
            <w:tcW w:w="0" w:type="auto"/>
            <w:vAlign w:val="center"/>
          </w:tcPr>
          <w:p w14:paraId="48D2EF8F"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1.20</w:t>
            </w:r>
          </w:p>
        </w:tc>
        <w:tc>
          <w:tcPr>
            <w:tcW w:w="0" w:type="auto"/>
            <w:vAlign w:val="center"/>
          </w:tcPr>
          <w:p w14:paraId="5F3D0E20" w14:textId="6F1611F6"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0.76–</w:t>
            </w:r>
            <w:r w:rsidR="00744A6A" w:rsidRPr="005950CC">
              <w:rPr>
                <w:rFonts w:ascii="Palatino Linotype" w:hAnsi="Palatino Linotype" w:cs="Times New Roman"/>
                <w:sz w:val="16"/>
                <w:szCs w:val="16"/>
              </w:rPr>
              <w:t>1.91</w:t>
            </w:r>
          </w:p>
        </w:tc>
      </w:tr>
      <w:tr w:rsidR="00744A6A" w:rsidRPr="005950CC" w14:paraId="1C63EED4" w14:textId="77777777" w:rsidTr="00312E29">
        <w:trPr>
          <w:jc w:val="center"/>
        </w:trPr>
        <w:tc>
          <w:tcPr>
            <w:tcW w:w="0" w:type="auto"/>
            <w:vAlign w:val="center"/>
          </w:tcPr>
          <w:p w14:paraId="5BCFCFF4"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Finland</w:t>
            </w:r>
          </w:p>
        </w:tc>
        <w:tc>
          <w:tcPr>
            <w:tcW w:w="0" w:type="auto"/>
            <w:vAlign w:val="center"/>
          </w:tcPr>
          <w:p w14:paraId="4E699F47"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1.03</w:t>
            </w:r>
          </w:p>
        </w:tc>
        <w:tc>
          <w:tcPr>
            <w:tcW w:w="0" w:type="auto"/>
            <w:vAlign w:val="center"/>
          </w:tcPr>
          <w:p w14:paraId="45104640" w14:textId="113675A0"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0.18–</w:t>
            </w:r>
            <w:r w:rsidR="00744A6A" w:rsidRPr="005950CC">
              <w:rPr>
                <w:rFonts w:ascii="Palatino Linotype" w:hAnsi="Palatino Linotype" w:cs="Times New Roman"/>
                <w:sz w:val="16"/>
                <w:szCs w:val="16"/>
              </w:rPr>
              <w:t>5.89</w:t>
            </w:r>
          </w:p>
        </w:tc>
      </w:tr>
      <w:tr w:rsidR="00744A6A" w:rsidRPr="005950CC" w14:paraId="02F05CF8" w14:textId="77777777" w:rsidTr="00312E29">
        <w:trPr>
          <w:jc w:val="center"/>
        </w:trPr>
        <w:tc>
          <w:tcPr>
            <w:tcW w:w="0" w:type="auto"/>
            <w:vAlign w:val="center"/>
          </w:tcPr>
          <w:p w14:paraId="40CDEBDF"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France</w:t>
            </w:r>
          </w:p>
        </w:tc>
        <w:tc>
          <w:tcPr>
            <w:tcW w:w="0" w:type="auto"/>
            <w:vAlign w:val="center"/>
          </w:tcPr>
          <w:p w14:paraId="36DE8DF9"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1.10</w:t>
            </w:r>
          </w:p>
        </w:tc>
        <w:tc>
          <w:tcPr>
            <w:tcW w:w="0" w:type="auto"/>
            <w:vAlign w:val="center"/>
          </w:tcPr>
          <w:p w14:paraId="12F959A2" w14:textId="46CC197A"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0.61–</w:t>
            </w:r>
            <w:r w:rsidR="00744A6A" w:rsidRPr="005950CC">
              <w:rPr>
                <w:rFonts w:ascii="Palatino Linotype" w:hAnsi="Palatino Linotype" w:cs="Times New Roman"/>
                <w:sz w:val="16"/>
                <w:szCs w:val="16"/>
              </w:rPr>
              <w:t>1.99</w:t>
            </w:r>
          </w:p>
        </w:tc>
      </w:tr>
      <w:tr w:rsidR="00744A6A" w:rsidRPr="005950CC" w14:paraId="64BB73BA" w14:textId="77777777" w:rsidTr="00312E29">
        <w:trPr>
          <w:jc w:val="center"/>
        </w:trPr>
        <w:tc>
          <w:tcPr>
            <w:tcW w:w="0" w:type="auto"/>
            <w:vAlign w:val="center"/>
          </w:tcPr>
          <w:p w14:paraId="5A2B43A6"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Germany</w:t>
            </w:r>
          </w:p>
        </w:tc>
        <w:tc>
          <w:tcPr>
            <w:tcW w:w="0" w:type="auto"/>
            <w:vAlign w:val="center"/>
          </w:tcPr>
          <w:p w14:paraId="48CF21EE"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1.70</w:t>
            </w:r>
          </w:p>
        </w:tc>
        <w:tc>
          <w:tcPr>
            <w:tcW w:w="0" w:type="auto"/>
            <w:vAlign w:val="center"/>
          </w:tcPr>
          <w:p w14:paraId="4D558426" w14:textId="28CB3D86"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1.04–</w:t>
            </w:r>
            <w:r w:rsidR="00744A6A" w:rsidRPr="005950CC">
              <w:rPr>
                <w:rFonts w:ascii="Palatino Linotype" w:hAnsi="Palatino Linotype" w:cs="Times New Roman"/>
                <w:b/>
                <w:sz w:val="16"/>
                <w:szCs w:val="16"/>
              </w:rPr>
              <w:t>2.78</w:t>
            </w:r>
          </w:p>
        </w:tc>
      </w:tr>
      <w:tr w:rsidR="00744A6A" w:rsidRPr="005950CC" w14:paraId="6EFD23BB" w14:textId="77777777" w:rsidTr="00312E29">
        <w:trPr>
          <w:jc w:val="center"/>
        </w:trPr>
        <w:tc>
          <w:tcPr>
            <w:tcW w:w="0" w:type="auto"/>
            <w:vAlign w:val="center"/>
          </w:tcPr>
          <w:p w14:paraId="0653A32E"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Greece</w:t>
            </w:r>
          </w:p>
        </w:tc>
        <w:tc>
          <w:tcPr>
            <w:tcW w:w="0" w:type="auto"/>
            <w:vAlign w:val="center"/>
          </w:tcPr>
          <w:p w14:paraId="51A7D1CF"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2.44</w:t>
            </w:r>
          </w:p>
        </w:tc>
        <w:tc>
          <w:tcPr>
            <w:tcW w:w="0" w:type="auto"/>
            <w:vAlign w:val="center"/>
          </w:tcPr>
          <w:p w14:paraId="2E28D196" w14:textId="3FC6BC22"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1.31–</w:t>
            </w:r>
            <w:r w:rsidR="00744A6A" w:rsidRPr="005950CC">
              <w:rPr>
                <w:rFonts w:ascii="Palatino Linotype" w:hAnsi="Palatino Linotype" w:cs="Times New Roman"/>
                <w:b/>
                <w:sz w:val="16"/>
                <w:szCs w:val="16"/>
              </w:rPr>
              <w:t>4.56</w:t>
            </w:r>
          </w:p>
        </w:tc>
      </w:tr>
      <w:tr w:rsidR="00744A6A" w:rsidRPr="005950CC" w14:paraId="239A019E" w14:textId="77777777" w:rsidTr="00312E29">
        <w:trPr>
          <w:jc w:val="center"/>
        </w:trPr>
        <w:tc>
          <w:tcPr>
            <w:tcW w:w="0" w:type="auto"/>
            <w:vAlign w:val="center"/>
          </w:tcPr>
          <w:p w14:paraId="0050BEA4"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Hungary</w:t>
            </w:r>
          </w:p>
        </w:tc>
        <w:tc>
          <w:tcPr>
            <w:tcW w:w="0" w:type="auto"/>
            <w:vAlign w:val="center"/>
          </w:tcPr>
          <w:p w14:paraId="34AE36E0"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2.43</w:t>
            </w:r>
          </w:p>
        </w:tc>
        <w:tc>
          <w:tcPr>
            <w:tcW w:w="0" w:type="auto"/>
            <w:vAlign w:val="center"/>
          </w:tcPr>
          <w:p w14:paraId="1A7C0A0B" w14:textId="4FA23334"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1.41–</w:t>
            </w:r>
            <w:r w:rsidR="00744A6A" w:rsidRPr="005950CC">
              <w:rPr>
                <w:rFonts w:ascii="Palatino Linotype" w:hAnsi="Palatino Linotype" w:cs="Times New Roman"/>
                <w:b/>
                <w:sz w:val="16"/>
                <w:szCs w:val="16"/>
              </w:rPr>
              <w:t>4.19</w:t>
            </w:r>
          </w:p>
        </w:tc>
      </w:tr>
      <w:tr w:rsidR="00744A6A" w:rsidRPr="005950CC" w14:paraId="485D47BE" w14:textId="77777777" w:rsidTr="00312E29">
        <w:trPr>
          <w:jc w:val="center"/>
        </w:trPr>
        <w:tc>
          <w:tcPr>
            <w:tcW w:w="0" w:type="auto"/>
            <w:vAlign w:val="center"/>
          </w:tcPr>
          <w:p w14:paraId="663CD806"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Ireland</w:t>
            </w:r>
          </w:p>
        </w:tc>
        <w:tc>
          <w:tcPr>
            <w:tcW w:w="0" w:type="auto"/>
            <w:vAlign w:val="center"/>
          </w:tcPr>
          <w:p w14:paraId="47383EE9"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6.52</w:t>
            </w:r>
          </w:p>
        </w:tc>
        <w:tc>
          <w:tcPr>
            <w:tcW w:w="0" w:type="auto"/>
            <w:vAlign w:val="center"/>
          </w:tcPr>
          <w:p w14:paraId="53D25D97" w14:textId="288AFE6B"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3.10–</w:t>
            </w:r>
            <w:r w:rsidR="00744A6A" w:rsidRPr="005950CC">
              <w:rPr>
                <w:rFonts w:ascii="Palatino Linotype" w:hAnsi="Palatino Linotype" w:cs="Times New Roman"/>
                <w:b/>
                <w:sz w:val="16"/>
                <w:szCs w:val="16"/>
              </w:rPr>
              <w:t>13.71</w:t>
            </w:r>
          </w:p>
        </w:tc>
      </w:tr>
      <w:tr w:rsidR="00744A6A" w:rsidRPr="005950CC" w14:paraId="1FE29EF2" w14:textId="77777777" w:rsidTr="00312E29">
        <w:trPr>
          <w:jc w:val="center"/>
        </w:trPr>
        <w:tc>
          <w:tcPr>
            <w:tcW w:w="0" w:type="auto"/>
            <w:vAlign w:val="center"/>
          </w:tcPr>
          <w:p w14:paraId="3D960E5A"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Italy</w:t>
            </w:r>
          </w:p>
        </w:tc>
        <w:tc>
          <w:tcPr>
            <w:tcW w:w="0" w:type="auto"/>
            <w:vAlign w:val="center"/>
          </w:tcPr>
          <w:p w14:paraId="40B173BA"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1.51</w:t>
            </w:r>
          </w:p>
        </w:tc>
        <w:tc>
          <w:tcPr>
            <w:tcW w:w="0" w:type="auto"/>
            <w:vAlign w:val="center"/>
          </w:tcPr>
          <w:p w14:paraId="72B18906" w14:textId="69CF88A9"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0.7</w:t>
            </w:r>
            <w:r w:rsidR="00A774B8" w:rsidRPr="005950CC">
              <w:rPr>
                <w:rFonts w:ascii="Palatino Linotype" w:hAnsi="Palatino Linotype" w:cs="Times New Roman"/>
                <w:sz w:val="16"/>
                <w:szCs w:val="16"/>
              </w:rPr>
              <w:t>7–</w:t>
            </w:r>
            <w:r w:rsidRPr="005950CC">
              <w:rPr>
                <w:rFonts w:ascii="Palatino Linotype" w:hAnsi="Palatino Linotype" w:cs="Times New Roman"/>
                <w:sz w:val="16"/>
                <w:szCs w:val="16"/>
              </w:rPr>
              <w:t>2.95</w:t>
            </w:r>
          </w:p>
        </w:tc>
      </w:tr>
      <w:tr w:rsidR="00744A6A" w:rsidRPr="005950CC" w14:paraId="5F9750BA" w14:textId="77777777" w:rsidTr="00312E29">
        <w:trPr>
          <w:jc w:val="center"/>
        </w:trPr>
        <w:tc>
          <w:tcPr>
            <w:tcW w:w="0" w:type="auto"/>
            <w:vAlign w:val="center"/>
          </w:tcPr>
          <w:p w14:paraId="53F875D1"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Latvia</w:t>
            </w:r>
          </w:p>
        </w:tc>
        <w:tc>
          <w:tcPr>
            <w:tcW w:w="0" w:type="auto"/>
            <w:vAlign w:val="center"/>
          </w:tcPr>
          <w:p w14:paraId="7DCCACD6"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1.73</w:t>
            </w:r>
          </w:p>
        </w:tc>
        <w:tc>
          <w:tcPr>
            <w:tcW w:w="0" w:type="auto"/>
            <w:vAlign w:val="center"/>
          </w:tcPr>
          <w:p w14:paraId="300F8CBF" w14:textId="1DE05464"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1.11–</w:t>
            </w:r>
            <w:r w:rsidR="00744A6A" w:rsidRPr="005950CC">
              <w:rPr>
                <w:rFonts w:ascii="Palatino Linotype" w:hAnsi="Palatino Linotype" w:cs="Times New Roman"/>
                <w:b/>
                <w:sz w:val="16"/>
                <w:szCs w:val="16"/>
              </w:rPr>
              <w:t>2.70</w:t>
            </w:r>
          </w:p>
        </w:tc>
      </w:tr>
      <w:tr w:rsidR="00744A6A" w:rsidRPr="005950CC" w14:paraId="34B8BEE9" w14:textId="77777777" w:rsidTr="00312E29">
        <w:trPr>
          <w:jc w:val="center"/>
        </w:trPr>
        <w:tc>
          <w:tcPr>
            <w:tcW w:w="0" w:type="auto"/>
            <w:vAlign w:val="center"/>
          </w:tcPr>
          <w:p w14:paraId="4B00EB80"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Lithuania</w:t>
            </w:r>
          </w:p>
        </w:tc>
        <w:tc>
          <w:tcPr>
            <w:tcW w:w="0" w:type="auto"/>
            <w:vAlign w:val="center"/>
          </w:tcPr>
          <w:p w14:paraId="7D5777F8"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1.70</w:t>
            </w:r>
          </w:p>
        </w:tc>
        <w:tc>
          <w:tcPr>
            <w:tcW w:w="0" w:type="auto"/>
            <w:vAlign w:val="center"/>
          </w:tcPr>
          <w:p w14:paraId="1FA26992" w14:textId="4A8AEEB7"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1.17–</w:t>
            </w:r>
            <w:r w:rsidR="00744A6A" w:rsidRPr="005950CC">
              <w:rPr>
                <w:rFonts w:ascii="Palatino Linotype" w:hAnsi="Palatino Linotype" w:cs="Times New Roman"/>
                <w:b/>
                <w:sz w:val="16"/>
                <w:szCs w:val="16"/>
              </w:rPr>
              <w:t>2.46</w:t>
            </w:r>
          </w:p>
        </w:tc>
      </w:tr>
      <w:tr w:rsidR="00744A6A" w:rsidRPr="005950CC" w14:paraId="2D847208" w14:textId="77777777" w:rsidTr="00312E29">
        <w:trPr>
          <w:jc w:val="center"/>
        </w:trPr>
        <w:tc>
          <w:tcPr>
            <w:tcW w:w="0" w:type="auto"/>
            <w:vAlign w:val="center"/>
          </w:tcPr>
          <w:p w14:paraId="2E80C551"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Luxembourg</w:t>
            </w:r>
          </w:p>
        </w:tc>
        <w:tc>
          <w:tcPr>
            <w:tcW w:w="0" w:type="auto"/>
            <w:vAlign w:val="center"/>
          </w:tcPr>
          <w:p w14:paraId="1D1E71A5"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3.72</w:t>
            </w:r>
          </w:p>
        </w:tc>
        <w:tc>
          <w:tcPr>
            <w:tcW w:w="0" w:type="auto"/>
            <w:vAlign w:val="center"/>
          </w:tcPr>
          <w:p w14:paraId="33FA89C7" w14:textId="1CE72023"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0.83–</w:t>
            </w:r>
            <w:r w:rsidR="00744A6A" w:rsidRPr="005950CC">
              <w:rPr>
                <w:rFonts w:ascii="Palatino Linotype" w:hAnsi="Palatino Linotype" w:cs="Times New Roman"/>
                <w:sz w:val="16"/>
                <w:szCs w:val="16"/>
              </w:rPr>
              <w:t>16.60</w:t>
            </w:r>
          </w:p>
        </w:tc>
      </w:tr>
      <w:tr w:rsidR="00744A6A" w:rsidRPr="005950CC" w14:paraId="47C371E2" w14:textId="77777777" w:rsidTr="00312E29">
        <w:trPr>
          <w:jc w:val="center"/>
        </w:trPr>
        <w:tc>
          <w:tcPr>
            <w:tcW w:w="0" w:type="auto"/>
            <w:vAlign w:val="center"/>
          </w:tcPr>
          <w:p w14:paraId="4D177579"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Macedonia</w:t>
            </w:r>
          </w:p>
        </w:tc>
        <w:tc>
          <w:tcPr>
            <w:tcW w:w="0" w:type="auto"/>
            <w:vAlign w:val="center"/>
          </w:tcPr>
          <w:p w14:paraId="18027143"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1.59</w:t>
            </w:r>
          </w:p>
        </w:tc>
        <w:tc>
          <w:tcPr>
            <w:tcW w:w="0" w:type="auto"/>
            <w:vAlign w:val="center"/>
          </w:tcPr>
          <w:p w14:paraId="30BFC3B3" w14:textId="70E29F5E"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0.70–</w:t>
            </w:r>
            <w:r w:rsidR="00744A6A" w:rsidRPr="005950CC">
              <w:rPr>
                <w:rFonts w:ascii="Palatino Linotype" w:hAnsi="Palatino Linotype" w:cs="Times New Roman"/>
                <w:sz w:val="16"/>
                <w:szCs w:val="16"/>
              </w:rPr>
              <w:t>3.61</w:t>
            </w:r>
          </w:p>
        </w:tc>
      </w:tr>
      <w:tr w:rsidR="00744A6A" w:rsidRPr="005950CC" w14:paraId="64F76061" w14:textId="77777777" w:rsidTr="00312E29">
        <w:trPr>
          <w:jc w:val="center"/>
        </w:trPr>
        <w:tc>
          <w:tcPr>
            <w:tcW w:w="0" w:type="auto"/>
            <w:vAlign w:val="center"/>
          </w:tcPr>
          <w:p w14:paraId="2FF4CC5C"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Malta</w:t>
            </w:r>
          </w:p>
        </w:tc>
        <w:tc>
          <w:tcPr>
            <w:tcW w:w="0" w:type="auto"/>
            <w:vAlign w:val="center"/>
          </w:tcPr>
          <w:p w14:paraId="5D50B66B"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5.63</w:t>
            </w:r>
          </w:p>
        </w:tc>
        <w:tc>
          <w:tcPr>
            <w:tcW w:w="0" w:type="auto"/>
            <w:vAlign w:val="center"/>
          </w:tcPr>
          <w:p w14:paraId="7C730E45" w14:textId="074E5413"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2.11–</w:t>
            </w:r>
            <w:r w:rsidR="00744A6A" w:rsidRPr="005950CC">
              <w:rPr>
                <w:rFonts w:ascii="Palatino Linotype" w:hAnsi="Palatino Linotype" w:cs="Times New Roman"/>
                <w:b/>
                <w:sz w:val="16"/>
                <w:szCs w:val="16"/>
              </w:rPr>
              <w:t>15.05</w:t>
            </w:r>
          </w:p>
        </w:tc>
      </w:tr>
      <w:tr w:rsidR="00744A6A" w:rsidRPr="005950CC" w14:paraId="6DA6EF44" w14:textId="77777777" w:rsidTr="00312E29">
        <w:trPr>
          <w:jc w:val="center"/>
        </w:trPr>
        <w:tc>
          <w:tcPr>
            <w:tcW w:w="0" w:type="auto"/>
            <w:vAlign w:val="center"/>
          </w:tcPr>
          <w:p w14:paraId="01395810"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Montenegro</w:t>
            </w:r>
          </w:p>
        </w:tc>
        <w:tc>
          <w:tcPr>
            <w:tcW w:w="0" w:type="auto"/>
            <w:vAlign w:val="center"/>
          </w:tcPr>
          <w:p w14:paraId="0FF403BB"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3.82</w:t>
            </w:r>
          </w:p>
        </w:tc>
        <w:tc>
          <w:tcPr>
            <w:tcW w:w="0" w:type="auto"/>
            <w:vAlign w:val="center"/>
          </w:tcPr>
          <w:p w14:paraId="1F3FCCF7" w14:textId="57C5D7DF"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1.77–</w:t>
            </w:r>
            <w:r w:rsidR="00744A6A" w:rsidRPr="005950CC">
              <w:rPr>
                <w:rFonts w:ascii="Palatino Linotype" w:hAnsi="Palatino Linotype" w:cs="Times New Roman"/>
                <w:b/>
                <w:sz w:val="16"/>
                <w:szCs w:val="16"/>
              </w:rPr>
              <w:t>8.22</w:t>
            </w:r>
          </w:p>
        </w:tc>
      </w:tr>
      <w:tr w:rsidR="00744A6A" w:rsidRPr="005950CC" w14:paraId="1555BE7F" w14:textId="77777777" w:rsidTr="00312E29">
        <w:trPr>
          <w:jc w:val="center"/>
        </w:trPr>
        <w:tc>
          <w:tcPr>
            <w:tcW w:w="0" w:type="auto"/>
            <w:vAlign w:val="center"/>
          </w:tcPr>
          <w:p w14:paraId="3835E97E"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Netherlands</w:t>
            </w:r>
          </w:p>
        </w:tc>
        <w:tc>
          <w:tcPr>
            <w:tcW w:w="0" w:type="auto"/>
            <w:vAlign w:val="center"/>
          </w:tcPr>
          <w:p w14:paraId="074B6AA8"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4.70</w:t>
            </w:r>
          </w:p>
        </w:tc>
        <w:tc>
          <w:tcPr>
            <w:tcW w:w="0" w:type="auto"/>
            <w:vAlign w:val="center"/>
          </w:tcPr>
          <w:p w14:paraId="73476760" w14:textId="026478AB"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1.76–</w:t>
            </w:r>
            <w:r w:rsidR="00744A6A" w:rsidRPr="005950CC">
              <w:rPr>
                <w:rFonts w:ascii="Palatino Linotype" w:hAnsi="Palatino Linotype" w:cs="Times New Roman"/>
                <w:b/>
                <w:sz w:val="16"/>
                <w:szCs w:val="16"/>
              </w:rPr>
              <w:t>12.59</w:t>
            </w:r>
          </w:p>
        </w:tc>
      </w:tr>
      <w:tr w:rsidR="00744A6A" w:rsidRPr="005950CC" w14:paraId="5E68EC8D" w14:textId="77777777" w:rsidTr="00312E29">
        <w:trPr>
          <w:jc w:val="center"/>
        </w:trPr>
        <w:tc>
          <w:tcPr>
            <w:tcW w:w="0" w:type="auto"/>
            <w:vAlign w:val="center"/>
          </w:tcPr>
          <w:p w14:paraId="1579C1EA"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Poland</w:t>
            </w:r>
          </w:p>
        </w:tc>
        <w:tc>
          <w:tcPr>
            <w:tcW w:w="0" w:type="auto"/>
            <w:vAlign w:val="center"/>
          </w:tcPr>
          <w:p w14:paraId="7B10F530"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1.63</w:t>
            </w:r>
          </w:p>
        </w:tc>
        <w:tc>
          <w:tcPr>
            <w:tcW w:w="0" w:type="auto"/>
            <w:vAlign w:val="center"/>
          </w:tcPr>
          <w:p w14:paraId="549B21B5" w14:textId="30421448"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1.17–</w:t>
            </w:r>
            <w:r w:rsidR="00744A6A" w:rsidRPr="005950CC">
              <w:rPr>
                <w:rFonts w:ascii="Palatino Linotype" w:hAnsi="Palatino Linotype" w:cs="Times New Roman"/>
                <w:b/>
                <w:sz w:val="16"/>
                <w:szCs w:val="16"/>
              </w:rPr>
              <w:t>2.27</w:t>
            </w:r>
          </w:p>
        </w:tc>
      </w:tr>
      <w:tr w:rsidR="00744A6A" w:rsidRPr="005950CC" w14:paraId="560EED37" w14:textId="77777777" w:rsidTr="00312E29">
        <w:trPr>
          <w:jc w:val="center"/>
        </w:trPr>
        <w:tc>
          <w:tcPr>
            <w:tcW w:w="0" w:type="auto"/>
            <w:vAlign w:val="center"/>
          </w:tcPr>
          <w:p w14:paraId="7A47C838"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Portugal</w:t>
            </w:r>
          </w:p>
        </w:tc>
        <w:tc>
          <w:tcPr>
            <w:tcW w:w="0" w:type="auto"/>
            <w:vAlign w:val="center"/>
          </w:tcPr>
          <w:p w14:paraId="2ED8F4DF"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2.23</w:t>
            </w:r>
          </w:p>
        </w:tc>
        <w:tc>
          <w:tcPr>
            <w:tcW w:w="0" w:type="auto"/>
            <w:vAlign w:val="center"/>
          </w:tcPr>
          <w:p w14:paraId="5436D179" w14:textId="57CBE9C6"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1.30–</w:t>
            </w:r>
            <w:r w:rsidR="00744A6A" w:rsidRPr="005950CC">
              <w:rPr>
                <w:rFonts w:ascii="Palatino Linotype" w:hAnsi="Palatino Linotype" w:cs="Times New Roman"/>
                <w:b/>
                <w:sz w:val="16"/>
                <w:szCs w:val="16"/>
              </w:rPr>
              <w:t>3.80</w:t>
            </w:r>
          </w:p>
        </w:tc>
      </w:tr>
      <w:tr w:rsidR="00744A6A" w:rsidRPr="005950CC" w14:paraId="08BC1418" w14:textId="77777777" w:rsidTr="00312E29">
        <w:trPr>
          <w:jc w:val="center"/>
        </w:trPr>
        <w:tc>
          <w:tcPr>
            <w:tcW w:w="0" w:type="auto"/>
            <w:vAlign w:val="center"/>
          </w:tcPr>
          <w:p w14:paraId="15AF4427"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Romania</w:t>
            </w:r>
          </w:p>
        </w:tc>
        <w:tc>
          <w:tcPr>
            <w:tcW w:w="0" w:type="auto"/>
            <w:vAlign w:val="center"/>
          </w:tcPr>
          <w:p w14:paraId="7FD65897"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1.91</w:t>
            </w:r>
          </w:p>
        </w:tc>
        <w:tc>
          <w:tcPr>
            <w:tcW w:w="0" w:type="auto"/>
            <w:vAlign w:val="center"/>
          </w:tcPr>
          <w:p w14:paraId="5D11A38C" w14:textId="49B42EF1"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1.31–</w:t>
            </w:r>
            <w:r w:rsidR="00744A6A" w:rsidRPr="005950CC">
              <w:rPr>
                <w:rFonts w:ascii="Palatino Linotype" w:hAnsi="Palatino Linotype" w:cs="Times New Roman"/>
                <w:b/>
                <w:sz w:val="16"/>
                <w:szCs w:val="16"/>
              </w:rPr>
              <w:t>2.77</w:t>
            </w:r>
          </w:p>
        </w:tc>
      </w:tr>
      <w:tr w:rsidR="00744A6A" w:rsidRPr="005950CC" w14:paraId="68CD1A29" w14:textId="77777777" w:rsidTr="00312E29">
        <w:trPr>
          <w:jc w:val="center"/>
        </w:trPr>
        <w:tc>
          <w:tcPr>
            <w:tcW w:w="0" w:type="auto"/>
            <w:vAlign w:val="center"/>
          </w:tcPr>
          <w:p w14:paraId="325B9537"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Serbia</w:t>
            </w:r>
          </w:p>
        </w:tc>
        <w:tc>
          <w:tcPr>
            <w:tcW w:w="0" w:type="auto"/>
            <w:vAlign w:val="center"/>
          </w:tcPr>
          <w:p w14:paraId="7E78372B"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1.70</w:t>
            </w:r>
          </w:p>
        </w:tc>
        <w:tc>
          <w:tcPr>
            <w:tcW w:w="0" w:type="auto"/>
            <w:vAlign w:val="center"/>
          </w:tcPr>
          <w:p w14:paraId="64E964CE" w14:textId="0320B4E6" w:rsidR="00744A6A" w:rsidRPr="005950CC" w:rsidRDefault="00A774B8"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0.98–</w:t>
            </w:r>
            <w:r w:rsidR="00744A6A" w:rsidRPr="005950CC">
              <w:rPr>
                <w:rFonts w:ascii="Palatino Linotype" w:hAnsi="Palatino Linotype" w:cs="Times New Roman"/>
                <w:sz w:val="16"/>
                <w:szCs w:val="16"/>
              </w:rPr>
              <w:t>2.95</w:t>
            </w:r>
          </w:p>
        </w:tc>
      </w:tr>
      <w:tr w:rsidR="00744A6A" w:rsidRPr="005950CC" w14:paraId="7D0CB15A" w14:textId="77777777" w:rsidTr="00312E29">
        <w:trPr>
          <w:jc w:val="center"/>
        </w:trPr>
        <w:tc>
          <w:tcPr>
            <w:tcW w:w="0" w:type="auto"/>
            <w:vAlign w:val="center"/>
          </w:tcPr>
          <w:p w14:paraId="1F71833E"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Slovakia</w:t>
            </w:r>
          </w:p>
        </w:tc>
        <w:tc>
          <w:tcPr>
            <w:tcW w:w="0" w:type="auto"/>
            <w:vAlign w:val="center"/>
          </w:tcPr>
          <w:p w14:paraId="60C4AE06"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2.32</w:t>
            </w:r>
          </w:p>
        </w:tc>
        <w:tc>
          <w:tcPr>
            <w:tcW w:w="0" w:type="auto"/>
            <w:vAlign w:val="center"/>
          </w:tcPr>
          <w:p w14:paraId="74550779" w14:textId="3D9025F7"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1.18–</w:t>
            </w:r>
            <w:r w:rsidR="00744A6A" w:rsidRPr="005950CC">
              <w:rPr>
                <w:rFonts w:ascii="Palatino Linotype" w:hAnsi="Palatino Linotype" w:cs="Times New Roman"/>
                <w:b/>
                <w:sz w:val="16"/>
                <w:szCs w:val="16"/>
              </w:rPr>
              <w:t>4.60</w:t>
            </w:r>
          </w:p>
        </w:tc>
      </w:tr>
      <w:tr w:rsidR="00744A6A" w:rsidRPr="005950CC" w14:paraId="47BDE2E0" w14:textId="77777777" w:rsidTr="00312E29">
        <w:trPr>
          <w:jc w:val="center"/>
        </w:trPr>
        <w:tc>
          <w:tcPr>
            <w:tcW w:w="0" w:type="auto"/>
            <w:vAlign w:val="center"/>
          </w:tcPr>
          <w:p w14:paraId="6AFCC866"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Slovenia</w:t>
            </w:r>
          </w:p>
        </w:tc>
        <w:tc>
          <w:tcPr>
            <w:tcW w:w="0" w:type="auto"/>
            <w:vAlign w:val="center"/>
          </w:tcPr>
          <w:p w14:paraId="7EA0D0E2"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26.32</w:t>
            </w:r>
          </w:p>
        </w:tc>
        <w:tc>
          <w:tcPr>
            <w:tcW w:w="0" w:type="auto"/>
            <w:vAlign w:val="center"/>
          </w:tcPr>
          <w:p w14:paraId="7A7A7A97" w14:textId="0714F1A7"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4.76–</w:t>
            </w:r>
            <w:r w:rsidR="00744A6A" w:rsidRPr="005950CC">
              <w:rPr>
                <w:rFonts w:ascii="Palatino Linotype" w:hAnsi="Palatino Linotype" w:cs="Times New Roman"/>
                <w:b/>
                <w:sz w:val="16"/>
                <w:szCs w:val="16"/>
              </w:rPr>
              <w:t>145.68</w:t>
            </w:r>
          </w:p>
        </w:tc>
      </w:tr>
      <w:tr w:rsidR="00744A6A" w:rsidRPr="005950CC" w14:paraId="5C295F84" w14:textId="77777777" w:rsidTr="00312E29">
        <w:trPr>
          <w:jc w:val="center"/>
        </w:trPr>
        <w:tc>
          <w:tcPr>
            <w:tcW w:w="0" w:type="auto"/>
            <w:vAlign w:val="center"/>
          </w:tcPr>
          <w:p w14:paraId="5AB57421"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Spain</w:t>
            </w:r>
          </w:p>
        </w:tc>
        <w:tc>
          <w:tcPr>
            <w:tcW w:w="0" w:type="auto"/>
            <w:vAlign w:val="center"/>
          </w:tcPr>
          <w:p w14:paraId="7E34FE23"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2.80</w:t>
            </w:r>
          </w:p>
        </w:tc>
        <w:tc>
          <w:tcPr>
            <w:tcW w:w="0" w:type="auto"/>
            <w:vAlign w:val="center"/>
          </w:tcPr>
          <w:p w14:paraId="520670FC" w14:textId="40BF0D8E"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1.48–</w:t>
            </w:r>
            <w:r w:rsidR="00744A6A" w:rsidRPr="005950CC">
              <w:rPr>
                <w:rFonts w:ascii="Palatino Linotype" w:hAnsi="Palatino Linotype" w:cs="Times New Roman"/>
                <w:b/>
                <w:sz w:val="16"/>
                <w:szCs w:val="16"/>
              </w:rPr>
              <w:t>5.29</w:t>
            </w:r>
          </w:p>
        </w:tc>
      </w:tr>
      <w:tr w:rsidR="00744A6A" w:rsidRPr="005950CC" w14:paraId="661AE8D1" w14:textId="77777777" w:rsidTr="00312E29">
        <w:trPr>
          <w:jc w:val="center"/>
        </w:trPr>
        <w:tc>
          <w:tcPr>
            <w:tcW w:w="0" w:type="auto"/>
            <w:vAlign w:val="center"/>
          </w:tcPr>
          <w:p w14:paraId="3A424157"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Sweden</w:t>
            </w:r>
          </w:p>
        </w:tc>
        <w:tc>
          <w:tcPr>
            <w:tcW w:w="0" w:type="auto"/>
            <w:vAlign w:val="center"/>
          </w:tcPr>
          <w:p w14:paraId="1AD18026"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7.12</w:t>
            </w:r>
          </w:p>
        </w:tc>
        <w:tc>
          <w:tcPr>
            <w:tcW w:w="0" w:type="auto"/>
            <w:vAlign w:val="center"/>
          </w:tcPr>
          <w:p w14:paraId="722DE79A" w14:textId="18D50052"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1.62–</w:t>
            </w:r>
            <w:r w:rsidR="00744A6A" w:rsidRPr="005950CC">
              <w:rPr>
                <w:rFonts w:ascii="Palatino Linotype" w:hAnsi="Palatino Linotype" w:cs="Times New Roman"/>
                <w:b/>
                <w:sz w:val="16"/>
                <w:szCs w:val="16"/>
              </w:rPr>
              <w:t>31.40</w:t>
            </w:r>
          </w:p>
        </w:tc>
      </w:tr>
      <w:tr w:rsidR="00744A6A" w:rsidRPr="005950CC" w14:paraId="2CD882F7" w14:textId="77777777" w:rsidTr="00312E29">
        <w:trPr>
          <w:jc w:val="center"/>
        </w:trPr>
        <w:tc>
          <w:tcPr>
            <w:tcW w:w="0" w:type="auto"/>
            <w:vAlign w:val="center"/>
          </w:tcPr>
          <w:p w14:paraId="31628D17"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Turkey</w:t>
            </w:r>
          </w:p>
        </w:tc>
        <w:tc>
          <w:tcPr>
            <w:tcW w:w="0" w:type="auto"/>
            <w:vAlign w:val="center"/>
          </w:tcPr>
          <w:p w14:paraId="2CCB8C2A"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1.91</w:t>
            </w:r>
          </w:p>
        </w:tc>
        <w:tc>
          <w:tcPr>
            <w:tcW w:w="0" w:type="auto"/>
            <w:vAlign w:val="center"/>
          </w:tcPr>
          <w:p w14:paraId="17CCF4D0" w14:textId="1BB50A06"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1.28–</w:t>
            </w:r>
            <w:r w:rsidR="00744A6A" w:rsidRPr="005950CC">
              <w:rPr>
                <w:rFonts w:ascii="Palatino Linotype" w:hAnsi="Palatino Linotype" w:cs="Times New Roman"/>
                <w:b/>
                <w:sz w:val="16"/>
                <w:szCs w:val="16"/>
              </w:rPr>
              <w:t>2.85</w:t>
            </w:r>
          </w:p>
        </w:tc>
      </w:tr>
      <w:tr w:rsidR="00744A6A" w:rsidRPr="005950CC" w14:paraId="296F7892" w14:textId="77777777" w:rsidTr="00312E29">
        <w:trPr>
          <w:jc w:val="center"/>
        </w:trPr>
        <w:tc>
          <w:tcPr>
            <w:tcW w:w="0" w:type="auto"/>
            <w:vAlign w:val="center"/>
          </w:tcPr>
          <w:p w14:paraId="09250870" w14:textId="77777777" w:rsidR="00744A6A" w:rsidRPr="005950CC" w:rsidRDefault="00744A6A" w:rsidP="00312E29">
            <w:pPr>
              <w:adjustRightInd w:val="0"/>
              <w:snapToGrid w:val="0"/>
              <w:spacing w:line="240" w:lineRule="auto"/>
              <w:rPr>
                <w:rFonts w:ascii="Palatino Linotype" w:hAnsi="Palatino Linotype" w:cs="Times New Roman"/>
                <w:sz w:val="16"/>
                <w:szCs w:val="16"/>
              </w:rPr>
            </w:pPr>
            <w:r w:rsidRPr="005950CC">
              <w:rPr>
                <w:rFonts w:ascii="Palatino Linotype" w:hAnsi="Palatino Linotype" w:cs="Times New Roman"/>
                <w:sz w:val="16"/>
                <w:szCs w:val="16"/>
              </w:rPr>
              <w:t>UK</w:t>
            </w:r>
          </w:p>
        </w:tc>
        <w:tc>
          <w:tcPr>
            <w:tcW w:w="0" w:type="auto"/>
            <w:vAlign w:val="center"/>
          </w:tcPr>
          <w:p w14:paraId="6CC167D5" w14:textId="77777777" w:rsidR="00744A6A" w:rsidRPr="005950CC" w:rsidRDefault="00744A6A"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2.18</w:t>
            </w:r>
          </w:p>
        </w:tc>
        <w:tc>
          <w:tcPr>
            <w:tcW w:w="0" w:type="auto"/>
            <w:vAlign w:val="center"/>
          </w:tcPr>
          <w:p w14:paraId="52B94A98" w14:textId="75DAB897" w:rsidR="00744A6A" w:rsidRPr="005950CC" w:rsidRDefault="00A774B8" w:rsidP="00312E29">
            <w:pPr>
              <w:adjustRightInd w:val="0"/>
              <w:snapToGrid w:val="0"/>
              <w:spacing w:line="240" w:lineRule="auto"/>
              <w:rPr>
                <w:rFonts w:ascii="Palatino Linotype" w:hAnsi="Palatino Linotype" w:cs="Times New Roman"/>
                <w:b/>
                <w:sz w:val="16"/>
                <w:szCs w:val="16"/>
              </w:rPr>
            </w:pPr>
            <w:r w:rsidRPr="005950CC">
              <w:rPr>
                <w:rFonts w:ascii="Palatino Linotype" w:hAnsi="Palatino Linotype" w:cs="Times New Roman"/>
                <w:b/>
                <w:sz w:val="16"/>
                <w:szCs w:val="16"/>
              </w:rPr>
              <w:t>1.46–</w:t>
            </w:r>
            <w:r w:rsidR="00744A6A" w:rsidRPr="005950CC">
              <w:rPr>
                <w:rFonts w:ascii="Palatino Linotype" w:hAnsi="Palatino Linotype" w:cs="Times New Roman"/>
                <w:b/>
                <w:sz w:val="16"/>
                <w:szCs w:val="16"/>
              </w:rPr>
              <w:t>3.25</w:t>
            </w:r>
          </w:p>
        </w:tc>
      </w:tr>
    </w:tbl>
    <w:p w14:paraId="34713A3A" w14:textId="50283CC9" w:rsidR="00744A6A" w:rsidRPr="005950CC" w:rsidRDefault="00744A6A" w:rsidP="00296D8B">
      <w:pPr>
        <w:pStyle w:val="MDPI43tablefooter"/>
        <w:jc w:val="center"/>
        <w:rPr>
          <w:sz w:val="16"/>
          <w:szCs w:val="16"/>
          <w:lang w:val="en-GB"/>
        </w:rPr>
      </w:pPr>
      <w:r w:rsidRPr="005950CC">
        <w:rPr>
          <w:sz w:val="16"/>
          <w:szCs w:val="16"/>
          <w:lang w:val="en-GB"/>
        </w:rPr>
        <w:t xml:space="preserve">Results </w:t>
      </w:r>
      <w:proofErr w:type="gramStart"/>
      <w:r w:rsidRPr="005950CC">
        <w:rPr>
          <w:sz w:val="16"/>
          <w:szCs w:val="16"/>
          <w:lang w:val="en-GB"/>
        </w:rPr>
        <w:t>which differ significantly from zero</w:t>
      </w:r>
      <w:proofErr w:type="gramEnd"/>
      <w:r w:rsidRPr="005950CC">
        <w:rPr>
          <w:sz w:val="16"/>
          <w:szCs w:val="16"/>
          <w:lang w:val="en-GB"/>
        </w:rPr>
        <w:t xml:space="preserve"> (at </w:t>
      </w:r>
      <w:r w:rsidRPr="005950CC">
        <w:rPr>
          <w:i/>
          <w:sz w:val="16"/>
          <w:szCs w:val="16"/>
          <w:lang w:val="en-GB"/>
        </w:rPr>
        <w:t>p</w:t>
      </w:r>
      <w:r w:rsidR="00296D8B" w:rsidRPr="005950CC">
        <w:rPr>
          <w:sz w:val="16"/>
          <w:szCs w:val="16"/>
          <w:lang w:val="en-GB"/>
        </w:rPr>
        <w:t xml:space="preserve"> </w:t>
      </w:r>
      <w:r w:rsidRPr="005950CC">
        <w:rPr>
          <w:sz w:val="16"/>
          <w:szCs w:val="16"/>
          <w:lang w:val="en-GB"/>
        </w:rPr>
        <w:t>&lt;</w:t>
      </w:r>
      <w:r w:rsidR="00296D8B" w:rsidRPr="005950CC">
        <w:rPr>
          <w:sz w:val="16"/>
          <w:szCs w:val="16"/>
          <w:lang w:val="en-GB"/>
        </w:rPr>
        <w:t xml:space="preserve"> </w:t>
      </w:r>
      <w:r w:rsidRPr="005950CC">
        <w:rPr>
          <w:sz w:val="16"/>
          <w:szCs w:val="16"/>
          <w:lang w:val="en-GB"/>
        </w:rPr>
        <w:t>0.05) are in bold typeface</w:t>
      </w:r>
      <w:r w:rsidR="00296D8B" w:rsidRPr="005950CC">
        <w:rPr>
          <w:sz w:val="16"/>
          <w:szCs w:val="16"/>
          <w:lang w:val="en-GB"/>
        </w:rPr>
        <w:t>.</w:t>
      </w:r>
    </w:p>
    <w:p w14:paraId="2894780B" w14:textId="416E9CC8" w:rsidR="00021148" w:rsidRPr="005950CC" w:rsidRDefault="00021148" w:rsidP="00296D8B">
      <w:pPr>
        <w:pStyle w:val="MDPI22heading2"/>
        <w:rPr>
          <w:lang w:val="en-GB"/>
        </w:rPr>
      </w:pPr>
      <w:r w:rsidRPr="005950CC">
        <w:rPr>
          <w:lang w:val="en-GB"/>
        </w:rPr>
        <w:t xml:space="preserve">4.2. Poor </w:t>
      </w:r>
      <w:r w:rsidR="00296D8B" w:rsidRPr="005950CC">
        <w:rPr>
          <w:lang w:val="en-GB"/>
        </w:rPr>
        <w:t>Emotional Well</w:t>
      </w:r>
      <w:r w:rsidRPr="005950CC">
        <w:rPr>
          <w:lang w:val="en-GB"/>
        </w:rPr>
        <w:t>-</w:t>
      </w:r>
      <w:r w:rsidR="00296D8B" w:rsidRPr="005950CC">
        <w:rPr>
          <w:lang w:val="en-GB"/>
        </w:rPr>
        <w:t xml:space="preserve">Being </w:t>
      </w:r>
      <w:r w:rsidRPr="005950CC">
        <w:rPr>
          <w:lang w:val="en-GB"/>
        </w:rPr>
        <w:t xml:space="preserve">and </w:t>
      </w:r>
      <w:r w:rsidR="00296D8B" w:rsidRPr="005950CC">
        <w:rPr>
          <w:lang w:val="en-GB"/>
        </w:rPr>
        <w:t xml:space="preserve">Energy Poverty </w:t>
      </w:r>
    </w:p>
    <w:p w14:paraId="62CDFE5C" w14:textId="25D41FB2" w:rsidR="00021148" w:rsidRPr="005950CC" w:rsidRDefault="00021148" w:rsidP="00863893">
      <w:pPr>
        <w:pStyle w:val="MDPI31text"/>
        <w:rPr>
          <w:lang w:val="en-GB"/>
        </w:rPr>
      </w:pPr>
      <w:r w:rsidRPr="005950CC">
        <w:rPr>
          <w:lang w:val="en-GB"/>
        </w:rPr>
        <w:t xml:space="preserve">As before, the </w:t>
      </w:r>
      <w:proofErr w:type="gramStart"/>
      <w:r w:rsidRPr="005950CC">
        <w:rPr>
          <w:lang w:val="en-GB"/>
        </w:rPr>
        <w:t>difference in mean scores for the WHO-5 index were</w:t>
      </w:r>
      <w:proofErr w:type="gramEnd"/>
      <w:r w:rsidRPr="005950CC">
        <w:rPr>
          <w:lang w:val="en-GB"/>
        </w:rPr>
        <w:t xml:space="preserve"> compared for individuals in energy poor homes and those not. Well-being was found to be lower for individuals living in energy poverty than those who were not in all countries except Finland. Mann–Whitney U tests showed these differences were statistically significant in 30 of the study countries, the exceptions being Finland and the Netherlands. Subsequently, prevalence rates were calculated for the incidence of poor emotional </w:t>
      </w:r>
      <w:proofErr w:type="gramStart"/>
      <w:r w:rsidR="00312E29" w:rsidRPr="005950CC">
        <w:rPr>
          <w:lang w:val="en-GB"/>
        </w:rPr>
        <w:t>well-being</w:t>
      </w:r>
      <w:proofErr w:type="gramEnd"/>
      <w:r w:rsidR="00312E29" w:rsidRPr="005950CC">
        <w:rPr>
          <w:lang w:val="en-GB"/>
        </w:rPr>
        <w:t xml:space="preserve"> (WHO-5 index score ≤</w:t>
      </w:r>
      <w:r w:rsidR="008F4FF8" w:rsidRPr="005950CC">
        <w:rPr>
          <w:lang w:val="en-GB"/>
        </w:rPr>
        <w:t xml:space="preserve"> </w:t>
      </w:r>
      <w:r w:rsidRPr="005950CC">
        <w:rPr>
          <w:lang w:val="en-GB"/>
        </w:rPr>
        <w:t xml:space="preserve">50) in the </w:t>
      </w:r>
      <w:r w:rsidR="00BF5584" w:rsidRPr="005950CC">
        <w:rPr>
          <w:lang w:val="en-GB"/>
        </w:rPr>
        <w:t xml:space="preserve">non-energy poor </w:t>
      </w:r>
      <w:r w:rsidRPr="005950CC">
        <w:rPr>
          <w:lang w:val="en-GB"/>
        </w:rPr>
        <w:t>and</w:t>
      </w:r>
      <w:r w:rsidR="00BF5584" w:rsidRPr="005950CC">
        <w:rPr>
          <w:lang w:val="en-GB"/>
        </w:rPr>
        <w:t xml:space="preserve"> </w:t>
      </w:r>
      <w:r w:rsidRPr="005950CC">
        <w:rPr>
          <w:lang w:val="en-GB"/>
        </w:rPr>
        <w:t>energy poor population</w:t>
      </w:r>
      <w:r w:rsidR="00BF5584" w:rsidRPr="005950CC">
        <w:rPr>
          <w:lang w:val="en-GB"/>
        </w:rPr>
        <w:t>s</w:t>
      </w:r>
      <w:r w:rsidRPr="005950CC">
        <w:rPr>
          <w:lang w:val="en-GB"/>
        </w:rPr>
        <w:t xml:space="preserve">, as displayed in Figure </w:t>
      </w:r>
      <w:r w:rsidR="00BF5584" w:rsidRPr="005950CC">
        <w:rPr>
          <w:lang w:val="en-GB"/>
        </w:rPr>
        <w:t>3</w:t>
      </w:r>
      <w:r w:rsidRPr="005950CC">
        <w:rPr>
          <w:lang w:val="en-GB"/>
        </w:rPr>
        <w:t xml:space="preserve">. </w:t>
      </w:r>
    </w:p>
    <w:p w14:paraId="29982252" w14:textId="77777777" w:rsidR="00863893" w:rsidRPr="005950CC" w:rsidRDefault="00863893" w:rsidP="00863893">
      <w:pPr>
        <w:pStyle w:val="MDPI31text"/>
        <w:spacing w:after="240"/>
        <w:rPr>
          <w:lang w:val="en-GB"/>
        </w:rPr>
      </w:pPr>
      <w:r w:rsidRPr="005950CC">
        <w:rPr>
          <w:lang w:val="en-GB"/>
        </w:rPr>
        <w:t xml:space="preserve">As was found with poor health, there is an uneven distribution of poor emotional </w:t>
      </w:r>
      <w:proofErr w:type="gramStart"/>
      <w:r w:rsidRPr="005950CC">
        <w:rPr>
          <w:lang w:val="en-GB"/>
        </w:rPr>
        <w:t>well-being</w:t>
      </w:r>
      <w:proofErr w:type="gramEnd"/>
      <w:r w:rsidRPr="005950CC">
        <w:rPr>
          <w:lang w:val="en-GB"/>
        </w:rPr>
        <w:t xml:space="preserve"> across Europe, with the highest overall prevalence rates found within Central and Eastern Europe, and Turkey. In all countries, the prevalence of poor </w:t>
      </w:r>
      <w:proofErr w:type="gramStart"/>
      <w:r w:rsidRPr="005950CC">
        <w:rPr>
          <w:lang w:val="en-GB"/>
        </w:rPr>
        <w:t>well-being</w:t>
      </w:r>
      <w:proofErr w:type="gramEnd"/>
      <w:r w:rsidRPr="005950CC">
        <w:rPr>
          <w:lang w:val="en-GB"/>
        </w:rPr>
        <w:t xml:space="preserve"> is higher within the energy poor population than the non-energy poor population, with Slovenia and Sweden again exhibiting a large difference in prevalence between groups, along with Slovakia. The scatterplot in Figure 4 depicts the percentage point differences in poor well-being rates between energy poor and non-energy poor populations against the overall energy poverty rates for each country.</w:t>
      </w:r>
    </w:p>
    <w:p w14:paraId="3F6298DB" w14:textId="76AE1D2E" w:rsidR="00B16B3A" w:rsidRPr="005950CC" w:rsidRDefault="00B16B3A" w:rsidP="00296D8B">
      <w:pPr>
        <w:pStyle w:val="MDPI52figure"/>
        <w:rPr>
          <w:lang w:val="en-GB"/>
        </w:rPr>
      </w:pPr>
      <w:r w:rsidRPr="005950CC">
        <w:rPr>
          <w:noProof/>
          <w:lang w:eastAsia="en-US" w:bidi="ar-SA"/>
        </w:rPr>
        <w:lastRenderedPageBreak/>
        <w:drawing>
          <wp:inline distT="0" distB="0" distL="0" distR="0" wp14:anchorId="10A255B7" wp14:editId="12A5AA0A">
            <wp:extent cx="5831421" cy="3436471"/>
            <wp:effectExtent l="0" t="0" r="3619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2A6AA8" w14:textId="029583F3" w:rsidR="00B16B3A" w:rsidRPr="005950CC" w:rsidRDefault="00296D8B" w:rsidP="002F6F7C">
      <w:pPr>
        <w:pStyle w:val="MDPI51figurecaption"/>
        <w:spacing w:after="120"/>
        <w:rPr>
          <w:snapToGrid w:val="0"/>
          <w:lang w:val="en-GB"/>
        </w:rPr>
      </w:pPr>
      <w:r w:rsidRPr="005950CC">
        <w:rPr>
          <w:b/>
          <w:snapToGrid w:val="0"/>
          <w:lang w:val="en-GB"/>
        </w:rPr>
        <w:t>Figure 3.</w:t>
      </w:r>
      <w:r w:rsidRPr="005950CC">
        <w:rPr>
          <w:snapToGrid w:val="0"/>
          <w:lang w:val="en-GB"/>
        </w:rPr>
        <w:t xml:space="preserve"> Line graph showing the prevalence of poor emotional </w:t>
      </w:r>
      <w:proofErr w:type="gramStart"/>
      <w:r w:rsidRPr="005950CC">
        <w:rPr>
          <w:snapToGrid w:val="0"/>
          <w:lang w:val="en-GB"/>
        </w:rPr>
        <w:t>well-being</w:t>
      </w:r>
      <w:proofErr w:type="gramEnd"/>
      <w:r w:rsidRPr="005950CC">
        <w:rPr>
          <w:snapToGrid w:val="0"/>
          <w:lang w:val="en-GB"/>
        </w:rPr>
        <w:t xml:space="preserve"> among the energy poor and non-energy poor populations across 32 European countries.</w:t>
      </w:r>
    </w:p>
    <w:p w14:paraId="3EF8E692" w14:textId="77C4B791" w:rsidR="0051108A" w:rsidRPr="005950CC" w:rsidRDefault="0051108A" w:rsidP="00296D8B">
      <w:pPr>
        <w:pStyle w:val="MDPI52figure"/>
        <w:rPr>
          <w:lang w:val="en-GB"/>
        </w:rPr>
      </w:pPr>
      <w:r w:rsidRPr="005950CC">
        <w:rPr>
          <w:noProof/>
          <w:lang w:eastAsia="en-US" w:bidi="ar-SA"/>
        </w:rPr>
        <w:drawing>
          <wp:inline distT="0" distB="0" distL="0" distR="0" wp14:anchorId="50C326BE" wp14:editId="68F59B29">
            <wp:extent cx="5486400" cy="3105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868979" w14:textId="1E33AD12" w:rsidR="00296D8B" w:rsidRPr="005950CC" w:rsidRDefault="00296D8B" w:rsidP="00296D8B">
      <w:pPr>
        <w:pStyle w:val="MDPI51figurecaption"/>
        <w:rPr>
          <w:snapToGrid w:val="0"/>
          <w:lang w:val="en-GB"/>
        </w:rPr>
      </w:pPr>
      <w:r w:rsidRPr="005950CC">
        <w:rPr>
          <w:b/>
          <w:snapToGrid w:val="0"/>
          <w:lang w:val="en-GB"/>
        </w:rPr>
        <w:t>Figure 4.</w:t>
      </w:r>
      <w:r w:rsidRPr="005950CC">
        <w:rPr>
          <w:snapToGrid w:val="0"/>
          <w:lang w:val="en-GB"/>
        </w:rPr>
        <w:t xml:space="preserve"> Scatterplot of energy rates and differences in poor </w:t>
      </w:r>
      <w:proofErr w:type="gramStart"/>
      <w:r w:rsidRPr="005950CC">
        <w:rPr>
          <w:snapToGrid w:val="0"/>
          <w:lang w:val="en-GB"/>
        </w:rPr>
        <w:t>well-being</w:t>
      </w:r>
      <w:proofErr w:type="gramEnd"/>
      <w:r w:rsidRPr="005950CC">
        <w:rPr>
          <w:snapToGrid w:val="0"/>
          <w:lang w:val="en-GB"/>
        </w:rPr>
        <w:t xml:space="preserve"> rates between energy poor and non-energy poor populations across 32 European countries.</w:t>
      </w:r>
    </w:p>
    <w:p w14:paraId="37F007A1" w14:textId="55D0AB28" w:rsidR="00021148" w:rsidRPr="005950CC" w:rsidRDefault="00021148" w:rsidP="00296D8B">
      <w:pPr>
        <w:pStyle w:val="MDPI31text"/>
        <w:spacing w:after="240"/>
        <w:rPr>
          <w:lang w:val="en-GB"/>
        </w:rPr>
      </w:pPr>
      <w:r w:rsidRPr="005950CC">
        <w:rPr>
          <w:lang w:val="en-GB"/>
        </w:rPr>
        <w:t xml:space="preserve">In Figure </w:t>
      </w:r>
      <w:r w:rsidR="001C3963" w:rsidRPr="005950CC">
        <w:rPr>
          <w:lang w:val="en-GB"/>
        </w:rPr>
        <w:t>5</w:t>
      </w:r>
      <w:r w:rsidRPr="005950CC">
        <w:rPr>
          <w:lang w:val="en-GB"/>
        </w:rPr>
        <w:t>, the prevalence rates for likely depression (WHO-5 index score ≤</w:t>
      </w:r>
      <w:r w:rsidR="008F4FF8" w:rsidRPr="005950CC">
        <w:rPr>
          <w:lang w:val="en-GB"/>
        </w:rPr>
        <w:t xml:space="preserve"> </w:t>
      </w:r>
      <w:r w:rsidRPr="005950CC">
        <w:rPr>
          <w:lang w:val="en-GB"/>
        </w:rPr>
        <w:t xml:space="preserve">28) are plotted for the energy poor and </w:t>
      </w:r>
      <w:r w:rsidR="001C3963" w:rsidRPr="005950CC">
        <w:rPr>
          <w:lang w:val="en-GB"/>
        </w:rPr>
        <w:t>non-energy poor</w:t>
      </w:r>
      <w:r w:rsidRPr="005950CC">
        <w:rPr>
          <w:lang w:val="en-GB"/>
        </w:rPr>
        <w:t xml:space="preserve"> populations in each country. Here</w:t>
      </w:r>
      <w:r w:rsidR="007F2001" w:rsidRPr="005950CC">
        <w:rPr>
          <w:lang w:val="en-GB"/>
        </w:rPr>
        <w:t xml:space="preserve"> we find a higher prevalence of likely depression among the energy poor populations in most countries, although the within-country differences in prevalence are substantially smaller than for SRH and poor </w:t>
      </w:r>
      <w:proofErr w:type="gramStart"/>
      <w:r w:rsidR="007F2001" w:rsidRPr="005950CC">
        <w:rPr>
          <w:lang w:val="en-GB"/>
        </w:rPr>
        <w:t>well-being</w:t>
      </w:r>
      <w:proofErr w:type="gramEnd"/>
      <w:r w:rsidR="007F2001" w:rsidRPr="005950CC">
        <w:rPr>
          <w:lang w:val="en-GB"/>
        </w:rPr>
        <w:t xml:space="preserve">, particularly for Sweden. </w:t>
      </w:r>
      <w:r w:rsidRPr="005950CC">
        <w:rPr>
          <w:lang w:val="en-GB"/>
        </w:rPr>
        <w:t>The Finnish results are somewhat anomalous, however, this is unsurprising as the difference in mean WHO-5 scores is not statistically significant.</w:t>
      </w:r>
      <w:r w:rsidR="0060376A" w:rsidRPr="005950CC">
        <w:rPr>
          <w:lang w:val="en-GB"/>
        </w:rPr>
        <w:t xml:space="preserve"> As was </w:t>
      </w:r>
      <w:r w:rsidR="0060376A" w:rsidRPr="005950CC">
        <w:rPr>
          <w:lang w:val="en-GB"/>
        </w:rPr>
        <w:lastRenderedPageBreak/>
        <w:t>mentioned earlier, some countries have relatively small sub-samples, thus necessitating future analysis of larger datasets to confirm initial observations in this paper.</w:t>
      </w:r>
    </w:p>
    <w:p w14:paraId="3900466F" w14:textId="23FFA6F1" w:rsidR="00BA250B" w:rsidRPr="005950CC" w:rsidRDefault="00BA250B" w:rsidP="00296D8B">
      <w:pPr>
        <w:pStyle w:val="MDPI52figure"/>
        <w:rPr>
          <w:lang w:val="en-GB"/>
        </w:rPr>
      </w:pPr>
      <w:r w:rsidRPr="005950CC">
        <w:rPr>
          <w:noProof/>
          <w:lang w:eastAsia="en-US" w:bidi="ar-SA"/>
        </w:rPr>
        <w:drawing>
          <wp:inline distT="0" distB="0" distL="0" distR="0" wp14:anchorId="21B426F9" wp14:editId="2EC18C67">
            <wp:extent cx="5627140" cy="3289786"/>
            <wp:effectExtent l="0" t="0" r="37465"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E0E26A" w14:textId="18067B37" w:rsidR="00296D8B" w:rsidRPr="005950CC" w:rsidRDefault="00296D8B" w:rsidP="00296D8B">
      <w:pPr>
        <w:pStyle w:val="MDPI51figurecaption"/>
        <w:rPr>
          <w:snapToGrid w:val="0"/>
          <w:lang w:val="en-GB"/>
        </w:rPr>
      </w:pPr>
      <w:r w:rsidRPr="005950CC">
        <w:rPr>
          <w:b/>
          <w:snapToGrid w:val="0"/>
          <w:lang w:val="en-GB"/>
        </w:rPr>
        <w:t>Figure 5.</w:t>
      </w:r>
      <w:r w:rsidRPr="005950CC">
        <w:rPr>
          <w:snapToGrid w:val="0"/>
          <w:lang w:val="en-GB"/>
        </w:rPr>
        <w:t xml:space="preserve"> Line graph showing the prevalence of likely depression among the energy poor and non-energy poor populations across 32 European countries.</w:t>
      </w:r>
    </w:p>
    <w:p w14:paraId="78A0B684" w14:textId="3E20C0C4" w:rsidR="007F2001" w:rsidRPr="005950CC" w:rsidRDefault="007F2001" w:rsidP="00312E29">
      <w:pPr>
        <w:pStyle w:val="MDPI31text"/>
        <w:spacing w:after="240"/>
        <w:rPr>
          <w:lang w:val="en-GB"/>
        </w:rPr>
      </w:pPr>
      <w:r w:rsidRPr="005950CC">
        <w:rPr>
          <w:lang w:val="en-GB"/>
        </w:rPr>
        <w:t>As before, the within-country differences in the rates of likely depression</w:t>
      </w:r>
      <w:r w:rsidR="007D1B6F" w:rsidRPr="005950CC">
        <w:rPr>
          <w:lang w:val="en-GB"/>
        </w:rPr>
        <w:t xml:space="preserve"> between energy poor and non-energy poor households</w:t>
      </w:r>
      <w:r w:rsidRPr="005950CC">
        <w:rPr>
          <w:lang w:val="en-GB"/>
        </w:rPr>
        <w:t xml:space="preserve"> are plotted against the overall energy poverty rates for each country, as can be seen in Figure 6.</w:t>
      </w:r>
      <w:r w:rsidR="007D1B6F" w:rsidRPr="005950CC">
        <w:rPr>
          <w:lang w:val="en-GB"/>
        </w:rPr>
        <w:t xml:space="preserve"> Similar geographical groupings emerge, although they are less pronounced than for poor SRH and </w:t>
      </w:r>
      <w:proofErr w:type="gramStart"/>
      <w:r w:rsidR="007D1B6F" w:rsidRPr="005950CC">
        <w:rPr>
          <w:lang w:val="en-GB"/>
        </w:rPr>
        <w:t>well-being</w:t>
      </w:r>
      <w:proofErr w:type="gramEnd"/>
      <w:r w:rsidR="00312E29" w:rsidRPr="005950CC">
        <w:rPr>
          <w:lang w:val="en-GB"/>
        </w:rPr>
        <w:t>.</w:t>
      </w:r>
    </w:p>
    <w:p w14:paraId="1E8DBB6C" w14:textId="6437DB7B" w:rsidR="006F078B" w:rsidRPr="005950CC" w:rsidRDefault="00900B3C" w:rsidP="00CF49E5">
      <w:pPr>
        <w:pStyle w:val="MDPI52figure"/>
        <w:rPr>
          <w:lang w:val="en-GB"/>
        </w:rPr>
      </w:pPr>
      <w:r w:rsidRPr="005950CC">
        <w:rPr>
          <w:noProof/>
          <w:lang w:eastAsia="en-US" w:bidi="ar-SA"/>
        </w:rPr>
        <w:drawing>
          <wp:inline distT="0" distB="0" distL="0" distR="0" wp14:anchorId="4DEBEDED" wp14:editId="2C8E1DAB">
            <wp:extent cx="5403600" cy="3283200"/>
            <wp:effectExtent l="0" t="0" r="6985" b="1270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2C7D8F" w14:textId="425E00BC" w:rsidR="00CF49E5" w:rsidRPr="005950CC" w:rsidRDefault="00CF49E5" w:rsidP="00CF49E5">
      <w:pPr>
        <w:pStyle w:val="MDPI51figurecaption"/>
        <w:rPr>
          <w:snapToGrid w:val="0"/>
          <w:lang w:val="en-GB"/>
        </w:rPr>
      </w:pPr>
      <w:r w:rsidRPr="005950CC">
        <w:rPr>
          <w:b/>
          <w:snapToGrid w:val="0"/>
          <w:lang w:val="en-GB"/>
        </w:rPr>
        <w:t>Figure 6.</w:t>
      </w:r>
      <w:r w:rsidRPr="005950CC">
        <w:rPr>
          <w:snapToGrid w:val="0"/>
          <w:lang w:val="en-GB"/>
        </w:rPr>
        <w:t xml:space="preserve"> Scatterplot of energy rates and differences in likely depression rates between energy poor and non-energy poor populations across 32 European countries.</w:t>
      </w:r>
    </w:p>
    <w:p w14:paraId="14A8FD86" w14:textId="77777777" w:rsidR="00021148" w:rsidRPr="005950CC" w:rsidRDefault="00021148" w:rsidP="00CF49E5">
      <w:pPr>
        <w:pStyle w:val="MDPI31text"/>
        <w:rPr>
          <w:lang w:val="en-GB"/>
        </w:rPr>
      </w:pPr>
      <w:r w:rsidRPr="005950CC">
        <w:rPr>
          <w:lang w:val="en-GB"/>
        </w:rPr>
        <w:lastRenderedPageBreak/>
        <w:t xml:space="preserve">The combined logistic regression results in Table 3 establish that the risks of experiencing poor emotional </w:t>
      </w:r>
      <w:proofErr w:type="gramStart"/>
      <w:r w:rsidRPr="005950CC">
        <w:rPr>
          <w:lang w:val="en-GB"/>
        </w:rPr>
        <w:t>well-being</w:t>
      </w:r>
      <w:proofErr w:type="gramEnd"/>
      <w:r w:rsidRPr="005950CC">
        <w:rPr>
          <w:lang w:val="en-GB"/>
        </w:rPr>
        <w:t xml:space="preserve">, as well as likely depression, are greater among energy poor households than non-energy poor households across nearly all European countries. In terms of poor </w:t>
      </w:r>
      <w:proofErr w:type="gramStart"/>
      <w:r w:rsidRPr="005950CC">
        <w:rPr>
          <w:lang w:val="en-GB"/>
        </w:rPr>
        <w:t>well-being</w:t>
      </w:r>
      <w:proofErr w:type="gramEnd"/>
      <w:r w:rsidRPr="005950CC">
        <w:rPr>
          <w:lang w:val="en-GB"/>
        </w:rPr>
        <w:t>, the highest odds ratio can be found in Sweden (7.84), Greece (3.80), and Ireland (3.76), which broadly reflects the results for poor SRH, where energy poor households in Slovenia, Sweden and Ireland were at a greater risk of experiencing poor SRH than their non-energy poor counterparts. Somewhat similarly, the highest odds ratio for likely depression can be found in Denmark (34.58), Slovenia (19.93), and Ireland (6.42).</w:t>
      </w:r>
    </w:p>
    <w:p w14:paraId="48901716" w14:textId="4D89575D" w:rsidR="001578ED" w:rsidRPr="005950CC" w:rsidRDefault="001578ED" w:rsidP="00CF49E5">
      <w:pPr>
        <w:pStyle w:val="MDPI41tablecaption"/>
        <w:rPr>
          <w:lang w:val="en-GB"/>
        </w:rPr>
      </w:pPr>
      <w:r w:rsidRPr="005950CC">
        <w:rPr>
          <w:b/>
          <w:lang w:val="en-GB"/>
        </w:rPr>
        <w:t>Table 3</w:t>
      </w:r>
      <w:r w:rsidR="00CF49E5" w:rsidRPr="005950CC">
        <w:rPr>
          <w:b/>
          <w:lang w:val="en-GB"/>
        </w:rPr>
        <w:t>.</w:t>
      </w:r>
      <w:r w:rsidRPr="005950CC">
        <w:rPr>
          <w:lang w:val="en-GB"/>
        </w:rPr>
        <w:t xml:space="preserve"> Logistic regression results for the association between energy poverty and poor </w:t>
      </w:r>
      <w:proofErr w:type="gramStart"/>
      <w:r w:rsidRPr="005950CC">
        <w:rPr>
          <w:lang w:val="en-GB"/>
        </w:rPr>
        <w:t>well-being</w:t>
      </w:r>
      <w:proofErr w:type="gramEnd"/>
      <w:r w:rsidRPr="005950CC">
        <w:rPr>
          <w:lang w:val="en-GB"/>
        </w:rPr>
        <w:t xml:space="preserve">, and energy poverty and likely depression. </w:t>
      </w:r>
      <w:proofErr w:type="gramStart"/>
      <w:r w:rsidRPr="005950CC">
        <w:rPr>
          <w:lang w:val="en-GB"/>
        </w:rPr>
        <w:t>Odds ratio (OR) and 95% confidence intervals (95% CI)</w:t>
      </w:r>
      <w:r w:rsidR="00CF49E5" w:rsidRPr="005950CC">
        <w:rPr>
          <w:lang w:val="en-GB"/>
        </w:rPr>
        <w:t>.</w:t>
      </w:r>
      <w:proofErr w:type="gramEnd"/>
      <w:r w:rsidRPr="005950CC">
        <w:rPr>
          <w:lang w:val="en-GB"/>
        </w:rPr>
        <w:t xml:space="preserve"> </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50"/>
        <w:gridCol w:w="1026"/>
        <w:gridCol w:w="1150"/>
        <w:gridCol w:w="1116"/>
      </w:tblGrid>
      <w:tr w:rsidR="001578ED" w:rsidRPr="002E21AA" w14:paraId="464E809C" w14:textId="77777777" w:rsidTr="00CF49E5">
        <w:trPr>
          <w:jc w:val="center"/>
        </w:trPr>
        <w:tc>
          <w:tcPr>
            <w:tcW w:w="0" w:type="auto"/>
            <w:vMerge w:val="restart"/>
            <w:tcBorders>
              <w:top w:val="single" w:sz="8" w:space="0" w:color="auto"/>
              <w:bottom w:val="nil"/>
            </w:tcBorders>
            <w:vAlign w:val="center"/>
          </w:tcPr>
          <w:p w14:paraId="57EA6575"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Country</w:t>
            </w:r>
          </w:p>
        </w:tc>
        <w:tc>
          <w:tcPr>
            <w:tcW w:w="0" w:type="auto"/>
            <w:gridSpan w:val="2"/>
            <w:tcBorders>
              <w:top w:val="single" w:sz="8" w:space="0" w:color="auto"/>
              <w:bottom w:val="single" w:sz="4" w:space="0" w:color="auto"/>
            </w:tcBorders>
            <w:vAlign w:val="center"/>
          </w:tcPr>
          <w:p w14:paraId="56431238" w14:textId="3ABC1E14"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 xml:space="preserve">Poor </w:t>
            </w:r>
            <w:r w:rsidR="00CF49E5" w:rsidRPr="002E21AA">
              <w:rPr>
                <w:rFonts w:ascii="Palatino Linotype" w:hAnsi="Palatino Linotype" w:cs="Times New Roman"/>
                <w:b/>
                <w:sz w:val="18"/>
                <w:szCs w:val="18"/>
              </w:rPr>
              <w:t>Well</w:t>
            </w:r>
            <w:r w:rsidRPr="002E21AA">
              <w:rPr>
                <w:rFonts w:ascii="Palatino Linotype" w:hAnsi="Palatino Linotype" w:cs="Times New Roman"/>
                <w:b/>
                <w:sz w:val="18"/>
                <w:szCs w:val="18"/>
              </w:rPr>
              <w:t>-</w:t>
            </w:r>
            <w:r w:rsidR="00CF49E5" w:rsidRPr="002E21AA">
              <w:rPr>
                <w:rFonts w:ascii="Palatino Linotype" w:hAnsi="Palatino Linotype" w:cs="Times New Roman"/>
                <w:b/>
                <w:sz w:val="18"/>
                <w:szCs w:val="18"/>
              </w:rPr>
              <w:t>Being</w:t>
            </w:r>
          </w:p>
        </w:tc>
        <w:tc>
          <w:tcPr>
            <w:tcW w:w="0" w:type="auto"/>
            <w:gridSpan w:val="2"/>
            <w:tcBorders>
              <w:top w:val="single" w:sz="8" w:space="0" w:color="auto"/>
              <w:bottom w:val="single" w:sz="4" w:space="0" w:color="auto"/>
            </w:tcBorders>
            <w:vAlign w:val="center"/>
          </w:tcPr>
          <w:p w14:paraId="661ECA94" w14:textId="2D972CD3"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 xml:space="preserve">Likely </w:t>
            </w:r>
            <w:r w:rsidR="00CF49E5" w:rsidRPr="002E21AA">
              <w:rPr>
                <w:rFonts w:ascii="Palatino Linotype" w:hAnsi="Palatino Linotype" w:cs="Times New Roman"/>
                <w:b/>
                <w:sz w:val="18"/>
                <w:szCs w:val="18"/>
              </w:rPr>
              <w:t>Depression</w:t>
            </w:r>
          </w:p>
        </w:tc>
      </w:tr>
      <w:tr w:rsidR="001578ED" w:rsidRPr="002E21AA" w14:paraId="28F921B1" w14:textId="77777777" w:rsidTr="00CF49E5">
        <w:trPr>
          <w:jc w:val="center"/>
        </w:trPr>
        <w:tc>
          <w:tcPr>
            <w:tcW w:w="0" w:type="auto"/>
            <w:vMerge/>
            <w:tcBorders>
              <w:top w:val="nil"/>
              <w:bottom w:val="single" w:sz="4" w:space="0" w:color="auto"/>
            </w:tcBorders>
            <w:vAlign w:val="center"/>
          </w:tcPr>
          <w:p w14:paraId="4CA8A947" w14:textId="77777777" w:rsidR="001578ED" w:rsidRPr="002E21AA" w:rsidRDefault="001578ED" w:rsidP="00CF49E5">
            <w:pPr>
              <w:adjustRightInd w:val="0"/>
              <w:snapToGrid w:val="0"/>
              <w:spacing w:line="240" w:lineRule="auto"/>
              <w:jc w:val="both"/>
              <w:rPr>
                <w:rFonts w:ascii="Palatino Linotype" w:hAnsi="Palatino Linotype" w:cs="Times New Roman"/>
                <w:b/>
                <w:sz w:val="18"/>
                <w:szCs w:val="18"/>
              </w:rPr>
            </w:pPr>
          </w:p>
        </w:tc>
        <w:tc>
          <w:tcPr>
            <w:tcW w:w="0" w:type="auto"/>
            <w:tcBorders>
              <w:top w:val="single" w:sz="4" w:space="0" w:color="auto"/>
              <w:bottom w:val="single" w:sz="4" w:space="0" w:color="auto"/>
            </w:tcBorders>
            <w:vAlign w:val="center"/>
          </w:tcPr>
          <w:p w14:paraId="7D72E301" w14:textId="21486EC8"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 xml:space="preserve">Odds </w:t>
            </w:r>
            <w:r w:rsidR="00CF49E5" w:rsidRPr="002E21AA">
              <w:rPr>
                <w:rFonts w:ascii="Palatino Linotype" w:hAnsi="Palatino Linotype" w:cs="Times New Roman"/>
                <w:b/>
                <w:sz w:val="18"/>
                <w:szCs w:val="18"/>
              </w:rPr>
              <w:t>Ratio</w:t>
            </w:r>
          </w:p>
        </w:tc>
        <w:tc>
          <w:tcPr>
            <w:tcW w:w="0" w:type="auto"/>
            <w:tcBorders>
              <w:top w:val="single" w:sz="4" w:space="0" w:color="auto"/>
              <w:bottom w:val="single" w:sz="4" w:space="0" w:color="auto"/>
            </w:tcBorders>
            <w:vAlign w:val="center"/>
          </w:tcPr>
          <w:p w14:paraId="3B7B91E1"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95% CI</w:t>
            </w:r>
          </w:p>
        </w:tc>
        <w:tc>
          <w:tcPr>
            <w:tcW w:w="0" w:type="auto"/>
            <w:tcBorders>
              <w:top w:val="single" w:sz="4" w:space="0" w:color="auto"/>
              <w:bottom w:val="single" w:sz="4" w:space="0" w:color="auto"/>
            </w:tcBorders>
            <w:vAlign w:val="center"/>
          </w:tcPr>
          <w:p w14:paraId="0E98299A" w14:textId="4D50ADF3"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 xml:space="preserve">Odds </w:t>
            </w:r>
            <w:r w:rsidR="00CF49E5" w:rsidRPr="002E21AA">
              <w:rPr>
                <w:rFonts w:ascii="Palatino Linotype" w:hAnsi="Palatino Linotype" w:cs="Times New Roman"/>
                <w:b/>
                <w:sz w:val="18"/>
                <w:szCs w:val="18"/>
              </w:rPr>
              <w:t>Ratio</w:t>
            </w:r>
          </w:p>
        </w:tc>
        <w:tc>
          <w:tcPr>
            <w:tcW w:w="0" w:type="auto"/>
            <w:tcBorders>
              <w:top w:val="single" w:sz="4" w:space="0" w:color="auto"/>
              <w:bottom w:val="single" w:sz="4" w:space="0" w:color="auto"/>
            </w:tcBorders>
            <w:vAlign w:val="center"/>
          </w:tcPr>
          <w:p w14:paraId="7E80A9A5"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95% CI</w:t>
            </w:r>
          </w:p>
        </w:tc>
      </w:tr>
      <w:tr w:rsidR="001578ED" w:rsidRPr="002E21AA" w14:paraId="60D5EB04" w14:textId="77777777" w:rsidTr="00CF49E5">
        <w:trPr>
          <w:jc w:val="center"/>
        </w:trPr>
        <w:tc>
          <w:tcPr>
            <w:tcW w:w="0" w:type="auto"/>
            <w:tcBorders>
              <w:top w:val="single" w:sz="4" w:space="0" w:color="auto"/>
            </w:tcBorders>
            <w:vAlign w:val="center"/>
          </w:tcPr>
          <w:p w14:paraId="788E5BCA"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Austria</w:t>
            </w:r>
          </w:p>
        </w:tc>
        <w:tc>
          <w:tcPr>
            <w:tcW w:w="0" w:type="auto"/>
            <w:tcBorders>
              <w:top w:val="single" w:sz="4" w:space="0" w:color="auto"/>
            </w:tcBorders>
            <w:vAlign w:val="center"/>
          </w:tcPr>
          <w:p w14:paraId="08644215"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0.91</w:t>
            </w:r>
          </w:p>
        </w:tc>
        <w:tc>
          <w:tcPr>
            <w:tcW w:w="0" w:type="auto"/>
            <w:tcBorders>
              <w:top w:val="single" w:sz="4" w:space="0" w:color="auto"/>
            </w:tcBorders>
            <w:vAlign w:val="center"/>
          </w:tcPr>
          <w:p w14:paraId="0947D01C" w14:textId="77D592DB"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0.27–</w:t>
            </w:r>
            <w:r w:rsidR="001578ED" w:rsidRPr="002E21AA">
              <w:rPr>
                <w:rFonts w:ascii="Palatino Linotype" w:hAnsi="Palatino Linotype" w:cs="Times New Roman"/>
                <w:sz w:val="18"/>
                <w:szCs w:val="18"/>
              </w:rPr>
              <w:t>3.12</w:t>
            </w:r>
          </w:p>
        </w:tc>
        <w:tc>
          <w:tcPr>
            <w:tcW w:w="0" w:type="auto"/>
            <w:tcBorders>
              <w:top w:val="single" w:sz="4" w:space="0" w:color="auto"/>
            </w:tcBorders>
            <w:vAlign w:val="center"/>
          </w:tcPr>
          <w:p w14:paraId="230789A8"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1.05</w:t>
            </w:r>
          </w:p>
        </w:tc>
        <w:tc>
          <w:tcPr>
            <w:tcW w:w="0" w:type="auto"/>
            <w:tcBorders>
              <w:top w:val="single" w:sz="4" w:space="0" w:color="auto"/>
            </w:tcBorders>
            <w:vAlign w:val="center"/>
          </w:tcPr>
          <w:p w14:paraId="7338B072" w14:textId="32C22EA6"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0.13–</w:t>
            </w:r>
            <w:r w:rsidR="001578ED" w:rsidRPr="002E21AA">
              <w:rPr>
                <w:rFonts w:ascii="Palatino Linotype" w:hAnsi="Palatino Linotype" w:cs="Times New Roman"/>
                <w:sz w:val="18"/>
                <w:szCs w:val="18"/>
              </w:rPr>
              <w:t>8.16</w:t>
            </w:r>
          </w:p>
        </w:tc>
      </w:tr>
      <w:tr w:rsidR="001578ED" w:rsidRPr="002E21AA" w14:paraId="2A997DEB" w14:textId="77777777" w:rsidTr="00CF49E5">
        <w:trPr>
          <w:jc w:val="center"/>
        </w:trPr>
        <w:tc>
          <w:tcPr>
            <w:tcW w:w="0" w:type="auto"/>
            <w:vAlign w:val="center"/>
          </w:tcPr>
          <w:p w14:paraId="09A5DDFC"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Belgium</w:t>
            </w:r>
          </w:p>
        </w:tc>
        <w:tc>
          <w:tcPr>
            <w:tcW w:w="0" w:type="auto"/>
            <w:vAlign w:val="center"/>
          </w:tcPr>
          <w:p w14:paraId="3B41C4BE"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3.68</w:t>
            </w:r>
          </w:p>
        </w:tc>
        <w:tc>
          <w:tcPr>
            <w:tcW w:w="0" w:type="auto"/>
            <w:vAlign w:val="center"/>
          </w:tcPr>
          <w:p w14:paraId="65258FB4" w14:textId="13856086"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2.00–</w:t>
            </w:r>
            <w:r w:rsidR="001578ED" w:rsidRPr="002E21AA">
              <w:rPr>
                <w:rFonts w:ascii="Palatino Linotype" w:hAnsi="Palatino Linotype" w:cs="Times New Roman"/>
                <w:b/>
                <w:sz w:val="18"/>
                <w:szCs w:val="18"/>
              </w:rPr>
              <w:t>6.76</w:t>
            </w:r>
          </w:p>
        </w:tc>
        <w:tc>
          <w:tcPr>
            <w:tcW w:w="0" w:type="auto"/>
            <w:vAlign w:val="center"/>
          </w:tcPr>
          <w:p w14:paraId="6D06CEB2"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3.19</w:t>
            </w:r>
          </w:p>
        </w:tc>
        <w:tc>
          <w:tcPr>
            <w:tcW w:w="0" w:type="auto"/>
            <w:vAlign w:val="center"/>
          </w:tcPr>
          <w:p w14:paraId="3934687E" w14:textId="5DBCC082"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1.41–</w:t>
            </w:r>
            <w:r w:rsidR="001578ED" w:rsidRPr="002E21AA">
              <w:rPr>
                <w:rFonts w:ascii="Palatino Linotype" w:hAnsi="Palatino Linotype" w:cs="Times New Roman"/>
                <w:b/>
                <w:sz w:val="18"/>
                <w:szCs w:val="18"/>
              </w:rPr>
              <w:t>7.23</w:t>
            </w:r>
          </w:p>
        </w:tc>
      </w:tr>
      <w:tr w:rsidR="001578ED" w:rsidRPr="002E21AA" w14:paraId="022B46B7" w14:textId="77777777" w:rsidTr="00CF49E5">
        <w:trPr>
          <w:jc w:val="center"/>
        </w:trPr>
        <w:tc>
          <w:tcPr>
            <w:tcW w:w="0" w:type="auto"/>
            <w:vAlign w:val="center"/>
          </w:tcPr>
          <w:p w14:paraId="5D807989"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Bulgaria</w:t>
            </w:r>
          </w:p>
        </w:tc>
        <w:tc>
          <w:tcPr>
            <w:tcW w:w="0" w:type="auto"/>
            <w:vAlign w:val="center"/>
          </w:tcPr>
          <w:p w14:paraId="24C35C7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2.93</w:t>
            </w:r>
          </w:p>
        </w:tc>
        <w:tc>
          <w:tcPr>
            <w:tcW w:w="0" w:type="auto"/>
            <w:vAlign w:val="center"/>
          </w:tcPr>
          <w:p w14:paraId="75BEA641" w14:textId="56D8E2A6"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1.95–</w:t>
            </w:r>
            <w:r w:rsidR="001578ED" w:rsidRPr="002E21AA">
              <w:rPr>
                <w:rFonts w:ascii="Palatino Linotype" w:hAnsi="Palatino Linotype" w:cs="Times New Roman"/>
                <w:b/>
                <w:sz w:val="18"/>
                <w:szCs w:val="18"/>
              </w:rPr>
              <w:t>4.39</w:t>
            </w:r>
          </w:p>
        </w:tc>
        <w:tc>
          <w:tcPr>
            <w:tcW w:w="0" w:type="auto"/>
            <w:vAlign w:val="center"/>
          </w:tcPr>
          <w:p w14:paraId="2DFCFCD5"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2.69</w:t>
            </w:r>
          </w:p>
        </w:tc>
        <w:tc>
          <w:tcPr>
            <w:tcW w:w="0" w:type="auto"/>
            <w:vAlign w:val="center"/>
          </w:tcPr>
          <w:p w14:paraId="5D7C3C89" w14:textId="289716DE"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1.63–</w:t>
            </w:r>
            <w:r w:rsidR="001578ED" w:rsidRPr="002E21AA">
              <w:rPr>
                <w:rFonts w:ascii="Palatino Linotype" w:hAnsi="Palatino Linotype" w:cs="Times New Roman"/>
                <w:b/>
                <w:sz w:val="18"/>
                <w:szCs w:val="18"/>
              </w:rPr>
              <w:t>4.45</w:t>
            </w:r>
          </w:p>
        </w:tc>
      </w:tr>
      <w:tr w:rsidR="001578ED" w:rsidRPr="002E21AA" w14:paraId="7DD0DE78" w14:textId="77777777" w:rsidTr="00CF49E5">
        <w:trPr>
          <w:jc w:val="center"/>
        </w:trPr>
        <w:tc>
          <w:tcPr>
            <w:tcW w:w="0" w:type="auto"/>
            <w:vAlign w:val="center"/>
          </w:tcPr>
          <w:p w14:paraId="51448005"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Croatia</w:t>
            </w:r>
          </w:p>
        </w:tc>
        <w:tc>
          <w:tcPr>
            <w:tcW w:w="0" w:type="auto"/>
            <w:vAlign w:val="center"/>
          </w:tcPr>
          <w:p w14:paraId="4BF019BB"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1.09</w:t>
            </w:r>
          </w:p>
        </w:tc>
        <w:tc>
          <w:tcPr>
            <w:tcW w:w="0" w:type="auto"/>
            <w:vAlign w:val="center"/>
          </w:tcPr>
          <w:p w14:paraId="55180A93" w14:textId="77058935"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0.61–</w:t>
            </w:r>
            <w:r w:rsidR="001578ED" w:rsidRPr="002E21AA">
              <w:rPr>
                <w:rFonts w:ascii="Palatino Linotype" w:hAnsi="Palatino Linotype" w:cs="Times New Roman"/>
                <w:sz w:val="18"/>
                <w:szCs w:val="18"/>
              </w:rPr>
              <w:t>1.94</w:t>
            </w:r>
          </w:p>
        </w:tc>
        <w:tc>
          <w:tcPr>
            <w:tcW w:w="0" w:type="auto"/>
            <w:vAlign w:val="center"/>
          </w:tcPr>
          <w:p w14:paraId="165A9BF8"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1.06</w:t>
            </w:r>
          </w:p>
        </w:tc>
        <w:tc>
          <w:tcPr>
            <w:tcW w:w="0" w:type="auto"/>
            <w:vAlign w:val="center"/>
          </w:tcPr>
          <w:p w14:paraId="2D1E4885" w14:textId="4509004A"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0.47–</w:t>
            </w:r>
            <w:r w:rsidR="001578ED" w:rsidRPr="002E21AA">
              <w:rPr>
                <w:rFonts w:ascii="Palatino Linotype" w:hAnsi="Palatino Linotype" w:cs="Times New Roman"/>
                <w:sz w:val="18"/>
                <w:szCs w:val="18"/>
              </w:rPr>
              <w:t>2.39</w:t>
            </w:r>
          </w:p>
        </w:tc>
      </w:tr>
      <w:tr w:rsidR="001578ED" w:rsidRPr="002E21AA" w14:paraId="73438670" w14:textId="77777777" w:rsidTr="00CF49E5">
        <w:trPr>
          <w:jc w:val="center"/>
        </w:trPr>
        <w:tc>
          <w:tcPr>
            <w:tcW w:w="0" w:type="auto"/>
            <w:vAlign w:val="center"/>
          </w:tcPr>
          <w:p w14:paraId="50F39EB9"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Cyprus</w:t>
            </w:r>
          </w:p>
        </w:tc>
        <w:tc>
          <w:tcPr>
            <w:tcW w:w="0" w:type="auto"/>
            <w:vAlign w:val="center"/>
          </w:tcPr>
          <w:p w14:paraId="2D1D063C"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1.36</w:t>
            </w:r>
          </w:p>
        </w:tc>
        <w:tc>
          <w:tcPr>
            <w:tcW w:w="0" w:type="auto"/>
            <w:vAlign w:val="center"/>
          </w:tcPr>
          <w:p w14:paraId="4D84FC45" w14:textId="19EF8A81"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0.94–</w:t>
            </w:r>
            <w:r w:rsidR="001578ED" w:rsidRPr="002E21AA">
              <w:rPr>
                <w:rFonts w:ascii="Palatino Linotype" w:hAnsi="Palatino Linotype" w:cs="Times New Roman"/>
                <w:sz w:val="18"/>
                <w:szCs w:val="18"/>
              </w:rPr>
              <w:t>1.98</w:t>
            </w:r>
          </w:p>
        </w:tc>
        <w:tc>
          <w:tcPr>
            <w:tcW w:w="0" w:type="auto"/>
            <w:vAlign w:val="center"/>
          </w:tcPr>
          <w:p w14:paraId="01CEC00E"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1.51</w:t>
            </w:r>
          </w:p>
        </w:tc>
        <w:tc>
          <w:tcPr>
            <w:tcW w:w="0" w:type="auto"/>
            <w:vAlign w:val="center"/>
          </w:tcPr>
          <w:p w14:paraId="73AA9C85" w14:textId="309DC73A"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0.95–</w:t>
            </w:r>
            <w:r w:rsidR="001578ED" w:rsidRPr="002E21AA">
              <w:rPr>
                <w:rFonts w:ascii="Palatino Linotype" w:hAnsi="Palatino Linotype" w:cs="Times New Roman"/>
                <w:sz w:val="18"/>
                <w:szCs w:val="18"/>
              </w:rPr>
              <w:t>2.41</w:t>
            </w:r>
          </w:p>
        </w:tc>
      </w:tr>
      <w:tr w:rsidR="001578ED" w:rsidRPr="002E21AA" w14:paraId="3CD607CA" w14:textId="77777777" w:rsidTr="00CF49E5">
        <w:trPr>
          <w:jc w:val="center"/>
        </w:trPr>
        <w:tc>
          <w:tcPr>
            <w:tcW w:w="0" w:type="auto"/>
            <w:vAlign w:val="center"/>
          </w:tcPr>
          <w:p w14:paraId="00896BA8"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Czech Republic</w:t>
            </w:r>
          </w:p>
        </w:tc>
        <w:tc>
          <w:tcPr>
            <w:tcW w:w="0" w:type="auto"/>
            <w:vAlign w:val="center"/>
          </w:tcPr>
          <w:p w14:paraId="32F3ADFA"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2.15</w:t>
            </w:r>
          </w:p>
        </w:tc>
        <w:tc>
          <w:tcPr>
            <w:tcW w:w="0" w:type="auto"/>
            <w:vAlign w:val="center"/>
          </w:tcPr>
          <w:p w14:paraId="49660E29" w14:textId="2D6A16C4"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1.16–</w:t>
            </w:r>
            <w:r w:rsidR="001578ED" w:rsidRPr="002E21AA">
              <w:rPr>
                <w:rFonts w:ascii="Palatino Linotype" w:hAnsi="Palatino Linotype" w:cs="Times New Roman"/>
                <w:b/>
                <w:sz w:val="18"/>
                <w:szCs w:val="18"/>
              </w:rPr>
              <w:t>4.00</w:t>
            </w:r>
          </w:p>
        </w:tc>
        <w:tc>
          <w:tcPr>
            <w:tcW w:w="0" w:type="auto"/>
            <w:vAlign w:val="center"/>
          </w:tcPr>
          <w:p w14:paraId="6B3A2507"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2.63</w:t>
            </w:r>
          </w:p>
        </w:tc>
        <w:tc>
          <w:tcPr>
            <w:tcW w:w="0" w:type="auto"/>
            <w:vAlign w:val="center"/>
          </w:tcPr>
          <w:p w14:paraId="30AB75E1" w14:textId="7719D58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1.10</w:t>
            </w:r>
            <w:r w:rsidR="00D50FDB" w:rsidRPr="002E21AA">
              <w:rPr>
                <w:rFonts w:ascii="Palatino Linotype" w:hAnsi="Palatino Linotype" w:cs="Times New Roman"/>
                <w:b/>
                <w:sz w:val="18"/>
                <w:szCs w:val="18"/>
              </w:rPr>
              <w:t>–</w:t>
            </w:r>
            <w:r w:rsidRPr="002E21AA">
              <w:rPr>
                <w:rFonts w:ascii="Palatino Linotype" w:hAnsi="Palatino Linotype" w:cs="Times New Roman"/>
                <w:b/>
                <w:sz w:val="18"/>
                <w:szCs w:val="18"/>
              </w:rPr>
              <w:t>6.29</w:t>
            </w:r>
          </w:p>
        </w:tc>
      </w:tr>
      <w:tr w:rsidR="001578ED" w:rsidRPr="002E21AA" w14:paraId="6A5752A8" w14:textId="77777777" w:rsidTr="00CF49E5">
        <w:trPr>
          <w:jc w:val="center"/>
        </w:trPr>
        <w:tc>
          <w:tcPr>
            <w:tcW w:w="0" w:type="auto"/>
            <w:vAlign w:val="center"/>
          </w:tcPr>
          <w:p w14:paraId="79F59C0F"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Denmark</w:t>
            </w:r>
          </w:p>
        </w:tc>
        <w:tc>
          <w:tcPr>
            <w:tcW w:w="0" w:type="auto"/>
            <w:vAlign w:val="center"/>
          </w:tcPr>
          <w:p w14:paraId="5E70D6D2"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2.35</w:t>
            </w:r>
          </w:p>
        </w:tc>
        <w:tc>
          <w:tcPr>
            <w:tcW w:w="0" w:type="auto"/>
            <w:vAlign w:val="center"/>
          </w:tcPr>
          <w:p w14:paraId="29EE1B5E" w14:textId="40303CAD"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0.81–</w:t>
            </w:r>
            <w:r w:rsidR="001578ED" w:rsidRPr="002E21AA">
              <w:rPr>
                <w:rFonts w:ascii="Palatino Linotype" w:hAnsi="Palatino Linotype" w:cs="Times New Roman"/>
                <w:sz w:val="18"/>
                <w:szCs w:val="18"/>
              </w:rPr>
              <w:t>6.77</w:t>
            </w:r>
          </w:p>
        </w:tc>
        <w:tc>
          <w:tcPr>
            <w:tcW w:w="0" w:type="auto"/>
            <w:vAlign w:val="center"/>
          </w:tcPr>
          <w:p w14:paraId="2E9CC043"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34.58</w:t>
            </w:r>
          </w:p>
        </w:tc>
        <w:tc>
          <w:tcPr>
            <w:tcW w:w="0" w:type="auto"/>
            <w:vAlign w:val="center"/>
          </w:tcPr>
          <w:p w14:paraId="4E889F62" w14:textId="0AF700D3"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8.36–</w:t>
            </w:r>
            <w:r w:rsidR="001578ED" w:rsidRPr="002E21AA">
              <w:rPr>
                <w:rFonts w:ascii="Palatino Linotype" w:hAnsi="Palatino Linotype" w:cs="Times New Roman"/>
                <w:b/>
                <w:sz w:val="18"/>
                <w:szCs w:val="18"/>
              </w:rPr>
              <w:t>143.01</w:t>
            </w:r>
          </w:p>
        </w:tc>
      </w:tr>
      <w:tr w:rsidR="001578ED" w:rsidRPr="002E21AA" w14:paraId="26EA5BD8" w14:textId="77777777" w:rsidTr="00CF49E5">
        <w:trPr>
          <w:jc w:val="center"/>
        </w:trPr>
        <w:tc>
          <w:tcPr>
            <w:tcW w:w="0" w:type="auto"/>
            <w:vAlign w:val="center"/>
          </w:tcPr>
          <w:p w14:paraId="330AF1FD"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Estonia</w:t>
            </w:r>
          </w:p>
        </w:tc>
        <w:tc>
          <w:tcPr>
            <w:tcW w:w="0" w:type="auto"/>
            <w:vAlign w:val="center"/>
          </w:tcPr>
          <w:p w14:paraId="45F25386"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1.49</w:t>
            </w:r>
          </w:p>
        </w:tc>
        <w:tc>
          <w:tcPr>
            <w:tcW w:w="0" w:type="auto"/>
            <w:vAlign w:val="center"/>
          </w:tcPr>
          <w:p w14:paraId="7C7B02A2" w14:textId="7A51F08E"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1.03–</w:t>
            </w:r>
            <w:r w:rsidR="001578ED" w:rsidRPr="002E21AA">
              <w:rPr>
                <w:rFonts w:ascii="Palatino Linotype" w:hAnsi="Palatino Linotype" w:cs="Times New Roman"/>
                <w:b/>
                <w:sz w:val="18"/>
                <w:szCs w:val="18"/>
              </w:rPr>
              <w:t>2.15</w:t>
            </w:r>
          </w:p>
        </w:tc>
        <w:tc>
          <w:tcPr>
            <w:tcW w:w="0" w:type="auto"/>
            <w:vAlign w:val="center"/>
          </w:tcPr>
          <w:p w14:paraId="16210195"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1.44</w:t>
            </w:r>
          </w:p>
        </w:tc>
        <w:tc>
          <w:tcPr>
            <w:tcW w:w="0" w:type="auto"/>
            <w:vAlign w:val="center"/>
          </w:tcPr>
          <w:p w14:paraId="0B466702" w14:textId="6DEAF692"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0.81–</w:t>
            </w:r>
            <w:r w:rsidR="001578ED" w:rsidRPr="002E21AA">
              <w:rPr>
                <w:rFonts w:ascii="Palatino Linotype" w:hAnsi="Palatino Linotype" w:cs="Times New Roman"/>
                <w:sz w:val="18"/>
                <w:szCs w:val="18"/>
              </w:rPr>
              <w:t>2.57</w:t>
            </w:r>
          </w:p>
        </w:tc>
      </w:tr>
      <w:tr w:rsidR="001578ED" w:rsidRPr="002E21AA" w14:paraId="0237E0AA" w14:textId="77777777" w:rsidTr="00CF49E5">
        <w:trPr>
          <w:jc w:val="center"/>
        </w:trPr>
        <w:tc>
          <w:tcPr>
            <w:tcW w:w="0" w:type="auto"/>
            <w:vAlign w:val="center"/>
          </w:tcPr>
          <w:p w14:paraId="07D23614"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Finland</w:t>
            </w:r>
          </w:p>
        </w:tc>
        <w:tc>
          <w:tcPr>
            <w:tcW w:w="0" w:type="auto"/>
            <w:vAlign w:val="center"/>
          </w:tcPr>
          <w:p w14:paraId="2671511E"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1.71</w:t>
            </w:r>
          </w:p>
        </w:tc>
        <w:tc>
          <w:tcPr>
            <w:tcW w:w="0" w:type="auto"/>
            <w:vAlign w:val="center"/>
          </w:tcPr>
          <w:p w14:paraId="6441BA0C" w14:textId="7C1ACFF1"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0.43–</w:t>
            </w:r>
            <w:r w:rsidR="001578ED" w:rsidRPr="002E21AA">
              <w:rPr>
                <w:rFonts w:ascii="Palatino Linotype" w:hAnsi="Palatino Linotype" w:cs="Times New Roman"/>
                <w:sz w:val="18"/>
                <w:szCs w:val="18"/>
              </w:rPr>
              <w:t>6.71</w:t>
            </w:r>
          </w:p>
        </w:tc>
        <w:tc>
          <w:tcPr>
            <w:tcW w:w="0" w:type="auto"/>
            <w:vAlign w:val="center"/>
          </w:tcPr>
          <w:p w14:paraId="488B4982"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0.00</w:t>
            </w:r>
          </w:p>
        </w:tc>
        <w:tc>
          <w:tcPr>
            <w:tcW w:w="0" w:type="auto"/>
            <w:vAlign w:val="center"/>
          </w:tcPr>
          <w:p w14:paraId="228FD054" w14:textId="2B472964"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0.00–</w:t>
            </w:r>
            <w:r w:rsidR="001578ED" w:rsidRPr="002E21AA">
              <w:rPr>
                <w:rFonts w:ascii="Palatino Linotype" w:hAnsi="Palatino Linotype" w:cs="Times New Roman"/>
                <w:sz w:val="18"/>
                <w:szCs w:val="18"/>
              </w:rPr>
              <w:t>0.00</w:t>
            </w:r>
          </w:p>
        </w:tc>
      </w:tr>
      <w:tr w:rsidR="001578ED" w:rsidRPr="002E21AA" w14:paraId="2C16AE0C" w14:textId="77777777" w:rsidTr="00CF49E5">
        <w:trPr>
          <w:jc w:val="center"/>
        </w:trPr>
        <w:tc>
          <w:tcPr>
            <w:tcW w:w="0" w:type="auto"/>
            <w:vAlign w:val="center"/>
          </w:tcPr>
          <w:p w14:paraId="34B28B70"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France</w:t>
            </w:r>
          </w:p>
        </w:tc>
        <w:tc>
          <w:tcPr>
            <w:tcW w:w="0" w:type="auto"/>
            <w:vAlign w:val="center"/>
          </w:tcPr>
          <w:p w14:paraId="409C0B93"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1.59</w:t>
            </w:r>
          </w:p>
        </w:tc>
        <w:tc>
          <w:tcPr>
            <w:tcW w:w="0" w:type="auto"/>
            <w:vAlign w:val="center"/>
          </w:tcPr>
          <w:p w14:paraId="3D74E69C" w14:textId="6AD048F9"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1.13–</w:t>
            </w:r>
            <w:r w:rsidR="001578ED" w:rsidRPr="002E21AA">
              <w:rPr>
                <w:rFonts w:ascii="Palatino Linotype" w:hAnsi="Palatino Linotype" w:cs="Times New Roman"/>
                <w:b/>
                <w:sz w:val="18"/>
                <w:szCs w:val="18"/>
              </w:rPr>
              <w:t>2.24</w:t>
            </w:r>
          </w:p>
        </w:tc>
        <w:tc>
          <w:tcPr>
            <w:tcW w:w="0" w:type="auto"/>
            <w:vAlign w:val="center"/>
          </w:tcPr>
          <w:p w14:paraId="48BFD13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2.01</w:t>
            </w:r>
          </w:p>
        </w:tc>
        <w:tc>
          <w:tcPr>
            <w:tcW w:w="0" w:type="auto"/>
            <w:vAlign w:val="center"/>
          </w:tcPr>
          <w:p w14:paraId="01C98C44" w14:textId="08FD13B8"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1.28–</w:t>
            </w:r>
            <w:r w:rsidR="001578ED" w:rsidRPr="002E21AA">
              <w:rPr>
                <w:rFonts w:ascii="Palatino Linotype" w:hAnsi="Palatino Linotype" w:cs="Times New Roman"/>
                <w:b/>
                <w:sz w:val="18"/>
                <w:szCs w:val="18"/>
              </w:rPr>
              <w:t>3.14</w:t>
            </w:r>
          </w:p>
        </w:tc>
      </w:tr>
      <w:tr w:rsidR="001578ED" w:rsidRPr="002E21AA" w14:paraId="15FA2DCA" w14:textId="77777777" w:rsidTr="00CF49E5">
        <w:trPr>
          <w:jc w:val="center"/>
        </w:trPr>
        <w:tc>
          <w:tcPr>
            <w:tcW w:w="0" w:type="auto"/>
            <w:vAlign w:val="center"/>
          </w:tcPr>
          <w:p w14:paraId="7D1FD5AE"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Germany</w:t>
            </w:r>
          </w:p>
        </w:tc>
        <w:tc>
          <w:tcPr>
            <w:tcW w:w="0" w:type="auto"/>
            <w:vAlign w:val="center"/>
          </w:tcPr>
          <w:p w14:paraId="4955647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1.95</w:t>
            </w:r>
          </w:p>
        </w:tc>
        <w:tc>
          <w:tcPr>
            <w:tcW w:w="0" w:type="auto"/>
            <w:vAlign w:val="center"/>
          </w:tcPr>
          <w:p w14:paraId="6BFB93E0" w14:textId="09193963"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1.35–</w:t>
            </w:r>
            <w:r w:rsidR="001578ED" w:rsidRPr="002E21AA">
              <w:rPr>
                <w:rFonts w:ascii="Palatino Linotype" w:hAnsi="Palatino Linotype" w:cs="Times New Roman"/>
                <w:b/>
                <w:sz w:val="18"/>
                <w:szCs w:val="18"/>
              </w:rPr>
              <w:t>2.81</w:t>
            </w:r>
          </w:p>
        </w:tc>
        <w:tc>
          <w:tcPr>
            <w:tcW w:w="0" w:type="auto"/>
            <w:vAlign w:val="center"/>
          </w:tcPr>
          <w:p w14:paraId="2D64DB22"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2.29</w:t>
            </w:r>
          </w:p>
        </w:tc>
        <w:tc>
          <w:tcPr>
            <w:tcW w:w="0" w:type="auto"/>
            <w:vAlign w:val="center"/>
          </w:tcPr>
          <w:p w14:paraId="11376A6A" w14:textId="5DC2526C"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1.39–</w:t>
            </w:r>
            <w:r w:rsidR="001578ED" w:rsidRPr="002E21AA">
              <w:rPr>
                <w:rFonts w:ascii="Palatino Linotype" w:hAnsi="Palatino Linotype" w:cs="Times New Roman"/>
                <w:b/>
                <w:sz w:val="18"/>
                <w:szCs w:val="18"/>
              </w:rPr>
              <w:t>3.78</w:t>
            </w:r>
          </w:p>
        </w:tc>
      </w:tr>
      <w:tr w:rsidR="001578ED" w:rsidRPr="002E21AA" w14:paraId="33444C8B" w14:textId="77777777" w:rsidTr="00CF49E5">
        <w:trPr>
          <w:jc w:val="center"/>
        </w:trPr>
        <w:tc>
          <w:tcPr>
            <w:tcW w:w="0" w:type="auto"/>
            <w:vAlign w:val="center"/>
          </w:tcPr>
          <w:p w14:paraId="39BB6A96"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Greece</w:t>
            </w:r>
          </w:p>
        </w:tc>
        <w:tc>
          <w:tcPr>
            <w:tcW w:w="0" w:type="auto"/>
            <w:vAlign w:val="center"/>
          </w:tcPr>
          <w:p w14:paraId="65F4CBEA"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3.80</w:t>
            </w:r>
          </w:p>
        </w:tc>
        <w:tc>
          <w:tcPr>
            <w:tcW w:w="0" w:type="auto"/>
            <w:vAlign w:val="center"/>
          </w:tcPr>
          <w:p w14:paraId="7B3FBE86" w14:textId="259FA445"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2.56–</w:t>
            </w:r>
            <w:r w:rsidR="001578ED" w:rsidRPr="002E21AA">
              <w:rPr>
                <w:rFonts w:ascii="Palatino Linotype" w:hAnsi="Palatino Linotype" w:cs="Times New Roman"/>
                <w:b/>
                <w:sz w:val="18"/>
                <w:szCs w:val="18"/>
              </w:rPr>
              <w:t>5.65</w:t>
            </w:r>
          </w:p>
        </w:tc>
        <w:tc>
          <w:tcPr>
            <w:tcW w:w="0" w:type="auto"/>
            <w:vAlign w:val="center"/>
          </w:tcPr>
          <w:p w14:paraId="577D17CF"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4.56</w:t>
            </w:r>
          </w:p>
        </w:tc>
        <w:tc>
          <w:tcPr>
            <w:tcW w:w="0" w:type="auto"/>
            <w:vAlign w:val="center"/>
          </w:tcPr>
          <w:p w14:paraId="75074739" w14:textId="72FF122E"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w:t>
            </w:r>
            <w:r w:rsidR="00D50FDB" w:rsidRPr="002E21AA">
              <w:rPr>
                <w:rFonts w:ascii="Palatino Linotype" w:hAnsi="Palatino Linotype" w:cs="Times New Roman"/>
                <w:b/>
                <w:sz w:val="18"/>
                <w:szCs w:val="18"/>
              </w:rPr>
              <w:t>.71–</w:t>
            </w:r>
            <w:r w:rsidRPr="002E21AA">
              <w:rPr>
                <w:rFonts w:ascii="Palatino Linotype" w:hAnsi="Palatino Linotype" w:cs="Times New Roman"/>
                <w:b/>
                <w:sz w:val="18"/>
                <w:szCs w:val="18"/>
              </w:rPr>
              <w:t>7.68</w:t>
            </w:r>
          </w:p>
        </w:tc>
      </w:tr>
      <w:tr w:rsidR="001578ED" w:rsidRPr="002E21AA" w14:paraId="79046E81" w14:textId="77777777" w:rsidTr="00CF49E5">
        <w:trPr>
          <w:jc w:val="center"/>
        </w:trPr>
        <w:tc>
          <w:tcPr>
            <w:tcW w:w="0" w:type="auto"/>
            <w:vAlign w:val="center"/>
          </w:tcPr>
          <w:p w14:paraId="5E394DA1"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Hungary</w:t>
            </w:r>
          </w:p>
        </w:tc>
        <w:tc>
          <w:tcPr>
            <w:tcW w:w="0" w:type="auto"/>
            <w:vAlign w:val="center"/>
          </w:tcPr>
          <w:p w14:paraId="57641139"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2.49</w:t>
            </w:r>
          </w:p>
        </w:tc>
        <w:tc>
          <w:tcPr>
            <w:tcW w:w="0" w:type="auto"/>
            <w:vAlign w:val="center"/>
          </w:tcPr>
          <w:p w14:paraId="34F59B96" w14:textId="0923538B"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1.63–</w:t>
            </w:r>
            <w:r w:rsidR="001578ED" w:rsidRPr="002E21AA">
              <w:rPr>
                <w:rFonts w:ascii="Palatino Linotype" w:hAnsi="Palatino Linotype" w:cs="Times New Roman"/>
                <w:b/>
                <w:sz w:val="18"/>
                <w:szCs w:val="18"/>
              </w:rPr>
              <w:t>3.82</w:t>
            </w:r>
          </w:p>
        </w:tc>
        <w:tc>
          <w:tcPr>
            <w:tcW w:w="0" w:type="auto"/>
            <w:vAlign w:val="center"/>
          </w:tcPr>
          <w:p w14:paraId="4D5EA833"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2.69</w:t>
            </w:r>
          </w:p>
        </w:tc>
        <w:tc>
          <w:tcPr>
            <w:tcW w:w="0" w:type="auto"/>
            <w:vAlign w:val="center"/>
          </w:tcPr>
          <w:p w14:paraId="43679D25" w14:textId="37B8E8CA"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1.55–</w:t>
            </w:r>
            <w:r w:rsidR="001578ED" w:rsidRPr="002E21AA">
              <w:rPr>
                <w:rFonts w:ascii="Palatino Linotype" w:hAnsi="Palatino Linotype" w:cs="Times New Roman"/>
                <w:b/>
                <w:sz w:val="18"/>
                <w:szCs w:val="18"/>
              </w:rPr>
              <w:t>4.66</w:t>
            </w:r>
          </w:p>
        </w:tc>
      </w:tr>
      <w:tr w:rsidR="001578ED" w:rsidRPr="002E21AA" w14:paraId="3A2644FB" w14:textId="77777777" w:rsidTr="00CF49E5">
        <w:trPr>
          <w:jc w:val="center"/>
        </w:trPr>
        <w:tc>
          <w:tcPr>
            <w:tcW w:w="0" w:type="auto"/>
            <w:vAlign w:val="center"/>
          </w:tcPr>
          <w:p w14:paraId="3A103171"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Ireland</w:t>
            </w:r>
          </w:p>
        </w:tc>
        <w:tc>
          <w:tcPr>
            <w:tcW w:w="0" w:type="auto"/>
            <w:vAlign w:val="center"/>
          </w:tcPr>
          <w:p w14:paraId="1A458928"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3.76</w:t>
            </w:r>
          </w:p>
        </w:tc>
        <w:tc>
          <w:tcPr>
            <w:tcW w:w="0" w:type="auto"/>
            <w:vAlign w:val="center"/>
          </w:tcPr>
          <w:p w14:paraId="78AB737B" w14:textId="72115F20"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2.28–</w:t>
            </w:r>
            <w:r w:rsidR="001578ED" w:rsidRPr="002E21AA">
              <w:rPr>
                <w:rFonts w:ascii="Palatino Linotype" w:hAnsi="Palatino Linotype" w:cs="Times New Roman"/>
                <w:b/>
                <w:sz w:val="18"/>
                <w:szCs w:val="18"/>
              </w:rPr>
              <w:t>6.19</w:t>
            </w:r>
          </w:p>
        </w:tc>
        <w:tc>
          <w:tcPr>
            <w:tcW w:w="0" w:type="auto"/>
            <w:vAlign w:val="center"/>
          </w:tcPr>
          <w:p w14:paraId="647A3F7A"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6.42</w:t>
            </w:r>
          </w:p>
        </w:tc>
        <w:tc>
          <w:tcPr>
            <w:tcW w:w="0" w:type="auto"/>
            <w:vAlign w:val="center"/>
          </w:tcPr>
          <w:p w14:paraId="40E206A8" w14:textId="4C1F40B7"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3.48–</w:t>
            </w:r>
            <w:r w:rsidR="001578ED" w:rsidRPr="002E21AA">
              <w:rPr>
                <w:rFonts w:ascii="Palatino Linotype" w:hAnsi="Palatino Linotype" w:cs="Times New Roman"/>
                <w:b/>
                <w:sz w:val="18"/>
                <w:szCs w:val="18"/>
              </w:rPr>
              <w:t>11.84</w:t>
            </w:r>
          </w:p>
        </w:tc>
      </w:tr>
      <w:tr w:rsidR="001578ED" w:rsidRPr="002E21AA" w14:paraId="6ECBC34E" w14:textId="77777777" w:rsidTr="00CF49E5">
        <w:trPr>
          <w:jc w:val="center"/>
        </w:trPr>
        <w:tc>
          <w:tcPr>
            <w:tcW w:w="0" w:type="auto"/>
            <w:vAlign w:val="center"/>
          </w:tcPr>
          <w:p w14:paraId="693124E0"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Italy</w:t>
            </w:r>
          </w:p>
        </w:tc>
        <w:tc>
          <w:tcPr>
            <w:tcW w:w="0" w:type="auto"/>
            <w:vAlign w:val="center"/>
          </w:tcPr>
          <w:p w14:paraId="1D60A175"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1.78</w:t>
            </w:r>
          </w:p>
        </w:tc>
        <w:tc>
          <w:tcPr>
            <w:tcW w:w="0" w:type="auto"/>
            <w:vAlign w:val="center"/>
          </w:tcPr>
          <w:p w14:paraId="1F1ED78D" w14:textId="7F5DE643"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1.19–</w:t>
            </w:r>
            <w:r w:rsidR="001578ED" w:rsidRPr="002E21AA">
              <w:rPr>
                <w:rFonts w:ascii="Palatino Linotype" w:hAnsi="Palatino Linotype" w:cs="Times New Roman"/>
                <w:b/>
                <w:sz w:val="18"/>
                <w:szCs w:val="18"/>
              </w:rPr>
              <w:t>2.67</w:t>
            </w:r>
          </w:p>
        </w:tc>
        <w:tc>
          <w:tcPr>
            <w:tcW w:w="0" w:type="auto"/>
            <w:vAlign w:val="center"/>
          </w:tcPr>
          <w:p w14:paraId="7D401216"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1.47</w:t>
            </w:r>
          </w:p>
        </w:tc>
        <w:tc>
          <w:tcPr>
            <w:tcW w:w="0" w:type="auto"/>
            <w:vAlign w:val="center"/>
          </w:tcPr>
          <w:p w14:paraId="1E02DC57" w14:textId="40F738BA"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0.76–</w:t>
            </w:r>
            <w:r w:rsidR="001578ED" w:rsidRPr="002E21AA">
              <w:rPr>
                <w:rFonts w:ascii="Palatino Linotype" w:hAnsi="Palatino Linotype" w:cs="Times New Roman"/>
                <w:sz w:val="18"/>
                <w:szCs w:val="18"/>
              </w:rPr>
              <w:t>2.84</w:t>
            </w:r>
          </w:p>
        </w:tc>
      </w:tr>
      <w:tr w:rsidR="001578ED" w:rsidRPr="002E21AA" w14:paraId="5162313A" w14:textId="77777777" w:rsidTr="00CF49E5">
        <w:trPr>
          <w:jc w:val="center"/>
        </w:trPr>
        <w:tc>
          <w:tcPr>
            <w:tcW w:w="0" w:type="auto"/>
            <w:vAlign w:val="center"/>
          </w:tcPr>
          <w:p w14:paraId="1A106F0A"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Latvia</w:t>
            </w:r>
          </w:p>
        </w:tc>
        <w:tc>
          <w:tcPr>
            <w:tcW w:w="0" w:type="auto"/>
            <w:vAlign w:val="center"/>
          </w:tcPr>
          <w:p w14:paraId="03809519"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2.26</w:t>
            </w:r>
          </w:p>
        </w:tc>
        <w:tc>
          <w:tcPr>
            <w:tcW w:w="0" w:type="auto"/>
            <w:vAlign w:val="center"/>
          </w:tcPr>
          <w:p w14:paraId="76E497FA" w14:textId="04F804A4"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1.56–</w:t>
            </w:r>
            <w:r w:rsidR="001578ED" w:rsidRPr="002E21AA">
              <w:rPr>
                <w:rFonts w:ascii="Palatino Linotype" w:hAnsi="Palatino Linotype" w:cs="Times New Roman"/>
                <w:b/>
                <w:sz w:val="18"/>
                <w:szCs w:val="18"/>
              </w:rPr>
              <w:t>3.27</w:t>
            </w:r>
          </w:p>
        </w:tc>
        <w:tc>
          <w:tcPr>
            <w:tcW w:w="0" w:type="auto"/>
            <w:vAlign w:val="center"/>
          </w:tcPr>
          <w:p w14:paraId="3AA73EFE"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2.00</w:t>
            </w:r>
          </w:p>
        </w:tc>
        <w:tc>
          <w:tcPr>
            <w:tcW w:w="0" w:type="auto"/>
            <w:vAlign w:val="center"/>
          </w:tcPr>
          <w:p w14:paraId="3D2862C7" w14:textId="05DFA81A"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1.25–</w:t>
            </w:r>
            <w:r w:rsidR="001578ED" w:rsidRPr="002E21AA">
              <w:rPr>
                <w:rFonts w:ascii="Palatino Linotype" w:hAnsi="Palatino Linotype" w:cs="Times New Roman"/>
                <w:b/>
                <w:sz w:val="18"/>
                <w:szCs w:val="18"/>
              </w:rPr>
              <w:t>3.21</w:t>
            </w:r>
          </w:p>
        </w:tc>
      </w:tr>
      <w:tr w:rsidR="001578ED" w:rsidRPr="002E21AA" w14:paraId="5B742D79" w14:textId="77777777" w:rsidTr="00CF49E5">
        <w:trPr>
          <w:jc w:val="center"/>
        </w:trPr>
        <w:tc>
          <w:tcPr>
            <w:tcW w:w="0" w:type="auto"/>
            <w:vAlign w:val="center"/>
          </w:tcPr>
          <w:p w14:paraId="3F075C1B"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Lithuania</w:t>
            </w:r>
          </w:p>
        </w:tc>
        <w:tc>
          <w:tcPr>
            <w:tcW w:w="0" w:type="auto"/>
            <w:vAlign w:val="center"/>
          </w:tcPr>
          <w:p w14:paraId="1865501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1.97</w:t>
            </w:r>
          </w:p>
        </w:tc>
        <w:tc>
          <w:tcPr>
            <w:tcW w:w="0" w:type="auto"/>
            <w:vAlign w:val="center"/>
          </w:tcPr>
          <w:p w14:paraId="01BDC1B2" w14:textId="6C45406C"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1.44–</w:t>
            </w:r>
            <w:r w:rsidR="001578ED" w:rsidRPr="002E21AA">
              <w:rPr>
                <w:rFonts w:ascii="Palatino Linotype" w:hAnsi="Palatino Linotype" w:cs="Times New Roman"/>
                <w:b/>
                <w:sz w:val="18"/>
                <w:szCs w:val="18"/>
              </w:rPr>
              <w:t>2.70</w:t>
            </w:r>
          </w:p>
        </w:tc>
        <w:tc>
          <w:tcPr>
            <w:tcW w:w="0" w:type="auto"/>
            <w:vAlign w:val="center"/>
          </w:tcPr>
          <w:p w14:paraId="67BC8681"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2.57</w:t>
            </w:r>
          </w:p>
        </w:tc>
        <w:tc>
          <w:tcPr>
            <w:tcW w:w="0" w:type="auto"/>
            <w:vAlign w:val="center"/>
          </w:tcPr>
          <w:p w14:paraId="4680EF96" w14:textId="78377936"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1.65–</w:t>
            </w:r>
            <w:r w:rsidR="001578ED" w:rsidRPr="002E21AA">
              <w:rPr>
                <w:rFonts w:ascii="Palatino Linotype" w:hAnsi="Palatino Linotype" w:cs="Times New Roman"/>
                <w:b/>
                <w:sz w:val="18"/>
                <w:szCs w:val="18"/>
              </w:rPr>
              <w:t>4.00</w:t>
            </w:r>
          </w:p>
        </w:tc>
      </w:tr>
      <w:tr w:rsidR="001578ED" w:rsidRPr="002E21AA" w14:paraId="11EE7C37" w14:textId="77777777" w:rsidTr="00CF49E5">
        <w:trPr>
          <w:jc w:val="center"/>
        </w:trPr>
        <w:tc>
          <w:tcPr>
            <w:tcW w:w="0" w:type="auto"/>
            <w:vAlign w:val="center"/>
          </w:tcPr>
          <w:p w14:paraId="13016EF3"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Luxembourg</w:t>
            </w:r>
          </w:p>
        </w:tc>
        <w:tc>
          <w:tcPr>
            <w:tcW w:w="0" w:type="auto"/>
            <w:vAlign w:val="center"/>
          </w:tcPr>
          <w:p w14:paraId="390A1AA6"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1.38</w:t>
            </w:r>
          </w:p>
        </w:tc>
        <w:tc>
          <w:tcPr>
            <w:tcW w:w="0" w:type="auto"/>
            <w:vAlign w:val="center"/>
          </w:tcPr>
          <w:p w14:paraId="53AD18E3" w14:textId="0EF64BED"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0.38–</w:t>
            </w:r>
            <w:r w:rsidR="001578ED" w:rsidRPr="002E21AA">
              <w:rPr>
                <w:rFonts w:ascii="Palatino Linotype" w:hAnsi="Palatino Linotype" w:cs="Times New Roman"/>
                <w:sz w:val="18"/>
                <w:szCs w:val="18"/>
              </w:rPr>
              <w:t>5.04</w:t>
            </w:r>
          </w:p>
        </w:tc>
        <w:tc>
          <w:tcPr>
            <w:tcW w:w="0" w:type="auto"/>
            <w:vAlign w:val="center"/>
          </w:tcPr>
          <w:p w14:paraId="32A09A5A"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2.18</w:t>
            </w:r>
          </w:p>
        </w:tc>
        <w:tc>
          <w:tcPr>
            <w:tcW w:w="0" w:type="auto"/>
            <w:vAlign w:val="center"/>
          </w:tcPr>
          <w:p w14:paraId="564E3906" w14:textId="3C99E219"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0.44–</w:t>
            </w:r>
            <w:r w:rsidR="001578ED" w:rsidRPr="002E21AA">
              <w:rPr>
                <w:rFonts w:ascii="Palatino Linotype" w:hAnsi="Palatino Linotype" w:cs="Times New Roman"/>
                <w:sz w:val="18"/>
                <w:szCs w:val="18"/>
              </w:rPr>
              <w:t>10.78</w:t>
            </w:r>
          </w:p>
        </w:tc>
      </w:tr>
      <w:tr w:rsidR="001578ED" w:rsidRPr="002E21AA" w14:paraId="1A919490" w14:textId="77777777" w:rsidTr="00CF49E5">
        <w:trPr>
          <w:jc w:val="center"/>
        </w:trPr>
        <w:tc>
          <w:tcPr>
            <w:tcW w:w="0" w:type="auto"/>
            <w:vAlign w:val="center"/>
          </w:tcPr>
          <w:p w14:paraId="05200614"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Macedonia</w:t>
            </w:r>
          </w:p>
        </w:tc>
        <w:tc>
          <w:tcPr>
            <w:tcW w:w="0" w:type="auto"/>
            <w:vAlign w:val="center"/>
          </w:tcPr>
          <w:p w14:paraId="3895D44E"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3.36</w:t>
            </w:r>
          </w:p>
        </w:tc>
        <w:tc>
          <w:tcPr>
            <w:tcW w:w="0" w:type="auto"/>
            <w:vAlign w:val="center"/>
          </w:tcPr>
          <w:p w14:paraId="66FE8029" w14:textId="43D3A148"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2.05–</w:t>
            </w:r>
            <w:r w:rsidR="001578ED" w:rsidRPr="002E21AA">
              <w:rPr>
                <w:rFonts w:ascii="Palatino Linotype" w:hAnsi="Palatino Linotype" w:cs="Times New Roman"/>
                <w:b/>
                <w:sz w:val="18"/>
                <w:szCs w:val="18"/>
              </w:rPr>
              <w:t>5.48</w:t>
            </w:r>
          </w:p>
        </w:tc>
        <w:tc>
          <w:tcPr>
            <w:tcW w:w="0" w:type="auto"/>
            <w:vAlign w:val="center"/>
          </w:tcPr>
          <w:p w14:paraId="4C879E3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2.53</w:t>
            </w:r>
          </w:p>
        </w:tc>
        <w:tc>
          <w:tcPr>
            <w:tcW w:w="0" w:type="auto"/>
            <w:vAlign w:val="center"/>
          </w:tcPr>
          <w:p w14:paraId="09CD0DA8" w14:textId="552DDDDF"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1.20–</w:t>
            </w:r>
            <w:r w:rsidR="001578ED" w:rsidRPr="002E21AA">
              <w:rPr>
                <w:rFonts w:ascii="Palatino Linotype" w:hAnsi="Palatino Linotype" w:cs="Times New Roman"/>
                <w:b/>
                <w:sz w:val="18"/>
                <w:szCs w:val="18"/>
              </w:rPr>
              <w:t>5.34</w:t>
            </w:r>
          </w:p>
        </w:tc>
      </w:tr>
      <w:tr w:rsidR="001578ED" w:rsidRPr="002E21AA" w14:paraId="2DF51BC0" w14:textId="77777777" w:rsidTr="00CF49E5">
        <w:trPr>
          <w:jc w:val="center"/>
        </w:trPr>
        <w:tc>
          <w:tcPr>
            <w:tcW w:w="0" w:type="auto"/>
            <w:vAlign w:val="center"/>
          </w:tcPr>
          <w:p w14:paraId="5DFD2A6F"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Malta</w:t>
            </w:r>
          </w:p>
        </w:tc>
        <w:tc>
          <w:tcPr>
            <w:tcW w:w="0" w:type="auto"/>
            <w:vAlign w:val="center"/>
          </w:tcPr>
          <w:p w14:paraId="5451C129"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2.01</w:t>
            </w:r>
          </w:p>
        </w:tc>
        <w:tc>
          <w:tcPr>
            <w:tcW w:w="0" w:type="auto"/>
            <w:vAlign w:val="center"/>
          </w:tcPr>
          <w:p w14:paraId="5F6C1DC1" w14:textId="62408C78"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1.32–</w:t>
            </w:r>
            <w:r w:rsidR="001578ED" w:rsidRPr="002E21AA">
              <w:rPr>
                <w:rFonts w:ascii="Palatino Linotype" w:hAnsi="Palatino Linotype" w:cs="Times New Roman"/>
                <w:b/>
                <w:sz w:val="18"/>
                <w:szCs w:val="18"/>
              </w:rPr>
              <w:t>3.05</w:t>
            </w:r>
          </w:p>
        </w:tc>
        <w:tc>
          <w:tcPr>
            <w:tcW w:w="0" w:type="auto"/>
            <w:vAlign w:val="center"/>
          </w:tcPr>
          <w:p w14:paraId="51BE697A"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1.79</w:t>
            </w:r>
          </w:p>
        </w:tc>
        <w:tc>
          <w:tcPr>
            <w:tcW w:w="0" w:type="auto"/>
            <w:vAlign w:val="center"/>
          </w:tcPr>
          <w:p w14:paraId="10E14A89" w14:textId="7D21B8CA"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1.01–</w:t>
            </w:r>
            <w:r w:rsidR="001578ED" w:rsidRPr="002E21AA">
              <w:rPr>
                <w:rFonts w:ascii="Palatino Linotype" w:hAnsi="Palatino Linotype" w:cs="Times New Roman"/>
                <w:b/>
                <w:sz w:val="18"/>
                <w:szCs w:val="18"/>
              </w:rPr>
              <w:t>3.18</w:t>
            </w:r>
          </w:p>
        </w:tc>
      </w:tr>
      <w:tr w:rsidR="001578ED" w:rsidRPr="002E21AA" w14:paraId="18A21076" w14:textId="77777777" w:rsidTr="00CF49E5">
        <w:trPr>
          <w:jc w:val="center"/>
        </w:trPr>
        <w:tc>
          <w:tcPr>
            <w:tcW w:w="0" w:type="auto"/>
            <w:vAlign w:val="center"/>
          </w:tcPr>
          <w:p w14:paraId="2F364E25"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Montenegro</w:t>
            </w:r>
          </w:p>
        </w:tc>
        <w:tc>
          <w:tcPr>
            <w:tcW w:w="0" w:type="auto"/>
            <w:vAlign w:val="center"/>
          </w:tcPr>
          <w:p w14:paraId="5160C086"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2.09</w:t>
            </w:r>
          </w:p>
        </w:tc>
        <w:tc>
          <w:tcPr>
            <w:tcW w:w="0" w:type="auto"/>
            <w:vAlign w:val="center"/>
          </w:tcPr>
          <w:p w14:paraId="07C6C1C7" w14:textId="00928DBA"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1.09–</w:t>
            </w:r>
            <w:r w:rsidR="001578ED" w:rsidRPr="002E21AA">
              <w:rPr>
                <w:rFonts w:ascii="Palatino Linotype" w:hAnsi="Palatino Linotype" w:cs="Times New Roman"/>
                <w:b/>
                <w:sz w:val="18"/>
                <w:szCs w:val="18"/>
              </w:rPr>
              <w:t>4.02</w:t>
            </w:r>
          </w:p>
        </w:tc>
        <w:tc>
          <w:tcPr>
            <w:tcW w:w="0" w:type="auto"/>
            <w:vAlign w:val="center"/>
          </w:tcPr>
          <w:p w14:paraId="6F04B4C0"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3.91</w:t>
            </w:r>
          </w:p>
        </w:tc>
        <w:tc>
          <w:tcPr>
            <w:tcW w:w="0" w:type="auto"/>
            <w:vAlign w:val="center"/>
          </w:tcPr>
          <w:p w14:paraId="22971234" w14:textId="7079445B"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1.66–</w:t>
            </w:r>
            <w:r w:rsidR="001578ED" w:rsidRPr="002E21AA">
              <w:rPr>
                <w:rFonts w:ascii="Palatino Linotype" w:hAnsi="Palatino Linotype" w:cs="Times New Roman"/>
                <w:b/>
                <w:sz w:val="18"/>
                <w:szCs w:val="18"/>
              </w:rPr>
              <w:t>9.19</w:t>
            </w:r>
          </w:p>
        </w:tc>
      </w:tr>
      <w:tr w:rsidR="001578ED" w:rsidRPr="002E21AA" w14:paraId="68094A1B" w14:textId="77777777" w:rsidTr="00CF49E5">
        <w:trPr>
          <w:jc w:val="center"/>
        </w:trPr>
        <w:tc>
          <w:tcPr>
            <w:tcW w:w="0" w:type="auto"/>
            <w:vAlign w:val="center"/>
          </w:tcPr>
          <w:p w14:paraId="1C5E41DB"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Netherlands</w:t>
            </w:r>
          </w:p>
        </w:tc>
        <w:tc>
          <w:tcPr>
            <w:tcW w:w="0" w:type="auto"/>
            <w:vAlign w:val="center"/>
          </w:tcPr>
          <w:p w14:paraId="671130DE"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1.72</w:t>
            </w:r>
          </w:p>
        </w:tc>
        <w:tc>
          <w:tcPr>
            <w:tcW w:w="0" w:type="auto"/>
            <w:vAlign w:val="center"/>
          </w:tcPr>
          <w:p w14:paraId="198CAB56" w14:textId="16E66822"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0.65–</w:t>
            </w:r>
            <w:r w:rsidR="001578ED" w:rsidRPr="002E21AA">
              <w:rPr>
                <w:rFonts w:ascii="Palatino Linotype" w:hAnsi="Palatino Linotype" w:cs="Times New Roman"/>
                <w:sz w:val="18"/>
                <w:szCs w:val="18"/>
              </w:rPr>
              <w:t>4.52</w:t>
            </w:r>
          </w:p>
        </w:tc>
        <w:tc>
          <w:tcPr>
            <w:tcW w:w="0" w:type="auto"/>
            <w:vAlign w:val="center"/>
          </w:tcPr>
          <w:p w14:paraId="4495D14B"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2.67</w:t>
            </w:r>
          </w:p>
        </w:tc>
        <w:tc>
          <w:tcPr>
            <w:tcW w:w="0" w:type="auto"/>
            <w:vAlign w:val="center"/>
          </w:tcPr>
          <w:p w14:paraId="428AF5ED" w14:textId="2D9A8C7C"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0.75–</w:t>
            </w:r>
            <w:r w:rsidR="001578ED" w:rsidRPr="002E21AA">
              <w:rPr>
                <w:rFonts w:ascii="Palatino Linotype" w:hAnsi="Palatino Linotype" w:cs="Times New Roman"/>
                <w:sz w:val="18"/>
                <w:szCs w:val="18"/>
              </w:rPr>
              <w:t>9.43</w:t>
            </w:r>
          </w:p>
        </w:tc>
      </w:tr>
      <w:tr w:rsidR="001578ED" w:rsidRPr="002E21AA" w14:paraId="5C07A2BE" w14:textId="77777777" w:rsidTr="00CF49E5">
        <w:trPr>
          <w:jc w:val="center"/>
        </w:trPr>
        <w:tc>
          <w:tcPr>
            <w:tcW w:w="0" w:type="auto"/>
            <w:vAlign w:val="center"/>
          </w:tcPr>
          <w:p w14:paraId="476CD2D0"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Poland</w:t>
            </w:r>
          </w:p>
        </w:tc>
        <w:tc>
          <w:tcPr>
            <w:tcW w:w="0" w:type="auto"/>
            <w:vAlign w:val="center"/>
          </w:tcPr>
          <w:p w14:paraId="34E049B5"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2.10</w:t>
            </w:r>
          </w:p>
        </w:tc>
        <w:tc>
          <w:tcPr>
            <w:tcW w:w="0" w:type="auto"/>
            <w:vAlign w:val="center"/>
          </w:tcPr>
          <w:p w14:paraId="1B787DEC" w14:textId="7AB80C87"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1.64–</w:t>
            </w:r>
            <w:r w:rsidR="001578ED" w:rsidRPr="002E21AA">
              <w:rPr>
                <w:rFonts w:ascii="Palatino Linotype" w:hAnsi="Palatino Linotype" w:cs="Times New Roman"/>
                <w:b/>
                <w:sz w:val="18"/>
                <w:szCs w:val="18"/>
              </w:rPr>
              <w:t>2.68</w:t>
            </w:r>
          </w:p>
        </w:tc>
        <w:tc>
          <w:tcPr>
            <w:tcW w:w="0" w:type="auto"/>
            <w:vAlign w:val="center"/>
          </w:tcPr>
          <w:p w14:paraId="7883800D"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1.67</w:t>
            </w:r>
          </w:p>
        </w:tc>
        <w:tc>
          <w:tcPr>
            <w:tcW w:w="0" w:type="auto"/>
            <w:vAlign w:val="center"/>
          </w:tcPr>
          <w:p w14:paraId="67D47133" w14:textId="6288E4C2"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1.23–</w:t>
            </w:r>
            <w:r w:rsidR="001578ED" w:rsidRPr="002E21AA">
              <w:rPr>
                <w:rFonts w:ascii="Palatino Linotype" w:hAnsi="Palatino Linotype" w:cs="Times New Roman"/>
                <w:b/>
                <w:sz w:val="18"/>
                <w:szCs w:val="18"/>
              </w:rPr>
              <w:t>2.28</w:t>
            </w:r>
          </w:p>
        </w:tc>
      </w:tr>
      <w:tr w:rsidR="001578ED" w:rsidRPr="002E21AA" w14:paraId="1AEC349E" w14:textId="77777777" w:rsidTr="00CF49E5">
        <w:trPr>
          <w:jc w:val="center"/>
        </w:trPr>
        <w:tc>
          <w:tcPr>
            <w:tcW w:w="0" w:type="auto"/>
            <w:vAlign w:val="center"/>
          </w:tcPr>
          <w:p w14:paraId="2BFB3E79"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Portugal</w:t>
            </w:r>
          </w:p>
        </w:tc>
        <w:tc>
          <w:tcPr>
            <w:tcW w:w="0" w:type="auto"/>
            <w:vAlign w:val="center"/>
          </w:tcPr>
          <w:p w14:paraId="60986D90"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3.00</w:t>
            </w:r>
          </w:p>
        </w:tc>
        <w:tc>
          <w:tcPr>
            <w:tcW w:w="0" w:type="auto"/>
            <w:vAlign w:val="center"/>
          </w:tcPr>
          <w:p w14:paraId="52B023B3" w14:textId="43642976"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w:t>
            </w:r>
            <w:r w:rsidR="00D50FDB" w:rsidRPr="002E21AA">
              <w:rPr>
                <w:rFonts w:ascii="Palatino Linotype" w:hAnsi="Palatino Linotype" w:cs="Times New Roman"/>
                <w:b/>
                <w:sz w:val="18"/>
                <w:szCs w:val="18"/>
              </w:rPr>
              <w:t>1–</w:t>
            </w:r>
            <w:r w:rsidRPr="002E21AA">
              <w:rPr>
                <w:rFonts w:ascii="Palatino Linotype" w:hAnsi="Palatino Linotype" w:cs="Times New Roman"/>
                <w:b/>
                <w:sz w:val="18"/>
                <w:szCs w:val="18"/>
              </w:rPr>
              <w:t>4.72</w:t>
            </w:r>
          </w:p>
        </w:tc>
        <w:tc>
          <w:tcPr>
            <w:tcW w:w="0" w:type="auto"/>
            <w:vAlign w:val="center"/>
          </w:tcPr>
          <w:p w14:paraId="4A566391"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2.30</w:t>
            </w:r>
          </w:p>
        </w:tc>
        <w:tc>
          <w:tcPr>
            <w:tcW w:w="0" w:type="auto"/>
            <w:vAlign w:val="center"/>
          </w:tcPr>
          <w:p w14:paraId="6F368DD6" w14:textId="4BA8666A"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1.20–</w:t>
            </w:r>
            <w:r w:rsidR="001578ED" w:rsidRPr="002E21AA">
              <w:rPr>
                <w:rFonts w:ascii="Palatino Linotype" w:hAnsi="Palatino Linotype" w:cs="Times New Roman"/>
                <w:b/>
                <w:sz w:val="18"/>
                <w:szCs w:val="18"/>
              </w:rPr>
              <w:t>4.40</w:t>
            </w:r>
          </w:p>
        </w:tc>
      </w:tr>
      <w:tr w:rsidR="001578ED" w:rsidRPr="002E21AA" w14:paraId="13C38EC3" w14:textId="77777777" w:rsidTr="00CF49E5">
        <w:trPr>
          <w:jc w:val="center"/>
        </w:trPr>
        <w:tc>
          <w:tcPr>
            <w:tcW w:w="0" w:type="auto"/>
            <w:vAlign w:val="center"/>
          </w:tcPr>
          <w:p w14:paraId="72AB5E32"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Romania</w:t>
            </w:r>
          </w:p>
        </w:tc>
        <w:tc>
          <w:tcPr>
            <w:tcW w:w="0" w:type="auto"/>
            <w:vAlign w:val="center"/>
          </w:tcPr>
          <w:p w14:paraId="3349AB56"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2.62</w:t>
            </w:r>
          </w:p>
        </w:tc>
        <w:tc>
          <w:tcPr>
            <w:tcW w:w="0" w:type="auto"/>
            <w:vAlign w:val="center"/>
          </w:tcPr>
          <w:p w14:paraId="2C3ECFCB" w14:textId="665D3E83"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1.91–</w:t>
            </w:r>
            <w:r w:rsidR="001578ED" w:rsidRPr="002E21AA">
              <w:rPr>
                <w:rFonts w:ascii="Palatino Linotype" w:hAnsi="Palatino Linotype" w:cs="Times New Roman"/>
                <w:b/>
                <w:sz w:val="18"/>
                <w:szCs w:val="18"/>
              </w:rPr>
              <w:t>3.58</w:t>
            </w:r>
          </w:p>
        </w:tc>
        <w:tc>
          <w:tcPr>
            <w:tcW w:w="0" w:type="auto"/>
            <w:vAlign w:val="center"/>
          </w:tcPr>
          <w:p w14:paraId="00B67884"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2.54</w:t>
            </w:r>
          </w:p>
        </w:tc>
        <w:tc>
          <w:tcPr>
            <w:tcW w:w="0" w:type="auto"/>
            <w:vAlign w:val="center"/>
          </w:tcPr>
          <w:p w14:paraId="733A044A" w14:textId="650C9411"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1.80–</w:t>
            </w:r>
            <w:r w:rsidR="001578ED" w:rsidRPr="002E21AA">
              <w:rPr>
                <w:rFonts w:ascii="Palatino Linotype" w:hAnsi="Palatino Linotype" w:cs="Times New Roman"/>
                <w:b/>
                <w:sz w:val="18"/>
                <w:szCs w:val="18"/>
              </w:rPr>
              <w:t>3.59</w:t>
            </w:r>
          </w:p>
        </w:tc>
      </w:tr>
      <w:tr w:rsidR="001578ED" w:rsidRPr="002E21AA" w14:paraId="61D8848D" w14:textId="77777777" w:rsidTr="00CF49E5">
        <w:trPr>
          <w:jc w:val="center"/>
        </w:trPr>
        <w:tc>
          <w:tcPr>
            <w:tcW w:w="0" w:type="auto"/>
            <w:vAlign w:val="center"/>
          </w:tcPr>
          <w:p w14:paraId="504881DE"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Serbia</w:t>
            </w:r>
          </w:p>
        </w:tc>
        <w:tc>
          <w:tcPr>
            <w:tcW w:w="0" w:type="auto"/>
            <w:vAlign w:val="center"/>
          </w:tcPr>
          <w:p w14:paraId="08AAEFE1"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2.02</w:t>
            </w:r>
          </w:p>
        </w:tc>
        <w:tc>
          <w:tcPr>
            <w:tcW w:w="0" w:type="auto"/>
            <w:vAlign w:val="center"/>
          </w:tcPr>
          <w:p w14:paraId="20C13021" w14:textId="6D48D191"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1.25–</w:t>
            </w:r>
            <w:r w:rsidR="001578ED" w:rsidRPr="002E21AA">
              <w:rPr>
                <w:rFonts w:ascii="Palatino Linotype" w:hAnsi="Palatino Linotype" w:cs="Times New Roman"/>
                <w:b/>
                <w:sz w:val="18"/>
                <w:szCs w:val="18"/>
              </w:rPr>
              <w:t>3.27</w:t>
            </w:r>
          </w:p>
        </w:tc>
        <w:tc>
          <w:tcPr>
            <w:tcW w:w="0" w:type="auto"/>
            <w:vAlign w:val="center"/>
          </w:tcPr>
          <w:p w14:paraId="2E602DF8"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1.99</w:t>
            </w:r>
          </w:p>
        </w:tc>
        <w:tc>
          <w:tcPr>
            <w:tcW w:w="0" w:type="auto"/>
            <w:vAlign w:val="center"/>
          </w:tcPr>
          <w:p w14:paraId="3AD03D9D" w14:textId="2909F4B7"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1.18–</w:t>
            </w:r>
            <w:r w:rsidR="001578ED" w:rsidRPr="002E21AA">
              <w:rPr>
                <w:rFonts w:ascii="Palatino Linotype" w:hAnsi="Palatino Linotype" w:cs="Times New Roman"/>
                <w:b/>
                <w:sz w:val="18"/>
                <w:szCs w:val="18"/>
              </w:rPr>
              <w:t>3.35</w:t>
            </w:r>
          </w:p>
        </w:tc>
      </w:tr>
      <w:tr w:rsidR="001578ED" w:rsidRPr="002E21AA" w14:paraId="289D343B" w14:textId="77777777" w:rsidTr="00CF49E5">
        <w:trPr>
          <w:jc w:val="center"/>
        </w:trPr>
        <w:tc>
          <w:tcPr>
            <w:tcW w:w="0" w:type="auto"/>
            <w:vAlign w:val="center"/>
          </w:tcPr>
          <w:p w14:paraId="4A62113B"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Slovakia</w:t>
            </w:r>
          </w:p>
        </w:tc>
        <w:tc>
          <w:tcPr>
            <w:tcW w:w="0" w:type="auto"/>
            <w:vAlign w:val="center"/>
          </w:tcPr>
          <w:p w14:paraId="2F3BCF83"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2.58</w:t>
            </w:r>
          </w:p>
        </w:tc>
        <w:tc>
          <w:tcPr>
            <w:tcW w:w="0" w:type="auto"/>
            <w:vAlign w:val="center"/>
          </w:tcPr>
          <w:p w14:paraId="2494AE95" w14:textId="093A53A3"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1.50–</w:t>
            </w:r>
            <w:r w:rsidR="001578ED" w:rsidRPr="002E21AA">
              <w:rPr>
                <w:rFonts w:ascii="Palatino Linotype" w:hAnsi="Palatino Linotype" w:cs="Times New Roman"/>
                <w:b/>
                <w:sz w:val="18"/>
                <w:szCs w:val="18"/>
              </w:rPr>
              <w:t>4.46</w:t>
            </w:r>
          </w:p>
        </w:tc>
        <w:tc>
          <w:tcPr>
            <w:tcW w:w="0" w:type="auto"/>
            <w:vAlign w:val="center"/>
          </w:tcPr>
          <w:p w14:paraId="76FA435F"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3.08</w:t>
            </w:r>
          </w:p>
        </w:tc>
        <w:tc>
          <w:tcPr>
            <w:tcW w:w="0" w:type="auto"/>
            <w:vAlign w:val="center"/>
          </w:tcPr>
          <w:p w14:paraId="79F78B05" w14:textId="2D225AF5"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1.65–</w:t>
            </w:r>
            <w:r w:rsidR="001578ED" w:rsidRPr="002E21AA">
              <w:rPr>
                <w:rFonts w:ascii="Palatino Linotype" w:hAnsi="Palatino Linotype" w:cs="Times New Roman"/>
                <w:b/>
                <w:sz w:val="18"/>
                <w:szCs w:val="18"/>
              </w:rPr>
              <w:t>5.76</w:t>
            </w:r>
          </w:p>
        </w:tc>
      </w:tr>
      <w:tr w:rsidR="001578ED" w:rsidRPr="002E21AA" w14:paraId="2CB56C66" w14:textId="77777777" w:rsidTr="00CF49E5">
        <w:trPr>
          <w:jc w:val="center"/>
        </w:trPr>
        <w:tc>
          <w:tcPr>
            <w:tcW w:w="0" w:type="auto"/>
            <w:vAlign w:val="center"/>
          </w:tcPr>
          <w:p w14:paraId="31E98730"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Slovenia</w:t>
            </w:r>
          </w:p>
        </w:tc>
        <w:tc>
          <w:tcPr>
            <w:tcW w:w="0" w:type="auto"/>
            <w:vAlign w:val="center"/>
          </w:tcPr>
          <w:p w14:paraId="66F4086A"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3.36</w:t>
            </w:r>
          </w:p>
        </w:tc>
        <w:tc>
          <w:tcPr>
            <w:tcW w:w="0" w:type="auto"/>
            <w:vAlign w:val="center"/>
          </w:tcPr>
          <w:p w14:paraId="3AF3AB64" w14:textId="7E225AA0"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1.02–</w:t>
            </w:r>
            <w:r w:rsidR="001578ED" w:rsidRPr="002E21AA">
              <w:rPr>
                <w:rFonts w:ascii="Palatino Linotype" w:hAnsi="Palatino Linotype" w:cs="Times New Roman"/>
                <w:b/>
                <w:sz w:val="18"/>
                <w:szCs w:val="18"/>
              </w:rPr>
              <w:t>11.03</w:t>
            </w:r>
          </w:p>
        </w:tc>
        <w:tc>
          <w:tcPr>
            <w:tcW w:w="0" w:type="auto"/>
            <w:vAlign w:val="center"/>
          </w:tcPr>
          <w:p w14:paraId="3102EFD9"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19.93</w:t>
            </w:r>
          </w:p>
        </w:tc>
        <w:tc>
          <w:tcPr>
            <w:tcW w:w="0" w:type="auto"/>
            <w:vAlign w:val="center"/>
          </w:tcPr>
          <w:p w14:paraId="58B82D79" w14:textId="0C4AC031"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5.29–</w:t>
            </w:r>
            <w:r w:rsidR="001578ED" w:rsidRPr="002E21AA">
              <w:rPr>
                <w:rFonts w:ascii="Palatino Linotype" w:hAnsi="Palatino Linotype" w:cs="Times New Roman"/>
                <w:b/>
                <w:sz w:val="18"/>
                <w:szCs w:val="18"/>
              </w:rPr>
              <w:t>75.09</w:t>
            </w:r>
          </w:p>
        </w:tc>
      </w:tr>
      <w:tr w:rsidR="001578ED" w:rsidRPr="002E21AA" w14:paraId="6EF280D2" w14:textId="77777777" w:rsidTr="00CF49E5">
        <w:trPr>
          <w:jc w:val="center"/>
        </w:trPr>
        <w:tc>
          <w:tcPr>
            <w:tcW w:w="0" w:type="auto"/>
            <w:vAlign w:val="center"/>
          </w:tcPr>
          <w:p w14:paraId="470C5F0B"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Spain</w:t>
            </w:r>
          </w:p>
        </w:tc>
        <w:tc>
          <w:tcPr>
            <w:tcW w:w="0" w:type="auto"/>
            <w:vAlign w:val="center"/>
          </w:tcPr>
          <w:p w14:paraId="40A7089B"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1.74</w:t>
            </w:r>
          </w:p>
        </w:tc>
        <w:tc>
          <w:tcPr>
            <w:tcW w:w="0" w:type="auto"/>
            <w:vAlign w:val="center"/>
          </w:tcPr>
          <w:p w14:paraId="6301F374" w14:textId="26CAFAFF"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1.15–</w:t>
            </w:r>
            <w:r w:rsidR="001578ED" w:rsidRPr="002E21AA">
              <w:rPr>
                <w:rFonts w:ascii="Palatino Linotype" w:hAnsi="Palatino Linotype" w:cs="Times New Roman"/>
                <w:b/>
                <w:sz w:val="18"/>
                <w:szCs w:val="18"/>
              </w:rPr>
              <w:t>2.64</w:t>
            </w:r>
          </w:p>
        </w:tc>
        <w:tc>
          <w:tcPr>
            <w:tcW w:w="0" w:type="auto"/>
            <w:vAlign w:val="center"/>
          </w:tcPr>
          <w:p w14:paraId="5CE59E7A"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1.79</w:t>
            </w:r>
          </w:p>
        </w:tc>
        <w:tc>
          <w:tcPr>
            <w:tcW w:w="0" w:type="auto"/>
            <w:vAlign w:val="center"/>
          </w:tcPr>
          <w:p w14:paraId="6FFD9964" w14:textId="443E6D71"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0.93–</w:t>
            </w:r>
            <w:r w:rsidR="001578ED" w:rsidRPr="002E21AA">
              <w:rPr>
                <w:rFonts w:ascii="Palatino Linotype" w:hAnsi="Palatino Linotype" w:cs="Times New Roman"/>
                <w:sz w:val="18"/>
                <w:szCs w:val="18"/>
              </w:rPr>
              <w:t>3.45</w:t>
            </w:r>
          </w:p>
        </w:tc>
      </w:tr>
      <w:tr w:rsidR="001578ED" w:rsidRPr="002E21AA" w14:paraId="62FA1352" w14:textId="77777777" w:rsidTr="00CF49E5">
        <w:trPr>
          <w:jc w:val="center"/>
        </w:trPr>
        <w:tc>
          <w:tcPr>
            <w:tcW w:w="0" w:type="auto"/>
            <w:vAlign w:val="center"/>
          </w:tcPr>
          <w:p w14:paraId="6844DCEA"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Sweden</w:t>
            </w:r>
          </w:p>
        </w:tc>
        <w:tc>
          <w:tcPr>
            <w:tcW w:w="0" w:type="auto"/>
            <w:vAlign w:val="center"/>
          </w:tcPr>
          <w:p w14:paraId="34DBFB1D"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7.84</w:t>
            </w:r>
          </w:p>
        </w:tc>
        <w:tc>
          <w:tcPr>
            <w:tcW w:w="0" w:type="auto"/>
            <w:vAlign w:val="center"/>
          </w:tcPr>
          <w:p w14:paraId="763D55E8" w14:textId="70ABF57E"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1.62–</w:t>
            </w:r>
            <w:r w:rsidR="001578ED" w:rsidRPr="002E21AA">
              <w:rPr>
                <w:rFonts w:ascii="Palatino Linotype" w:hAnsi="Palatino Linotype" w:cs="Times New Roman"/>
                <w:b/>
                <w:sz w:val="18"/>
                <w:szCs w:val="18"/>
              </w:rPr>
              <w:t>38.02</w:t>
            </w:r>
          </w:p>
        </w:tc>
        <w:tc>
          <w:tcPr>
            <w:tcW w:w="0" w:type="auto"/>
            <w:vAlign w:val="center"/>
          </w:tcPr>
          <w:p w14:paraId="2A15A556" w14:textId="77777777" w:rsidR="001578ED" w:rsidRPr="002E21AA" w:rsidRDefault="001578ED"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3.39</w:t>
            </w:r>
          </w:p>
        </w:tc>
        <w:tc>
          <w:tcPr>
            <w:tcW w:w="0" w:type="auto"/>
            <w:vAlign w:val="center"/>
          </w:tcPr>
          <w:p w14:paraId="1B74980E" w14:textId="6238C7F8" w:rsidR="001578ED" w:rsidRPr="002E21AA" w:rsidRDefault="00D50FDB" w:rsidP="002E21AA">
            <w:pPr>
              <w:adjustRightInd w:val="0"/>
              <w:snapToGrid w:val="0"/>
              <w:spacing w:line="240" w:lineRule="auto"/>
              <w:jc w:val="center"/>
              <w:rPr>
                <w:rFonts w:ascii="Palatino Linotype" w:hAnsi="Palatino Linotype" w:cs="Times New Roman"/>
                <w:sz w:val="18"/>
                <w:szCs w:val="18"/>
              </w:rPr>
            </w:pPr>
            <w:r w:rsidRPr="002E21AA">
              <w:rPr>
                <w:rFonts w:ascii="Palatino Linotype" w:hAnsi="Palatino Linotype" w:cs="Times New Roman"/>
                <w:sz w:val="18"/>
                <w:szCs w:val="18"/>
              </w:rPr>
              <w:t>0.64–</w:t>
            </w:r>
            <w:r w:rsidR="001578ED" w:rsidRPr="002E21AA">
              <w:rPr>
                <w:rFonts w:ascii="Palatino Linotype" w:hAnsi="Palatino Linotype" w:cs="Times New Roman"/>
                <w:sz w:val="18"/>
                <w:szCs w:val="18"/>
              </w:rPr>
              <w:t>18.00</w:t>
            </w:r>
          </w:p>
        </w:tc>
      </w:tr>
      <w:tr w:rsidR="001578ED" w:rsidRPr="002E21AA" w14:paraId="4FBA58CF" w14:textId="77777777" w:rsidTr="00CF49E5">
        <w:trPr>
          <w:jc w:val="center"/>
        </w:trPr>
        <w:tc>
          <w:tcPr>
            <w:tcW w:w="0" w:type="auto"/>
            <w:vAlign w:val="center"/>
          </w:tcPr>
          <w:p w14:paraId="2EC42082"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Turkey</w:t>
            </w:r>
          </w:p>
        </w:tc>
        <w:tc>
          <w:tcPr>
            <w:tcW w:w="0" w:type="auto"/>
            <w:vAlign w:val="center"/>
          </w:tcPr>
          <w:p w14:paraId="351FEE66"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1.65</w:t>
            </w:r>
          </w:p>
        </w:tc>
        <w:tc>
          <w:tcPr>
            <w:tcW w:w="0" w:type="auto"/>
            <w:vAlign w:val="center"/>
          </w:tcPr>
          <w:p w14:paraId="25098A5C" w14:textId="0B1B0959"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1.32–</w:t>
            </w:r>
            <w:r w:rsidR="001578ED" w:rsidRPr="002E21AA">
              <w:rPr>
                <w:rFonts w:ascii="Palatino Linotype" w:hAnsi="Palatino Linotype" w:cs="Times New Roman"/>
                <w:b/>
                <w:sz w:val="18"/>
                <w:szCs w:val="18"/>
              </w:rPr>
              <w:t>2.05</w:t>
            </w:r>
          </w:p>
        </w:tc>
        <w:tc>
          <w:tcPr>
            <w:tcW w:w="0" w:type="auto"/>
            <w:vAlign w:val="center"/>
          </w:tcPr>
          <w:p w14:paraId="7A0DB3F3"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1.47</w:t>
            </w:r>
          </w:p>
        </w:tc>
        <w:tc>
          <w:tcPr>
            <w:tcW w:w="0" w:type="auto"/>
            <w:vAlign w:val="center"/>
          </w:tcPr>
          <w:p w14:paraId="7ABD6AE2" w14:textId="7FEB4039"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1.15–</w:t>
            </w:r>
            <w:r w:rsidR="001578ED" w:rsidRPr="002E21AA">
              <w:rPr>
                <w:rFonts w:ascii="Palatino Linotype" w:hAnsi="Palatino Linotype" w:cs="Times New Roman"/>
                <w:b/>
                <w:sz w:val="18"/>
                <w:szCs w:val="18"/>
              </w:rPr>
              <w:t>1.87</w:t>
            </w:r>
          </w:p>
        </w:tc>
      </w:tr>
      <w:tr w:rsidR="001578ED" w:rsidRPr="002E21AA" w14:paraId="48170353" w14:textId="77777777" w:rsidTr="00CF49E5">
        <w:trPr>
          <w:jc w:val="center"/>
        </w:trPr>
        <w:tc>
          <w:tcPr>
            <w:tcW w:w="0" w:type="auto"/>
            <w:vAlign w:val="center"/>
          </w:tcPr>
          <w:p w14:paraId="3AEDEF04" w14:textId="77777777" w:rsidR="001578ED" w:rsidRPr="002E21AA" w:rsidRDefault="001578ED" w:rsidP="002E21AA">
            <w:pPr>
              <w:adjustRightInd w:val="0"/>
              <w:snapToGrid w:val="0"/>
              <w:spacing w:line="240" w:lineRule="auto"/>
              <w:rPr>
                <w:rFonts w:ascii="Palatino Linotype" w:hAnsi="Palatino Linotype" w:cs="Times New Roman"/>
                <w:sz w:val="18"/>
                <w:szCs w:val="18"/>
              </w:rPr>
            </w:pPr>
            <w:r w:rsidRPr="002E21AA">
              <w:rPr>
                <w:rFonts w:ascii="Palatino Linotype" w:hAnsi="Palatino Linotype" w:cs="Times New Roman"/>
                <w:sz w:val="18"/>
                <w:szCs w:val="18"/>
              </w:rPr>
              <w:t>UK</w:t>
            </w:r>
          </w:p>
        </w:tc>
        <w:tc>
          <w:tcPr>
            <w:tcW w:w="0" w:type="auto"/>
            <w:vAlign w:val="center"/>
          </w:tcPr>
          <w:p w14:paraId="54F742EB"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2.64</w:t>
            </w:r>
          </w:p>
        </w:tc>
        <w:tc>
          <w:tcPr>
            <w:tcW w:w="0" w:type="auto"/>
            <w:vAlign w:val="center"/>
          </w:tcPr>
          <w:p w14:paraId="2CCF22BD" w14:textId="0055254C"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1.91–</w:t>
            </w:r>
            <w:r w:rsidR="001578ED" w:rsidRPr="002E21AA">
              <w:rPr>
                <w:rFonts w:ascii="Palatino Linotype" w:hAnsi="Palatino Linotype" w:cs="Times New Roman"/>
                <w:b/>
                <w:sz w:val="18"/>
                <w:szCs w:val="18"/>
              </w:rPr>
              <w:t>3.64</w:t>
            </w:r>
          </w:p>
        </w:tc>
        <w:tc>
          <w:tcPr>
            <w:tcW w:w="0" w:type="auto"/>
            <w:vAlign w:val="center"/>
          </w:tcPr>
          <w:p w14:paraId="21747FAF" w14:textId="77777777" w:rsidR="001578ED" w:rsidRPr="002E21AA" w:rsidRDefault="001578ED"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2.76</w:t>
            </w:r>
          </w:p>
        </w:tc>
        <w:tc>
          <w:tcPr>
            <w:tcW w:w="0" w:type="auto"/>
            <w:vAlign w:val="center"/>
          </w:tcPr>
          <w:p w14:paraId="0D5319F2" w14:textId="4CCCC5D9" w:rsidR="001578ED" w:rsidRPr="002E21AA" w:rsidRDefault="00D50FDB" w:rsidP="002E21AA">
            <w:pPr>
              <w:adjustRightInd w:val="0"/>
              <w:snapToGrid w:val="0"/>
              <w:spacing w:line="240" w:lineRule="auto"/>
              <w:jc w:val="center"/>
              <w:rPr>
                <w:rFonts w:ascii="Palatino Linotype" w:hAnsi="Palatino Linotype" w:cs="Times New Roman"/>
                <w:b/>
                <w:sz w:val="18"/>
                <w:szCs w:val="18"/>
              </w:rPr>
            </w:pPr>
            <w:r w:rsidRPr="002E21AA">
              <w:rPr>
                <w:rFonts w:ascii="Palatino Linotype" w:hAnsi="Palatino Linotype" w:cs="Times New Roman"/>
                <w:b/>
                <w:sz w:val="18"/>
                <w:szCs w:val="18"/>
              </w:rPr>
              <w:t>1.89–</w:t>
            </w:r>
            <w:r w:rsidR="001578ED" w:rsidRPr="002E21AA">
              <w:rPr>
                <w:rFonts w:ascii="Palatino Linotype" w:hAnsi="Palatino Linotype" w:cs="Times New Roman"/>
                <w:b/>
                <w:sz w:val="18"/>
                <w:szCs w:val="18"/>
              </w:rPr>
              <w:t>4.03</w:t>
            </w:r>
          </w:p>
        </w:tc>
      </w:tr>
    </w:tbl>
    <w:p w14:paraId="35E759A6" w14:textId="32672DAD" w:rsidR="001578ED" w:rsidRPr="005950CC" w:rsidRDefault="001578ED" w:rsidP="00CF49E5">
      <w:pPr>
        <w:pStyle w:val="MDPI43tablefooter"/>
        <w:jc w:val="center"/>
        <w:rPr>
          <w:lang w:val="en-GB"/>
        </w:rPr>
      </w:pPr>
      <w:r w:rsidRPr="005950CC">
        <w:rPr>
          <w:lang w:val="en-GB"/>
        </w:rPr>
        <w:t xml:space="preserve">Results </w:t>
      </w:r>
      <w:proofErr w:type="gramStart"/>
      <w:r w:rsidRPr="005950CC">
        <w:rPr>
          <w:lang w:val="en-GB"/>
        </w:rPr>
        <w:t>which differ significantly from zero</w:t>
      </w:r>
      <w:proofErr w:type="gramEnd"/>
      <w:r w:rsidRPr="005950CC">
        <w:rPr>
          <w:lang w:val="en-GB"/>
        </w:rPr>
        <w:t xml:space="preserve"> (at </w:t>
      </w:r>
      <w:r w:rsidRPr="005950CC">
        <w:rPr>
          <w:i/>
          <w:lang w:val="en-GB"/>
        </w:rPr>
        <w:t>p</w:t>
      </w:r>
      <w:r w:rsidR="00CF49E5" w:rsidRPr="005950CC">
        <w:rPr>
          <w:lang w:val="en-GB"/>
        </w:rPr>
        <w:t xml:space="preserve"> </w:t>
      </w:r>
      <w:r w:rsidRPr="005950CC">
        <w:rPr>
          <w:lang w:val="en-GB"/>
        </w:rPr>
        <w:t>&lt;</w:t>
      </w:r>
      <w:r w:rsidR="00CF49E5" w:rsidRPr="005950CC">
        <w:rPr>
          <w:lang w:val="en-GB"/>
        </w:rPr>
        <w:t xml:space="preserve"> </w:t>
      </w:r>
      <w:r w:rsidRPr="005950CC">
        <w:rPr>
          <w:lang w:val="en-GB"/>
        </w:rPr>
        <w:t>0.05) are in bold typeface</w:t>
      </w:r>
      <w:r w:rsidR="00CF49E5" w:rsidRPr="005950CC">
        <w:rPr>
          <w:lang w:val="en-GB"/>
        </w:rPr>
        <w:t>.</w:t>
      </w:r>
    </w:p>
    <w:p w14:paraId="6E6A9D60" w14:textId="291B6105" w:rsidR="00CE52CB" w:rsidRPr="005950CC" w:rsidRDefault="000F0E65" w:rsidP="00CF49E5">
      <w:pPr>
        <w:pStyle w:val="MDPI21heading1"/>
        <w:rPr>
          <w:lang w:val="en-GB"/>
        </w:rPr>
      </w:pPr>
      <w:r w:rsidRPr="005950CC">
        <w:rPr>
          <w:lang w:val="en-GB"/>
        </w:rPr>
        <w:t>5</w:t>
      </w:r>
      <w:r w:rsidR="00004544" w:rsidRPr="005950CC">
        <w:rPr>
          <w:lang w:val="en-GB"/>
        </w:rPr>
        <w:t>. Discussion</w:t>
      </w:r>
    </w:p>
    <w:p w14:paraId="33E48B72" w14:textId="0E70C78F" w:rsidR="00D95579" w:rsidRPr="005950CC" w:rsidRDefault="00CE52CB" w:rsidP="00CF49E5">
      <w:pPr>
        <w:pStyle w:val="MDPI31text"/>
        <w:rPr>
          <w:lang w:val="en-GB"/>
        </w:rPr>
      </w:pPr>
      <w:r w:rsidRPr="005950CC">
        <w:rPr>
          <w:lang w:val="en-GB"/>
        </w:rPr>
        <w:t xml:space="preserve">The starting point of this paper was to add to the highly limited knowledge base that exists on energy poverty at the European-level by providing evidence about the relationship between </w:t>
      </w:r>
      <w:r w:rsidR="00757DD1" w:rsidRPr="005950CC">
        <w:rPr>
          <w:lang w:val="en-GB"/>
        </w:rPr>
        <w:t xml:space="preserve">general </w:t>
      </w:r>
      <w:r w:rsidRPr="005950CC">
        <w:rPr>
          <w:lang w:val="en-GB"/>
        </w:rPr>
        <w:t xml:space="preserve">health, </w:t>
      </w:r>
      <w:proofErr w:type="gramStart"/>
      <w:r w:rsidRPr="005950CC">
        <w:rPr>
          <w:lang w:val="en-GB"/>
        </w:rPr>
        <w:t>well-being</w:t>
      </w:r>
      <w:proofErr w:type="gramEnd"/>
      <w:r w:rsidRPr="005950CC">
        <w:rPr>
          <w:lang w:val="en-GB"/>
        </w:rPr>
        <w:t xml:space="preserve">, and energy poverty. </w:t>
      </w:r>
      <w:r w:rsidR="00CA63B5" w:rsidRPr="005950CC">
        <w:rPr>
          <w:lang w:val="en-GB"/>
        </w:rPr>
        <w:t xml:space="preserve">While </w:t>
      </w:r>
      <w:r w:rsidRPr="005950CC">
        <w:rPr>
          <w:lang w:val="en-GB"/>
        </w:rPr>
        <w:t>the findings presented in this paper do not and cannot replicate the nuanced evidence base that links health and energy poverty (for example, the impact of low temperatures on vulnerable groups or those with specific health conditions described in the background section)</w:t>
      </w:r>
      <w:r w:rsidR="00CA63B5" w:rsidRPr="005950CC">
        <w:rPr>
          <w:lang w:val="en-GB"/>
        </w:rPr>
        <w:t xml:space="preserve">, </w:t>
      </w:r>
      <w:r w:rsidRPr="005950CC">
        <w:rPr>
          <w:lang w:val="en-GB"/>
        </w:rPr>
        <w:t>a clear relationship between energy poverty and poor health</w:t>
      </w:r>
      <w:r w:rsidR="00CA63B5" w:rsidRPr="005950CC">
        <w:rPr>
          <w:lang w:val="en-GB"/>
        </w:rPr>
        <w:t xml:space="preserve"> and </w:t>
      </w:r>
      <w:proofErr w:type="gramStart"/>
      <w:r w:rsidR="00CA63B5" w:rsidRPr="005950CC">
        <w:rPr>
          <w:lang w:val="en-GB"/>
        </w:rPr>
        <w:t>well-being</w:t>
      </w:r>
      <w:proofErr w:type="gramEnd"/>
      <w:r w:rsidR="00D95579" w:rsidRPr="005950CC">
        <w:rPr>
          <w:lang w:val="en-GB"/>
        </w:rPr>
        <w:t xml:space="preserve"> has been established using self-reported measures. </w:t>
      </w:r>
      <w:r w:rsidR="00F55539" w:rsidRPr="005950CC">
        <w:rPr>
          <w:lang w:val="en-GB"/>
        </w:rPr>
        <w:t xml:space="preserve">The </w:t>
      </w:r>
      <w:r w:rsidR="00D95579" w:rsidRPr="005950CC">
        <w:rPr>
          <w:lang w:val="en-GB"/>
        </w:rPr>
        <w:t xml:space="preserve">findings presented in this paper </w:t>
      </w:r>
      <w:r w:rsidR="00D95579" w:rsidRPr="005950CC">
        <w:rPr>
          <w:lang w:val="en-GB"/>
        </w:rPr>
        <w:lastRenderedPageBreak/>
        <w:t>have</w:t>
      </w:r>
      <w:r w:rsidR="00F55539" w:rsidRPr="005950CC">
        <w:rPr>
          <w:lang w:val="en-GB"/>
        </w:rPr>
        <w:t xml:space="preserve"> shown that across the majority of </w:t>
      </w:r>
      <w:r w:rsidR="00D95579" w:rsidRPr="005950CC">
        <w:rPr>
          <w:lang w:val="en-GB"/>
        </w:rPr>
        <w:t xml:space="preserve">32 </w:t>
      </w:r>
      <w:r w:rsidR="00F55539" w:rsidRPr="005950CC">
        <w:rPr>
          <w:lang w:val="en-GB"/>
        </w:rPr>
        <w:t>countries in Europe, the energy poor population is statistically more likely to report poor health and emotional well-being than the non-energy poor population, with a higher incidence of bad and very bad SRH, poor emotional well-being, and likely depression.</w:t>
      </w:r>
      <w:r w:rsidR="00D95579" w:rsidRPr="005950CC">
        <w:rPr>
          <w:lang w:val="en-GB"/>
        </w:rPr>
        <w:t xml:space="preserve"> </w:t>
      </w:r>
      <w:r w:rsidR="007C7EFC" w:rsidRPr="005950CC">
        <w:rPr>
          <w:lang w:val="en-GB"/>
        </w:rPr>
        <w:t xml:space="preserve">In broad terms, the findings from this paper are in line with existing literature that looks at the relationship between SRH and energy poverty </w:t>
      </w:r>
      <w:r w:rsidR="007C7EFC" w:rsidRPr="005950CC">
        <w:rPr>
          <w:lang w:val="en-GB"/>
        </w:rPr>
        <w:fldChar w:fldCharType="begin"/>
      </w:r>
      <w:r w:rsidR="007C7EFC" w:rsidRPr="005950CC">
        <w:rPr>
          <w:lang w:val="en-GB"/>
        </w:rPr>
        <w:instrText xml:space="preserve"> ADDIN ZOTERO_ITEM CSL_CITATION {"citationID":"1vcg4e4kj6","properties":{"formattedCitation":"[60]","plainCitation":"[60]"},"citationItems":[{"id":115,"uris":["http://zotero.org/users/3767271/items/PK2KMWF6"],"uri":["http://zotero.org/users/3767271/items/PK2KMWF6"],"itemData":{"id":115,"type":"book","title":"Housing, Fuel Poverty and Health: A Pan-European Analysis","publisher":"Ashgate","publisher-place":"Aldershot","event-place":"Aldershot","author":[{"family":"Healy","given":"John D."}],"issued":{"date-parts":[["2004"]]}}}],"schema":"https://github.com/citation-style-language/schema/raw/master/csl-citation.json"} </w:instrText>
      </w:r>
      <w:r w:rsidR="007C7EFC" w:rsidRPr="005950CC">
        <w:rPr>
          <w:lang w:val="en-GB"/>
        </w:rPr>
        <w:fldChar w:fldCharType="separate"/>
      </w:r>
      <w:r w:rsidR="007C7EFC" w:rsidRPr="005950CC">
        <w:rPr>
          <w:noProof/>
          <w:lang w:val="en-GB"/>
        </w:rPr>
        <w:t>[60]</w:t>
      </w:r>
      <w:r w:rsidR="007C7EFC" w:rsidRPr="005950CC">
        <w:rPr>
          <w:lang w:val="en-GB"/>
        </w:rPr>
        <w:fldChar w:fldCharType="end"/>
      </w:r>
      <w:r w:rsidR="007C7EFC" w:rsidRPr="005950CC">
        <w:rPr>
          <w:lang w:val="en-GB"/>
        </w:rPr>
        <w:t xml:space="preserve"> and mental health and energy poverty </w:t>
      </w:r>
      <w:r w:rsidR="007C7EFC" w:rsidRPr="005950CC">
        <w:rPr>
          <w:lang w:val="en-GB"/>
        </w:rPr>
        <w:fldChar w:fldCharType="begin"/>
      </w:r>
      <w:r w:rsidR="007C7EFC" w:rsidRPr="005950CC">
        <w:rPr>
          <w:lang w:val="en-GB"/>
        </w:rPr>
        <w:instrText xml:space="preserve"> ADDIN ZOTERO_ITEM CSL_CITATION {"citationID":"29qgmga60s","properties":{"formattedCitation":"[26,27,37]","plainCitation":"[26,27,37]"},"citationItems":[{"id":520,"uris":["http://zotero.org/users/3767271/items/CMSPJEJB"],"uri":["http://zotero.org/users/3767271/items/CMSPJEJB"],"itemData":{"id":520,"type":"article-journal","title":"Psychosocial routes from housing investment to health: Evidence from England's home energy efficiency scheme","container-title":"Energy Policy","page":"122-133","volume":"49","abstract":"Over the past decade the Warm Front Scheme has been the English Government's principal programme for improving domestic energy efficiency and reducing fuel poverty. This paper reports on a cross-sectional survey of low income householders participating in the Warm Front Scheme in five urban areas of England. Surveys were conducted of 2685 individuals, before and or after intervention. Pathways to self reported health were modelled by logistic regression. Of all the dimensions of health examined, only self reported mental health is directly associated with Warm Front measures. Intermediary variables associated with Warm Front intervention were shown to be significantly correlated with more dimensions of self reported health status. Higher temperatures, satisfaction with the heating system, greater thermal comfort, reductions in fuel poverty and lower stress were significantly correlated with improved health. Alleviating fuel poverty and reducing stress appeared to be the main route to health. We conclude there are complex and indirect relationships linking energy efficiency measures to outcomes on all dimensions of health which contribute to significant material and psychosocial benefits. The impact of the Warm Front Scheme cannot be fully understood by a limited analysis which merely relates indoor temperature and property characteristics to physiological health outcomes.","DOI":"10.1016/j.enpol.2012.01.053","journalAbbreviation":"Energy Policy","author":[{"family":"Gilbertson","given":"Jan"},{"family":"Grimsley","given":"Michael"},{"family":"Green","given":"Geoff"}],"issued":{"date-parts":[["2012"]]}}},{"id":143,"uris":["http://zotero.org/users/3767271/items/HE5CAPHJ"],"uri":["http://zotero.org/users/3767271/items/HE5CAPHJ"],"itemData":{"id":143,"type":"article-journal","title":"Fuel poverty and human health: A review of recent evidence","container-title":"Energy Policy","page":"2987-2997","volume":"38","issue":"6","source":"ScienceDirect","abstract":"The health impacts of tackling fuel poverty are reviewed, drawing primarily on large-scale studies completed in the last 10 years. Although physical health effects on adults appear to be modest, caregivers and children perceive significant impacts on children’s respiratory health. There also appear to be significant effects on the physical health of infants, particularly on weight gain and susceptibility to illness. Mental health effects on adults emerge as significant in most studies, as do mental health impacts on adolescents. Mental health effects on children have, as yet, never been systematically assessed. Whilst several studies are methodologically rigorous, with some also based on very large samples, methodological problems remain. In future evaluations of health impacts, clinical outcomes could be more comprehensively augmented with measures that extend beyond physical health. These include measures reflecting quality of life, changes in patterns of social engagement and daily routine, and their concomitant impacts on mental wellbeing, Such measures may provide more rounded insights into the potential health impacts of tackling fuel poverty and—equally as important for policy and practice—the processes by which these impacts become manifest.","journalAbbreviation":"Energy Policy","author":[{"family":"Liddell","given":"Christine"},{"family":"Morris","given":"Chris"}],"issued":{"date-parts":[["2010"]]}}},{"id":153,"uris":["http://zotero.org/users/3767271/items/IAQAQ5B3"],"uri":["http://zotero.org/users/3767271/items/IAQAQ5B3"],"itemData":{"id":153,"type":"report","title":"The health impacts of cold homes and fuel poverty","publisher":"Friends of the Earth and the Marmot Review Team","publisher-place":"London","event-place":"London","author":[{"literal":"Marmot Review Team"}],"issued":{"date-parts":[["2011"]]}}}],"schema":"https://github.com/citation-style-language/schema/raw/master/csl-citation.json"} </w:instrText>
      </w:r>
      <w:r w:rsidR="007C7EFC" w:rsidRPr="005950CC">
        <w:rPr>
          <w:lang w:val="en-GB"/>
        </w:rPr>
        <w:fldChar w:fldCharType="separate"/>
      </w:r>
      <w:r w:rsidR="007C7EFC" w:rsidRPr="005950CC">
        <w:rPr>
          <w:lang w:val="en-GB"/>
        </w:rPr>
        <w:t>[26,27,37]</w:t>
      </w:r>
      <w:r w:rsidR="007C7EFC" w:rsidRPr="005950CC">
        <w:rPr>
          <w:lang w:val="en-GB"/>
        </w:rPr>
        <w:fldChar w:fldCharType="end"/>
      </w:r>
      <w:r w:rsidR="007C7EFC" w:rsidRPr="005950CC">
        <w:rPr>
          <w:lang w:val="en-GB"/>
        </w:rPr>
        <w:t>.</w:t>
      </w:r>
    </w:p>
    <w:p w14:paraId="770680A6" w14:textId="173CC413" w:rsidR="00CE52CB" w:rsidRPr="005950CC" w:rsidRDefault="00D95579" w:rsidP="00CF49E5">
      <w:pPr>
        <w:pStyle w:val="MDPI31text"/>
        <w:rPr>
          <w:lang w:val="en-GB"/>
        </w:rPr>
      </w:pPr>
      <w:r w:rsidRPr="005950CC">
        <w:rPr>
          <w:lang w:val="en-GB"/>
        </w:rPr>
        <w:t xml:space="preserve">This </w:t>
      </w:r>
      <w:r w:rsidR="00CE52CB" w:rsidRPr="005950CC">
        <w:rPr>
          <w:lang w:val="en-GB"/>
        </w:rPr>
        <w:t>study has</w:t>
      </w:r>
      <w:r w:rsidRPr="005950CC">
        <w:rPr>
          <w:lang w:val="en-GB"/>
        </w:rPr>
        <w:t xml:space="preserve"> </w:t>
      </w:r>
      <w:r w:rsidR="00CE52CB" w:rsidRPr="005950CC">
        <w:rPr>
          <w:lang w:val="en-GB"/>
        </w:rPr>
        <w:t>indicated a highly uneven situation across Europe, and has identified a number of differences between countries that is worthy of further discussion. There are a variety of possible explanations for th</w:t>
      </w:r>
      <w:r w:rsidR="007C7EFC" w:rsidRPr="005950CC">
        <w:rPr>
          <w:lang w:val="en-GB"/>
        </w:rPr>
        <w:t>ese geographical variations</w:t>
      </w:r>
      <w:r w:rsidR="00CE52CB" w:rsidRPr="005950CC">
        <w:rPr>
          <w:lang w:val="en-GB"/>
        </w:rPr>
        <w:t xml:space="preserve">, including: differences in national policy priorities and investment for health and energy (including the impact of government interventions in energy bills and taxation); housing conditions and domestic energy efficiency standards; and the specific policies of energy suppliers (including payment methods and tariffs), all of which are compounded by spatial and distributional effects. </w:t>
      </w:r>
    </w:p>
    <w:p w14:paraId="592A538D" w14:textId="3B4A0F4B" w:rsidR="00CE52CB" w:rsidRPr="005950CC" w:rsidRDefault="00D95579" w:rsidP="00CF49E5">
      <w:pPr>
        <w:pStyle w:val="MDPI31text"/>
        <w:rPr>
          <w:b/>
          <w:lang w:val="en-GB"/>
        </w:rPr>
      </w:pPr>
      <w:r w:rsidRPr="005950CC">
        <w:rPr>
          <w:lang w:val="en-GB"/>
        </w:rPr>
        <w:t>O</w:t>
      </w:r>
      <w:r w:rsidR="00CE52CB" w:rsidRPr="005950CC">
        <w:rPr>
          <w:lang w:val="en-GB"/>
        </w:rPr>
        <w:t xml:space="preserve">ne of the most striking findings in our study </w:t>
      </w:r>
      <w:r w:rsidRPr="005950CC">
        <w:rPr>
          <w:lang w:val="en-GB"/>
        </w:rPr>
        <w:t>has been</w:t>
      </w:r>
      <w:r w:rsidR="00CE52CB" w:rsidRPr="005950CC">
        <w:rPr>
          <w:lang w:val="en-GB"/>
        </w:rPr>
        <w:t xml:space="preserve"> the magnitude of the difference in poor health and well-being prevalence between the </w:t>
      </w:r>
      <w:r w:rsidRPr="005950CC">
        <w:rPr>
          <w:lang w:val="en-GB"/>
        </w:rPr>
        <w:t>energy poor</w:t>
      </w:r>
      <w:r w:rsidR="00CE52CB" w:rsidRPr="005950CC">
        <w:rPr>
          <w:lang w:val="en-GB"/>
        </w:rPr>
        <w:t xml:space="preserve"> and </w:t>
      </w:r>
      <w:r w:rsidR="007C7EFC" w:rsidRPr="005950CC">
        <w:rPr>
          <w:lang w:val="en-GB"/>
        </w:rPr>
        <w:t>non-</w:t>
      </w:r>
      <w:r w:rsidR="00CE52CB" w:rsidRPr="005950CC">
        <w:rPr>
          <w:lang w:val="en-GB"/>
        </w:rPr>
        <w:t>energy poor population</w:t>
      </w:r>
      <w:r w:rsidRPr="005950CC">
        <w:rPr>
          <w:lang w:val="en-GB"/>
        </w:rPr>
        <w:t>s</w:t>
      </w:r>
      <w:r w:rsidR="00CE52CB" w:rsidRPr="005950CC">
        <w:rPr>
          <w:lang w:val="en-GB"/>
        </w:rPr>
        <w:t xml:space="preserve"> within each country. In particular, Slovenia, Sweden, the Netherlands, Slovakia, Luxembourg and Denmark have among the largest differences in health and well-being outcomes between the energy poor/non energy poor populations, despite being countries with higher levels of income equality</w:t>
      </w:r>
      <w:r w:rsidR="00EA3B35" w:rsidRPr="005950CC">
        <w:rPr>
          <w:lang w:val="en-GB"/>
        </w:rPr>
        <w:t xml:space="preserve"> </w:t>
      </w:r>
      <w:r w:rsidR="00EA3B35" w:rsidRPr="005950CC">
        <w:rPr>
          <w:lang w:val="en-GB"/>
        </w:rPr>
        <w:fldChar w:fldCharType="begin"/>
      </w:r>
      <w:r w:rsidR="00EA3B35" w:rsidRPr="005950CC">
        <w:rPr>
          <w:lang w:val="en-GB"/>
        </w:rPr>
        <w:instrText xml:space="preserve"> ADDIN ZOTERO_ITEM CSL_CITATION {"citationID":"6il33610","properties":{"formattedCitation":"[79]","plainCitation":"[79]"},"citationItems":[{"id":692,"uris":["http://zotero.org/users/3767271/items/4KGVFXAQ"],"uri":["http://zotero.org/users/3767271/items/4KGVFXAQ"],"itemData":{"id":692,"type":"report","title":"Wage and Income Inequality in the European Union","publisher":"European Union","publisher-place":"Brussels","event-place":"Brussels","author":[{"family":"Dreger","given":"Christian"},{"family":"Lopez-Bazo","given":"Enrique"},{"family":"Ramos","given":"Raul"},{"family":"Royuela","given":"Vicente"},{"family":"Surinach","given":"Jordi"}],"issued":{"date-parts":[["2015"]]}}}],"schema":"https://github.com/citation-style-language/schema/raw/master/csl-citation.json"} </w:instrText>
      </w:r>
      <w:r w:rsidR="00EA3B35" w:rsidRPr="005950CC">
        <w:rPr>
          <w:lang w:val="en-GB"/>
        </w:rPr>
        <w:fldChar w:fldCharType="separate"/>
      </w:r>
      <w:r w:rsidR="00EA3B35" w:rsidRPr="005950CC">
        <w:rPr>
          <w:noProof/>
          <w:lang w:val="en-GB"/>
        </w:rPr>
        <w:t>[79]</w:t>
      </w:r>
      <w:r w:rsidR="00EA3B35" w:rsidRPr="005950CC">
        <w:rPr>
          <w:lang w:val="en-GB"/>
        </w:rPr>
        <w:fldChar w:fldCharType="end"/>
      </w:r>
      <w:r w:rsidR="00CE52CB" w:rsidRPr="005950CC">
        <w:rPr>
          <w:lang w:val="en-GB"/>
        </w:rPr>
        <w:t>, and lower rates of energy poverty</w:t>
      </w:r>
      <w:r w:rsidRPr="005950CC">
        <w:rPr>
          <w:lang w:val="en-GB"/>
        </w:rPr>
        <w:t xml:space="preserve"> </w:t>
      </w:r>
      <w:r w:rsidRPr="005950CC">
        <w:rPr>
          <w:lang w:val="en-GB"/>
        </w:rPr>
        <w:fldChar w:fldCharType="begin"/>
      </w:r>
      <w:r w:rsidRPr="005950CC">
        <w:rPr>
          <w:lang w:val="en-GB"/>
        </w:rPr>
        <w:instrText xml:space="preserve"> ADDIN ZOTERO_ITEM CSL_CITATION {"citationID":"2c5np00kv8","properties":{"formattedCitation":"[20]","plainCitation":"[20]"},"citationItems":[{"id":197,"uris":["http://zotero.org/users/3767271/items/DRNBIZNX"],"uri":["http://zotero.org/users/3767271/items/DRNBIZNX"],"itemData":{"id":197,"type":"article-journal","title":"Quantifying the prevalence of fuel poverty across the European Union","container-title":"Energy Policy","page":"563-572","volume":"52","source":"ScienceDirect","journalAbbreviation":"Energy Policy","author":[{"family":"Thomson","given":"Harriet"},{"family":"Snell","given":"Carolyn"}],"issued":{"date-parts":[["2013"]]}}}],"schema":"https://github.com/citation-style-language/schema/raw/master/csl-citation.json"} </w:instrText>
      </w:r>
      <w:r w:rsidRPr="005950CC">
        <w:rPr>
          <w:lang w:val="en-GB"/>
        </w:rPr>
        <w:fldChar w:fldCharType="separate"/>
      </w:r>
      <w:r w:rsidRPr="005950CC">
        <w:rPr>
          <w:noProof/>
          <w:lang w:val="en-GB"/>
        </w:rPr>
        <w:t>[20]</w:t>
      </w:r>
      <w:r w:rsidRPr="005950CC">
        <w:rPr>
          <w:lang w:val="en-GB"/>
        </w:rPr>
        <w:fldChar w:fldCharType="end"/>
      </w:r>
      <w:r w:rsidR="00CE52CB" w:rsidRPr="005950CC">
        <w:rPr>
          <w:lang w:val="en-GB"/>
        </w:rPr>
        <w:t>.</w:t>
      </w:r>
      <w:r w:rsidR="00453AF3" w:rsidRPr="005950CC">
        <w:rPr>
          <w:lang w:val="en-GB"/>
        </w:rPr>
        <w:t xml:space="preserve"> This </w:t>
      </w:r>
      <w:r w:rsidR="00810F85" w:rsidRPr="005950CC">
        <w:rPr>
          <w:lang w:val="en-GB"/>
        </w:rPr>
        <w:t>partly confirms</w:t>
      </w:r>
      <w:r w:rsidR="00453AF3" w:rsidRPr="005950CC">
        <w:rPr>
          <w:lang w:val="en-GB"/>
        </w:rPr>
        <w:t xml:space="preserve"> earlier work</w:t>
      </w:r>
      <w:r w:rsidR="00EB55D4" w:rsidRPr="005950CC">
        <w:rPr>
          <w:lang w:val="en-GB"/>
        </w:rPr>
        <w:t xml:space="preserve"> from 2004</w:t>
      </w:r>
      <w:r w:rsidR="00453AF3" w:rsidRPr="005950CC">
        <w:rPr>
          <w:lang w:val="en-GB"/>
        </w:rPr>
        <w:t xml:space="preserve"> by Healy </w:t>
      </w:r>
      <w:r w:rsidR="00EA3B35" w:rsidRPr="005950CC">
        <w:rPr>
          <w:lang w:val="en-GB"/>
        </w:rPr>
        <w:fldChar w:fldCharType="begin"/>
      </w:r>
      <w:r w:rsidR="00EA3B35" w:rsidRPr="005950CC">
        <w:rPr>
          <w:lang w:val="en-GB"/>
        </w:rPr>
        <w:instrText xml:space="preserve"> ADDIN ZOTERO_ITEM CSL_CITATION {"citationID":"14jhc67hbb","properties":{"formattedCitation":"[60]","plainCitation":"[60]"},"citationItems":[{"id":115,"uris":["http://zotero.org/users/3767271/items/PK2KMWF6"],"uri":["http://zotero.org/users/3767271/items/PK2KMWF6"],"itemData":{"id":115,"type":"book","title":"Housing, Fuel Poverty and Health: A Pan-European Analysis","publisher":"Ashgate","publisher-place":"Aldershot","event-place":"Aldershot","author":[{"family":"Healy","given":"John D."}],"issued":{"date-parts":[["2004"]]}}}],"schema":"https://github.com/citation-style-language/schema/raw/master/csl-citation.json"} </w:instrText>
      </w:r>
      <w:r w:rsidR="00EA3B35" w:rsidRPr="005950CC">
        <w:rPr>
          <w:lang w:val="en-GB"/>
        </w:rPr>
        <w:fldChar w:fldCharType="separate"/>
      </w:r>
      <w:r w:rsidR="00EA3B35" w:rsidRPr="005950CC">
        <w:rPr>
          <w:noProof/>
          <w:lang w:val="en-GB"/>
        </w:rPr>
        <w:t>[60]</w:t>
      </w:r>
      <w:r w:rsidR="00EA3B35" w:rsidRPr="005950CC">
        <w:rPr>
          <w:lang w:val="en-GB"/>
        </w:rPr>
        <w:fldChar w:fldCharType="end"/>
      </w:r>
      <w:r w:rsidR="00810F85" w:rsidRPr="005950CC">
        <w:rPr>
          <w:lang w:val="en-GB"/>
        </w:rPr>
        <w:t>, who found that the most notable difference in SRH status in EU14 occurred in the Netherlands, with a difference of 14.3 percentage point (versus our 2012 figure of 30.</w:t>
      </w:r>
      <w:r w:rsidRPr="005950CC">
        <w:rPr>
          <w:lang w:val="en-GB"/>
        </w:rPr>
        <w:t>8</w:t>
      </w:r>
      <w:r w:rsidR="00810F85" w:rsidRPr="005950CC">
        <w:rPr>
          <w:lang w:val="en-GB"/>
        </w:rPr>
        <w:t xml:space="preserve"> percentage points).</w:t>
      </w:r>
      <w:r w:rsidR="00CE52CB" w:rsidRPr="005950CC">
        <w:rPr>
          <w:lang w:val="en-GB"/>
        </w:rPr>
        <w:t xml:space="preserve"> Th</w:t>
      </w:r>
      <w:r w:rsidR="00810F85" w:rsidRPr="005950CC">
        <w:rPr>
          <w:lang w:val="en-GB"/>
        </w:rPr>
        <w:t>e</w:t>
      </w:r>
      <w:r w:rsidR="00CE52CB" w:rsidRPr="005950CC">
        <w:rPr>
          <w:lang w:val="en-GB"/>
        </w:rPr>
        <w:t xml:space="preserve"> </w:t>
      </w:r>
      <w:r w:rsidR="00810F85" w:rsidRPr="005950CC">
        <w:rPr>
          <w:lang w:val="en-GB"/>
        </w:rPr>
        <w:t xml:space="preserve">trend observed in our study </w:t>
      </w:r>
      <w:r w:rsidR="00CE52CB" w:rsidRPr="005950CC">
        <w:rPr>
          <w:lang w:val="en-GB"/>
        </w:rPr>
        <w:t>appea</w:t>
      </w:r>
      <w:r w:rsidR="00983EA8" w:rsidRPr="005950CC">
        <w:rPr>
          <w:lang w:val="en-GB"/>
        </w:rPr>
        <w:t>rs to be somewhat paradoxical, h</w:t>
      </w:r>
      <w:r w:rsidR="00CE52CB" w:rsidRPr="005950CC">
        <w:rPr>
          <w:lang w:val="en-GB"/>
        </w:rPr>
        <w:t>owever, there is evidence to suggest that experiencing deprivation in countries with low</w:t>
      </w:r>
      <w:r w:rsidR="001A7E71" w:rsidRPr="005950CC">
        <w:rPr>
          <w:lang w:val="en-GB"/>
        </w:rPr>
        <w:t>er</w:t>
      </w:r>
      <w:r w:rsidR="00CE52CB" w:rsidRPr="005950CC">
        <w:rPr>
          <w:lang w:val="en-GB"/>
        </w:rPr>
        <w:t xml:space="preserve"> income inequality and where there is a low overall risk of energy poverty occurring, results in worsened SRH due to the role of individual-level relative deprivation. Mishra and Carleton </w:t>
      </w:r>
      <w:r w:rsidR="00CE52CB" w:rsidRPr="005950CC">
        <w:rPr>
          <w:lang w:val="en-GB"/>
        </w:rPr>
        <w:fldChar w:fldCharType="begin"/>
      </w:r>
      <w:r w:rsidR="00566CC8" w:rsidRPr="005950CC">
        <w:rPr>
          <w:lang w:val="en-GB"/>
        </w:rPr>
        <w:instrText xml:space="preserve"> ADDIN ZOTERO_ITEM CSL_CITATION {"citationID":"v45nb6v09","properties":{"formattedCitation":"[71]","plainCitation":"[71]"},"citationItems":[{"id":566,"uris":["http://zotero.org/users/3767271/items/UVUTW3D7"],"uri":["http://zotero.org/users/3767271/items/UVUTW3D7"],"itemData":{"id":566,"type":"article-journal","title":"Subjective relative deprivation is associated with poorer physical and mental health","container-title":"Social Science &amp; Medicine","page":"144-149","volume":"147","abstract":"Substantial epidemiological evidence has shown that income inequality and objective measures of relative deprivation are associated with poorer health outcomes. However, surprisingly little research has examined whether subjective feelings of relative deprivation are similarly linked with poorer health outcomes. The relative deprivation hypothesis suggests that inequality affects health at the individual level through negative consequences of social comparison. We directly examined the relationship between subjective feelings of personal relative deprivation and self-reported physical and mental health in a diverse community sample (n = 328). Results demonstrated that subjective feelings of personal relative deprivation are associated with significantly poorer physical and mental health. These relationships held even when accounting for covariates that have been previously associated with both relative deprivation and health. These results further support the link between relative deprivation and health outcomes and suggest that addressing root causes of relative deprivation may lead to greater individual health.","DOI":"10.1016/j.socscimed.2015.10.030","journalAbbreviation":"Social Science &amp; Medicine","author":[{"family":"Mishra","given":"Sandeep"},{"family":"Carleton","given":"R. Nicholas"}],"issued":{"date-parts":[["2015"]]}},"suppress-author":true}],"schema":"https://github.com/citation-style-language/schema/raw/master/csl-citation.json"} </w:instrText>
      </w:r>
      <w:r w:rsidR="00CE52CB" w:rsidRPr="005950CC">
        <w:rPr>
          <w:lang w:val="en-GB"/>
        </w:rPr>
        <w:fldChar w:fldCharType="separate"/>
      </w:r>
      <w:r w:rsidR="00566CC8" w:rsidRPr="005950CC">
        <w:rPr>
          <w:lang w:val="en-GB"/>
        </w:rPr>
        <w:t>[71]</w:t>
      </w:r>
      <w:r w:rsidR="00CE52CB" w:rsidRPr="005950CC">
        <w:rPr>
          <w:lang w:val="en-GB"/>
        </w:rPr>
        <w:fldChar w:fldCharType="end"/>
      </w:r>
      <w:r w:rsidR="00CE52CB" w:rsidRPr="005950CC">
        <w:rPr>
          <w:lang w:val="en-GB"/>
        </w:rPr>
        <w:t xml:space="preserve"> outline the relative deprivation hypothesis, which suggests that </w:t>
      </w:r>
      <w:r w:rsidR="00D4086C" w:rsidRPr="005950CC">
        <w:rPr>
          <w:lang w:val="en-GB"/>
        </w:rPr>
        <w:t>“</w:t>
      </w:r>
      <w:r w:rsidR="00CE52CB" w:rsidRPr="005950CC">
        <w:rPr>
          <w:lang w:val="en-GB"/>
        </w:rPr>
        <w:t>inequality affects health at the individual level through negative consequences of social comparison</w:t>
      </w:r>
      <w:r w:rsidR="00D4086C" w:rsidRPr="005950CC">
        <w:rPr>
          <w:lang w:val="en-GB"/>
        </w:rPr>
        <w:t>”</w:t>
      </w:r>
      <w:r w:rsidR="00CE52CB" w:rsidRPr="005950CC">
        <w:rPr>
          <w:lang w:val="en-GB"/>
        </w:rPr>
        <w:t xml:space="preserve"> </w:t>
      </w:r>
      <w:r w:rsidR="00CE52CB" w:rsidRPr="005950CC">
        <w:rPr>
          <w:lang w:val="en-GB"/>
        </w:rPr>
        <w:fldChar w:fldCharType="begin"/>
      </w:r>
      <w:r w:rsidR="00566CC8" w:rsidRPr="005950CC">
        <w:rPr>
          <w:lang w:val="en-GB"/>
        </w:rPr>
        <w:instrText xml:space="preserve"> ADDIN ZOTERO_ITEM CSL_CITATION {"citationID":"fr2jniv6r","properties":{"formattedCitation":"[71]","plainCitation":"[71]"},"citationItems":[{"id":566,"uris":["http://zotero.org/users/3767271/items/UVUTW3D7"],"uri":["http://zotero.org/users/3767271/items/UVUTW3D7"],"itemData":{"id":566,"type":"article-journal","title":"Subjective relative deprivation is associated with poorer physical and mental health","container-title":"Social Science &amp; Medicine","page":"144-149","volume":"147","abstract":"Substantial epidemiological evidence has shown that income inequality and objective measures of relative deprivation are associated with poorer health outcomes. However, surprisingly little research has examined whether subjective feelings of relative deprivation are similarly linked with poorer health outcomes. The relative deprivation hypothesis suggests that inequality affects health at the individual level through negative consequences of social comparison. We directly examined the relationship between subjective feelings of personal relative deprivation and self-reported physical and mental health in a diverse community sample (n = 328). Results demonstrated that subjective feelings of personal relative deprivation are associated with significantly poorer physical and mental health. These relationships held even when accounting for covariates that have been previously associated with both relative deprivation and health. These results further support the link between relative deprivation and health outcomes and suggest that addressing root causes of relative deprivation may lead to greater individual health.","DOI":"10.1016/j.socscimed.2015.10.030","journalAbbreviation":"Social Science &amp; Medicine","author":[{"family":"Mishra","given":"Sandeep"},{"family":"Carleton","given":"R. Nicholas"}],"issued":{"date-parts":[["2015"]]}},"locator":"144","label":"page"}],"schema":"https://github.com/citation-style-language/schema/raw/master/csl-citation.json"} </w:instrText>
      </w:r>
      <w:r w:rsidR="00CE52CB" w:rsidRPr="005950CC">
        <w:rPr>
          <w:lang w:val="en-GB"/>
        </w:rPr>
        <w:fldChar w:fldCharType="separate"/>
      </w:r>
      <w:r w:rsidR="00566CC8" w:rsidRPr="005950CC">
        <w:rPr>
          <w:lang w:val="en-GB"/>
        </w:rPr>
        <w:t>[71]</w:t>
      </w:r>
      <w:r w:rsidR="00CE52CB" w:rsidRPr="005950CC">
        <w:rPr>
          <w:lang w:val="en-GB"/>
        </w:rPr>
        <w:fldChar w:fldCharType="end"/>
      </w:r>
      <w:r w:rsidR="00CE52CB" w:rsidRPr="005950CC">
        <w:rPr>
          <w:lang w:val="en-GB"/>
        </w:rPr>
        <w:t>. These comparisons can have negative impacts to people</w:t>
      </w:r>
      <w:r w:rsidR="00D4086C" w:rsidRPr="005950CC">
        <w:rPr>
          <w:lang w:val="en-GB"/>
        </w:rPr>
        <w:t>’</w:t>
      </w:r>
      <w:r w:rsidR="00CE52CB" w:rsidRPr="005950CC">
        <w:rPr>
          <w:lang w:val="en-GB"/>
        </w:rPr>
        <w:t xml:space="preserve">s emotions, behaviour, mental and physical health </w:t>
      </w:r>
      <w:r w:rsidR="00CE52CB" w:rsidRPr="005950CC">
        <w:rPr>
          <w:lang w:val="en-GB"/>
        </w:rPr>
        <w:fldChar w:fldCharType="begin"/>
      </w:r>
      <w:r w:rsidR="00EA3B35" w:rsidRPr="005950CC">
        <w:rPr>
          <w:lang w:val="en-GB"/>
        </w:rPr>
        <w:instrText xml:space="preserve"> ADDIN ZOTERO_ITEM CSL_CITATION {"citationID":"1c9cd9kdmg","properties":{"formattedCitation":"[80]","plainCitation":"[80]"},"citationItems":[{"id":594,"uris":["http://zotero.org/users/3767271/items/NHQ959SP"],"uri":["http://zotero.org/users/3767271/items/NHQ959SP"],"itemData":{"id":594,"type":"article-journal","title":"Relative Deprivation: How Subjective Experiences of Inequality Influence Social Behavior and Health","container-title":"Policy Insights from the Behavioral and Brain Sciences","page":"231-238","volume":"1","issue":"1","abstract":"Discussions of the impact of growing inequality have focused on objective indicators. Focusing on what individuals have or do not have can be misleading without understanding how they subjectively interpret the availability of resources. Relative deprivation (RD) occurs when individuals compare themselves with better-off others and conclude that they do not deserve their disadvantage. These upward comparisons, whether imposed or chosen, can damage people’s emotions, behavior, and even mental and physical health. How people respond to RD depends on whether they (a) experience the disadvantage directed toward them as a unique individual or as a member of a group (e.g., ethnic category, occupation), (b) feel anger or another emotion (e.g., sadness), and (c) view the system (e.g., workplace, nation) as open to change. Mobility interventions (e.g., housing and school vouchers) may have unexpected adverse consequences that direct improvements to the local infrastructure and community do not. Costs of RD (including physical illness) increase if people cannot address perceived inequities effectively. RD explains why simply enumerating resources and opportunities does not fully explain how relative disadvantage produces outcomes ranging from social protest to illness. Insights from psychological science that show how individuals respond to social inequities can inform policies for building communities and improving well-being.","DOI":"10.1177/2372732214550165","journalAbbreviation":"Policy Insights from the Behavioral and Brain Sciences","author":[{"family":"Smith","given":"Heather J."},{"family":"Huo","given":"Yuen J."}],"issued":{"date-parts":[["2014"]]}}}],"schema":"https://github.com/citation-style-language/schema/raw/master/csl-citation.json"} </w:instrText>
      </w:r>
      <w:r w:rsidR="00CE52CB" w:rsidRPr="005950CC">
        <w:rPr>
          <w:lang w:val="en-GB"/>
        </w:rPr>
        <w:fldChar w:fldCharType="separate"/>
      </w:r>
      <w:r w:rsidR="00EA3B35" w:rsidRPr="005950CC">
        <w:rPr>
          <w:lang w:val="en-GB"/>
        </w:rPr>
        <w:t>[80]</w:t>
      </w:r>
      <w:r w:rsidR="00CE52CB" w:rsidRPr="005950CC">
        <w:rPr>
          <w:lang w:val="en-GB"/>
        </w:rPr>
        <w:fldChar w:fldCharType="end"/>
      </w:r>
      <w:r w:rsidR="00CE52CB" w:rsidRPr="005950CC">
        <w:rPr>
          <w:lang w:val="en-GB"/>
        </w:rPr>
        <w:t xml:space="preserve">. The results of a community study in Canada demonstrated that subjective feelings of personal relative deprivation are statistically associated with poorer physical and mental health outcomes </w:t>
      </w:r>
      <w:r w:rsidR="00CE52CB" w:rsidRPr="005950CC">
        <w:rPr>
          <w:lang w:val="en-GB"/>
        </w:rPr>
        <w:fldChar w:fldCharType="begin"/>
      </w:r>
      <w:r w:rsidR="00566CC8" w:rsidRPr="005950CC">
        <w:rPr>
          <w:lang w:val="en-GB"/>
        </w:rPr>
        <w:instrText xml:space="preserve"> ADDIN ZOTERO_ITEM CSL_CITATION {"citationID":"1pl36kp6rb","properties":{"formattedCitation":"[71]","plainCitation":"[71]"},"citationItems":[{"id":566,"uris":["http://zotero.org/users/3767271/items/UVUTW3D7"],"uri":["http://zotero.org/users/3767271/items/UVUTW3D7"],"itemData":{"id":566,"type":"article-journal","title":"Subjective relative deprivation is associated with poorer physical and mental health","container-title":"Social Science &amp; Medicine","page":"144-149","volume":"147","abstract":"Substantial epidemiological evidence has shown that income inequality and objective measures of relative deprivation are associated with poorer health outcomes. However, surprisingly little research has examined whether subjective feelings of relative deprivation are similarly linked with poorer health outcomes. The relative deprivation hypothesis suggests that inequality affects health at the individual level through negative consequences of social comparison. We directly examined the relationship between subjective feelings of personal relative deprivation and self-reported physical and mental health in a diverse community sample (n = 328). Results demonstrated that subjective feelings of personal relative deprivation are associated with significantly poorer physical and mental health. These relationships held even when accounting for covariates that have been previously associated with both relative deprivation and health. These results further support the link between relative deprivation and health outcomes and suggest that addressing root causes of relative deprivation may lead to greater individual health.","DOI":"10.1016/j.socscimed.2015.10.030","journalAbbreviation":"Social Science &amp; Medicine","author":[{"family":"Mishra","given":"Sandeep"},{"family":"Carleton","given":"R. Nicholas"}],"issued":{"date-parts":[["2015"]]}}}],"schema":"https://github.com/citation-style-language/schema/raw/master/csl-citation.json"} </w:instrText>
      </w:r>
      <w:r w:rsidR="00CE52CB" w:rsidRPr="005950CC">
        <w:rPr>
          <w:lang w:val="en-GB"/>
        </w:rPr>
        <w:fldChar w:fldCharType="separate"/>
      </w:r>
      <w:r w:rsidR="00566CC8" w:rsidRPr="005950CC">
        <w:rPr>
          <w:lang w:val="en-GB"/>
        </w:rPr>
        <w:t>[71]</w:t>
      </w:r>
      <w:r w:rsidR="00CE52CB" w:rsidRPr="005950CC">
        <w:rPr>
          <w:lang w:val="en-GB"/>
        </w:rPr>
        <w:fldChar w:fldCharType="end"/>
      </w:r>
      <w:r w:rsidR="00CE52CB" w:rsidRPr="005950CC">
        <w:rPr>
          <w:lang w:val="en-GB"/>
        </w:rPr>
        <w:t xml:space="preserve">. Similarly, in a longitudinal study of the Swedish population, Åberg Yngwe et al. </w:t>
      </w:r>
      <w:r w:rsidR="00CE52CB" w:rsidRPr="005950CC">
        <w:rPr>
          <w:lang w:val="en-GB"/>
        </w:rPr>
        <w:fldChar w:fldCharType="begin"/>
      </w:r>
      <w:r w:rsidR="00EA3B35" w:rsidRPr="005950CC">
        <w:rPr>
          <w:lang w:val="en-GB"/>
        </w:rPr>
        <w:instrText xml:space="preserve"> ADDIN ZOTERO_ITEM CSL_CITATION {"citationID":"156od9p0om","properties":{"formattedCitation":"[81]","plainCitation":"[81]"},"citationItems":[{"id":472,"uris":["http://zotero.org/users/3767271/items/PQSMBC89"],"uri":["http://zotero.org/users/3767271/items/PQSMBC89"],"itemData":{"id":472,"type":"article-journal","title":"Relative deprivation and mortality – a longitudinal study in a Swedish population of 4,7 million, 1990–2006","container-title":"BMC Public Health","page":"664","volume":"12","abstract":"Relative deprivation has previously been discussed as a possible mechanism underlying the income-health relation. The idea is that income matters to the individual’s health, over and above the increased command over resources, as the basis of social comparisons between a person and his or her reference group. The following study aimed to analyze the role of individual-level relative deprivation for all-cause mortality in the Swedish population. The Swedish context, characterized by relatively small income inequalities and promoting values as egalitarianism and equality, together with a large data material provide unique possibilities for analyzing the hypothesized mechanism.","DOI":"10.1186/1471-2458-12-664","journalAbbreviation":"BMC Public Health","author":[{"family":"Åberg Yngwe","given":"Monica"},{"family":"Kondo","given":"Naoki"},{"family":"Hägg","given":"Sara"},{"family":"Kawachi","given":"Ichiro"}],"issued":{"date-parts":[["2012"]]}},"suppress-author":true}],"schema":"https://github.com/citation-style-language/schema/raw/master/csl-citation.json"} </w:instrText>
      </w:r>
      <w:r w:rsidR="00CE52CB" w:rsidRPr="005950CC">
        <w:rPr>
          <w:lang w:val="en-GB"/>
        </w:rPr>
        <w:fldChar w:fldCharType="separate"/>
      </w:r>
      <w:r w:rsidR="00EA3B35" w:rsidRPr="005950CC">
        <w:rPr>
          <w:lang w:val="en-GB"/>
        </w:rPr>
        <w:t>[81]</w:t>
      </w:r>
      <w:r w:rsidR="00CE52CB" w:rsidRPr="005950CC">
        <w:rPr>
          <w:lang w:val="en-GB"/>
        </w:rPr>
        <w:fldChar w:fldCharType="end"/>
      </w:r>
      <w:r w:rsidR="00CE52CB" w:rsidRPr="005950CC">
        <w:rPr>
          <w:lang w:val="en-GB"/>
        </w:rPr>
        <w:t xml:space="preserve"> show that relative deprivation is significantly associated with mortality, despite Sweden being </w:t>
      </w:r>
      <w:r w:rsidR="00D4086C" w:rsidRPr="005950CC">
        <w:rPr>
          <w:lang w:val="en-GB"/>
        </w:rPr>
        <w:t>“</w:t>
      </w:r>
      <w:r w:rsidR="00CE52CB" w:rsidRPr="005950CC">
        <w:rPr>
          <w:lang w:val="en-GB"/>
        </w:rPr>
        <w:t>characterized by relatively small income inequalities and promoting values as egalitarianism and equality</w:t>
      </w:r>
      <w:r w:rsidR="00D4086C" w:rsidRPr="005950CC">
        <w:rPr>
          <w:lang w:val="en-GB"/>
        </w:rPr>
        <w:t>”</w:t>
      </w:r>
      <w:r w:rsidR="00CE52CB" w:rsidRPr="005950CC">
        <w:rPr>
          <w:lang w:val="en-GB"/>
        </w:rPr>
        <w:t xml:space="preserve"> </w:t>
      </w:r>
      <w:r w:rsidR="00CE52CB" w:rsidRPr="005950CC">
        <w:rPr>
          <w:lang w:val="en-GB"/>
        </w:rPr>
        <w:fldChar w:fldCharType="begin"/>
      </w:r>
      <w:r w:rsidR="00EA3B35" w:rsidRPr="005950CC">
        <w:rPr>
          <w:lang w:val="en-GB"/>
        </w:rPr>
        <w:instrText xml:space="preserve"> ADDIN ZOTERO_ITEM CSL_CITATION {"citationID":"2d9j04qe6f","properties":{"formattedCitation":"[81]","plainCitation":"[81]"},"citationItems":[{"id":472,"uris":["http://zotero.org/users/3767271/items/PQSMBC89"],"uri":["http://zotero.org/users/3767271/items/PQSMBC89"],"itemData":{"id":472,"type":"article-journal","title":"Relative deprivation and mortality – a longitudinal study in a Swedish population of 4,7 million, 1990–2006","container-title":"BMC Public Health","page":"664","volume":"12","abstract":"Relative deprivation has previously been discussed as a possible mechanism underlying the income-health relation. The idea is that income matters to the individual’s health, over and above the increased command over resources, as the basis of social comparisons between a person and his or her reference group. The following study aimed to analyze the role of individual-level relative deprivation for all-cause mortality in the Swedish population. The Swedish context, characterized by relatively small income inequalities and promoting values as egalitarianism and equality, together with a large data material provide unique possibilities for analyzing the hypothesized mechanism.","DOI":"10.1186/1471-2458-12-664","journalAbbreviation":"BMC Public Health","author":[{"family":"Åberg Yngwe","given":"Monica"},{"family":"Kondo","given":"Naoki"},{"family":"Hägg","given":"Sara"},{"family":"Kawachi","given":"Ichiro"}],"issued":{"date-parts":[["2012"]]}},"locator":"1","label":"page"}],"schema":"https://github.com/citation-style-language/schema/raw/master/csl-citation.json"} </w:instrText>
      </w:r>
      <w:r w:rsidR="00CE52CB" w:rsidRPr="005950CC">
        <w:rPr>
          <w:lang w:val="en-GB"/>
        </w:rPr>
        <w:fldChar w:fldCharType="separate"/>
      </w:r>
      <w:r w:rsidR="00EA3B35" w:rsidRPr="005950CC">
        <w:rPr>
          <w:lang w:val="en-GB"/>
        </w:rPr>
        <w:t>[81]</w:t>
      </w:r>
      <w:r w:rsidR="00CE52CB" w:rsidRPr="005950CC">
        <w:rPr>
          <w:lang w:val="en-GB"/>
        </w:rPr>
        <w:fldChar w:fldCharType="end"/>
      </w:r>
      <w:r w:rsidR="00CE52CB" w:rsidRPr="005950CC">
        <w:rPr>
          <w:lang w:val="en-GB"/>
        </w:rPr>
        <w:t>.</w:t>
      </w:r>
      <w:r w:rsidR="00CE52CB" w:rsidRPr="002E21AA">
        <w:rPr>
          <w:lang w:val="en-GB"/>
        </w:rPr>
        <w:t xml:space="preserve"> </w:t>
      </w:r>
    </w:p>
    <w:p w14:paraId="31D7DE37" w14:textId="3279E90F" w:rsidR="00CE52CB" w:rsidRPr="005950CC" w:rsidRDefault="00EA3B35" w:rsidP="00CF49E5">
      <w:pPr>
        <w:pStyle w:val="MDPI31text"/>
        <w:rPr>
          <w:lang w:val="en-GB"/>
        </w:rPr>
      </w:pPr>
      <w:r w:rsidRPr="005950CC">
        <w:rPr>
          <w:lang w:val="en-GB"/>
        </w:rPr>
        <w:t xml:space="preserve">Examining infrastructural and institutional changes at the national and regional level may also help to explain these findings. </w:t>
      </w:r>
      <w:r w:rsidR="00CE52CB" w:rsidRPr="005950CC">
        <w:rPr>
          <w:lang w:val="en-GB"/>
        </w:rPr>
        <w:t xml:space="preserve">For instance, Tkalec and Živčič </w:t>
      </w:r>
      <w:r w:rsidR="00CE52CB" w:rsidRPr="005950CC">
        <w:rPr>
          <w:lang w:val="en-GB"/>
        </w:rPr>
        <w:fldChar w:fldCharType="begin"/>
      </w:r>
      <w:r w:rsidRPr="005950CC">
        <w:rPr>
          <w:lang w:val="en-GB"/>
        </w:rPr>
        <w:instrText xml:space="preserve"> ADDIN ZOTERO_ITEM CSL_CITATION {"citationID":"2k0lbamskt","properties":{"formattedCitation":"[82]","plainCitation":"[82]"},"citationItems":[{"id":604,"uris":["http://zotero.org/users/3767271/items/M7AUXRU9"],"uri":["http://zotero.org/users/3767271/items/M7AUXRU9"],"itemData":{"id":604,"type":"report","title":"Report on national situation in the field of energy poverty: Slovenia","URL":"http://reach-energy.eu/wordpress/wp-content/uploads/2014/12/D2.2-Focus_EN.pdf","author":[{"family":"Tkalec","given":"T."},{"family":"Živčič","given":"L."}],"issued":{"date-parts":[["2014"]]},"accessed":{"date-parts":[["2015",1,28]]}},"suppress-author":true}],"schema":"https://github.com/citation-style-language/schema/raw/master/csl-citation.json"} </w:instrText>
      </w:r>
      <w:r w:rsidR="00CE52CB" w:rsidRPr="005950CC">
        <w:rPr>
          <w:lang w:val="en-GB"/>
        </w:rPr>
        <w:fldChar w:fldCharType="separate"/>
      </w:r>
      <w:r w:rsidRPr="005950CC">
        <w:rPr>
          <w:lang w:val="en-GB"/>
        </w:rPr>
        <w:t>[82]</w:t>
      </w:r>
      <w:r w:rsidR="00CE52CB" w:rsidRPr="005950CC">
        <w:rPr>
          <w:lang w:val="en-GB"/>
        </w:rPr>
        <w:fldChar w:fldCharType="end"/>
      </w:r>
      <w:r w:rsidR="00CE52CB" w:rsidRPr="005950CC">
        <w:rPr>
          <w:lang w:val="en-GB"/>
        </w:rPr>
        <w:t xml:space="preserve"> note that energy poverty is becoming an increasing concern in Slovenia due to energy price rises outstripping increases to household incomes. </w:t>
      </w:r>
      <w:r w:rsidR="00EB55D4" w:rsidRPr="005950CC">
        <w:rPr>
          <w:lang w:val="en-GB"/>
        </w:rPr>
        <w:t>T</w:t>
      </w:r>
      <w:r w:rsidR="00CE52CB" w:rsidRPr="005950CC">
        <w:rPr>
          <w:lang w:val="en-GB"/>
        </w:rPr>
        <w:t xml:space="preserve">he authors </w:t>
      </w:r>
      <w:r w:rsidR="00EB55D4" w:rsidRPr="005950CC">
        <w:rPr>
          <w:lang w:val="en-GB"/>
        </w:rPr>
        <w:t xml:space="preserve">also </w:t>
      </w:r>
      <w:r w:rsidR="00CE52CB" w:rsidRPr="005950CC">
        <w:rPr>
          <w:lang w:val="en-GB"/>
        </w:rPr>
        <w:t xml:space="preserve">highlight issues of energy degradation, with an increasing share of wood-based fuel in the energy mix </w:t>
      </w:r>
      <w:r w:rsidR="00CE52CB" w:rsidRPr="005950CC">
        <w:rPr>
          <w:lang w:val="en-GB"/>
        </w:rPr>
        <w:fldChar w:fldCharType="begin"/>
      </w:r>
      <w:r w:rsidRPr="005950CC">
        <w:rPr>
          <w:lang w:val="en-GB"/>
        </w:rPr>
        <w:instrText xml:space="preserve"> ADDIN ZOTERO_ITEM CSL_CITATION {"citationID":"1kfjm9rodd","properties":{"formattedCitation":"[82]","plainCitation":"[82]"},"citationItems":[{"id":604,"uris":["http://zotero.org/users/3767271/items/M7AUXRU9"],"uri":["http://zotero.org/users/3767271/items/M7AUXRU9"],"itemData":{"id":604,"type":"report","title":"Report on national situation in the field of energy poverty: Slovenia","URL":"http://reach-energy.eu/wordpress/wp-content/uploads/2014/12/D2.2-Focus_EN.pdf","author":[{"family":"Tkalec","given":"T."},{"family":"Živčič","given":"L."}],"issued":{"date-parts":[["2014"]]},"accessed":{"date-parts":[["2015",1,28]]}},"locator":"14","label":"page"}],"schema":"https://github.com/citation-style-language/schema/raw/master/csl-citation.json"} </w:instrText>
      </w:r>
      <w:r w:rsidR="00CE52CB" w:rsidRPr="005950CC">
        <w:rPr>
          <w:lang w:val="en-GB"/>
        </w:rPr>
        <w:fldChar w:fldCharType="separate"/>
      </w:r>
      <w:r w:rsidRPr="005950CC">
        <w:rPr>
          <w:lang w:val="en-GB"/>
        </w:rPr>
        <w:t>[82]</w:t>
      </w:r>
      <w:r w:rsidR="00CE52CB" w:rsidRPr="005950CC">
        <w:rPr>
          <w:lang w:val="en-GB"/>
        </w:rPr>
        <w:fldChar w:fldCharType="end"/>
      </w:r>
      <w:r w:rsidR="00CE52CB" w:rsidRPr="005950CC">
        <w:rPr>
          <w:lang w:val="en-GB"/>
        </w:rPr>
        <w:t xml:space="preserve">, likely caused by the 137 per cent increase to the average retail price of heating oil between 2003 to 2011. Similarly, Sweden has seen significant and continued increases to the price of all energy sources since 1990 </w:t>
      </w:r>
      <w:r w:rsidR="00CE52CB" w:rsidRPr="005950CC">
        <w:rPr>
          <w:lang w:val="en-GB"/>
        </w:rPr>
        <w:fldChar w:fldCharType="begin"/>
      </w:r>
      <w:r w:rsidRPr="005950CC">
        <w:rPr>
          <w:lang w:val="en-GB"/>
        </w:rPr>
        <w:instrText xml:space="preserve"> ADDIN ZOTERO_ITEM CSL_CITATION {"citationID":"15g05v9o52","properties":{"formattedCitation":"[83]","plainCitation":"[83]"},"citationItems":[{"id":512,"uris":["http://zotero.org/users/3767271/items/2FEQ2BGX"],"uri":["http://zotero.org/users/3767271/items/2FEQ2BGX"],"itemData":{"id":512,"type":"paper-conference","title":"The Swedish policy case for Cogeneration and District Heating","publisher-place":"Paris","event":"International Energy Action","event-place":"Paris","URL":"https://www.iea.org/media/workshops/2013/chp/DanielFriberg.pdf","author":[{"family":"Friberg","given":"D."}],"issued":{"date-parts":[["2013",2,12]]},"accessed":{"date-parts":[["2015",1,28]]}}}],"schema":"https://github.com/citation-style-language/schema/raw/master/csl-citation.json"} </w:instrText>
      </w:r>
      <w:r w:rsidR="00CE52CB" w:rsidRPr="005950CC">
        <w:rPr>
          <w:lang w:val="en-GB"/>
        </w:rPr>
        <w:fldChar w:fldCharType="separate"/>
      </w:r>
      <w:r w:rsidRPr="005950CC">
        <w:rPr>
          <w:lang w:val="en-GB"/>
        </w:rPr>
        <w:t>[83]</w:t>
      </w:r>
      <w:r w:rsidR="00CE52CB" w:rsidRPr="005950CC">
        <w:rPr>
          <w:lang w:val="en-GB"/>
        </w:rPr>
        <w:fldChar w:fldCharType="end"/>
      </w:r>
      <w:r w:rsidR="00CE52CB" w:rsidRPr="005950CC">
        <w:rPr>
          <w:lang w:val="en-GB"/>
        </w:rPr>
        <w:t xml:space="preserve">, and in particular to electricity heating costs, which has driven the expansion of district heating networks. Indeed by 2013, around 52 per cent of the Swedish population were supplied with district heating </w:t>
      </w:r>
      <w:r w:rsidR="00CE52CB" w:rsidRPr="005950CC">
        <w:rPr>
          <w:lang w:val="en-GB"/>
        </w:rPr>
        <w:fldChar w:fldCharType="begin"/>
      </w:r>
      <w:r w:rsidRPr="005950CC">
        <w:rPr>
          <w:lang w:val="en-GB"/>
        </w:rPr>
        <w:instrText xml:space="preserve"> ADDIN ZOTERO_ITEM CSL_CITATION {"citationID":"g27s9bv3a","properties":{"formattedCitation":"[84]","plainCitation":"[84]"},"citationItems":[{"id":502,"uris":["http://zotero.org/users/3767271/items/4NNHKVQA"],"uri":["http://zotero.org/users/3767271/items/4NNHKVQA"],"itemData":{"id":502,"type":"report","title":"Statistics Overview 2013","publisher":"Euroheat &amp; Power","publisher-place":"Brussels","event-place":"Brussels","author":[{"literal":"Euroheat &amp; Power"}],"issued":{"date-parts":[["2015"]]}}}],"schema":"https://github.com/citation-style-language/schema/raw/master/csl-citation.json"} </w:instrText>
      </w:r>
      <w:r w:rsidR="00CE52CB" w:rsidRPr="005950CC">
        <w:rPr>
          <w:lang w:val="en-GB"/>
        </w:rPr>
        <w:fldChar w:fldCharType="separate"/>
      </w:r>
      <w:r w:rsidRPr="005950CC">
        <w:rPr>
          <w:lang w:val="en-GB"/>
        </w:rPr>
        <w:t>[84]</w:t>
      </w:r>
      <w:r w:rsidR="00CE52CB" w:rsidRPr="005950CC">
        <w:rPr>
          <w:lang w:val="en-GB"/>
        </w:rPr>
        <w:fldChar w:fldCharType="end"/>
      </w:r>
      <w:r w:rsidR="00CE52CB" w:rsidRPr="005950CC">
        <w:rPr>
          <w:lang w:val="en-GB"/>
        </w:rPr>
        <w:t xml:space="preserve">, bringing along with it limited control over internal temperatures and cost </w:t>
      </w:r>
      <w:r w:rsidR="00CE52CB" w:rsidRPr="005950CC">
        <w:rPr>
          <w:lang w:val="en-GB"/>
        </w:rPr>
        <w:fldChar w:fldCharType="begin"/>
      </w:r>
      <w:r w:rsidRPr="005950CC">
        <w:rPr>
          <w:lang w:val="en-GB"/>
        </w:rPr>
        <w:instrText xml:space="preserve"> ADDIN ZOTERO_ITEM CSL_CITATION {"citationID":"21uo3nc2nu","properties":{"formattedCitation":"[85]","plainCitation":"[85]"},"citationItems":[{"id":199,"uris":["http://zotero.org/users/3767271/items/N2CXQVHV"],"uri":["http://zotero.org/users/3767271/items/N2CXQVHV"],"itemData":{"id":199,"type":"article-journal","title":"Trapped in the heat: A post-communist type of fuel poverty","container-title":"Energy Policy","page":"60-68","volume":"49","source":"ScienceDirect","journalAbbreviation":"Energy Policy","author":[{"family":"Tirado Herrero","given":"Sergio"},{"family":"Ürge-Vorsatz","given":"Diana"}],"issued":{"date-parts":[["2012"]]}}}],"schema":"https://github.com/citation-style-language/schema/raw/master/csl-citation.json"} </w:instrText>
      </w:r>
      <w:r w:rsidR="00CE52CB" w:rsidRPr="005950CC">
        <w:rPr>
          <w:lang w:val="en-GB"/>
        </w:rPr>
        <w:fldChar w:fldCharType="separate"/>
      </w:r>
      <w:r w:rsidRPr="005950CC">
        <w:rPr>
          <w:lang w:val="en-GB"/>
        </w:rPr>
        <w:t>[85]</w:t>
      </w:r>
      <w:r w:rsidR="00CE52CB" w:rsidRPr="005950CC">
        <w:rPr>
          <w:lang w:val="en-GB"/>
        </w:rPr>
        <w:fldChar w:fldCharType="end"/>
      </w:r>
      <w:r w:rsidR="00CE52CB" w:rsidRPr="005950CC">
        <w:rPr>
          <w:lang w:val="en-GB"/>
        </w:rPr>
        <w:t xml:space="preserve">. It has been noted by Lindén et al. </w:t>
      </w:r>
      <w:r w:rsidR="00CE52CB" w:rsidRPr="005950CC">
        <w:rPr>
          <w:lang w:val="en-GB"/>
        </w:rPr>
        <w:fldChar w:fldCharType="begin"/>
      </w:r>
      <w:r w:rsidRPr="005950CC">
        <w:rPr>
          <w:lang w:val="en-GB"/>
        </w:rPr>
        <w:instrText xml:space="preserve"> ADDIN ZOTERO_ITEM CSL_CITATION {"citationID":"tt55o09g2","properties":{"formattedCitation":"[86]","plainCitation":"[86]"},"citationItems":[{"id":553,"uris":["http://zotero.org/users/3767271/items/9P6HMQJP"],"uri":["http://zotero.org/users/3767271/items/9P6HMQJP"],"itemData":{"id":553,"type":"article-journal","title":"Efficient and inefficient aspects of residential energy behaviour: What are the policy instruments for change?","container-title":"Energy Policy","page":"1918-1927","volume":"34","issue":"14","abstract":"The empirical part of this study is based on a survey of 600 Swedish households and a number of interviews where questions about residential energy behaviour and possible policy instruments for change were raised. The study provides insight into current behavioural patterns and gives a bottom-up perspective on the realistic perspective potentials for change and ways to achieve them. Residential energy use accounts for a fifth of the total in Northern nations and patterns of behaviour may influence levels of energy use to the same extent as choice of appliances. The study revealed those behavioural patterns that are efficient and those that need to be improved for energy conservation. Several policy instruments for change were identified in the study and they include combinations of information, economic measures, administrative measures and more user friendly technology as well as equipment with sufficient esthetic quality. Policy instruments that have fostered energy efficient behaviour in Sweden include the massive information campaigns during the oil crises in the 1970s as well as energy labelling of appliances. Still, many households are “energy-unaware” and several energy efficient behaviours are motivated not by energy conservation concern but of a perceived lack of time. This shows that it is important to have a broad perspective in energy conservation, to evaluate trends and to use policy instruments timely to support or discourage them.","DOI":"10.1016/j.enpol.2005.01.015","journalAbbreviation":"Energy Policy","author":[{"family":"Lindén","given":"Anna-Lisa"},{"family":"Carlsson-Kanyama","given":"Annika"},{"family":"Eriksson","given":"Björn"}],"issued":{"date-parts":[["2006"]]}},"suppress-author":true}],"schema":"https://github.com/citation-style-language/schema/raw/master/csl-citation.json"} </w:instrText>
      </w:r>
      <w:r w:rsidR="00CE52CB" w:rsidRPr="005950CC">
        <w:rPr>
          <w:lang w:val="en-GB"/>
        </w:rPr>
        <w:fldChar w:fldCharType="separate"/>
      </w:r>
      <w:r w:rsidRPr="005950CC">
        <w:rPr>
          <w:lang w:val="en-GB"/>
        </w:rPr>
        <w:t>[86]</w:t>
      </w:r>
      <w:r w:rsidR="00CE52CB" w:rsidRPr="005950CC">
        <w:rPr>
          <w:lang w:val="en-GB"/>
        </w:rPr>
        <w:fldChar w:fldCharType="end"/>
      </w:r>
      <w:r w:rsidR="00CE52CB" w:rsidRPr="005950CC">
        <w:rPr>
          <w:lang w:val="en-GB"/>
        </w:rPr>
        <w:t xml:space="preserve"> that this had led to a divergence in energy-related practices between households living in detached single dwellings, who pay for their heating costs directly to the energy supplier, and households in multi-occupancy buildings who normally have their heating included in their monthly rent, with the former heating their homes around 2</w:t>
      </w:r>
      <w:r w:rsidR="00D4086C" w:rsidRPr="005950CC">
        <w:rPr>
          <w:lang w:val="en-GB"/>
        </w:rPr>
        <w:t xml:space="preserve"> </w:t>
      </w:r>
      <w:r w:rsidR="009B5493" w:rsidRPr="005950CC">
        <w:rPr>
          <w:lang w:val="en-GB"/>
        </w:rPr>
        <w:t>°</w:t>
      </w:r>
      <w:r w:rsidR="00CE52CB" w:rsidRPr="005950CC">
        <w:rPr>
          <w:lang w:val="en-GB"/>
        </w:rPr>
        <w:t xml:space="preserve">C lower </w:t>
      </w:r>
      <w:r w:rsidR="00CE52CB" w:rsidRPr="005950CC">
        <w:rPr>
          <w:lang w:val="en-GB"/>
        </w:rPr>
        <w:fldChar w:fldCharType="begin"/>
      </w:r>
      <w:r w:rsidRPr="005950CC">
        <w:rPr>
          <w:lang w:val="en-GB"/>
        </w:rPr>
        <w:instrText xml:space="preserve"> ADDIN ZOTERO_ITEM CSL_CITATION {"citationID":"umvbb0s3a","properties":{"formattedCitation":"[86]","plainCitation":"[86]"},"citationItems":[{"id":553,"uris":["http://zotero.org/users/3767271/items/9P6HMQJP"],"uri":["http://zotero.org/users/3767271/items/9P6HMQJP"],"itemData":{"id":553,"type":"article-journal","title":"Efficient and inefficient aspects of residential energy behaviour: What are the policy instruments for change?","container-title":"Energy Policy","page":"1918-1927","volume":"34","issue":"14","abstract":"The empirical part of this study is based on a survey of 600 Swedish households and a number of interviews where questions about residential energy behaviour and possible policy instruments for change were raised. The study provides insight into current behavioural patterns and gives a bottom-up perspective on the realistic perspective potentials for change and ways to achieve them. Residential energy use accounts for a fifth of the total in Northern nations and patterns of behaviour may influence levels of energy use to the same extent as choice of appliances. The study revealed those behavioural patterns that are efficient and those that need to be improved for energy conservation. Several policy instruments for change were identified in the study and they include combinations of information, economic measures, administrative measures and more user friendly technology as well as equipment with sufficient esthetic quality. Policy instruments that have fostered energy efficient behaviour in Sweden include the massive information campaigns during the oil crises in the 1970s as well as energy labelling of appliances. Still, many households are “energy-unaware” and several energy efficient behaviours are motivated not by energy conservation concern but of a perceived lack of time. This shows that it is important to have a broad perspective in energy conservation, to evaluate trends and to use policy instruments timely to support or discourage them.","DOI":"10.1016/j.enpol.2005.01.015","journalAbbreviation":"Energy Policy","author":[{"family":"Lindén","given":"Anna-Lisa"},{"family":"Carlsson-Kanyama","given":"Annika"},{"family":"Eriksson","given":"Björn"}],"issued":{"date-parts":[["2006"]]}},"locator":"1923","label":"page"}],"schema":"https://github.com/citation-style-language/schema/raw/master/csl-citation.json"} </w:instrText>
      </w:r>
      <w:r w:rsidR="00CE52CB" w:rsidRPr="005950CC">
        <w:rPr>
          <w:lang w:val="en-GB"/>
        </w:rPr>
        <w:fldChar w:fldCharType="separate"/>
      </w:r>
      <w:r w:rsidRPr="005950CC">
        <w:rPr>
          <w:lang w:val="en-GB"/>
        </w:rPr>
        <w:t>[86]</w:t>
      </w:r>
      <w:r w:rsidR="00CE52CB" w:rsidRPr="005950CC">
        <w:rPr>
          <w:lang w:val="en-GB"/>
        </w:rPr>
        <w:fldChar w:fldCharType="end"/>
      </w:r>
      <w:r w:rsidR="00CE52CB" w:rsidRPr="005950CC">
        <w:rPr>
          <w:lang w:val="en-GB"/>
        </w:rPr>
        <w:t xml:space="preserve">. This rapidly unfolding energy landscape challenges existing conceptualisations of vulnerability in Europe and brings new potential issues, such as indoor air pollutants resulting from incomplete combustion of wood-based fuels </w:t>
      </w:r>
      <w:r w:rsidR="00CE52CB" w:rsidRPr="005950CC">
        <w:rPr>
          <w:lang w:val="en-GB"/>
        </w:rPr>
        <w:fldChar w:fldCharType="begin"/>
      </w:r>
      <w:r w:rsidRPr="005950CC">
        <w:rPr>
          <w:lang w:val="en-GB"/>
        </w:rPr>
        <w:instrText xml:space="preserve"> ADDIN ZOTERO_ITEM CSL_CITATION {"citationID":"2bpu39jm9l","properties":{"formattedCitation":"[87]","plainCitation":"[87]"},"citationItems":[{"id":610,"uris":["http://zotero.org/users/3767271/items/3AAVHX4T"],"uri":["http://zotero.org/users/3767271/items/3AAVHX4T"],"itemData":{"id":610,"type":"article-journal","title":"The suitability of wood pellet heating for domestic households: A review of literature","container-title":"Renewable and Sustainable Energy Reviews","page":"1362-1369","volume":"42","abstract":"Due to increasing government support for renewable energy in combination with high fossil fuel prices and environmental concerns, demand for wood pellet heating is rising all over Europe. Despite the rapid growth in wood pellet heating, the suitability and usability of wood pellet boilers in domestic settings has received relatively little attention compared with either alternative renewable heating technologies or with commercial applications of biomass heating. This article brings together the fragmented literature on wood pellet heating, and the application of this heating type in domestic settings, with a particular focus on assessing the suitability of wood pellet heating for low-income households who are not connected to the natural gas network.\nThe main advantages that have been identified include avoidance of significant levels of CO2 emissions, a potential reduction in heating costs, and increased comfort. However, it is clear that a number of potential risks exist at all stages of the supply chain, and that wood pellet heating has a heavy reliance on perfection of design and maintenance for optimal performance and safety, both in terms of pellets and boilers. Furthermore, the capital cost associated with wood pellet heating is found to be a key deterrent to uptake. It is acknowledged that - for some specific households who are able to accommodate the regular maintenance and manual labour associated with a wood pellet boiler - domestic wood pellet heating can be a viable alternative to fossil fuel systems. At the present time, however, it is concluded that wood pellet boiler systems are not especially suited to application in domestic settings due to the range of end-user problems that can occur, concerns about pellet supply and pricing, and maintenance requirements. There is, however, considerable potential for wood pellet fuel to be utilised in district heating networks.","DOI":"10.1016/j.rser.2014.11.009","journalAbbreviation":"Renewable and Sustainable Energy Reviews","author":[{"family":"Thomson","given":"Harriet"},{"family":"Liddell","given":"Christine"}],"issued":{"date-parts":[["2015"]]}}}],"schema":"https://github.com/citation-style-language/schema/raw/master/csl-citation.json"} </w:instrText>
      </w:r>
      <w:r w:rsidR="00CE52CB" w:rsidRPr="005950CC">
        <w:rPr>
          <w:lang w:val="en-GB"/>
        </w:rPr>
        <w:fldChar w:fldCharType="separate"/>
      </w:r>
      <w:r w:rsidRPr="005950CC">
        <w:rPr>
          <w:lang w:val="en-GB"/>
        </w:rPr>
        <w:t>[87]</w:t>
      </w:r>
      <w:r w:rsidR="00CE52CB" w:rsidRPr="005950CC">
        <w:rPr>
          <w:lang w:val="en-GB"/>
        </w:rPr>
        <w:fldChar w:fldCharType="end"/>
      </w:r>
      <w:r w:rsidR="00CE52CB" w:rsidRPr="005950CC">
        <w:rPr>
          <w:lang w:val="en-GB"/>
        </w:rPr>
        <w:t>.</w:t>
      </w:r>
    </w:p>
    <w:p w14:paraId="36A47499" w14:textId="5EF3629A" w:rsidR="00F55539" w:rsidRPr="005950CC" w:rsidRDefault="000B7F93" w:rsidP="00CF49E5">
      <w:pPr>
        <w:pStyle w:val="MDPI31text"/>
        <w:rPr>
          <w:lang w:val="en-GB"/>
        </w:rPr>
      </w:pPr>
      <w:r w:rsidRPr="005950CC">
        <w:rPr>
          <w:lang w:val="en-GB"/>
        </w:rPr>
        <w:t xml:space="preserve">Whilst these findings are limited by the measures of energy poverty, health and well-being used within the study (and indeed the available comparative data), it is the first pan-European </w:t>
      </w:r>
      <w:r w:rsidRPr="005950CC">
        <w:rPr>
          <w:lang w:val="en-GB"/>
        </w:rPr>
        <w:lastRenderedPageBreak/>
        <w:t xml:space="preserve">study in over a decade that considers this relationship, </w:t>
      </w:r>
      <w:r w:rsidR="007C7EFC" w:rsidRPr="005950CC">
        <w:rPr>
          <w:lang w:val="en-GB"/>
        </w:rPr>
        <w:t>with the findings pointing to an urgent need for additional in-depth research.</w:t>
      </w:r>
    </w:p>
    <w:p w14:paraId="5588EC00" w14:textId="68C0A15B" w:rsidR="00CE52CB" w:rsidRPr="005950CC" w:rsidRDefault="000F0E65" w:rsidP="00CF49E5">
      <w:pPr>
        <w:pStyle w:val="MDPI21heading1"/>
        <w:rPr>
          <w:lang w:val="en-GB"/>
        </w:rPr>
      </w:pPr>
      <w:r w:rsidRPr="005950CC">
        <w:rPr>
          <w:lang w:val="en-GB"/>
        </w:rPr>
        <w:t>6</w:t>
      </w:r>
      <w:r w:rsidR="00BA5987" w:rsidRPr="005950CC">
        <w:rPr>
          <w:lang w:val="en-GB"/>
        </w:rPr>
        <w:t xml:space="preserve">. </w:t>
      </w:r>
      <w:r w:rsidR="00AF41F2" w:rsidRPr="005950CC">
        <w:rPr>
          <w:lang w:val="en-GB"/>
        </w:rPr>
        <w:t>Conclusions</w:t>
      </w:r>
    </w:p>
    <w:p w14:paraId="5ECEFF12" w14:textId="3A221D2F" w:rsidR="000C1CC9" w:rsidRPr="005950CC" w:rsidRDefault="0082066B" w:rsidP="00CF49E5">
      <w:pPr>
        <w:pStyle w:val="MDPI31text"/>
        <w:rPr>
          <w:lang w:val="en-GB"/>
        </w:rPr>
      </w:pPr>
      <w:r w:rsidRPr="005950CC">
        <w:rPr>
          <w:lang w:val="en-GB"/>
        </w:rPr>
        <w:t xml:space="preserve">Within this exploratory </w:t>
      </w:r>
      <w:r w:rsidR="00832C19" w:rsidRPr="005950CC">
        <w:rPr>
          <w:lang w:val="en-GB"/>
        </w:rPr>
        <w:t>study</w:t>
      </w:r>
      <w:r w:rsidRPr="005950CC">
        <w:rPr>
          <w:lang w:val="en-GB"/>
        </w:rPr>
        <w:t xml:space="preserve">, we have found that across the majority of countries in Europe, the energy poor population is statistically more likely to report poor health and emotional well-being than the </w:t>
      </w:r>
      <w:r w:rsidR="007C7EFC" w:rsidRPr="005950CC">
        <w:rPr>
          <w:lang w:val="en-GB"/>
        </w:rPr>
        <w:t>non-energy poor</w:t>
      </w:r>
      <w:r w:rsidRPr="005950CC">
        <w:rPr>
          <w:lang w:val="en-GB"/>
        </w:rPr>
        <w:t xml:space="preserve"> population, with a higher incidence of bad and very bad SRH, poor emotional well-being, and likely depression. Interestingly, we find the largest disparities in health and well-being levels between energy poor and non-energy poor households occur within relatively equal societies, such as Sweden and Slovenia. </w:t>
      </w:r>
      <w:r w:rsidR="000C1CC9" w:rsidRPr="005950CC">
        <w:rPr>
          <w:lang w:val="en-GB"/>
        </w:rPr>
        <w:t xml:space="preserve">In terms of next steps for research, there is a clear need for further work to investigate why these apparent national differences exist, perhaps using statistical techniques such as cluster analysis, and political theory on the role of welfare state types. Additional analysis could incorporate further detail around national policy styles, energy prices and expenditure, and housing stock differences. In policy terms, this study lends support to the argument that in order to reduce the health inequalities associated with energy poverty, investment in energy efficiency schemes should be prioritised for energy poor households, in order to potentially realise reductions to public expenditure on health care </w:t>
      </w:r>
      <w:r w:rsidR="000C1CC9" w:rsidRPr="005950CC">
        <w:rPr>
          <w:lang w:val="en-GB"/>
        </w:rPr>
        <w:fldChar w:fldCharType="begin"/>
      </w:r>
      <w:r w:rsidR="00EA3B35" w:rsidRPr="005950CC">
        <w:rPr>
          <w:lang w:val="en-GB"/>
        </w:rPr>
        <w:instrText xml:space="preserve"> ADDIN ZOTERO_ITEM CSL_CITATION {"citationID":"1c5gorgoji","properties":{"formattedCitation":"[88]","plainCitation":"[88]"},"citationItems":[{"id":527,"uris":["http://zotero.org/users/3767271/items/VUGBZMUB"],"uri":["http://zotero.org/users/3767271/items/VUGBZMUB"],"itemData":{"id":527,"type":"article-journal","title":"Health effects of home energy efficiency interventions in England: a modelling study","container-title":"BMJ Open","volume":"5","issue":"4","abstract":"Objective To assess potential public health impacts of changes to indoor air quality and temperature due to energy efficiency retrofits in English dwellings to meet 2030 carbon reduction targets.\nDesign Health impact modelling study.\nSetting England.\nParticipants English household population.\nIntervention Three retrofit scenarios were modelled: (1) fabric and ventilation retrofits installed assuming building regulations are met; (2) as with scenario (1) but with additional ventilation for homes at risk of poor ventilation; (3) as with scenario (1) but with no additional ventilation to illustrate the potential risk of weak regulations and non-compliance.\nMain outcome Primary outcomes were changes in quality adjusted life years (QALYs) over 50 years from cardiorespiratory diseases, lung cancer, asthma and common mental disorders due to changes in indoor air pollutants, including secondhand tobacco smoke, PM2.5 from indoor and outdoor sources, radon, mould, and indoor winter temperatures.\nResults The modelling study estimates showed that scenario (1) resulted in positive effects on net mortality and morbidity of 2241 (95% credible intervals (CI) 2085 to 2397) QALYs per 10 000 persons over 50 years follow-up due to improved temperatures and reduced exposure to indoor pollutants, despite an increase in exposure to outdoor-generated particulate matter with a diameter of 2.5 μm or less (PM2.5). Scenario (2) resulted in a negative impact of −728 (95% CI −864 to −592) QALYs per 10 000 persons over 50 years due to an overall increase in indoor pollutant exposures. Scenario (3) resulted in −539 (95% CI −678 to -399) QALYs per 10 000 persons over 50 years follow-up due to an increase in indoor exposures despite the targeting of pollutants.\nConclusions If properly implemented alongside ventilation, energy efficiency retrofits in housing can improve health by reducing exposure to cold and air pollutants. Maximising the health benefits requires careful understanding of the balance of changes in pollutant exposures, highlighting the importance of ventilation to mitigate the risk of poor indoor air quality.","DOI":"10.1136/bmjopen-2014-007298","author":[{"family":"Hamilton","given":"Ian"},{"family":"Milner","given":"James"},{"family":"Chalabi","given":"Zaid"},{"family":"Das","given":"Payel"},{"family":"Jones","given":"Benjamin"},{"family":"Shrubsole","given":"Clive"},{"family":"Davies","given":"Mike"},{"family":"Wilkinson","given":"Paul"}],"issued":{"date-parts":[["2015"]]}}}],"schema":"https://github.com/citation-style-language/schema/raw/master/csl-citation.json"} </w:instrText>
      </w:r>
      <w:r w:rsidR="000C1CC9" w:rsidRPr="005950CC">
        <w:rPr>
          <w:lang w:val="en-GB"/>
        </w:rPr>
        <w:fldChar w:fldCharType="separate"/>
      </w:r>
      <w:r w:rsidR="00EA3B35" w:rsidRPr="005950CC">
        <w:rPr>
          <w:lang w:val="en-GB"/>
        </w:rPr>
        <w:t>[88]</w:t>
      </w:r>
      <w:r w:rsidR="000C1CC9" w:rsidRPr="005950CC">
        <w:rPr>
          <w:lang w:val="en-GB"/>
        </w:rPr>
        <w:fldChar w:fldCharType="end"/>
      </w:r>
      <w:r w:rsidR="000C1CC9" w:rsidRPr="005950CC">
        <w:rPr>
          <w:lang w:val="en-GB"/>
        </w:rPr>
        <w:t xml:space="preserve">. </w:t>
      </w:r>
      <w:r w:rsidR="008F4FF8" w:rsidRPr="005950CC">
        <w:rPr>
          <w:lang w:val="en-GB"/>
        </w:rPr>
        <w:t xml:space="preserve">However, </w:t>
      </w:r>
      <w:r w:rsidR="000C1CC9" w:rsidRPr="005950CC">
        <w:rPr>
          <w:lang w:val="en-GB"/>
        </w:rPr>
        <w:t xml:space="preserve">consideration needs to be given to the funding mechanism used in order to avoid regressive effects. </w:t>
      </w:r>
    </w:p>
    <w:p w14:paraId="192B94D9" w14:textId="5A8BB10D" w:rsidR="004C1706" w:rsidRPr="005950CC" w:rsidRDefault="00EA6423" w:rsidP="00CF49E5">
      <w:pPr>
        <w:pStyle w:val="MDPI62Acknowledgments"/>
        <w:rPr>
          <w:lang w:val="en-GB"/>
        </w:rPr>
      </w:pPr>
      <w:r w:rsidRPr="005950CC">
        <w:rPr>
          <w:b/>
          <w:lang w:val="en-GB"/>
        </w:rPr>
        <w:t>Acknowledgments:</w:t>
      </w:r>
      <w:r w:rsidRPr="005950CC">
        <w:rPr>
          <w:lang w:val="en-GB"/>
        </w:rPr>
        <w:t xml:space="preserve"> </w:t>
      </w:r>
      <w:r w:rsidR="004C1706" w:rsidRPr="005950CC">
        <w:rPr>
          <w:lang w:val="en-GB"/>
        </w:rPr>
        <w:t>Funding: This work was supported by the European Research Council under the European Union’s Seventh Framework Programme (FP7/2007–2013)/ERC grant agreement number 313478; and Eaga Charitable Trust (2012).</w:t>
      </w:r>
      <w:r w:rsidR="000E7E99" w:rsidRPr="005950CC">
        <w:rPr>
          <w:lang w:val="en-GB"/>
        </w:rPr>
        <w:t xml:space="preserve"> </w:t>
      </w:r>
      <w:r w:rsidR="004C1706" w:rsidRPr="005950CC">
        <w:rPr>
          <w:lang w:val="en-GB"/>
        </w:rPr>
        <w:t xml:space="preserve">Micro data access is gratefully acknowledged for the 2012 European Quality of Life Survey </w:t>
      </w:r>
      <w:r w:rsidR="004C1706" w:rsidRPr="005950CC">
        <w:rPr>
          <w:lang w:val="en-GB"/>
        </w:rPr>
        <w:fldChar w:fldCharType="begin"/>
      </w:r>
      <w:r w:rsidR="003B4785" w:rsidRPr="005950CC">
        <w:rPr>
          <w:lang w:val="en-GB"/>
        </w:rPr>
        <w:instrText xml:space="preserve"> ADDIN ZOTERO_ITEM CSL_CITATION {"citationID":"19t4oqlngt","properties":{"formattedCitation":"[61]","plainCitation":"[61]"},"citationItems":[{"id":92,"uris":["http://zotero.org/users/3767271/items/IAFRCSKR"],"uri":["http://zotero.org/users/3767271/items/IAFRCSKR"],"itemData":{"id":92,"type":"article","title":"European Quality of Life Survey, 2011-2012 [computer file]. 2nd Edition. Essex: UK Data Archive [distributor], January 2014. SN: 7316","author":[{"literal":"Eurofound"}],"issued":{"date-parts":[["2014"]]}}}],"schema":"https://github.com/citation-style-language/schema/raw/master/csl-citation.json"} </w:instrText>
      </w:r>
      <w:r w:rsidR="004C1706" w:rsidRPr="005950CC">
        <w:rPr>
          <w:lang w:val="en-GB"/>
        </w:rPr>
        <w:fldChar w:fldCharType="separate"/>
      </w:r>
      <w:r w:rsidR="003B4785" w:rsidRPr="005950CC">
        <w:rPr>
          <w:lang w:val="en-GB"/>
        </w:rPr>
        <w:t>[61]</w:t>
      </w:r>
      <w:r w:rsidR="004C1706" w:rsidRPr="005950CC">
        <w:rPr>
          <w:lang w:val="en-GB"/>
        </w:rPr>
        <w:fldChar w:fldCharType="end"/>
      </w:r>
      <w:r w:rsidR="004C1706" w:rsidRPr="005950CC">
        <w:rPr>
          <w:lang w:val="en-GB"/>
        </w:rPr>
        <w:t>.</w:t>
      </w:r>
    </w:p>
    <w:p w14:paraId="03AE7343" w14:textId="20798D9D" w:rsidR="003424E0" w:rsidRPr="005950CC" w:rsidRDefault="00EA6423" w:rsidP="00CF49E5">
      <w:pPr>
        <w:pStyle w:val="MDPI62Acknowledgments"/>
        <w:rPr>
          <w:lang w:val="en-GB"/>
        </w:rPr>
      </w:pPr>
      <w:r w:rsidRPr="005950CC">
        <w:rPr>
          <w:b/>
          <w:lang w:val="en-GB"/>
        </w:rPr>
        <w:t>Author Contributions:</w:t>
      </w:r>
      <w:r w:rsidR="003424E0" w:rsidRPr="00AB475F">
        <w:rPr>
          <w:lang w:val="en-GB"/>
        </w:rPr>
        <w:t xml:space="preserve"> </w:t>
      </w:r>
      <w:r w:rsidR="003424E0" w:rsidRPr="005950CC">
        <w:rPr>
          <w:lang w:val="en-GB"/>
        </w:rPr>
        <w:t>H</w:t>
      </w:r>
      <w:r w:rsidR="005702D5" w:rsidRPr="005950CC">
        <w:rPr>
          <w:lang w:val="en-GB"/>
        </w:rPr>
        <w:t xml:space="preserve">arriet </w:t>
      </w:r>
      <w:r w:rsidR="003424E0" w:rsidRPr="005950CC">
        <w:rPr>
          <w:lang w:val="en-GB"/>
        </w:rPr>
        <w:t>T</w:t>
      </w:r>
      <w:r w:rsidR="005702D5" w:rsidRPr="005950CC">
        <w:rPr>
          <w:lang w:val="en-GB"/>
        </w:rPr>
        <w:t>homson</w:t>
      </w:r>
      <w:r w:rsidR="003424E0" w:rsidRPr="005950CC">
        <w:rPr>
          <w:lang w:val="en-GB"/>
        </w:rPr>
        <w:t xml:space="preserve"> and C</w:t>
      </w:r>
      <w:r w:rsidR="005702D5" w:rsidRPr="005950CC">
        <w:rPr>
          <w:lang w:val="en-GB"/>
        </w:rPr>
        <w:t xml:space="preserve">arolyn </w:t>
      </w:r>
      <w:r w:rsidR="003424E0" w:rsidRPr="005950CC">
        <w:rPr>
          <w:lang w:val="en-GB"/>
        </w:rPr>
        <w:t>S</w:t>
      </w:r>
      <w:r w:rsidR="005702D5" w:rsidRPr="005950CC">
        <w:rPr>
          <w:lang w:val="en-GB"/>
        </w:rPr>
        <w:t>nell</w:t>
      </w:r>
      <w:r w:rsidR="003424E0" w:rsidRPr="005950CC">
        <w:rPr>
          <w:lang w:val="en-GB"/>
        </w:rPr>
        <w:t xml:space="preserve"> designed the study and developed the methodology. H</w:t>
      </w:r>
      <w:r w:rsidR="005702D5" w:rsidRPr="005950CC">
        <w:rPr>
          <w:lang w:val="en-GB"/>
        </w:rPr>
        <w:t xml:space="preserve">arriet </w:t>
      </w:r>
      <w:r w:rsidR="003424E0" w:rsidRPr="005950CC">
        <w:rPr>
          <w:lang w:val="en-GB"/>
        </w:rPr>
        <w:t>T</w:t>
      </w:r>
      <w:r w:rsidR="005702D5" w:rsidRPr="005950CC">
        <w:rPr>
          <w:lang w:val="en-GB"/>
        </w:rPr>
        <w:t>homson</w:t>
      </w:r>
      <w:r w:rsidR="003424E0" w:rsidRPr="005950CC">
        <w:rPr>
          <w:lang w:val="en-GB"/>
        </w:rPr>
        <w:t xml:space="preserve"> acquired the secondary data and performed the analysis. S</w:t>
      </w:r>
      <w:r w:rsidR="005702D5" w:rsidRPr="005950CC">
        <w:rPr>
          <w:lang w:val="en-GB"/>
        </w:rPr>
        <w:t xml:space="preserve">tefan </w:t>
      </w:r>
      <w:r w:rsidR="003424E0" w:rsidRPr="005950CC">
        <w:rPr>
          <w:lang w:val="en-GB"/>
        </w:rPr>
        <w:t>B</w:t>
      </w:r>
      <w:r w:rsidR="005702D5" w:rsidRPr="005950CC">
        <w:rPr>
          <w:lang w:val="en-GB"/>
        </w:rPr>
        <w:t>ouzarovski</w:t>
      </w:r>
      <w:r w:rsidR="003424E0" w:rsidRPr="005950CC">
        <w:rPr>
          <w:lang w:val="en-GB"/>
        </w:rPr>
        <w:t xml:space="preserve"> contributed to the theoretical framing of the paper and interpretation of data. All authors have contr</w:t>
      </w:r>
      <w:r w:rsidR="009B5493" w:rsidRPr="005950CC">
        <w:rPr>
          <w:lang w:val="en-GB"/>
        </w:rPr>
        <w:t>ibuted to writing this article.</w:t>
      </w:r>
    </w:p>
    <w:p w14:paraId="20CB19FD" w14:textId="418E640B" w:rsidR="00EA6423" w:rsidRPr="005950CC" w:rsidRDefault="00EA6423" w:rsidP="00CF49E5">
      <w:pPr>
        <w:pStyle w:val="MDPI62Acknowledgments"/>
        <w:rPr>
          <w:lang w:val="en-GB"/>
        </w:rPr>
      </w:pPr>
      <w:r w:rsidRPr="005950CC">
        <w:rPr>
          <w:b/>
          <w:lang w:val="en-GB"/>
        </w:rPr>
        <w:t>Conflicts of Interest:</w:t>
      </w:r>
      <w:r w:rsidRPr="005950CC">
        <w:rPr>
          <w:lang w:val="en-GB"/>
        </w:rPr>
        <w:t xml:space="preserve"> The authors d</w:t>
      </w:r>
      <w:r w:rsidR="004C1706" w:rsidRPr="005950CC">
        <w:rPr>
          <w:lang w:val="en-GB"/>
        </w:rPr>
        <w:t>eclare no conflict of interest.</w:t>
      </w:r>
      <w:r w:rsidR="003424E0" w:rsidRPr="005950CC">
        <w:rPr>
          <w:lang w:val="en-GB"/>
        </w:rPr>
        <w:t xml:space="preserve"> The f</w:t>
      </w:r>
      <w:r w:rsidRPr="005950CC">
        <w:rPr>
          <w:lang w:val="en-GB"/>
        </w:rPr>
        <w:t>unding sponsors had no role in the design of the study; in the collection, analyses, or interpretation of data; in the writing of the manuscript, and in the d</w:t>
      </w:r>
      <w:r w:rsidR="004C1706" w:rsidRPr="005950CC">
        <w:rPr>
          <w:lang w:val="en-GB"/>
        </w:rPr>
        <w:t>ecision to publish the results.</w:t>
      </w:r>
    </w:p>
    <w:p w14:paraId="11B09CB3" w14:textId="022AA58C" w:rsidR="00471F58" w:rsidRPr="005950CC" w:rsidRDefault="00471F58" w:rsidP="00CF49E5">
      <w:pPr>
        <w:pStyle w:val="MDPI21heading1"/>
      </w:pPr>
      <w:r w:rsidRPr="005950CC">
        <w:t>Appendix A</w:t>
      </w:r>
    </w:p>
    <w:p w14:paraId="3E7E336C" w14:textId="30944ECA" w:rsidR="00B008AE" w:rsidRPr="005950CC" w:rsidRDefault="00B01244" w:rsidP="005950CC">
      <w:pPr>
        <w:pStyle w:val="MDPI41tablecaption"/>
        <w:jc w:val="center"/>
        <w:rPr>
          <w:rFonts w:eastAsiaTheme="minorEastAsia"/>
          <w:lang w:eastAsia="zh-CN"/>
        </w:rPr>
      </w:pPr>
      <w:r w:rsidRPr="005950CC">
        <w:rPr>
          <w:b/>
        </w:rPr>
        <w:t>Table A1.</w:t>
      </w:r>
      <w:r w:rsidRPr="005950CC">
        <w:t xml:space="preserve"> </w:t>
      </w:r>
      <w:proofErr w:type="gramStart"/>
      <w:r w:rsidRPr="005950CC">
        <w:t>Two-letter country codes</w:t>
      </w:r>
      <w:r w:rsidR="001602E3" w:rsidRPr="005950CC">
        <w:rPr>
          <w:rFonts w:eastAsiaTheme="minorEastAsia" w:hint="eastAsia"/>
          <w:lang w:eastAsia="zh-CN"/>
        </w:rPr>
        <w:t>.</w:t>
      </w:r>
      <w:proofErr w:type="gramEnd"/>
    </w:p>
    <w:tbl>
      <w:tblPr>
        <w:tblStyle w:val="Mdeck5tablebodythreelines"/>
        <w:tblW w:w="0" w:type="auto"/>
        <w:tblLook w:val="04A0" w:firstRow="1" w:lastRow="0" w:firstColumn="1" w:lastColumn="0" w:noHBand="0" w:noVBand="1"/>
      </w:tblPr>
      <w:tblGrid>
        <w:gridCol w:w="2093"/>
        <w:gridCol w:w="2410"/>
      </w:tblGrid>
      <w:tr w:rsidR="00B008AE" w:rsidRPr="005950CC" w14:paraId="067E091E" w14:textId="77777777" w:rsidTr="005950CC">
        <w:trPr>
          <w:cnfStyle w:val="100000000000" w:firstRow="1" w:lastRow="0" w:firstColumn="0" w:lastColumn="0" w:oddVBand="0" w:evenVBand="0" w:oddHBand="0" w:evenHBand="0" w:firstRowFirstColumn="0" w:firstRowLastColumn="0" w:lastRowFirstColumn="0" w:lastRowLastColumn="0"/>
        </w:trPr>
        <w:tc>
          <w:tcPr>
            <w:tcW w:w="2093" w:type="dxa"/>
          </w:tcPr>
          <w:p w14:paraId="62635D61" w14:textId="443D735A" w:rsidR="00471F58" w:rsidRPr="005950CC" w:rsidRDefault="00471F58" w:rsidP="005950CC">
            <w:pPr>
              <w:pStyle w:val="MDPI42tablebody"/>
              <w:spacing w:line="240" w:lineRule="auto"/>
              <w:rPr>
                <w:b/>
                <w:sz w:val="18"/>
              </w:rPr>
            </w:pPr>
            <w:r w:rsidRPr="005950CC">
              <w:rPr>
                <w:b/>
                <w:sz w:val="18"/>
              </w:rPr>
              <w:t xml:space="preserve">Country </w:t>
            </w:r>
            <w:r w:rsidR="001602E3" w:rsidRPr="005950CC">
              <w:rPr>
                <w:b/>
                <w:sz w:val="18"/>
              </w:rPr>
              <w:t>Name</w:t>
            </w:r>
          </w:p>
        </w:tc>
        <w:tc>
          <w:tcPr>
            <w:tcW w:w="2410" w:type="dxa"/>
          </w:tcPr>
          <w:p w14:paraId="190240D6" w14:textId="358C79CF" w:rsidR="00471F58" w:rsidRPr="005950CC" w:rsidRDefault="00B008AE" w:rsidP="005950CC">
            <w:pPr>
              <w:pStyle w:val="MDPI42tablebody"/>
              <w:spacing w:line="240" w:lineRule="auto"/>
              <w:rPr>
                <w:b/>
                <w:sz w:val="18"/>
              </w:rPr>
            </w:pPr>
            <w:r w:rsidRPr="005950CC">
              <w:rPr>
                <w:b/>
                <w:sz w:val="18"/>
              </w:rPr>
              <w:t>Two-</w:t>
            </w:r>
            <w:r w:rsidR="001602E3" w:rsidRPr="005950CC">
              <w:rPr>
                <w:b/>
                <w:sz w:val="18"/>
              </w:rPr>
              <w:t>Letter Country Code</w:t>
            </w:r>
          </w:p>
        </w:tc>
      </w:tr>
      <w:tr w:rsidR="00B008AE" w:rsidRPr="005950CC" w14:paraId="6EEA6E6F" w14:textId="77777777" w:rsidTr="005950CC">
        <w:tc>
          <w:tcPr>
            <w:tcW w:w="2093" w:type="dxa"/>
          </w:tcPr>
          <w:p w14:paraId="0AF670B2" w14:textId="344792FB" w:rsidR="00B008AE" w:rsidRPr="005950CC" w:rsidRDefault="00B008AE" w:rsidP="005950CC">
            <w:pPr>
              <w:pStyle w:val="MDPI42tablebody"/>
              <w:spacing w:line="240" w:lineRule="auto"/>
              <w:jc w:val="left"/>
              <w:rPr>
                <w:sz w:val="18"/>
              </w:rPr>
            </w:pPr>
            <w:r w:rsidRPr="005950CC">
              <w:rPr>
                <w:sz w:val="18"/>
              </w:rPr>
              <w:t>Austria</w:t>
            </w:r>
          </w:p>
        </w:tc>
        <w:tc>
          <w:tcPr>
            <w:tcW w:w="2410" w:type="dxa"/>
          </w:tcPr>
          <w:p w14:paraId="2B4E1E3A" w14:textId="57872CE5" w:rsidR="00B008AE" w:rsidRPr="000F2324" w:rsidRDefault="00B008AE" w:rsidP="005950CC">
            <w:pPr>
              <w:pStyle w:val="MDPI42tablebody"/>
              <w:spacing w:line="240" w:lineRule="auto"/>
              <w:rPr>
                <w:sz w:val="18"/>
              </w:rPr>
            </w:pPr>
            <w:r w:rsidRPr="000F2324">
              <w:rPr>
                <w:sz w:val="18"/>
              </w:rPr>
              <w:t>AT</w:t>
            </w:r>
          </w:p>
        </w:tc>
      </w:tr>
      <w:tr w:rsidR="00B008AE" w:rsidRPr="005950CC" w14:paraId="382F0155" w14:textId="77777777" w:rsidTr="005950CC">
        <w:tc>
          <w:tcPr>
            <w:tcW w:w="2093" w:type="dxa"/>
          </w:tcPr>
          <w:p w14:paraId="329B9096" w14:textId="38DE7569" w:rsidR="00B008AE" w:rsidRPr="005950CC" w:rsidRDefault="00B008AE" w:rsidP="005950CC">
            <w:pPr>
              <w:pStyle w:val="MDPI42tablebody"/>
              <w:spacing w:line="240" w:lineRule="auto"/>
              <w:jc w:val="left"/>
              <w:rPr>
                <w:sz w:val="18"/>
              </w:rPr>
            </w:pPr>
            <w:r w:rsidRPr="005950CC">
              <w:rPr>
                <w:sz w:val="18"/>
              </w:rPr>
              <w:t>Belgium</w:t>
            </w:r>
          </w:p>
        </w:tc>
        <w:tc>
          <w:tcPr>
            <w:tcW w:w="2410" w:type="dxa"/>
          </w:tcPr>
          <w:p w14:paraId="15069280" w14:textId="77D222FB" w:rsidR="00B008AE" w:rsidRPr="000F2324" w:rsidRDefault="00B008AE" w:rsidP="005950CC">
            <w:pPr>
              <w:pStyle w:val="MDPI42tablebody"/>
              <w:spacing w:line="240" w:lineRule="auto"/>
              <w:rPr>
                <w:sz w:val="18"/>
              </w:rPr>
            </w:pPr>
            <w:r w:rsidRPr="000F2324">
              <w:rPr>
                <w:sz w:val="18"/>
              </w:rPr>
              <w:t>BE</w:t>
            </w:r>
          </w:p>
        </w:tc>
      </w:tr>
      <w:tr w:rsidR="00B008AE" w:rsidRPr="005950CC" w14:paraId="7A76716B" w14:textId="77777777" w:rsidTr="005950CC">
        <w:tc>
          <w:tcPr>
            <w:tcW w:w="2093" w:type="dxa"/>
          </w:tcPr>
          <w:p w14:paraId="7E52E2A1" w14:textId="494B08E6" w:rsidR="00B008AE" w:rsidRPr="005950CC" w:rsidRDefault="00B008AE" w:rsidP="005950CC">
            <w:pPr>
              <w:pStyle w:val="MDPI42tablebody"/>
              <w:spacing w:line="240" w:lineRule="auto"/>
              <w:jc w:val="left"/>
              <w:rPr>
                <w:sz w:val="18"/>
              </w:rPr>
            </w:pPr>
            <w:r w:rsidRPr="005950CC">
              <w:rPr>
                <w:sz w:val="18"/>
              </w:rPr>
              <w:t>Bulgaria</w:t>
            </w:r>
          </w:p>
        </w:tc>
        <w:tc>
          <w:tcPr>
            <w:tcW w:w="2410" w:type="dxa"/>
          </w:tcPr>
          <w:p w14:paraId="4CCD4900" w14:textId="5394F690" w:rsidR="00B008AE" w:rsidRPr="000F2324" w:rsidRDefault="00B008AE" w:rsidP="005950CC">
            <w:pPr>
              <w:pStyle w:val="MDPI42tablebody"/>
              <w:spacing w:line="240" w:lineRule="auto"/>
              <w:rPr>
                <w:sz w:val="18"/>
              </w:rPr>
            </w:pPr>
            <w:r w:rsidRPr="000F2324">
              <w:rPr>
                <w:sz w:val="18"/>
              </w:rPr>
              <w:t>BG</w:t>
            </w:r>
          </w:p>
        </w:tc>
      </w:tr>
      <w:tr w:rsidR="00B008AE" w:rsidRPr="005950CC" w14:paraId="25BD7FD4" w14:textId="77777777" w:rsidTr="005950CC">
        <w:tc>
          <w:tcPr>
            <w:tcW w:w="2093" w:type="dxa"/>
          </w:tcPr>
          <w:p w14:paraId="2CEA0FB5" w14:textId="5EA12B88" w:rsidR="00B008AE" w:rsidRPr="005950CC" w:rsidRDefault="00B008AE" w:rsidP="005950CC">
            <w:pPr>
              <w:pStyle w:val="MDPI42tablebody"/>
              <w:spacing w:line="240" w:lineRule="auto"/>
              <w:jc w:val="left"/>
              <w:rPr>
                <w:sz w:val="18"/>
              </w:rPr>
            </w:pPr>
            <w:r w:rsidRPr="005950CC">
              <w:rPr>
                <w:sz w:val="18"/>
              </w:rPr>
              <w:t>Croatia</w:t>
            </w:r>
          </w:p>
        </w:tc>
        <w:tc>
          <w:tcPr>
            <w:tcW w:w="2410" w:type="dxa"/>
          </w:tcPr>
          <w:p w14:paraId="2A6953B8" w14:textId="14C3C410" w:rsidR="00B008AE" w:rsidRPr="000F2324" w:rsidRDefault="00B008AE" w:rsidP="005950CC">
            <w:pPr>
              <w:pStyle w:val="MDPI42tablebody"/>
              <w:spacing w:line="240" w:lineRule="auto"/>
              <w:rPr>
                <w:sz w:val="18"/>
              </w:rPr>
            </w:pPr>
            <w:r w:rsidRPr="000F2324">
              <w:rPr>
                <w:sz w:val="18"/>
              </w:rPr>
              <w:t>HR</w:t>
            </w:r>
          </w:p>
        </w:tc>
      </w:tr>
      <w:tr w:rsidR="00B008AE" w:rsidRPr="005950CC" w14:paraId="317FD049" w14:textId="77777777" w:rsidTr="005950CC">
        <w:tc>
          <w:tcPr>
            <w:tcW w:w="2093" w:type="dxa"/>
          </w:tcPr>
          <w:p w14:paraId="71DDB484" w14:textId="680FE149" w:rsidR="00B008AE" w:rsidRPr="005950CC" w:rsidRDefault="00B008AE" w:rsidP="005950CC">
            <w:pPr>
              <w:pStyle w:val="MDPI42tablebody"/>
              <w:spacing w:line="240" w:lineRule="auto"/>
              <w:jc w:val="left"/>
              <w:rPr>
                <w:sz w:val="18"/>
              </w:rPr>
            </w:pPr>
            <w:r w:rsidRPr="005950CC">
              <w:rPr>
                <w:sz w:val="18"/>
              </w:rPr>
              <w:t>Cyprus</w:t>
            </w:r>
          </w:p>
        </w:tc>
        <w:tc>
          <w:tcPr>
            <w:tcW w:w="2410" w:type="dxa"/>
          </w:tcPr>
          <w:p w14:paraId="61631740" w14:textId="354553CF" w:rsidR="00B008AE" w:rsidRPr="000F2324" w:rsidRDefault="00B008AE" w:rsidP="005950CC">
            <w:pPr>
              <w:pStyle w:val="MDPI42tablebody"/>
              <w:spacing w:line="240" w:lineRule="auto"/>
              <w:rPr>
                <w:sz w:val="18"/>
              </w:rPr>
            </w:pPr>
            <w:r w:rsidRPr="000F2324">
              <w:rPr>
                <w:sz w:val="18"/>
              </w:rPr>
              <w:t>CY</w:t>
            </w:r>
          </w:p>
        </w:tc>
      </w:tr>
      <w:tr w:rsidR="00B008AE" w:rsidRPr="005950CC" w14:paraId="28C4BB68" w14:textId="77777777" w:rsidTr="005950CC">
        <w:tc>
          <w:tcPr>
            <w:tcW w:w="2093" w:type="dxa"/>
          </w:tcPr>
          <w:p w14:paraId="0F6658CA" w14:textId="4442A867" w:rsidR="00B008AE" w:rsidRPr="005950CC" w:rsidRDefault="00B008AE" w:rsidP="005950CC">
            <w:pPr>
              <w:pStyle w:val="MDPI42tablebody"/>
              <w:spacing w:line="240" w:lineRule="auto"/>
              <w:jc w:val="left"/>
              <w:rPr>
                <w:sz w:val="18"/>
              </w:rPr>
            </w:pPr>
            <w:r w:rsidRPr="005950CC">
              <w:rPr>
                <w:sz w:val="18"/>
              </w:rPr>
              <w:t>Czech Republic</w:t>
            </w:r>
          </w:p>
        </w:tc>
        <w:tc>
          <w:tcPr>
            <w:tcW w:w="2410" w:type="dxa"/>
          </w:tcPr>
          <w:p w14:paraId="6468EFCF" w14:textId="3FACF64E" w:rsidR="00B008AE" w:rsidRPr="000F2324" w:rsidRDefault="00B008AE" w:rsidP="005950CC">
            <w:pPr>
              <w:pStyle w:val="MDPI42tablebody"/>
              <w:spacing w:line="240" w:lineRule="auto"/>
              <w:rPr>
                <w:sz w:val="18"/>
              </w:rPr>
            </w:pPr>
            <w:r w:rsidRPr="000F2324">
              <w:rPr>
                <w:sz w:val="18"/>
              </w:rPr>
              <w:t>CZ</w:t>
            </w:r>
          </w:p>
        </w:tc>
      </w:tr>
      <w:tr w:rsidR="00B008AE" w:rsidRPr="005950CC" w14:paraId="1F9DAF25" w14:textId="77777777" w:rsidTr="005950CC">
        <w:tc>
          <w:tcPr>
            <w:tcW w:w="2093" w:type="dxa"/>
          </w:tcPr>
          <w:p w14:paraId="1E564B24" w14:textId="4C434D10" w:rsidR="00B008AE" w:rsidRPr="005950CC" w:rsidRDefault="00B008AE" w:rsidP="005950CC">
            <w:pPr>
              <w:pStyle w:val="MDPI42tablebody"/>
              <w:spacing w:line="240" w:lineRule="auto"/>
              <w:jc w:val="left"/>
              <w:rPr>
                <w:sz w:val="18"/>
              </w:rPr>
            </w:pPr>
            <w:r w:rsidRPr="005950CC">
              <w:rPr>
                <w:sz w:val="18"/>
              </w:rPr>
              <w:t>Denmark</w:t>
            </w:r>
          </w:p>
        </w:tc>
        <w:tc>
          <w:tcPr>
            <w:tcW w:w="2410" w:type="dxa"/>
          </w:tcPr>
          <w:p w14:paraId="6F8D6D0E" w14:textId="6971DA76" w:rsidR="00B008AE" w:rsidRPr="000F2324" w:rsidRDefault="00B008AE" w:rsidP="005950CC">
            <w:pPr>
              <w:pStyle w:val="MDPI42tablebody"/>
              <w:spacing w:line="240" w:lineRule="auto"/>
              <w:rPr>
                <w:sz w:val="18"/>
              </w:rPr>
            </w:pPr>
            <w:r w:rsidRPr="000F2324">
              <w:rPr>
                <w:sz w:val="18"/>
              </w:rPr>
              <w:t>DK</w:t>
            </w:r>
          </w:p>
        </w:tc>
      </w:tr>
      <w:tr w:rsidR="00B008AE" w:rsidRPr="005950CC" w14:paraId="764AC86B" w14:textId="77777777" w:rsidTr="005950CC">
        <w:tc>
          <w:tcPr>
            <w:tcW w:w="2093" w:type="dxa"/>
          </w:tcPr>
          <w:p w14:paraId="7F54D80F" w14:textId="4CF029E4" w:rsidR="00B008AE" w:rsidRPr="005950CC" w:rsidRDefault="00B008AE" w:rsidP="005950CC">
            <w:pPr>
              <w:pStyle w:val="MDPI42tablebody"/>
              <w:spacing w:line="240" w:lineRule="auto"/>
              <w:jc w:val="left"/>
              <w:rPr>
                <w:sz w:val="18"/>
              </w:rPr>
            </w:pPr>
            <w:r w:rsidRPr="005950CC">
              <w:rPr>
                <w:sz w:val="18"/>
              </w:rPr>
              <w:t>Estonia</w:t>
            </w:r>
          </w:p>
        </w:tc>
        <w:tc>
          <w:tcPr>
            <w:tcW w:w="2410" w:type="dxa"/>
          </w:tcPr>
          <w:p w14:paraId="74F1AB6F" w14:textId="4FD6CFAF" w:rsidR="00B008AE" w:rsidRPr="000F2324" w:rsidRDefault="00B008AE" w:rsidP="005950CC">
            <w:pPr>
              <w:pStyle w:val="MDPI42tablebody"/>
              <w:spacing w:line="240" w:lineRule="auto"/>
              <w:rPr>
                <w:sz w:val="18"/>
              </w:rPr>
            </w:pPr>
            <w:r w:rsidRPr="000F2324">
              <w:rPr>
                <w:sz w:val="18"/>
              </w:rPr>
              <w:t>EE</w:t>
            </w:r>
          </w:p>
        </w:tc>
      </w:tr>
      <w:tr w:rsidR="00B008AE" w:rsidRPr="005950CC" w14:paraId="261F75F4" w14:textId="77777777" w:rsidTr="005950CC">
        <w:tc>
          <w:tcPr>
            <w:tcW w:w="2093" w:type="dxa"/>
          </w:tcPr>
          <w:p w14:paraId="00CF97A8" w14:textId="3483E9D1" w:rsidR="00B008AE" w:rsidRPr="005950CC" w:rsidRDefault="00B008AE" w:rsidP="005950CC">
            <w:pPr>
              <w:pStyle w:val="MDPI42tablebody"/>
              <w:spacing w:line="240" w:lineRule="auto"/>
              <w:jc w:val="left"/>
              <w:rPr>
                <w:sz w:val="18"/>
              </w:rPr>
            </w:pPr>
            <w:r w:rsidRPr="005950CC">
              <w:rPr>
                <w:sz w:val="18"/>
              </w:rPr>
              <w:t>Finland</w:t>
            </w:r>
          </w:p>
        </w:tc>
        <w:tc>
          <w:tcPr>
            <w:tcW w:w="2410" w:type="dxa"/>
          </w:tcPr>
          <w:p w14:paraId="36F9BEF4" w14:textId="7EEA5F36" w:rsidR="00B008AE" w:rsidRPr="000F2324" w:rsidRDefault="00B008AE" w:rsidP="005950CC">
            <w:pPr>
              <w:pStyle w:val="MDPI42tablebody"/>
              <w:spacing w:line="240" w:lineRule="auto"/>
              <w:rPr>
                <w:sz w:val="18"/>
              </w:rPr>
            </w:pPr>
            <w:r w:rsidRPr="000F2324">
              <w:rPr>
                <w:sz w:val="18"/>
              </w:rPr>
              <w:t>FI</w:t>
            </w:r>
          </w:p>
        </w:tc>
      </w:tr>
      <w:tr w:rsidR="00B008AE" w:rsidRPr="005950CC" w14:paraId="76E3AE13" w14:textId="77777777" w:rsidTr="005950CC">
        <w:tc>
          <w:tcPr>
            <w:tcW w:w="2093" w:type="dxa"/>
          </w:tcPr>
          <w:p w14:paraId="1FFCD262" w14:textId="43ADD689" w:rsidR="00B008AE" w:rsidRPr="005950CC" w:rsidRDefault="00B008AE" w:rsidP="005950CC">
            <w:pPr>
              <w:pStyle w:val="MDPI42tablebody"/>
              <w:spacing w:line="240" w:lineRule="auto"/>
              <w:jc w:val="left"/>
              <w:rPr>
                <w:sz w:val="18"/>
              </w:rPr>
            </w:pPr>
            <w:r w:rsidRPr="005950CC">
              <w:rPr>
                <w:sz w:val="18"/>
              </w:rPr>
              <w:t>France</w:t>
            </w:r>
          </w:p>
        </w:tc>
        <w:tc>
          <w:tcPr>
            <w:tcW w:w="2410" w:type="dxa"/>
          </w:tcPr>
          <w:p w14:paraId="411FAAAE" w14:textId="00539761" w:rsidR="00B008AE" w:rsidRPr="000F2324" w:rsidRDefault="00B008AE" w:rsidP="005950CC">
            <w:pPr>
              <w:pStyle w:val="MDPI42tablebody"/>
              <w:spacing w:line="240" w:lineRule="auto"/>
              <w:rPr>
                <w:sz w:val="18"/>
              </w:rPr>
            </w:pPr>
            <w:r w:rsidRPr="000F2324">
              <w:rPr>
                <w:sz w:val="18"/>
              </w:rPr>
              <w:t>FR</w:t>
            </w:r>
          </w:p>
        </w:tc>
      </w:tr>
      <w:tr w:rsidR="00B008AE" w:rsidRPr="005950CC" w14:paraId="423B9C17" w14:textId="77777777" w:rsidTr="005950CC">
        <w:tc>
          <w:tcPr>
            <w:tcW w:w="2093" w:type="dxa"/>
          </w:tcPr>
          <w:p w14:paraId="1799F914" w14:textId="7F0C16EA" w:rsidR="00B008AE" w:rsidRPr="005950CC" w:rsidRDefault="00B008AE" w:rsidP="005950CC">
            <w:pPr>
              <w:pStyle w:val="MDPI42tablebody"/>
              <w:spacing w:line="240" w:lineRule="auto"/>
              <w:jc w:val="left"/>
              <w:rPr>
                <w:sz w:val="18"/>
              </w:rPr>
            </w:pPr>
            <w:r w:rsidRPr="005950CC">
              <w:rPr>
                <w:sz w:val="18"/>
              </w:rPr>
              <w:t>Germany</w:t>
            </w:r>
          </w:p>
        </w:tc>
        <w:tc>
          <w:tcPr>
            <w:tcW w:w="2410" w:type="dxa"/>
          </w:tcPr>
          <w:p w14:paraId="08F53695" w14:textId="21E301FD" w:rsidR="00B008AE" w:rsidRPr="000F2324" w:rsidRDefault="00B008AE" w:rsidP="005950CC">
            <w:pPr>
              <w:pStyle w:val="MDPI42tablebody"/>
              <w:spacing w:line="240" w:lineRule="auto"/>
              <w:rPr>
                <w:sz w:val="18"/>
              </w:rPr>
            </w:pPr>
            <w:r w:rsidRPr="000F2324">
              <w:rPr>
                <w:sz w:val="18"/>
              </w:rPr>
              <w:t>DE</w:t>
            </w:r>
          </w:p>
        </w:tc>
      </w:tr>
      <w:tr w:rsidR="00B008AE" w:rsidRPr="005950CC" w14:paraId="5A9DC5E0" w14:textId="77777777" w:rsidTr="005950CC">
        <w:tc>
          <w:tcPr>
            <w:tcW w:w="2093" w:type="dxa"/>
          </w:tcPr>
          <w:p w14:paraId="03DFED69" w14:textId="0DD80459" w:rsidR="00B008AE" w:rsidRPr="005950CC" w:rsidRDefault="00B008AE" w:rsidP="005950CC">
            <w:pPr>
              <w:pStyle w:val="MDPI42tablebody"/>
              <w:spacing w:line="240" w:lineRule="auto"/>
              <w:jc w:val="left"/>
              <w:rPr>
                <w:sz w:val="18"/>
              </w:rPr>
            </w:pPr>
            <w:r w:rsidRPr="005950CC">
              <w:rPr>
                <w:sz w:val="18"/>
              </w:rPr>
              <w:t>Greece</w:t>
            </w:r>
          </w:p>
        </w:tc>
        <w:tc>
          <w:tcPr>
            <w:tcW w:w="2410" w:type="dxa"/>
          </w:tcPr>
          <w:p w14:paraId="40A37A76" w14:textId="1CCFFEA9" w:rsidR="00B008AE" w:rsidRPr="000F2324" w:rsidRDefault="00B008AE" w:rsidP="005950CC">
            <w:pPr>
              <w:pStyle w:val="MDPI42tablebody"/>
              <w:spacing w:line="240" w:lineRule="auto"/>
              <w:rPr>
                <w:sz w:val="18"/>
              </w:rPr>
            </w:pPr>
            <w:r w:rsidRPr="000F2324">
              <w:rPr>
                <w:sz w:val="18"/>
              </w:rPr>
              <w:t>GR</w:t>
            </w:r>
          </w:p>
        </w:tc>
      </w:tr>
      <w:tr w:rsidR="00B008AE" w:rsidRPr="005950CC" w14:paraId="186FD0D8" w14:textId="77777777" w:rsidTr="005950CC">
        <w:tc>
          <w:tcPr>
            <w:tcW w:w="2093" w:type="dxa"/>
          </w:tcPr>
          <w:p w14:paraId="71BD0760" w14:textId="332B8F31" w:rsidR="00B008AE" w:rsidRPr="005950CC" w:rsidRDefault="00B008AE" w:rsidP="005950CC">
            <w:pPr>
              <w:pStyle w:val="MDPI42tablebody"/>
              <w:spacing w:line="240" w:lineRule="auto"/>
              <w:jc w:val="left"/>
              <w:rPr>
                <w:sz w:val="18"/>
              </w:rPr>
            </w:pPr>
            <w:r w:rsidRPr="005950CC">
              <w:rPr>
                <w:sz w:val="18"/>
              </w:rPr>
              <w:t>Hungary</w:t>
            </w:r>
          </w:p>
        </w:tc>
        <w:tc>
          <w:tcPr>
            <w:tcW w:w="2410" w:type="dxa"/>
          </w:tcPr>
          <w:p w14:paraId="7BD0E861" w14:textId="726960A6" w:rsidR="00B008AE" w:rsidRPr="000F2324" w:rsidRDefault="00B008AE" w:rsidP="005950CC">
            <w:pPr>
              <w:pStyle w:val="MDPI42tablebody"/>
              <w:spacing w:line="240" w:lineRule="auto"/>
              <w:rPr>
                <w:sz w:val="18"/>
              </w:rPr>
            </w:pPr>
            <w:r w:rsidRPr="000F2324">
              <w:rPr>
                <w:sz w:val="18"/>
              </w:rPr>
              <w:t>HU</w:t>
            </w:r>
          </w:p>
        </w:tc>
      </w:tr>
      <w:tr w:rsidR="00B008AE" w:rsidRPr="005950CC" w14:paraId="6C038313" w14:textId="77777777" w:rsidTr="005950CC">
        <w:tc>
          <w:tcPr>
            <w:tcW w:w="2093" w:type="dxa"/>
          </w:tcPr>
          <w:p w14:paraId="14ABAED6" w14:textId="292121DF" w:rsidR="00B008AE" w:rsidRPr="005950CC" w:rsidRDefault="00B008AE" w:rsidP="005950CC">
            <w:pPr>
              <w:pStyle w:val="MDPI42tablebody"/>
              <w:spacing w:line="240" w:lineRule="auto"/>
              <w:jc w:val="left"/>
              <w:rPr>
                <w:sz w:val="18"/>
              </w:rPr>
            </w:pPr>
            <w:r w:rsidRPr="005950CC">
              <w:rPr>
                <w:sz w:val="18"/>
              </w:rPr>
              <w:t>Ireland</w:t>
            </w:r>
          </w:p>
        </w:tc>
        <w:tc>
          <w:tcPr>
            <w:tcW w:w="2410" w:type="dxa"/>
          </w:tcPr>
          <w:p w14:paraId="195EFC58" w14:textId="4FADB68A" w:rsidR="00B008AE" w:rsidRPr="000F2324" w:rsidRDefault="00B008AE" w:rsidP="005950CC">
            <w:pPr>
              <w:pStyle w:val="MDPI42tablebody"/>
              <w:spacing w:line="240" w:lineRule="auto"/>
              <w:rPr>
                <w:sz w:val="18"/>
              </w:rPr>
            </w:pPr>
            <w:r w:rsidRPr="000F2324">
              <w:rPr>
                <w:sz w:val="18"/>
              </w:rPr>
              <w:t>IE</w:t>
            </w:r>
          </w:p>
        </w:tc>
      </w:tr>
      <w:tr w:rsidR="00B008AE" w:rsidRPr="005950CC" w14:paraId="345F8DF4" w14:textId="77777777" w:rsidTr="005950CC">
        <w:tc>
          <w:tcPr>
            <w:tcW w:w="2093" w:type="dxa"/>
          </w:tcPr>
          <w:p w14:paraId="5DC85833" w14:textId="771D1E08" w:rsidR="00B008AE" w:rsidRPr="005950CC" w:rsidRDefault="00B008AE" w:rsidP="005950CC">
            <w:pPr>
              <w:pStyle w:val="MDPI42tablebody"/>
              <w:spacing w:line="240" w:lineRule="auto"/>
              <w:jc w:val="left"/>
              <w:rPr>
                <w:sz w:val="18"/>
              </w:rPr>
            </w:pPr>
            <w:r w:rsidRPr="005950CC">
              <w:rPr>
                <w:sz w:val="18"/>
              </w:rPr>
              <w:t>Italy</w:t>
            </w:r>
          </w:p>
        </w:tc>
        <w:tc>
          <w:tcPr>
            <w:tcW w:w="2410" w:type="dxa"/>
          </w:tcPr>
          <w:p w14:paraId="69EC96BC" w14:textId="5640BE3F" w:rsidR="00B008AE" w:rsidRPr="000F2324" w:rsidRDefault="00B008AE" w:rsidP="005950CC">
            <w:pPr>
              <w:pStyle w:val="MDPI42tablebody"/>
              <w:spacing w:line="240" w:lineRule="auto"/>
              <w:rPr>
                <w:sz w:val="18"/>
              </w:rPr>
            </w:pPr>
            <w:r w:rsidRPr="000F2324">
              <w:rPr>
                <w:sz w:val="18"/>
              </w:rPr>
              <w:t>IT</w:t>
            </w:r>
          </w:p>
        </w:tc>
      </w:tr>
      <w:tr w:rsidR="00B008AE" w:rsidRPr="005950CC" w14:paraId="382C32D9" w14:textId="77777777" w:rsidTr="005950CC">
        <w:tc>
          <w:tcPr>
            <w:tcW w:w="2093" w:type="dxa"/>
          </w:tcPr>
          <w:p w14:paraId="50D59372" w14:textId="331617B0" w:rsidR="00B008AE" w:rsidRPr="005950CC" w:rsidRDefault="00B008AE" w:rsidP="005950CC">
            <w:pPr>
              <w:pStyle w:val="MDPI42tablebody"/>
              <w:spacing w:line="240" w:lineRule="auto"/>
              <w:jc w:val="left"/>
              <w:rPr>
                <w:sz w:val="18"/>
              </w:rPr>
            </w:pPr>
            <w:r w:rsidRPr="005950CC">
              <w:rPr>
                <w:sz w:val="18"/>
              </w:rPr>
              <w:t>Latvia</w:t>
            </w:r>
          </w:p>
        </w:tc>
        <w:tc>
          <w:tcPr>
            <w:tcW w:w="2410" w:type="dxa"/>
          </w:tcPr>
          <w:p w14:paraId="2C865308" w14:textId="0CCF693B" w:rsidR="00B008AE" w:rsidRPr="000F2324" w:rsidRDefault="00B008AE" w:rsidP="005950CC">
            <w:pPr>
              <w:pStyle w:val="MDPI42tablebody"/>
              <w:spacing w:line="240" w:lineRule="auto"/>
              <w:rPr>
                <w:sz w:val="18"/>
              </w:rPr>
            </w:pPr>
            <w:r w:rsidRPr="000F2324">
              <w:rPr>
                <w:sz w:val="18"/>
              </w:rPr>
              <w:t>LV</w:t>
            </w:r>
          </w:p>
        </w:tc>
      </w:tr>
      <w:tr w:rsidR="00B008AE" w:rsidRPr="005950CC" w14:paraId="1A4EFDF4" w14:textId="77777777" w:rsidTr="005950CC">
        <w:tc>
          <w:tcPr>
            <w:tcW w:w="2093" w:type="dxa"/>
          </w:tcPr>
          <w:p w14:paraId="6A50B3E5" w14:textId="71977B4C" w:rsidR="00B008AE" w:rsidRPr="005950CC" w:rsidRDefault="00B008AE" w:rsidP="005950CC">
            <w:pPr>
              <w:pStyle w:val="MDPI42tablebody"/>
              <w:spacing w:line="240" w:lineRule="auto"/>
              <w:jc w:val="left"/>
              <w:rPr>
                <w:sz w:val="18"/>
              </w:rPr>
            </w:pPr>
            <w:r w:rsidRPr="005950CC">
              <w:rPr>
                <w:sz w:val="18"/>
              </w:rPr>
              <w:t>Lithuania</w:t>
            </w:r>
          </w:p>
        </w:tc>
        <w:tc>
          <w:tcPr>
            <w:tcW w:w="2410" w:type="dxa"/>
          </w:tcPr>
          <w:p w14:paraId="35124E34" w14:textId="0C04B6F5" w:rsidR="00B008AE" w:rsidRPr="000F2324" w:rsidRDefault="00B008AE" w:rsidP="005950CC">
            <w:pPr>
              <w:pStyle w:val="MDPI42tablebody"/>
              <w:spacing w:line="240" w:lineRule="auto"/>
              <w:rPr>
                <w:sz w:val="18"/>
              </w:rPr>
            </w:pPr>
            <w:r w:rsidRPr="000F2324">
              <w:rPr>
                <w:sz w:val="18"/>
              </w:rPr>
              <w:t>LT</w:t>
            </w:r>
          </w:p>
        </w:tc>
      </w:tr>
      <w:tr w:rsidR="00B008AE" w:rsidRPr="005950CC" w14:paraId="078CB1FA" w14:textId="77777777" w:rsidTr="005950CC">
        <w:tc>
          <w:tcPr>
            <w:tcW w:w="2093" w:type="dxa"/>
          </w:tcPr>
          <w:p w14:paraId="6371440B" w14:textId="5B6213EF" w:rsidR="00B008AE" w:rsidRPr="005950CC" w:rsidRDefault="00B008AE" w:rsidP="005950CC">
            <w:pPr>
              <w:pStyle w:val="MDPI42tablebody"/>
              <w:spacing w:line="240" w:lineRule="auto"/>
              <w:jc w:val="left"/>
              <w:rPr>
                <w:sz w:val="18"/>
              </w:rPr>
            </w:pPr>
            <w:r w:rsidRPr="005950CC">
              <w:rPr>
                <w:sz w:val="18"/>
              </w:rPr>
              <w:t>Luxembourg</w:t>
            </w:r>
          </w:p>
        </w:tc>
        <w:tc>
          <w:tcPr>
            <w:tcW w:w="2410" w:type="dxa"/>
          </w:tcPr>
          <w:p w14:paraId="0B4C4200" w14:textId="2BEB8329" w:rsidR="00B008AE" w:rsidRPr="000F2324" w:rsidRDefault="00B008AE" w:rsidP="005950CC">
            <w:pPr>
              <w:pStyle w:val="MDPI42tablebody"/>
              <w:spacing w:line="240" w:lineRule="auto"/>
              <w:rPr>
                <w:sz w:val="18"/>
              </w:rPr>
            </w:pPr>
            <w:r w:rsidRPr="000F2324">
              <w:rPr>
                <w:sz w:val="18"/>
              </w:rPr>
              <w:t>LU</w:t>
            </w:r>
          </w:p>
        </w:tc>
      </w:tr>
      <w:tr w:rsidR="00B008AE" w:rsidRPr="005950CC" w14:paraId="5CE4BB26" w14:textId="77777777" w:rsidTr="005950CC">
        <w:tc>
          <w:tcPr>
            <w:tcW w:w="2093" w:type="dxa"/>
          </w:tcPr>
          <w:p w14:paraId="3B946B3C" w14:textId="5CA3A571" w:rsidR="00B008AE" w:rsidRPr="005950CC" w:rsidRDefault="00B008AE" w:rsidP="005950CC">
            <w:pPr>
              <w:pStyle w:val="MDPI42tablebody"/>
              <w:spacing w:line="240" w:lineRule="auto"/>
              <w:jc w:val="left"/>
              <w:rPr>
                <w:sz w:val="18"/>
              </w:rPr>
            </w:pPr>
            <w:r w:rsidRPr="005950CC">
              <w:rPr>
                <w:sz w:val="18"/>
              </w:rPr>
              <w:t>Macedonia</w:t>
            </w:r>
          </w:p>
        </w:tc>
        <w:tc>
          <w:tcPr>
            <w:tcW w:w="2410" w:type="dxa"/>
          </w:tcPr>
          <w:p w14:paraId="47E2A51A" w14:textId="0513918B" w:rsidR="00B008AE" w:rsidRPr="000F2324" w:rsidRDefault="00B008AE" w:rsidP="005950CC">
            <w:pPr>
              <w:pStyle w:val="MDPI42tablebody"/>
              <w:spacing w:line="240" w:lineRule="auto"/>
              <w:rPr>
                <w:sz w:val="18"/>
              </w:rPr>
            </w:pPr>
            <w:r w:rsidRPr="000F2324">
              <w:rPr>
                <w:sz w:val="18"/>
              </w:rPr>
              <w:t>MK</w:t>
            </w:r>
          </w:p>
        </w:tc>
      </w:tr>
      <w:tr w:rsidR="00B008AE" w:rsidRPr="005950CC" w14:paraId="66C2226D" w14:textId="77777777" w:rsidTr="005950CC">
        <w:tc>
          <w:tcPr>
            <w:tcW w:w="2093" w:type="dxa"/>
          </w:tcPr>
          <w:p w14:paraId="4DEC7F70" w14:textId="0D0ED64B" w:rsidR="00B008AE" w:rsidRPr="005950CC" w:rsidRDefault="00B008AE" w:rsidP="005950CC">
            <w:pPr>
              <w:pStyle w:val="MDPI42tablebody"/>
              <w:spacing w:line="240" w:lineRule="auto"/>
              <w:jc w:val="left"/>
              <w:rPr>
                <w:sz w:val="18"/>
              </w:rPr>
            </w:pPr>
            <w:r w:rsidRPr="005950CC">
              <w:rPr>
                <w:sz w:val="18"/>
              </w:rPr>
              <w:t>Malta</w:t>
            </w:r>
          </w:p>
        </w:tc>
        <w:tc>
          <w:tcPr>
            <w:tcW w:w="2410" w:type="dxa"/>
          </w:tcPr>
          <w:p w14:paraId="04E1D557" w14:textId="5AC32636" w:rsidR="00B008AE" w:rsidRPr="000F2324" w:rsidRDefault="00B008AE" w:rsidP="005950CC">
            <w:pPr>
              <w:pStyle w:val="MDPI42tablebody"/>
              <w:spacing w:line="240" w:lineRule="auto"/>
              <w:rPr>
                <w:sz w:val="18"/>
              </w:rPr>
            </w:pPr>
            <w:r w:rsidRPr="000F2324">
              <w:rPr>
                <w:sz w:val="18"/>
              </w:rPr>
              <w:t>MT</w:t>
            </w:r>
          </w:p>
        </w:tc>
      </w:tr>
      <w:tr w:rsidR="00B008AE" w:rsidRPr="005950CC" w14:paraId="061165C6" w14:textId="77777777" w:rsidTr="005950CC">
        <w:tc>
          <w:tcPr>
            <w:tcW w:w="2093" w:type="dxa"/>
          </w:tcPr>
          <w:p w14:paraId="40AF95CD" w14:textId="0D3FA07D" w:rsidR="00B008AE" w:rsidRPr="005950CC" w:rsidRDefault="00B008AE" w:rsidP="005950CC">
            <w:pPr>
              <w:pStyle w:val="MDPI42tablebody"/>
              <w:spacing w:line="240" w:lineRule="auto"/>
              <w:jc w:val="left"/>
              <w:rPr>
                <w:sz w:val="18"/>
              </w:rPr>
            </w:pPr>
            <w:r w:rsidRPr="005950CC">
              <w:rPr>
                <w:sz w:val="18"/>
              </w:rPr>
              <w:lastRenderedPageBreak/>
              <w:t>Montenegro</w:t>
            </w:r>
          </w:p>
        </w:tc>
        <w:tc>
          <w:tcPr>
            <w:tcW w:w="2410" w:type="dxa"/>
          </w:tcPr>
          <w:p w14:paraId="2B12AA06" w14:textId="3DCC7CEB" w:rsidR="00B008AE" w:rsidRPr="000F2324" w:rsidRDefault="00B008AE" w:rsidP="005950CC">
            <w:pPr>
              <w:pStyle w:val="MDPI42tablebody"/>
              <w:spacing w:line="240" w:lineRule="auto"/>
              <w:rPr>
                <w:sz w:val="18"/>
              </w:rPr>
            </w:pPr>
            <w:r w:rsidRPr="000F2324">
              <w:rPr>
                <w:sz w:val="18"/>
              </w:rPr>
              <w:t>ME</w:t>
            </w:r>
          </w:p>
        </w:tc>
      </w:tr>
      <w:tr w:rsidR="00B008AE" w:rsidRPr="005950CC" w14:paraId="2CD59142" w14:textId="77777777" w:rsidTr="005950CC">
        <w:tc>
          <w:tcPr>
            <w:tcW w:w="2093" w:type="dxa"/>
          </w:tcPr>
          <w:p w14:paraId="647A1C3E" w14:textId="5CFC9973" w:rsidR="00B008AE" w:rsidRPr="005950CC" w:rsidRDefault="00B008AE" w:rsidP="005950CC">
            <w:pPr>
              <w:pStyle w:val="MDPI42tablebody"/>
              <w:spacing w:line="240" w:lineRule="auto"/>
              <w:jc w:val="left"/>
              <w:rPr>
                <w:sz w:val="18"/>
              </w:rPr>
            </w:pPr>
            <w:r w:rsidRPr="005950CC">
              <w:rPr>
                <w:sz w:val="18"/>
              </w:rPr>
              <w:t>Netherlands</w:t>
            </w:r>
          </w:p>
        </w:tc>
        <w:tc>
          <w:tcPr>
            <w:tcW w:w="2410" w:type="dxa"/>
          </w:tcPr>
          <w:p w14:paraId="3B9A6305" w14:textId="0B9DBF9C" w:rsidR="00B008AE" w:rsidRPr="000F2324" w:rsidRDefault="00B008AE" w:rsidP="005950CC">
            <w:pPr>
              <w:pStyle w:val="MDPI42tablebody"/>
              <w:spacing w:line="240" w:lineRule="auto"/>
              <w:rPr>
                <w:sz w:val="18"/>
              </w:rPr>
            </w:pPr>
            <w:r w:rsidRPr="000F2324">
              <w:rPr>
                <w:sz w:val="18"/>
              </w:rPr>
              <w:t>NL</w:t>
            </w:r>
          </w:p>
        </w:tc>
      </w:tr>
      <w:tr w:rsidR="00B008AE" w:rsidRPr="005950CC" w14:paraId="4436D081" w14:textId="77777777" w:rsidTr="005950CC">
        <w:tc>
          <w:tcPr>
            <w:tcW w:w="2093" w:type="dxa"/>
          </w:tcPr>
          <w:p w14:paraId="18324DAC" w14:textId="6197B9E6" w:rsidR="00B008AE" w:rsidRPr="005950CC" w:rsidRDefault="00B008AE" w:rsidP="005950CC">
            <w:pPr>
              <w:pStyle w:val="MDPI42tablebody"/>
              <w:spacing w:line="240" w:lineRule="auto"/>
              <w:jc w:val="left"/>
              <w:rPr>
                <w:sz w:val="18"/>
              </w:rPr>
            </w:pPr>
            <w:r w:rsidRPr="005950CC">
              <w:rPr>
                <w:sz w:val="18"/>
              </w:rPr>
              <w:t>Poland</w:t>
            </w:r>
          </w:p>
        </w:tc>
        <w:tc>
          <w:tcPr>
            <w:tcW w:w="2410" w:type="dxa"/>
          </w:tcPr>
          <w:p w14:paraId="5CDA77E7" w14:textId="68E11484" w:rsidR="00B008AE" w:rsidRPr="000F2324" w:rsidRDefault="00B008AE" w:rsidP="005950CC">
            <w:pPr>
              <w:pStyle w:val="MDPI42tablebody"/>
              <w:spacing w:line="240" w:lineRule="auto"/>
              <w:rPr>
                <w:sz w:val="18"/>
              </w:rPr>
            </w:pPr>
            <w:r w:rsidRPr="000F2324">
              <w:rPr>
                <w:sz w:val="18"/>
              </w:rPr>
              <w:t>PL</w:t>
            </w:r>
          </w:p>
        </w:tc>
      </w:tr>
      <w:tr w:rsidR="00B008AE" w:rsidRPr="005950CC" w14:paraId="7224A9E2" w14:textId="77777777" w:rsidTr="005950CC">
        <w:tc>
          <w:tcPr>
            <w:tcW w:w="2093" w:type="dxa"/>
          </w:tcPr>
          <w:p w14:paraId="05E9BACF" w14:textId="14C3A6B1" w:rsidR="00B008AE" w:rsidRPr="005950CC" w:rsidRDefault="00B008AE" w:rsidP="005950CC">
            <w:pPr>
              <w:pStyle w:val="MDPI42tablebody"/>
              <w:spacing w:line="240" w:lineRule="auto"/>
              <w:jc w:val="left"/>
              <w:rPr>
                <w:sz w:val="18"/>
              </w:rPr>
            </w:pPr>
            <w:r w:rsidRPr="005950CC">
              <w:rPr>
                <w:sz w:val="18"/>
              </w:rPr>
              <w:t>Portugal</w:t>
            </w:r>
          </w:p>
        </w:tc>
        <w:tc>
          <w:tcPr>
            <w:tcW w:w="2410" w:type="dxa"/>
          </w:tcPr>
          <w:p w14:paraId="72B057C9" w14:textId="1DDD014B" w:rsidR="00B008AE" w:rsidRPr="000F2324" w:rsidRDefault="00B008AE" w:rsidP="005950CC">
            <w:pPr>
              <w:pStyle w:val="MDPI42tablebody"/>
              <w:spacing w:line="240" w:lineRule="auto"/>
              <w:rPr>
                <w:sz w:val="18"/>
              </w:rPr>
            </w:pPr>
            <w:r w:rsidRPr="000F2324">
              <w:rPr>
                <w:sz w:val="18"/>
              </w:rPr>
              <w:t>PT</w:t>
            </w:r>
          </w:p>
        </w:tc>
      </w:tr>
      <w:tr w:rsidR="00B008AE" w:rsidRPr="005950CC" w14:paraId="70B465BD" w14:textId="77777777" w:rsidTr="005950CC">
        <w:tc>
          <w:tcPr>
            <w:tcW w:w="2093" w:type="dxa"/>
          </w:tcPr>
          <w:p w14:paraId="0AA96446" w14:textId="30DE8AA0" w:rsidR="00B008AE" w:rsidRPr="005950CC" w:rsidRDefault="00B008AE" w:rsidP="005950CC">
            <w:pPr>
              <w:pStyle w:val="MDPI42tablebody"/>
              <w:spacing w:line="240" w:lineRule="auto"/>
              <w:jc w:val="left"/>
              <w:rPr>
                <w:sz w:val="18"/>
              </w:rPr>
            </w:pPr>
            <w:r w:rsidRPr="005950CC">
              <w:rPr>
                <w:sz w:val="18"/>
              </w:rPr>
              <w:t>Romania</w:t>
            </w:r>
          </w:p>
        </w:tc>
        <w:tc>
          <w:tcPr>
            <w:tcW w:w="2410" w:type="dxa"/>
          </w:tcPr>
          <w:p w14:paraId="1F7899E3" w14:textId="42875EF5" w:rsidR="00B008AE" w:rsidRPr="000F2324" w:rsidRDefault="00B008AE" w:rsidP="005950CC">
            <w:pPr>
              <w:pStyle w:val="MDPI42tablebody"/>
              <w:spacing w:line="240" w:lineRule="auto"/>
              <w:rPr>
                <w:sz w:val="18"/>
              </w:rPr>
            </w:pPr>
            <w:r w:rsidRPr="000F2324">
              <w:rPr>
                <w:sz w:val="18"/>
              </w:rPr>
              <w:t>RO</w:t>
            </w:r>
          </w:p>
        </w:tc>
      </w:tr>
      <w:tr w:rsidR="00B008AE" w:rsidRPr="005950CC" w14:paraId="6020974B" w14:textId="77777777" w:rsidTr="005950CC">
        <w:tc>
          <w:tcPr>
            <w:tcW w:w="2093" w:type="dxa"/>
          </w:tcPr>
          <w:p w14:paraId="53B0006A" w14:textId="6478EA0C" w:rsidR="00B008AE" w:rsidRPr="005950CC" w:rsidRDefault="00B008AE" w:rsidP="005950CC">
            <w:pPr>
              <w:pStyle w:val="MDPI42tablebody"/>
              <w:spacing w:line="240" w:lineRule="auto"/>
              <w:jc w:val="left"/>
              <w:rPr>
                <w:sz w:val="18"/>
              </w:rPr>
            </w:pPr>
            <w:r w:rsidRPr="005950CC">
              <w:rPr>
                <w:sz w:val="18"/>
              </w:rPr>
              <w:t>Serbia</w:t>
            </w:r>
          </w:p>
        </w:tc>
        <w:tc>
          <w:tcPr>
            <w:tcW w:w="2410" w:type="dxa"/>
          </w:tcPr>
          <w:p w14:paraId="220CCCFC" w14:textId="5E52A622" w:rsidR="00B008AE" w:rsidRPr="000F2324" w:rsidRDefault="00B008AE" w:rsidP="005950CC">
            <w:pPr>
              <w:pStyle w:val="MDPI42tablebody"/>
              <w:spacing w:line="240" w:lineRule="auto"/>
              <w:rPr>
                <w:sz w:val="18"/>
              </w:rPr>
            </w:pPr>
            <w:r w:rsidRPr="000F2324">
              <w:rPr>
                <w:sz w:val="18"/>
              </w:rPr>
              <w:t>RS</w:t>
            </w:r>
          </w:p>
        </w:tc>
      </w:tr>
      <w:tr w:rsidR="00B008AE" w:rsidRPr="005950CC" w14:paraId="5B9CA646" w14:textId="77777777" w:rsidTr="005950CC">
        <w:tc>
          <w:tcPr>
            <w:tcW w:w="2093" w:type="dxa"/>
          </w:tcPr>
          <w:p w14:paraId="5D58F77A" w14:textId="0DB7CAF8" w:rsidR="00B008AE" w:rsidRPr="005950CC" w:rsidRDefault="00B008AE" w:rsidP="005950CC">
            <w:pPr>
              <w:pStyle w:val="MDPI42tablebody"/>
              <w:spacing w:line="240" w:lineRule="auto"/>
              <w:jc w:val="left"/>
              <w:rPr>
                <w:sz w:val="18"/>
              </w:rPr>
            </w:pPr>
            <w:r w:rsidRPr="005950CC">
              <w:rPr>
                <w:sz w:val="18"/>
              </w:rPr>
              <w:t>Slovakia</w:t>
            </w:r>
          </w:p>
        </w:tc>
        <w:tc>
          <w:tcPr>
            <w:tcW w:w="2410" w:type="dxa"/>
          </w:tcPr>
          <w:p w14:paraId="391AFE5A" w14:textId="23BC4AFB" w:rsidR="00B008AE" w:rsidRPr="000F2324" w:rsidRDefault="00B008AE" w:rsidP="005950CC">
            <w:pPr>
              <w:pStyle w:val="MDPI42tablebody"/>
              <w:spacing w:line="240" w:lineRule="auto"/>
              <w:rPr>
                <w:sz w:val="18"/>
              </w:rPr>
            </w:pPr>
            <w:r w:rsidRPr="000F2324">
              <w:rPr>
                <w:sz w:val="18"/>
              </w:rPr>
              <w:t>SK</w:t>
            </w:r>
          </w:p>
        </w:tc>
      </w:tr>
      <w:tr w:rsidR="00B008AE" w:rsidRPr="005950CC" w14:paraId="18330CA3" w14:textId="77777777" w:rsidTr="005950CC">
        <w:tc>
          <w:tcPr>
            <w:tcW w:w="2093" w:type="dxa"/>
          </w:tcPr>
          <w:p w14:paraId="23A3B4A2" w14:textId="5EF24231" w:rsidR="00B008AE" w:rsidRPr="005950CC" w:rsidRDefault="00B008AE" w:rsidP="005950CC">
            <w:pPr>
              <w:pStyle w:val="MDPI42tablebody"/>
              <w:spacing w:line="240" w:lineRule="auto"/>
              <w:jc w:val="left"/>
              <w:rPr>
                <w:sz w:val="18"/>
              </w:rPr>
            </w:pPr>
            <w:r w:rsidRPr="005950CC">
              <w:rPr>
                <w:sz w:val="18"/>
              </w:rPr>
              <w:t>Slovenia</w:t>
            </w:r>
          </w:p>
        </w:tc>
        <w:tc>
          <w:tcPr>
            <w:tcW w:w="2410" w:type="dxa"/>
          </w:tcPr>
          <w:p w14:paraId="5A555F3A" w14:textId="099556DA" w:rsidR="00B008AE" w:rsidRPr="000F2324" w:rsidRDefault="00B008AE" w:rsidP="005950CC">
            <w:pPr>
              <w:pStyle w:val="MDPI42tablebody"/>
              <w:spacing w:line="240" w:lineRule="auto"/>
              <w:rPr>
                <w:sz w:val="18"/>
              </w:rPr>
            </w:pPr>
            <w:r w:rsidRPr="000F2324">
              <w:rPr>
                <w:sz w:val="18"/>
              </w:rPr>
              <w:t>SI</w:t>
            </w:r>
          </w:p>
        </w:tc>
      </w:tr>
      <w:tr w:rsidR="00B008AE" w:rsidRPr="005950CC" w14:paraId="5D0435B4" w14:textId="77777777" w:rsidTr="005950CC">
        <w:tc>
          <w:tcPr>
            <w:tcW w:w="2093" w:type="dxa"/>
          </w:tcPr>
          <w:p w14:paraId="79789783" w14:textId="0EE23130" w:rsidR="00B008AE" w:rsidRPr="005950CC" w:rsidRDefault="00B008AE" w:rsidP="005950CC">
            <w:pPr>
              <w:pStyle w:val="MDPI42tablebody"/>
              <w:spacing w:line="240" w:lineRule="auto"/>
              <w:jc w:val="left"/>
              <w:rPr>
                <w:sz w:val="18"/>
              </w:rPr>
            </w:pPr>
            <w:r w:rsidRPr="005950CC">
              <w:rPr>
                <w:sz w:val="18"/>
              </w:rPr>
              <w:t>Spain</w:t>
            </w:r>
          </w:p>
        </w:tc>
        <w:tc>
          <w:tcPr>
            <w:tcW w:w="2410" w:type="dxa"/>
          </w:tcPr>
          <w:p w14:paraId="225975AD" w14:textId="4131B09A" w:rsidR="00B008AE" w:rsidRPr="000F2324" w:rsidRDefault="00B008AE" w:rsidP="005950CC">
            <w:pPr>
              <w:pStyle w:val="MDPI42tablebody"/>
              <w:spacing w:line="240" w:lineRule="auto"/>
              <w:rPr>
                <w:sz w:val="18"/>
              </w:rPr>
            </w:pPr>
            <w:r w:rsidRPr="000F2324">
              <w:rPr>
                <w:sz w:val="18"/>
              </w:rPr>
              <w:t>ES</w:t>
            </w:r>
          </w:p>
        </w:tc>
      </w:tr>
      <w:tr w:rsidR="00B008AE" w:rsidRPr="005950CC" w14:paraId="3DC8F160" w14:textId="77777777" w:rsidTr="005950CC">
        <w:tc>
          <w:tcPr>
            <w:tcW w:w="2093" w:type="dxa"/>
          </w:tcPr>
          <w:p w14:paraId="058D1BA7" w14:textId="1685BAAF" w:rsidR="00B008AE" w:rsidRPr="005950CC" w:rsidRDefault="00B008AE" w:rsidP="005950CC">
            <w:pPr>
              <w:pStyle w:val="MDPI42tablebody"/>
              <w:spacing w:line="240" w:lineRule="auto"/>
              <w:jc w:val="left"/>
              <w:rPr>
                <w:sz w:val="18"/>
              </w:rPr>
            </w:pPr>
            <w:r w:rsidRPr="005950CC">
              <w:rPr>
                <w:sz w:val="18"/>
              </w:rPr>
              <w:t>Sweden</w:t>
            </w:r>
          </w:p>
        </w:tc>
        <w:tc>
          <w:tcPr>
            <w:tcW w:w="2410" w:type="dxa"/>
          </w:tcPr>
          <w:p w14:paraId="116A804E" w14:textId="2A50E1C2" w:rsidR="00B008AE" w:rsidRPr="000F2324" w:rsidRDefault="00B008AE" w:rsidP="005950CC">
            <w:pPr>
              <w:pStyle w:val="MDPI42tablebody"/>
              <w:spacing w:line="240" w:lineRule="auto"/>
              <w:rPr>
                <w:sz w:val="18"/>
              </w:rPr>
            </w:pPr>
            <w:r w:rsidRPr="000F2324">
              <w:rPr>
                <w:sz w:val="18"/>
              </w:rPr>
              <w:t>SE</w:t>
            </w:r>
          </w:p>
        </w:tc>
      </w:tr>
      <w:tr w:rsidR="00B008AE" w:rsidRPr="005950CC" w14:paraId="5678E35D" w14:textId="77777777" w:rsidTr="005950CC">
        <w:tc>
          <w:tcPr>
            <w:tcW w:w="2093" w:type="dxa"/>
          </w:tcPr>
          <w:p w14:paraId="60E0BCD3" w14:textId="2357808D" w:rsidR="00B008AE" w:rsidRPr="005950CC" w:rsidRDefault="00B008AE" w:rsidP="005950CC">
            <w:pPr>
              <w:pStyle w:val="MDPI42tablebody"/>
              <w:spacing w:line="240" w:lineRule="auto"/>
              <w:jc w:val="left"/>
              <w:rPr>
                <w:sz w:val="18"/>
              </w:rPr>
            </w:pPr>
            <w:r w:rsidRPr="005950CC">
              <w:rPr>
                <w:sz w:val="18"/>
              </w:rPr>
              <w:t>Turkey</w:t>
            </w:r>
          </w:p>
        </w:tc>
        <w:tc>
          <w:tcPr>
            <w:tcW w:w="2410" w:type="dxa"/>
          </w:tcPr>
          <w:p w14:paraId="28B8D966" w14:textId="7BF192D5" w:rsidR="00B008AE" w:rsidRPr="000F2324" w:rsidRDefault="00B008AE" w:rsidP="005950CC">
            <w:pPr>
              <w:pStyle w:val="MDPI42tablebody"/>
              <w:spacing w:line="240" w:lineRule="auto"/>
              <w:rPr>
                <w:sz w:val="18"/>
              </w:rPr>
            </w:pPr>
            <w:r w:rsidRPr="000F2324">
              <w:rPr>
                <w:sz w:val="18"/>
              </w:rPr>
              <w:t>TR</w:t>
            </w:r>
          </w:p>
        </w:tc>
      </w:tr>
      <w:tr w:rsidR="00B008AE" w:rsidRPr="005950CC" w14:paraId="0E462398" w14:textId="77777777" w:rsidTr="005950CC">
        <w:tc>
          <w:tcPr>
            <w:tcW w:w="2093" w:type="dxa"/>
          </w:tcPr>
          <w:p w14:paraId="76B7414C" w14:textId="6EEB64CE" w:rsidR="00B008AE" w:rsidRPr="005950CC" w:rsidRDefault="00B008AE" w:rsidP="005950CC">
            <w:pPr>
              <w:pStyle w:val="MDPI42tablebody"/>
              <w:spacing w:line="240" w:lineRule="auto"/>
              <w:jc w:val="left"/>
              <w:rPr>
                <w:sz w:val="18"/>
              </w:rPr>
            </w:pPr>
            <w:r w:rsidRPr="005950CC">
              <w:rPr>
                <w:sz w:val="18"/>
              </w:rPr>
              <w:t>United Kingdom</w:t>
            </w:r>
          </w:p>
        </w:tc>
        <w:tc>
          <w:tcPr>
            <w:tcW w:w="2410" w:type="dxa"/>
          </w:tcPr>
          <w:p w14:paraId="6F50EAA1" w14:textId="7D9B00E4" w:rsidR="00B008AE" w:rsidRPr="000F2324" w:rsidRDefault="00B008AE" w:rsidP="005950CC">
            <w:pPr>
              <w:pStyle w:val="MDPI42tablebody"/>
              <w:spacing w:line="240" w:lineRule="auto"/>
              <w:rPr>
                <w:sz w:val="18"/>
              </w:rPr>
            </w:pPr>
            <w:r w:rsidRPr="000F2324">
              <w:rPr>
                <w:sz w:val="18"/>
              </w:rPr>
              <w:t>UK</w:t>
            </w:r>
          </w:p>
        </w:tc>
      </w:tr>
    </w:tbl>
    <w:p w14:paraId="206765CD" w14:textId="77777777" w:rsidR="00EA6423" w:rsidRPr="005950CC" w:rsidRDefault="00EA6423" w:rsidP="00CF49E5">
      <w:pPr>
        <w:pStyle w:val="MDPI21heading1"/>
        <w:rPr>
          <w:lang w:val="en-GB"/>
        </w:rPr>
      </w:pPr>
      <w:r w:rsidRPr="005950CC">
        <w:rPr>
          <w:lang w:val="en-GB"/>
        </w:rPr>
        <w:t>References</w:t>
      </w:r>
    </w:p>
    <w:p w14:paraId="50D2A3C6" w14:textId="1DC5060D"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Boardman, B. Fuel poverty synthesis: Lessons learnt, actions needed. </w:t>
      </w:r>
      <w:r w:rsidRPr="005950CC">
        <w:rPr>
          <w:i/>
          <w:iCs/>
          <w:szCs w:val="18"/>
          <w:lang w:val="en-GB"/>
        </w:rPr>
        <w:t>Energy Policy</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49</w:t>
      </w:r>
      <w:r w:rsidRPr="005950CC">
        <w:rPr>
          <w:szCs w:val="18"/>
          <w:lang w:val="en-GB"/>
        </w:rPr>
        <w:t>, 143–148.</w:t>
      </w:r>
    </w:p>
    <w:p w14:paraId="3BE1C66F"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Fahmy, E.; Gordon, D.; Patsios, D. Predicting fuel poverty at a small-area level in England. </w:t>
      </w:r>
      <w:r w:rsidRPr="005950CC">
        <w:rPr>
          <w:i/>
          <w:iCs/>
          <w:szCs w:val="18"/>
          <w:lang w:val="en-GB"/>
        </w:rPr>
        <w:t>Energy Policy</w:t>
      </w:r>
      <w:r w:rsidRPr="005950CC">
        <w:rPr>
          <w:szCs w:val="18"/>
          <w:lang w:val="en-GB"/>
        </w:rPr>
        <w:t xml:space="preserve"> </w:t>
      </w:r>
      <w:r w:rsidRPr="005950CC">
        <w:rPr>
          <w:b/>
          <w:bCs/>
          <w:szCs w:val="18"/>
          <w:lang w:val="en-GB"/>
        </w:rPr>
        <w:t>2011</w:t>
      </w:r>
      <w:r w:rsidRPr="005950CC">
        <w:rPr>
          <w:szCs w:val="18"/>
          <w:lang w:val="en-GB"/>
        </w:rPr>
        <w:t xml:space="preserve">, </w:t>
      </w:r>
      <w:r w:rsidRPr="005950CC">
        <w:rPr>
          <w:i/>
          <w:iCs/>
          <w:szCs w:val="18"/>
          <w:lang w:val="en-GB"/>
        </w:rPr>
        <w:t>39</w:t>
      </w:r>
      <w:r w:rsidRPr="005950CC">
        <w:rPr>
          <w:szCs w:val="18"/>
          <w:lang w:val="en-GB"/>
        </w:rPr>
        <w:t>, 4370–4377.</w:t>
      </w:r>
    </w:p>
    <w:p w14:paraId="5F86728E"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Kaye, A.; Jordan, H.; Baker, M. </w:t>
      </w:r>
      <w:r w:rsidRPr="005950CC">
        <w:rPr>
          <w:i/>
          <w:iCs/>
          <w:szCs w:val="18"/>
          <w:lang w:val="en-GB"/>
        </w:rPr>
        <w:t>The Tipping Point: The Human and Economic Cost of Cutting Disabled People's Support</w:t>
      </w:r>
      <w:proofErr w:type="gramStart"/>
      <w:r w:rsidRPr="005950CC">
        <w:rPr>
          <w:szCs w:val="18"/>
          <w:lang w:val="en-GB"/>
        </w:rPr>
        <w:t>;</w:t>
      </w:r>
      <w:proofErr w:type="gramEnd"/>
      <w:r w:rsidRPr="005950CC">
        <w:rPr>
          <w:szCs w:val="18"/>
          <w:lang w:val="en-GB"/>
        </w:rPr>
        <w:t xml:space="preserve"> The Hardest Hit Coalition: London, UK, 2012.</w:t>
      </w:r>
    </w:p>
    <w:p w14:paraId="43E59072" w14:textId="04CC5B1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Wood, C. </w:t>
      </w:r>
      <w:r w:rsidRPr="005950CC">
        <w:rPr>
          <w:i/>
          <w:iCs/>
          <w:szCs w:val="18"/>
          <w:lang w:val="en-GB"/>
        </w:rPr>
        <w:t xml:space="preserve">Tracking the Lives of Disabled Families </w:t>
      </w:r>
      <w:r w:rsidR="008D7858" w:rsidRPr="005950CC">
        <w:rPr>
          <w:i/>
          <w:iCs/>
          <w:szCs w:val="18"/>
          <w:lang w:val="en-GB"/>
        </w:rPr>
        <w:t>t</w:t>
      </w:r>
      <w:r w:rsidRPr="005950CC">
        <w:rPr>
          <w:i/>
          <w:iCs/>
          <w:szCs w:val="18"/>
          <w:lang w:val="en-GB"/>
        </w:rPr>
        <w:t>hrough the Cuts: Destination Unknown Autumn 2011</w:t>
      </w:r>
      <w:proofErr w:type="gramStart"/>
      <w:r w:rsidRPr="005950CC">
        <w:rPr>
          <w:szCs w:val="18"/>
          <w:lang w:val="en-GB"/>
        </w:rPr>
        <w:t>;</w:t>
      </w:r>
      <w:proofErr w:type="gramEnd"/>
      <w:r w:rsidRPr="005950CC">
        <w:rPr>
          <w:szCs w:val="18"/>
          <w:lang w:val="en-GB"/>
        </w:rPr>
        <w:t xml:space="preserve"> DEMOS: London, UK, 2011.</w:t>
      </w:r>
    </w:p>
    <w:p w14:paraId="58E33D9A" w14:textId="1A63EFE9"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Hills, J. </w:t>
      </w:r>
      <w:r w:rsidRPr="005950CC">
        <w:rPr>
          <w:i/>
          <w:iCs/>
          <w:szCs w:val="18"/>
          <w:lang w:val="en-GB"/>
        </w:rPr>
        <w:t>Getting the Measure of Fuel Poverty: Final Report of the Fuel Poverty Review</w:t>
      </w:r>
      <w:r w:rsidRPr="005950CC">
        <w:rPr>
          <w:szCs w:val="18"/>
          <w:lang w:val="en-GB"/>
        </w:rPr>
        <w:t xml:space="preserve">; CASE Report 72; </w:t>
      </w:r>
      <w:r w:rsidRPr="005950CC">
        <w:rPr>
          <w:lang w:val="en-GB"/>
        </w:rPr>
        <w:t>London School of Economics and Political Science</w:t>
      </w:r>
      <w:r w:rsidR="009108C8">
        <w:rPr>
          <w:szCs w:val="18"/>
          <w:lang w:val="en-GB"/>
        </w:rPr>
        <w:t>: London, UK, 2012.</w:t>
      </w:r>
    </w:p>
    <w:p w14:paraId="20BF3522"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Koh, L.; Marchand, R.; Genovese, A.; Brennan, A. </w:t>
      </w:r>
      <w:r w:rsidRPr="005950CC">
        <w:rPr>
          <w:i/>
          <w:iCs/>
          <w:szCs w:val="18"/>
          <w:lang w:val="en-GB"/>
        </w:rPr>
        <w:t>Fuel Poverty: Perspectives from the Front Line</w:t>
      </w:r>
      <w:r w:rsidRPr="005950CC">
        <w:rPr>
          <w:szCs w:val="18"/>
          <w:lang w:val="en-GB"/>
        </w:rPr>
        <w:t>; Fuel Poverty Series; University of Sheffield, Centre for Energy, Environment and Sustainability: Sheffield, UK, 2012.</w:t>
      </w:r>
    </w:p>
    <w:p w14:paraId="62661A5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Waddams, C.; Deller, D. </w:t>
      </w:r>
      <w:r w:rsidRPr="005950CC">
        <w:rPr>
          <w:i/>
          <w:iCs/>
          <w:szCs w:val="18"/>
          <w:lang w:val="en-GB"/>
        </w:rPr>
        <w:t>Affordability of Utilities' Services: Extent, Practice, Policy</w:t>
      </w:r>
      <w:r w:rsidRPr="005950CC">
        <w:rPr>
          <w:szCs w:val="18"/>
          <w:lang w:val="en-GB"/>
        </w:rPr>
        <w:t xml:space="preserve">; Centre on Regulation in Europe: Brussels, </w:t>
      </w:r>
      <w:r w:rsidRPr="005950CC">
        <w:rPr>
          <w:lang w:val="en-GB"/>
        </w:rPr>
        <w:t>Belgium,</w:t>
      </w:r>
      <w:r w:rsidRPr="005950CC">
        <w:rPr>
          <w:szCs w:val="18"/>
          <w:lang w:val="en-GB"/>
        </w:rPr>
        <w:t xml:space="preserve"> 2015.</w:t>
      </w:r>
    </w:p>
    <w:p w14:paraId="020C5B6A" w14:textId="09D2FD5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Boardman, B. </w:t>
      </w:r>
      <w:r w:rsidRPr="005950CC">
        <w:rPr>
          <w:i/>
          <w:iCs/>
          <w:szCs w:val="18"/>
          <w:lang w:val="en-GB"/>
        </w:rPr>
        <w:t xml:space="preserve">Fuel Poverty: From Cold </w:t>
      </w:r>
      <w:r w:rsidR="008D7858" w:rsidRPr="005950CC">
        <w:rPr>
          <w:i/>
          <w:iCs/>
          <w:szCs w:val="18"/>
          <w:lang w:val="en-GB"/>
        </w:rPr>
        <w:t>H</w:t>
      </w:r>
      <w:r w:rsidRPr="005950CC">
        <w:rPr>
          <w:i/>
          <w:iCs/>
          <w:szCs w:val="18"/>
          <w:lang w:val="en-GB"/>
        </w:rPr>
        <w:t>o</w:t>
      </w:r>
      <w:r w:rsidR="008D7858">
        <w:rPr>
          <w:i/>
          <w:iCs/>
          <w:szCs w:val="18"/>
          <w:lang w:val="en-GB"/>
        </w:rPr>
        <w:t>m</w:t>
      </w:r>
      <w:r w:rsidRPr="005950CC">
        <w:rPr>
          <w:i/>
          <w:iCs/>
          <w:szCs w:val="18"/>
          <w:lang w:val="en-GB"/>
        </w:rPr>
        <w:t>es to Affordable Warmth</w:t>
      </w:r>
      <w:proofErr w:type="gramStart"/>
      <w:r w:rsidRPr="005950CC">
        <w:rPr>
          <w:szCs w:val="18"/>
          <w:lang w:val="en-GB"/>
        </w:rPr>
        <w:t>;</w:t>
      </w:r>
      <w:proofErr w:type="gramEnd"/>
      <w:r w:rsidRPr="005950CC">
        <w:rPr>
          <w:szCs w:val="18"/>
          <w:lang w:val="en-GB"/>
        </w:rPr>
        <w:t xml:space="preserve"> Belhaven Press: London, UK, 1991.</w:t>
      </w:r>
    </w:p>
    <w:p w14:paraId="2F1B97A6"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Lewis, P. </w:t>
      </w:r>
      <w:r w:rsidRPr="005950CC">
        <w:rPr>
          <w:i/>
          <w:iCs/>
          <w:szCs w:val="18"/>
          <w:lang w:val="en-GB"/>
        </w:rPr>
        <w:t>Fuel Poverty Can Be Stopped</w:t>
      </w:r>
      <w:proofErr w:type="gramStart"/>
      <w:r w:rsidRPr="005950CC">
        <w:rPr>
          <w:szCs w:val="18"/>
          <w:lang w:val="en-GB"/>
        </w:rPr>
        <w:t>;</w:t>
      </w:r>
      <w:proofErr w:type="gramEnd"/>
      <w:r w:rsidRPr="005950CC">
        <w:rPr>
          <w:szCs w:val="18"/>
          <w:lang w:val="en-GB"/>
        </w:rPr>
        <w:t xml:space="preserve"> National Right to Fuel Campaign: Bradford, UK, 1982.</w:t>
      </w:r>
    </w:p>
    <w:p w14:paraId="5095803E"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Tirado Herrero, S.; Jiménez Meneses, L.; López Fernández, J.L.; Martín García, J. </w:t>
      </w:r>
      <w:r w:rsidRPr="005950CC">
        <w:rPr>
          <w:i/>
          <w:iCs/>
          <w:szCs w:val="18"/>
          <w:lang w:val="en-GB"/>
        </w:rPr>
        <w:t>Pobreza Energética en España. Análisis de Tendencias</w:t>
      </w:r>
      <w:r w:rsidRPr="005950CC">
        <w:rPr>
          <w:szCs w:val="18"/>
          <w:lang w:val="en-GB"/>
        </w:rPr>
        <w:t xml:space="preserve">; Asociación de Ciencias Ambientales: Madrid, </w:t>
      </w:r>
      <w:r w:rsidRPr="005950CC">
        <w:rPr>
          <w:lang w:val="en-GB"/>
        </w:rPr>
        <w:t>Spain,</w:t>
      </w:r>
      <w:r w:rsidRPr="005950CC">
        <w:rPr>
          <w:szCs w:val="18"/>
          <w:lang w:val="en-GB"/>
        </w:rPr>
        <w:t xml:space="preserve"> 2014.</w:t>
      </w:r>
    </w:p>
    <w:p w14:paraId="1265993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Bouzarovski, S.; Petrova, S. A global perspective on domestic energy deprivation: Overcoming the energy poverty–fuel poverty binary. </w:t>
      </w:r>
      <w:r w:rsidRPr="005950CC">
        <w:rPr>
          <w:i/>
          <w:iCs/>
          <w:szCs w:val="18"/>
          <w:lang w:val="en-GB"/>
        </w:rPr>
        <w:t>Energy Res. Soc. Sci.</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10</w:t>
      </w:r>
      <w:r w:rsidRPr="005950CC">
        <w:rPr>
          <w:szCs w:val="18"/>
          <w:lang w:val="en-GB"/>
        </w:rPr>
        <w:t>, 31–40.</w:t>
      </w:r>
    </w:p>
    <w:p w14:paraId="5EB308BA"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Thomson, H.; Snell, C.; Liddell, C. Fuel poverty in the European Union: A concept in need of definition? </w:t>
      </w:r>
      <w:r w:rsidRPr="005950CC">
        <w:rPr>
          <w:i/>
          <w:iCs/>
          <w:szCs w:val="18"/>
          <w:lang w:val="en-GB"/>
        </w:rPr>
        <w:t>People Place Policy</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10</w:t>
      </w:r>
      <w:r w:rsidRPr="005950CC">
        <w:rPr>
          <w:szCs w:val="18"/>
          <w:lang w:val="en-GB"/>
        </w:rPr>
        <w:t>, 5–24.</w:t>
      </w:r>
    </w:p>
    <w:p w14:paraId="1562A13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Bouzarovski, S.; Tirado Herrero, S.; Petrova, S.; Ürge-Vorsatz, D. Unpacking the spaces and politics of energy poverty: Path-dependencies, deprivation and fuel switching in post-communist Hungary. </w:t>
      </w:r>
      <w:r w:rsidRPr="005950CC">
        <w:rPr>
          <w:i/>
          <w:iCs/>
          <w:szCs w:val="18"/>
          <w:lang w:val="en-GB"/>
        </w:rPr>
        <w:t>Local Environ.</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21</w:t>
      </w:r>
      <w:r w:rsidRPr="005950CC">
        <w:rPr>
          <w:szCs w:val="18"/>
          <w:lang w:val="en-GB"/>
        </w:rPr>
        <w:t>, 1151–1170.</w:t>
      </w:r>
    </w:p>
    <w:p w14:paraId="03CE6B35"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Katsoulakos, N. Combating Energy Poverty in Mountainous Areas Through Energy-saving Interventions. </w:t>
      </w:r>
      <w:r w:rsidRPr="005950CC">
        <w:rPr>
          <w:i/>
          <w:iCs/>
          <w:szCs w:val="18"/>
          <w:lang w:val="en-GB"/>
        </w:rPr>
        <w:t>Mt. Res. Dev.</w:t>
      </w:r>
      <w:r w:rsidRPr="005950CC">
        <w:rPr>
          <w:szCs w:val="18"/>
          <w:lang w:val="en-GB"/>
        </w:rPr>
        <w:t xml:space="preserve"> </w:t>
      </w:r>
      <w:r w:rsidRPr="005950CC">
        <w:rPr>
          <w:b/>
          <w:bCs/>
          <w:szCs w:val="18"/>
          <w:lang w:val="en-GB"/>
        </w:rPr>
        <w:t>2011</w:t>
      </w:r>
      <w:r w:rsidRPr="005950CC">
        <w:rPr>
          <w:szCs w:val="18"/>
          <w:lang w:val="en-GB"/>
        </w:rPr>
        <w:t xml:space="preserve">, </w:t>
      </w:r>
      <w:r w:rsidRPr="005950CC">
        <w:rPr>
          <w:i/>
          <w:iCs/>
          <w:szCs w:val="18"/>
          <w:lang w:val="en-GB"/>
        </w:rPr>
        <w:t>31</w:t>
      </w:r>
      <w:r w:rsidRPr="005950CC">
        <w:rPr>
          <w:szCs w:val="18"/>
          <w:lang w:val="en-GB"/>
        </w:rPr>
        <w:t>, 284–292.</w:t>
      </w:r>
    </w:p>
    <w:p w14:paraId="20F38FA5"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Legendre, B.; Ricci, O. Measuring fuel poverty in France: Which households </w:t>
      </w:r>
      <w:proofErr w:type="gramStart"/>
      <w:r w:rsidRPr="005950CC">
        <w:rPr>
          <w:szCs w:val="18"/>
          <w:lang w:val="en-GB"/>
        </w:rPr>
        <w:t>are the most fuel</w:t>
      </w:r>
      <w:proofErr w:type="gramEnd"/>
      <w:r w:rsidRPr="005950CC">
        <w:rPr>
          <w:szCs w:val="18"/>
          <w:lang w:val="en-GB"/>
        </w:rPr>
        <w:t xml:space="preserve"> vulnerable? </w:t>
      </w:r>
      <w:r w:rsidRPr="005950CC">
        <w:rPr>
          <w:i/>
          <w:iCs/>
          <w:szCs w:val="18"/>
          <w:lang w:val="en-GB"/>
        </w:rPr>
        <w:t>Energy Econ.</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49</w:t>
      </w:r>
      <w:r w:rsidRPr="005950CC">
        <w:rPr>
          <w:szCs w:val="18"/>
          <w:lang w:val="en-GB"/>
        </w:rPr>
        <w:t>, 620–628.</w:t>
      </w:r>
    </w:p>
    <w:p w14:paraId="3ADA7A0B" w14:textId="5E50FD35"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Phimister, E.; Vera-Toscano, E.; Roberts, D. The Dynamics of Energy Poverty: Evidence from Spain. </w:t>
      </w:r>
      <w:r w:rsidRPr="005950CC">
        <w:rPr>
          <w:i/>
          <w:iCs/>
          <w:szCs w:val="18"/>
          <w:lang w:val="en-GB"/>
        </w:rPr>
        <w:t>Econ. Energy Environ. Policy</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4</w:t>
      </w:r>
      <w:r w:rsidR="009108C8">
        <w:rPr>
          <w:szCs w:val="18"/>
          <w:lang w:val="en-GB"/>
        </w:rPr>
        <w:t>,</w:t>
      </w:r>
      <w:r w:rsidRPr="005950CC">
        <w:rPr>
          <w:szCs w:val="18"/>
          <w:lang w:val="en-GB"/>
        </w:rPr>
        <w:t xml:space="preserve"> doi</w:t>
      </w:r>
      <w:proofErr w:type="gramStart"/>
      <w:r w:rsidRPr="005950CC">
        <w:rPr>
          <w:szCs w:val="18"/>
          <w:lang w:val="en-GB"/>
        </w:rPr>
        <w:t>:</w:t>
      </w:r>
      <w:r w:rsidRPr="005950CC">
        <w:rPr>
          <w:lang w:val="en-GB"/>
        </w:rPr>
        <w:t>10.5547</w:t>
      </w:r>
      <w:proofErr w:type="gramEnd"/>
      <w:r w:rsidRPr="005950CC">
        <w:rPr>
          <w:lang w:val="en-GB"/>
        </w:rPr>
        <w:t>/2160-5890.4.1.ephi</w:t>
      </w:r>
      <w:r w:rsidR="00C21F04" w:rsidRPr="005950CC">
        <w:rPr>
          <w:lang w:val="en-GB"/>
        </w:rPr>
        <w:t>.</w:t>
      </w:r>
    </w:p>
    <w:p w14:paraId="6A88CE5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Bouzarovski, S.; Tirado Herrero, S. The energy </w:t>
      </w:r>
      <w:proofErr w:type="gramStart"/>
      <w:r w:rsidRPr="005950CC">
        <w:rPr>
          <w:szCs w:val="18"/>
          <w:lang w:val="en-GB"/>
        </w:rPr>
        <w:t>divide</w:t>
      </w:r>
      <w:proofErr w:type="gramEnd"/>
      <w:r w:rsidRPr="005950CC">
        <w:rPr>
          <w:szCs w:val="18"/>
          <w:lang w:val="en-GB"/>
        </w:rPr>
        <w:t xml:space="preserve">: Integrating energy transitions, regional inequalities and poverty trends in the European Union. </w:t>
      </w:r>
      <w:r w:rsidRPr="005950CC">
        <w:rPr>
          <w:i/>
          <w:iCs/>
          <w:szCs w:val="18"/>
          <w:lang w:val="en-GB"/>
        </w:rPr>
        <w:t>Eur. Urban Reg. Stud.</w:t>
      </w:r>
      <w:r w:rsidRPr="005950CC">
        <w:rPr>
          <w:szCs w:val="18"/>
          <w:lang w:val="en-GB"/>
        </w:rPr>
        <w:t xml:space="preserve"> </w:t>
      </w:r>
      <w:r w:rsidRPr="005950CC">
        <w:rPr>
          <w:b/>
          <w:bCs/>
          <w:szCs w:val="18"/>
          <w:lang w:val="en-GB"/>
        </w:rPr>
        <w:t>2017</w:t>
      </w:r>
      <w:r w:rsidRPr="005950CC">
        <w:rPr>
          <w:szCs w:val="18"/>
          <w:lang w:val="en-GB"/>
        </w:rPr>
        <w:t xml:space="preserve">, </w:t>
      </w:r>
      <w:r w:rsidRPr="005950CC">
        <w:rPr>
          <w:i/>
          <w:iCs/>
          <w:szCs w:val="18"/>
          <w:lang w:val="en-GB"/>
        </w:rPr>
        <w:t>24</w:t>
      </w:r>
      <w:r w:rsidRPr="005950CC">
        <w:rPr>
          <w:szCs w:val="18"/>
          <w:lang w:val="en-GB"/>
        </w:rPr>
        <w:t>, 69–86.</w:t>
      </w:r>
    </w:p>
    <w:p w14:paraId="1D5FB67F"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Dubois, U.; Meier, H. Energy affordability and energy inequality in Europe: Implications for policymaking. </w:t>
      </w:r>
      <w:r w:rsidRPr="005950CC">
        <w:rPr>
          <w:i/>
          <w:iCs/>
          <w:szCs w:val="18"/>
          <w:lang w:val="en-GB"/>
        </w:rPr>
        <w:t>Energy Res. Soc. Sci.</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18</w:t>
      </w:r>
      <w:r w:rsidRPr="005950CC">
        <w:rPr>
          <w:szCs w:val="18"/>
          <w:lang w:val="en-GB"/>
        </w:rPr>
        <w:t>, 21–35.</w:t>
      </w:r>
    </w:p>
    <w:p w14:paraId="7BE8DB08"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Rademaekers, K.; Yearwood, J.; Ferreira, A.; Pye, S.; Hamilton, I.; Agnolucci, P.; Grover, D.; Karásek, J.; Anisimova, N. </w:t>
      </w:r>
      <w:r w:rsidRPr="005950CC">
        <w:rPr>
          <w:i/>
          <w:iCs/>
          <w:szCs w:val="18"/>
          <w:lang w:val="en-GB"/>
        </w:rPr>
        <w:t>Selecting Indicators to Measure Energy Poverty</w:t>
      </w:r>
      <w:r w:rsidRPr="005950CC">
        <w:rPr>
          <w:szCs w:val="18"/>
          <w:lang w:val="en-GB"/>
        </w:rPr>
        <w:t xml:space="preserve">; Trinomics: Rotterdam, </w:t>
      </w:r>
      <w:r w:rsidRPr="005950CC">
        <w:rPr>
          <w:lang w:val="en-GB"/>
        </w:rPr>
        <w:t>Netherlands,</w:t>
      </w:r>
      <w:r w:rsidRPr="005950CC">
        <w:rPr>
          <w:szCs w:val="18"/>
          <w:lang w:val="en-GB"/>
        </w:rPr>
        <w:t xml:space="preserve"> 2016.</w:t>
      </w:r>
    </w:p>
    <w:p w14:paraId="2F27CB4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Thomson, H.; Snell, C. Quantifying the prevalence of fuel poverty across the European Union. </w:t>
      </w:r>
      <w:r w:rsidRPr="005950CC">
        <w:rPr>
          <w:i/>
          <w:iCs/>
          <w:szCs w:val="18"/>
          <w:lang w:val="en-GB"/>
        </w:rPr>
        <w:t>Energy Policy</w:t>
      </w:r>
      <w:r w:rsidRPr="005950CC">
        <w:rPr>
          <w:szCs w:val="18"/>
          <w:lang w:val="en-GB"/>
        </w:rPr>
        <w:t xml:space="preserve"> </w:t>
      </w:r>
      <w:r w:rsidRPr="005950CC">
        <w:rPr>
          <w:b/>
          <w:bCs/>
          <w:szCs w:val="18"/>
          <w:lang w:val="en-GB"/>
        </w:rPr>
        <w:t>2013</w:t>
      </w:r>
      <w:r w:rsidRPr="005950CC">
        <w:rPr>
          <w:szCs w:val="18"/>
          <w:lang w:val="en-GB"/>
        </w:rPr>
        <w:t xml:space="preserve">, </w:t>
      </w:r>
      <w:r w:rsidRPr="005950CC">
        <w:rPr>
          <w:i/>
          <w:iCs/>
          <w:szCs w:val="18"/>
          <w:lang w:val="en-GB"/>
        </w:rPr>
        <w:t>52</w:t>
      </w:r>
      <w:r w:rsidRPr="005950CC">
        <w:rPr>
          <w:szCs w:val="18"/>
          <w:lang w:val="en-GB"/>
        </w:rPr>
        <w:t>, 563–572.</w:t>
      </w:r>
    </w:p>
    <w:p w14:paraId="24AD2E25" w14:textId="256FF3C0"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Lacroix, E.; Chaton, C. Fuel poverty as a major determinant of perceived health: </w:t>
      </w:r>
      <w:r w:rsidR="009108C8" w:rsidRPr="005950CC">
        <w:rPr>
          <w:szCs w:val="18"/>
          <w:lang w:val="en-GB"/>
        </w:rPr>
        <w:t>T</w:t>
      </w:r>
      <w:r w:rsidRPr="005950CC">
        <w:rPr>
          <w:szCs w:val="18"/>
          <w:lang w:val="en-GB"/>
        </w:rPr>
        <w:t xml:space="preserve">he case of France. </w:t>
      </w:r>
      <w:r w:rsidRPr="005950CC">
        <w:rPr>
          <w:i/>
          <w:iCs/>
          <w:szCs w:val="18"/>
          <w:lang w:val="en-GB"/>
        </w:rPr>
        <w:t>Public Health</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129</w:t>
      </w:r>
      <w:r w:rsidRPr="005950CC">
        <w:rPr>
          <w:szCs w:val="18"/>
          <w:lang w:val="en-GB"/>
        </w:rPr>
        <w:t>, 517–524.</w:t>
      </w:r>
    </w:p>
    <w:p w14:paraId="22CFF76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lastRenderedPageBreak/>
        <w:t xml:space="preserve">Liddell, C.; Guiney, C. Living in a cold and damp home: Frameworks for understanding impacts on mental </w:t>
      </w:r>
      <w:proofErr w:type="gramStart"/>
      <w:r w:rsidRPr="005950CC">
        <w:rPr>
          <w:szCs w:val="18"/>
          <w:lang w:val="en-GB"/>
        </w:rPr>
        <w:t>well-being</w:t>
      </w:r>
      <w:proofErr w:type="gramEnd"/>
      <w:r w:rsidRPr="005950CC">
        <w:rPr>
          <w:szCs w:val="18"/>
          <w:lang w:val="en-GB"/>
        </w:rPr>
        <w:t xml:space="preserve">. </w:t>
      </w:r>
      <w:r w:rsidRPr="005950CC">
        <w:rPr>
          <w:i/>
          <w:iCs/>
          <w:szCs w:val="18"/>
          <w:lang w:val="en-GB"/>
        </w:rPr>
        <w:t>Public Health</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129</w:t>
      </w:r>
      <w:r w:rsidRPr="005950CC">
        <w:rPr>
          <w:szCs w:val="18"/>
          <w:lang w:val="en-GB"/>
        </w:rPr>
        <w:t>, 191–199.</w:t>
      </w:r>
    </w:p>
    <w:p w14:paraId="1F5288C7"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Green, G.; Gilbertson, J. </w:t>
      </w:r>
      <w:r w:rsidRPr="005950CC">
        <w:rPr>
          <w:i/>
          <w:iCs/>
          <w:szCs w:val="18"/>
          <w:lang w:val="en-GB"/>
        </w:rPr>
        <w:t>Health Impact Evaluation of the Warm Front Scheme</w:t>
      </w:r>
      <w:r w:rsidRPr="005950CC">
        <w:rPr>
          <w:szCs w:val="18"/>
          <w:lang w:val="en-GB"/>
        </w:rPr>
        <w:t>; Centre for Regional, Economic and Social Research: Sheffield, UK, 2008.</w:t>
      </w:r>
    </w:p>
    <w:p w14:paraId="3C55FEC7" w14:textId="77777777" w:rsidR="00C13FB8" w:rsidRPr="005950CC" w:rsidRDefault="00C13FB8" w:rsidP="00C13FB8">
      <w:pPr>
        <w:pStyle w:val="MDPI71References"/>
        <w:numPr>
          <w:ilvl w:val="0"/>
          <w:numId w:val="50"/>
        </w:numPr>
        <w:ind w:left="425" w:hanging="425"/>
        <w:rPr>
          <w:spacing w:val="-4"/>
          <w:szCs w:val="18"/>
          <w:lang w:val="en-GB"/>
        </w:rPr>
      </w:pPr>
      <w:r w:rsidRPr="005950CC">
        <w:rPr>
          <w:spacing w:val="-4"/>
          <w:szCs w:val="18"/>
          <w:lang w:val="en-GB"/>
        </w:rPr>
        <w:t xml:space="preserve">Hernández, D. Understanding “energy insecurity” and why it matters to health. </w:t>
      </w:r>
      <w:r w:rsidRPr="005950CC">
        <w:rPr>
          <w:i/>
          <w:iCs/>
          <w:spacing w:val="-4"/>
          <w:szCs w:val="18"/>
          <w:lang w:val="en-GB"/>
        </w:rPr>
        <w:t>Soc. Sci. Med.</w:t>
      </w:r>
      <w:r w:rsidRPr="005950CC">
        <w:rPr>
          <w:spacing w:val="-4"/>
          <w:szCs w:val="18"/>
          <w:lang w:val="en-GB"/>
        </w:rPr>
        <w:t xml:space="preserve"> </w:t>
      </w:r>
      <w:r w:rsidRPr="005950CC">
        <w:rPr>
          <w:b/>
          <w:bCs/>
          <w:spacing w:val="-4"/>
          <w:szCs w:val="18"/>
          <w:lang w:val="en-GB"/>
        </w:rPr>
        <w:t>2016</w:t>
      </w:r>
      <w:r w:rsidRPr="005950CC">
        <w:rPr>
          <w:spacing w:val="-4"/>
          <w:szCs w:val="18"/>
          <w:lang w:val="en-GB"/>
        </w:rPr>
        <w:t xml:space="preserve">, </w:t>
      </w:r>
      <w:r w:rsidRPr="005950CC">
        <w:rPr>
          <w:i/>
          <w:iCs/>
          <w:spacing w:val="-4"/>
          <w:szCs w:val="18"/>
          <w:lang w:val="en-GB"/>
        </w:rPr>
        <w:t>167</w:t>
      </w:r>
      <w:r w:rsidRPr="005950CC">
        <w:rPr>
          <w:spacing w:val="-4"/>
          <w:szCs w:val="18"/>
          <w:lang w:val="en-GB"/>
        </w:rPr>
        <w:t>, 1–10.</w:t>
      </w:r>
    </w:p>
    <w:p w14:paraId="4A1BF2E2"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Howden-Chapman, P.; Matheson, A.; Crane, J.; Viggers, H.; Cunningham, M.; Blakely, T.; Cunningham, C.; Woodward, A.; Saville-Smith, K.; O’Dea, D.; et al. Effect of insulating existing houses on health inequality: Cluster randomised study in the community. </w:t>
      </w:r>
      <w:r w:rsidRPr="005950CC">
        <w:rPr>
          <w:i/>
          <w:iCs/>
          <w:szCs w:val="18"/>
          <w:lang w:val="en-GB"/>
        </w:rPr>
        <w:t>BMJ</w:t>
      </w:r>
      <w:r w:rsidRPr="005950CC">
        <w:rPr>
          <w:szCs w:val="18"/>
          <w:lang w:val="en-GB"/>
        </w:rPr>
        <w:t xml:space="preserve"> </w:t>
      </w:r>
      <w:r w:rsidRPr="005950CC">
        <w:rPr>
          <w:b/>
          <w:bCs/>
          <w:szCs w:val="18"/>
          <w:lang w:val="en-GB"/>
        </w:rPr>
        <w:t>2007</w:t>
      </w:r>
      <w:r w:rsidRPr="005950CC">
        <w:rPr>
          <w:szCs w:val="18"/>
          <w:lang w:val="en-GB"/>
        </w:rPr>
        <w:t xml:space="preserve">, </w:t>
      </w:r>
      <w:r w:rsidRPr="005950CC">
        <w:rPr>
          <w:i/>
          <w:iCs/>
          <w:szCs w:val="18"/>
          <w:lang w:val="en-GB"/>
        </w:rPr>
        <w:t>334</w:t>
      </w:r>
      <w:r w:rsidRPr="005950CC">
        <w:rPr>
          <w:szCs w:val="18"/>
          <w:lang w:val="en-GB"/>
        </w:rPr>
        <w:t>, 460.</w:t>
      </w:r>
    </w:p>
    <w:p w14:paraId="2D4192BB"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Liddell, C.; Morris, C. Fuel poverty and human health: A review of recent evidence. </w:t>
      </w:r>
      <w:r w:rsidRPr="005950CC">
        <w:rPr>
          <w:i/>
          <w:iCs/>
          <w:szCs w:val="18"/>
          <w:lang w:val="en-GB"/>
        </w:rPr>
        <w:t>Energy Policy</w:t>
      </w:r>
      <w:r w:rsidRPr="005950CC">
        <w:rPr>
          <w:szCs w:val="18"/>
          <w:lang w:val="en-GB"/>
        </w:rPr>
        <w:t xml:space="preserve"> </w:t>
      </w:r>
      <w:r w:rsidRPr="005950CC">
        <w:rPr>
          <w:b/>
          <w:bCs/>
          <w:szCs w:val="18"/>
          <w:lang w:val="en-GB"/>
        </w:rPr>
        <w:t>2010</w:t>
      </w:r>
      <w:r w:rsidRPr="005950CC">
        <w:rPr>
          <w:szCs w:val="18"/>
          <w:lang w:val="en-GB"/>
        </w:rPr>
        <w:t xml:space="preserve">, </w:t>
      </w:r>
      <w:r w:rsidRPr="005950CC">
        <w:rPr>
          <w:i/>
          <w:iCs/>
          <w:szCs w:val="18"/>
          <w:lang w:val="en-GB"/>
        </w:rPr>
        <w:t>38</w:t>
      </w:r>
      <w:r w:rsidRPr="005950CC">
        <w:rPr>
          <w:szCs w:val="18"/>
          <w:lang w:val="en-GB"/>
        </w:rPr>
        <w:t>, 2987–2997.</w:t>
      </w:r>
    </w:p>
    <w:p w14:paraId="47A6E67A"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Marmot Review Team. </w:t>
      </w:r>
      <w:r w:rsidRPr="005950CC">
        <w:rPr>
          <w:i/>
          <w:iCs/>
          <w:szCs w:val="18"/>
          <w:lang w:val="en-GB"/>
        </w:rPr>
        <w:t>The Health Impacts of Cold Homes and Fuel Poverty</w:t>
      </w:r>
      <w:r w:rsidRPr="005950CC">
        <w:rPr>
          <w:szCs w:val="18"/>
          <w:lang w:val="en-GB"/>
        </w:rPr>
        <w:t>; Friends of the Earth and the Marmot Review Team: London, UK, 2011.</w:t>
      </w:r>
    </w:p>
    <w:p w14:paraId="68E4A84A"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Snell, C.; Bevan, M.; Thomson, H. Justice, fuel poverty and disabled people in England. </w:t>
      </w:r>
      <w:r w:rsidRPr="005950CC">
        <w:rPr>
          <w:i/>
          <w:iCs/>
          <w:szCs w:val="18"/>
          <w:lang w:val="en-GB"/>
        </w:rPr>
        <w:t>Energy Res. Soc. Sci.</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10</w:t>
      </w:r>
      <w:r w:rsidRPr="005950CC">
        <w:rPr>
          <w:szCs w:val="18"/>
          <w:lang w:val="en-GB"/>
        </w:rPr>
        <w:t>, 123–132.</w:t>
      </w:r>
    </w:p>
    <w:p w14:paraId="27191426"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Snell, C.; Bevan, M.; Thomson, H. Welfare reform, disabled people and fuel poverty. </w:t>
      </w:r>
      <w:r w:rsidRPr="005950CC">
        <w:rPr>
          <w:i/>
          <w:iCs/>
          <w:szCs w:val="18"/>
          <w:lang w:val="en-GB"/>
        </w:rPr>
        <w:t>J. Poverty Soc. Justice</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23</w:t>
      </w:r>
      <w:r w:rsidRPr="005950CC">
        <w:rPr>
          <w:szCs w:val="18"/>
          <w:lang w:val="en-GB"/>
        </w:rPr>
        <w:t>, 229–244.</w:t>
      </w:r>
    </w:p>
    <w:p w14:paraId="0826B38D"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Thomson, H.; Petticrew, M.; Morrison, D. Health effects of housing improvement: Systematic review of intervention studies. </w:t>
      </w:r>
      <w:r w:rsidRPr="005950CC">
        <w:rPr>
          <w:i/>
          <w:iCs/>
          <w:szCs w:val="18"/>
          <w:lang w:val="en-GB"/>
        </w:rPr>
        <w:t>BMJ</w:t>
      </w:r>
      <w:r w:rsidRPr="005950CC">
        <w:rPr>
          <w:szCs w:val="18"/>
          <w:lang w:val="en-GB"/>
        </w:rPr>
        <w:t xml:space="preserve"> </w:t>
      </w:r>
      <w:r w:rsidRPr="005950CC">
        <w:rPr>
          <w:b/>
          <w:bCs/>
          <w:szCs w:val="18"/>
          <w:lang w:val="en-GB"/>
        </w:rPr>
        <w:t>2001</w:t>
      </w:r>
      <w:r w:rsidRPr="005950CC">
        <w:rPr>
          <w:szCs w:val="18"/>
          <w:lang w:val="en-GB"/>
        </w:rPr>
        <w:t xml:space="preserve">, </w:t>
      </w:r>
      <w:r w:rsidRPr="005950CC">
        <w:rPr>
          <w:i/>
          <w:iCs/>
          <w:szCs w:val="18"/>
          <w:lang w:val="en-GB"/>
        </w:rPr>
        <w:t>323</w:t>
      </w:r>
      <w:r w:rsidRPr="005950CC">
        <w:rPr>
          <w:szCs w:val="18"/>
          <w:lang w:val="en-GB"/>
        </w:rPr>
        <w:t>, 187–190.</w:t>
      </w:r>
    </w:p>
    <w:p w14:paraId="4FC2CF1C" w14:textId="28C75074" w:rsidR="00C13FB8" w:rsidRPr="005950CC" w:rsidRDefault="00C13FB8" w:rsidP="00C13FB8">
      <w:pPr>
        <w:pStyle w:val="MDPI71References"/>
        <w:numPr>
          <w:ilvl w:val="0"/>
          <w:numId w:val="50"/>
        </w:numPr>
        <w:ind w:left="425" w:hanging="425"/>
        <w:rPr>
          <w:szCs w:val="18"/>
          <w:lang w:val="en-GB"/>
        </w:rPr>
      </w:pPr>
      <w:r w:rsidRPr="005950CC">
        <w:rPr>
          <w:szCs w:val="18"/>
          <w:lang w:val="en-GB"/>
        </w:rPr>
        <w:t>Health Service Executive Minister Naughten announces €10m for Warmth &amp; Wellbeing in 2017. Available online: https://www.hse.ie/eng/services/news/media/pressrel/minister-naughten-announces-€10m-for-</w:t>
      </w:r>
      <w:r w:rsidR="00E24C81" w:rsidRPr="005950CC">
        <w:rPr>
          <w:szCs w:val="18"/>
          <w:lang w:val="en-GB"/>
        </w:rPr>
        <w:br/>
      </w:r>
      <w:r w:rsidRPr="005950CC">
        <w:rPr>
          <w:szCs w:val="18"/>
          <w:lang w:val="en-GB"/>
        </w:rPr>
        <w:t>warmth-wellbeing-in-2017.html (accessed on 17 January 2017).</w:t>
      </w:r>
    </w:p>
    <w:p w14:paraId="7F90496C"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Lanthier-Veilleux, M.; Généreux, M.; Baron, G. Prevalence of Residential Dampness and Mold Exposure in a University Student Population. </w:t>
      </w:r>
      <w:r w:rsidRPr="005950CC">
        <w:rPr>
          <w:i/>
          <w:iCs/>
          <w:szCs w:val="18"/>
          <w:lang w:val="en-GB"/>
        </w:rPr>
        <w:t>Int. J. Environ. Res. Public. Health</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13</w:t>
      </w:r>
      <w:r w:rsidRPr="005950CC">
        <w:rPr>
          <w:szCs w:val="18"/>
          <w:lang w:val="en-GB"/>
        </w:rPr>
        <w:t>, 194.</w:t>
      </w:r>
    </w:p>
    <w:p w14:paraId="5D5DB5C9"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Hernández, D.; Phillips, D.; Siegel, E.L. Exploring the Housing and Household Energy Pathways to Stress: A Mixed Methods Study. </w:t>
      </w:r>
      <w:r w:rsidRPr="005950CC">
        <w:rPr>
          <w:i/>
          <w:iCs/>
          <w:szCs w:val="18"/>
          <w:lang w:val="en-GB"/>
        </w:rPr>
        <w:t>Int. J. Environ. Res. Public. Health</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13</w:t>
      </w:r>
      <w:r w:rsidRPr="005950CC">
        <w:rPr>
          <w:szCs w:val="18"/>
          <w:lang w:val="en-GB"/>
        </w:rPr>
        <w:t>, 916.</w:t>
      </w:r>
    </w:p>
    <w:p w14:paraId="6F13BC1B"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Department of Trade and Industry. </w:t>
      </w:r>
      <w:r w:rsidRPr="005950CC">
        <w:rPr>
          <w:i/>
          <w:iCs/>
          <w:szCs w:val="18"/>
          <w:lang w:val="en-GB"/>
        </w:rPr>
        <w:t>UK Fuel Poverty Strategy</w:t>
      </w:r>
      <w:r w:rsidRPr="005950CC">
        <w:rPr>
          <w:szCs w:val="18"/>
          <w:lang w:val="en-GB"/>
        </w:rPr>
        <w:t>; HMSO: London, UK, 2001.</w:t>
      </w:r>
    </w:p>
    <w:p w14:paraId="63243AB6" w14:textId="46110E2D" w:rsidR="00C13FB8" w:rsidRPr="005950CC" w:rsidRDefault="00C13FB8" w:rsidP="00C13FB8">
      <w:pPr>
        <w:pStyle w:val="MDPI71References"/>
        <w:numPr>
          <w:ilvl w:val="0"/>
          <w:numId w:val="50"/>
        </w:numPr>
        <w:ind w:left="425" w:hanging="425"/>
        <w:rPr>
          <w:szCs w:val="18"/>
          <w:lang w:val="en-GB"/>
        </w:rPr>
      </w:pPr>
      <w:r w:rsidRPr="005950CC">
        <w:rPr>
          <w:szCs w:val="18"/>
          <w:lang w:val="en-GB"/>
        </w:rPr>
        <w:t>Fuel Poverty Action Group Taking Action on Fuel Poverty. Available online: www.dpac.uk/net/</w:t>
      </w:r>
      <w:r w:rsidR="008D7858">
        <w:rPr>
          <w:szCs w:val="18"/>
          <w:lang w:val="en-GB"/>
        </w:rPr>
        <w:br/>
      </w:r>
      <w:r w:rsidRPr="005950CC">
        <w:rPr>
          <w:szCs w:val="18"/>
          <w:lang w:val="en-GB"/>
        </w:rPr>
        <w:t>2012/06/taking-action-on-fuel-poverty (accessed on 29 November 2012).</w:t>
      </w:r>
    </w:p>
    <w:p w14:paraId="7FED4F53"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Harrington, B.E.; Heyman, B.; Merleau-Ponty, N.; Stockton, H.; Ritchie, N.; Heyman, A. Keeping warm and staying well: Findings from the qualitative arm of the Warm Homes Project. </w:t>
      </w:r>
      <w:r w:rsidRPr="005950CC">
        <w:rPr>
          <w:i/>
          <w:iCs/>
          <w:szCs w:val="18"/>
          <w:lang w:val="en-GB"/>
        </w:rPr>
        <w:t>Health Soc. Care Community</w:t>
      </w:r>
      <w:r w:rsidRPr="005950CC">
        <w:rPr>
          <w:szCs w:val="18"/>
          <w:lang w:val="en-GB"/>
        </w:rPr>
        <w:t xml:space="preserve"> </w:t>
      </w:r>
      <w:r w:rsidRPr="005950CC">
        <w:rPr>
          <w:b/>
          <w:bCs/>
          <w:szCs w:val="18"/>
          <w:lang w:val="en-GB"/>
        </w:rPr>
        <w:t>2005</w:t>
      </w:r>
      <w:r w:rsidRPr="005950CC">
        <w:rPr>
          <w:szCs w:val="18"/>
          <w:lang w:val="en-GB"/>
        </w:rPr>
        <w:t xml:space="preserve">, </w:t>
      </w:r>
      <w:r w:rsidRPr="005950CC">
        <w:rPr>
          <w:i/>
          <w:iCs/>
          <w:szCs w:val="18"/>
          <w:lang w:val="en-GB"/>
        </w:rPr>
        <w:t>13</w:t>
      </w:r>
      <w:r w:rsidRPr="005950CC">
        <w:rPr>
          <w:szCs w:val="18"/>
          <w:lang w:val="en-GB"/>
        </w:rPr>
        <w:t>, 259–267.</w:t>
      </w:r>
    </w:p>
    <w:p w14:paraId="4E0922FB"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Gilbertson, J.; Grimsley, M.; Green, G. Psychosocial routes from housing investment to health: Evidence from England’s home energy efficiency scheme. </w:t>
      </w:r>
      <w:r w:rsidRPr="005950CC">
        <w:rPr>
          <w:i/>
          <w:iCs/>
          <w:szCs w:val="18"/>
          <w:lang w:val="en-GB"/>
        </w:rPr>
        <w:t>Energy Policy</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49</w:t>
      </w:r>
      <w:r w:rsidRPr="005950CC">
        <w:rPr>
          <w:szCs w:val="18"/>
          <w:lang w:val="en-GB"/>
        </w:rPr>
        <w:t>, 122–133.</w:t>
      </w:r>
    </w:p>
    <w:p w14:paraId="4F8FCC87"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World Health Organization. </w:t>
      </w:r>
      <w:r w:rsidRPr="005950CC">
        <w:rPr>
          <w:i/>
          <w:iCs/>
          <w:szCs w:val="18"/>
          <w:lang w:val="en-GB"/>
        </w:rPr>
        <w:t>Health Impact of Low Indoor Temperatures</w:t>
      </w:r>
      <w:r w:rsidRPr="005950CC">
        <w:rPr>
          <w:szCs w:val="18"/>
          <w:lang w:val="en-GB"/>
        </w:rPr>
        <w:t xml:space="preserve">; WHO Regional Office for Europe: Copenhagen, </w:t>
      </w:r>
      <w:r w:rsidRPr="005950CC">
        <w:rPr>
          <w:lang w:val="en-GB"/>
        </w:rPr>
        <w:t>Denmark,</w:t>
      </w:r>
      <w:r w:rsidRPr="005950CC">
        <w:rPr>
          <w:szCs w:val="18"/>
          <w:lang w:val="en-GB"/>
        </w:rPr>
        <w:t xml:space="preserve"> 1985.</w:t>
      </w:r>
    </w:p>
    <w:p w14:paraId="5AA62C9C"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National Institute for Health and Care Excellence. </w:t>
      </w:r>
      <w:r w:rsidRPr="005950CC">
        <w:rPr>
          <w:i/>
          <w:iCs/>
          <w:szCs w:val="18"/>
          <w:lang w:val="en-GB"/>
        </w:rPr>
        <w:t>Excess Winter Deaths and Illness and the Health Risks Associated with Cold Homes</w:t>
      </w:r>
      <w:r w:rsidRPr="005950CC">
        <w:rPr>
          <w:szCs w:val="18"/>
          <w:lang w:val="en-GB"/>
        </w:rPr>
        <w:t>; National Institute for Health and Care Excellence: London, UK, 2015.</w:t>
      </w:r>
    </w:p>
    <w:p w14:paraId="340A4725" w14:textId="737DB268"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Rowlingson, K. </w:t>
      </w:r>
      <w:r w:rsidRPr="005950CC">
        <w:rPr>
          <w:i/>
          <w:iCs/>
          <w:szCs w:val="18"/>
          <w:lang w:val="en-GB"/>
        </w:rPr>
        <w:t>Does Income Inequality Cause Health and Social Problems?</w:t>
      </w:r>
      <w:r w:rsidRPr="005950CC">
        <w:rPr>
          <w:szCs w:val="18"/>
          <w:lang w:val="en-GB"/>
        </w:rPr>
        <w:t xml:space="preserve"> Joseph Rowntree Foundation: York, UK, 2011.</w:t>
      </w:r>
    </w:p>
    <w:p w14:paraId="0958348E"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Wilkinson, R.; Pickett, K. </w:t>
      </w:r>
      <w:r w:rsidRPr="005950CC">
        <w:rPr>
          <w:i/>
          <w:iCs/>
          <w:szCs w:val="18"/>
          <w:lang w:val="en-GB"/>
        </w:rPr>
        <w:t>The Spirit Level: Why Greater Equality Makes Societies Stronger</w:t>
      </w:r>
      <w:r w:rsidRPr="005950CC">
        <w:rPr>
          <w:szCs w:val="18"/>
          <w:lang w:val="en-GB"/>
        </w:rPr>
        <w:t>; Bloomsbury Press: London, UK, 2009.</w:t>
      </w:r>
    </w:p>
    <w:p w14:paraId="17E4E476"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Peate, I. Keeping Warm: Health Risks and Vulnerable People. </w:t>
      </w:r>
      <w:r w:rsidRPr="005950CC">
        <w:rPr>
          <w:i/>
          <w:iCs/>
          <w:szCs w:val="18"/>
          <w:lang w:val="en-GB"/>
        </w:rPr>
        <w:t>Nurs. Resid. Care</w:t>
      </w:r>
      <w:r w:rsidRPr="005950CC">
        <w:rPr>
          <w:szCs w:val="18"/>
          <w:lang w:val="en-GB"/>
        </w:rPr>
        <w:t xml:space="preserve"> </w:t>
      </w:r>
      <w:r w:rsidRPr="005950CC">
        <w:rPr>
          <w:b/>
          <w:bCs/>
          <w:szCs w:val="18"/>
          <w:lang w:val="en-GB"/>
        </w:rPr>
        <w:t>2008</w:t>
      </w:r>
      <w:r w:rsidRPr="005950CC">
        <w:rPr>
          <w:szCs w:val="18"/>
          <w:lang w:val="en-GB"/>
        </w:rPr>
        <w:t xml:space="preserve">, </w:t>
      </w:r>
      <w:r w:rsidRPr="005950CC">
        <w:rPr>
          <w:i/>
          <w:iCs/>
          <w:szCs w:val="18"/>
          <w:lang w:val="en-GB"/>
        </w:rPr>
        <w:t>10</w:t>
      </w:r>
      <w:r w:rsidRPr="005950CC">
        <w:rPr>
          <w:szCs w:val="18"/>
          <w:lang w:val="en-GB"/>
        </w:rPr>
        <w:t>, 606–610.</w:t>
      </w:r>
    </w:p>
    <w:p w14:paraId="431D312C"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Day, R.</w:t>
      </w:r>
      <w:proofErr w:type="gramStart"/>
      <w:r w:rsidRPr="005950CC">
        <w:rPr>
          <w:szCs w:val="18"/>
          <w:lang w:val="en-GB"/>
        </w:rPr>
        <w:t>;</w:t>
      </w:r>
      <w:proofErr w:type="gramEnd"/>
      <w:r w:rsidRPr="005950CC">
        <w:rPr>
          <w:szCs w:val="18"/>
          <w:lang w:val="en-GB"/>
        </w:rPr>
        <w:t xml:space="preserve"> Hitchings, R. “Only old ladies would do that”: Age stigma and older people’s strategies for dealing with winter cold. </w:t>
      </w:r>
      <w:r w:rsidRPr="005950CC">
        <w:rPr>
          <w:i/>
          <w:iCs/>
          <w:szCs w:val="18"/>
          <w:lang w:val="en-GB"/>
        </w:rPr>
        <w:t>Health Place</w:t>
      </w:r>
      <w:r w:rsidRPr="005950CC">
        <w:rPr>
          <w:szCs w:val="18"/>
          <w:lang w:val="en-GB"/>
        </w:rPr>
        <w:t xml:space="preserve"> </w:t>
      </w:r>
      <w:r w:rsidRPr="005950CC">
        <w:rPr>
          <w:b/>
          <w:bCs/>
          <w:szCs w:val="18"/>
          <w:lang w:val="en-GB"/>
        </w:rPr>
        <w:t>2011</w:t>
      </w:r>
      <w:r w:rsidRPr="005950CC">
        <w:rPr>
          <w:szCs w:val="18"/>
          <w:lang w:val="en-GB"/>
        </w:rPr>
        <w:t xml:space="preserve">, </w:t>
      </w:r>
      <w:r w:rsidRPr="005950CC">
        <w:rPr>
          <w:i/>
          <w:iCs/>
          <w:szCs w:val="18"/>
          <w:lang w:val="en-GB"/>
        </w:rPr>
        <w:t>17</w:t>
      </w:r>
      <w:r w:rsidRPr="005950CC">
        <w:rPr>
          <w:szCs w:val="18"/>
          <w:lang w:val="en-GB"/>
        </w:rPr>
        <w:t>, 885–894.</w:t>
      </w:r>
    </w:p>
    <w:p w14:paraId="51F4489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Disability Rights UK. Disability Rights UK Signs up to the Energy Revolution. Available online: </w:t>
      </w:r>
      <w:r w:rsidRPr="009108C8">
        <w:rPr>
          <w:spacing w:val="-4"/>
          <w:szCs w:val="18"/>
          <w:lang w:val="en-GB"/>
        </w:rPr>
        <w:t>https://www.disabilityrightsuk.org/policy-campaigns/campaigns/disability-rights-uk-signs-energy-revolution</w:t>
      </w:r>
      <w:r w:rsidRPr="005950CC">
        <w:rPr>
          <w:szCs w:val="18"/>
          <w:lang w:val="en-GB"/>
        </w:rPr>
        <w:t xml:space="preserve"> (accessed on 29 November 2012).</w:t>
      </w:r>
    </w:p>
    <w:p w14:paraId="2390A58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El Ansari, W.; El-Silimy, S. Are fuel poverty reduction schemes associated with decreased excess winter mortality in elders? A case study from London, U.K. </w:t>
      </w:r>
      <w:r w:rsidRPr="005950CC">
        <w:rPr>
          <w:i/>
          <w:iCs/>
          <w:szCs w:val="18"/>
          <w:lang w:val="en-GB"/>
        </w:rPr>
        <w:t>Chronic Illn.</w:t>
      </w:r>
      <w:r w:rsidRPr="005950CC">
        <w:rPr>
          <w:szCs w:val="18"/>
          <w:lang w:val="en-GB"/>
        </w:rPr>
        <w:t xml:space="preserve"> </w:t>
      </w:r>
      <w:r w:rsidRPr="005950CC">
        <w:rPr>
          <w:b/>
          <w:bCs/>
          <w:szCs w:val="18"/>
          <w:lang w:val="en-GB"/>
        </w:rPr>
        <w:t>2008</w:t>
      </w:r>
      <w:r w:rsidRPr="005950CC">
        <w:rPr>
          <w:szCs w:val="18"/>
          <w:lang w:val="en-GB"/>
        </w:rPr>
        <w:t xml:space="preserve">, </w:t>
      </w:r>
      <w:r w:rsidRPr="005950CC">
        <w:rPr>
          <w:i/>
          <w:iCs/>
          <w:szCs w:val="18"/>
          <w:lang w:val="en-GB"/>
        </w:rPr>
        <w:t>4</w:t>
      </w:r>
      <w:r w:rsidRPr="005950CC">
        <w:rPr>
          <w:szCs w:val="18"/>
          <w:lang w:val="en-GB"/>
        </w:rPr>
        <w:t>, 289–294.</w:t>
      </w:r>
    </w:p>
    <w:p w14:paraId="7F2A6D53" w14:textId="65A38212" w:rsidR="00C13FB8" w:rsidRPr="005950CC" w:rsidRDefault="00C13FB8" w:rsidP="00C13FB8">
      <w:pPr>
        <w:pStyle w:val="MDPI71References"/>
        <w:numPr>
          <w:ilvl w:val="0"/>
          <w:numId w:val="50"/>
        </w:numPr>
        <w:ind w:left="425" w:hanging="425"/>
        <w:rPr>
          <w:spacing w:val="-2"/>
          <w:szCs w:val="18"/>
          <w:lang w:val="en-GB"/>
        </w:rPr>
      </w:pPr>
      <w:r w:rsidRPr="005950CC">
        <w:rPr>
          <w:spacing w:val="-2"/>
          <w:szCs w:val="18"/>
          <w:lang w:val="en-GB"/>
        </w:rPr>
        <w:t xml:space="preserve">Goodman, P.; McAvoy, H.; Cotter, N.; Monahan, E.; Barrett, E.; Browne, S.; Zeke, A. </w:t>
      </w:r>
      <w:r w:rsidRPr="005950CC">
        <w:rPr>
          <w:i/>
          <w:iCs/>
          <w:spacing w:val="-2"/>
          <w:szCs w:val="18"/>
          <w:lang w:val="en-GB"/>
        </w:rPr>
        <w:t>Fuel Poverty, Older People and Cold weather: An All-Island Analysis</w:t>
      </w:r>
      <w:r w:rsidRPr="005950CC">
        <w:rPr>
          <w:spacing w:val="-2"/>
          <w:szCs w:val="18"/>
          <w:lang w:val="en-GB"/>
        </w:rPr>
        <w:t xml:space="preserve">; Dublin Institute of Technology: Dublin, </w:t>
      </w:r>
      <w:r w:rsidRPr="005950CC">
        <w:rPr>
          <w:spacing w:val="-2"/>
          <w:lang w:val="en-GB"/>
        </w:rPr>
        <w:t>Ireland,</w:t>
      </w:r>
      <w:r w:rsidRPr="005950CC">
        <w:rPr>
          <w:spacing w:val="-2"/>
          <w:szCs w:val="18"/>
          <w:lang w:val="en-GB"/>
        </w:rPr>
        <w:t xml:space="preserve"> 2011.</w:t>
      </w:r>
    </w:p>
    <w:p w14:paraId="19B10815"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Howden-Chapman, P. Housing standards: A glossary of housing and health. </w:t>
      </w:r>
      <w:r w:rsidRPr="005950CC">
        <w:rPr>
          <w:i/>
          <w:iCs/>
          <w:szCs w:val="18"/>
          <w:lang w:val="en-GB"/>
        </w:rPr>
        <w:t>J. Epidemiol. Community Health</w:t>
      </w:r>
      <w:r w:rsidRPr="005950CC">
        <w:rPr>
          <w:szCs w:val="18"/>
          <w:lang w:val="en-GB"/>
        </w:rPr>
        <w:t xml:space="preserve"> </w:t>
      </w:r>
      <w:r w:rsidRPr="005950CC">
        <w:rPr>
          <w:b/>
          <w:bCs/>
          <w:szCs w:val="18"/>
          <w:lang w:val="en-GB"/>
        </w:rPr>
        <w:t>2004</w:t>
      </w:r>
      <w:r w:rsidRPr="005950CC">
        <w:rPr>
          <w:szCs w:val="18"/>
          <w:lang w:val="en-GB"/>
        </w:rPr>
        <w:t xml:space="preserve">, </w:t>
      </w:r>
      <w:r w:rsidRPr="005950CC">
        <w:rPr>
          <w:i/>
          <w:iCs/>
          <w:szCs w:val="18"/>
          <w:lang w:val="en-GB"/>
        </w:rPr>
        <w:t>58</w:t>
      </w:r>
      <w:r w:rsidRPr="005950CC">
        <w:rPr>
          <w:szCs w:val="18"/>
          <w:lang w:val="en-GB"/>
        </w:rPr>
        <w:t>, 162–168.</w:t>
      </w:r>
    </w:p>
    <w:p w14:paraId="378FDC1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lastRenderedPageBreak/>
        <w:t xml:space="preserve">Stewart, J.; Habgood, V. Benefits of a health impact assessment in relation to fuel poverty: Assessing Luton’s Affordable Warmth Strategy and the need for a national mandatory strategy. </w:t>
      </w:r>
      <w:r w:rsidRPr="005950CC">
        <w:rPr>
          <w:i/>
          <w:iCs/>
          <w:szCs w:val="18"/>
          <w:lang w:val="en-GB"/>
        </w:rPr>
        <w:t>J. R. Soc. Promot. Health</w:t>
      </w:r>
      <w:r w:rsidRPr="005950CC">
        <w:rPr>
          <w:szCs w:val="18"/>
          <w:lang w:val="en-GB"/>
        </w:rPr>
        <w:t xml:space="preserve"> </w:t>
      </w:r>
      <w:r w:rsidRPr="005950CC">
        <w:rPr>
          <w:b/>
          <w:bCs/>
          <w:szCs w:val="18"/>
          <w:lang w:val="en-GB"/>
        </w:rPr>
        <w:t>2008</w:t>
      </w:r>
      <w:r w:rsidRPr="005950CC">
        <w:rPr>
          <w:szCs w:val="18"/>
          <w:lang w:val="en-GB"/>
        </w:rPr>
        <w:t xml:space="preserve">, </w:t>
      </w:r>
      <w:r w:rsidRPr="005950CC">
        <w:rPr>
          <w:i/>
          <w:iCs/>
          <w:szCs w:val="18"/>
          <w:lang w:val="en-GB"/>
        </w:rPr>
        <w:t>128</w:t>
      </w:r>
      <w:r w:rsidRPr="005950CC">
        <w:rPr>
          <w:szCs w:val="18"/>
          <w:lang w:val="en-GB"/>
        </w:rPr>
        <w:t>, 123–129.</w:t>
      </w:r>
    </w:p>
    <w:p w14:paraId="24FACBED"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Osman, L.M.; Ayres, J.G.; Garden, C.; Reglitz, K.; Lyon, J.; Douglas, J.G. Home warmth and health status of COPD patients. </w:t>
      </w:r>
      <w:r w:rsidRPr="005950CC">
        <w:rPr>
          <w:i/>
          <w:iCs/>
          <w:szCs w:val="18"/>
          <w:lang w:val="en-GB"/>
        </w:rPr>
        <w:t>Eur. J. Public Health</w:t>
      </w:r>
      <w:r w:rsidRPr="005950CC">
        <w:rPr>
          <w:szCs w:val="18"/>
          <w:lang w:val="en-GB"/>
        </w:rPr>
        <w:t xml:space="preserve"> </w:t>
      </w:r>
      <w:r w:rsidRPr="005950CC">
        <w:rPr>
          <w:b/>
          <w:bCs/>
          <w:szCs w:val="18"/>
          <w:lang w:val="en-GB"/>
        </w:rPr>
        <w:t>2008</w:t>
      </w:r>
      <w:r w:rsidRPr="005950CC">
        <w:rPr>
          <w:szCs w:val="18"/>
          <w:lang w:val="en-GB"/>
        </w:rPr>
        <w:t xml:space="preserve">, </w:t>
      </w:r>
      <w:r w:rsidRPr="005950CC">
        <w:rPr>
          <w:i/>
          <w:iCs/>
          <w:szCs w:val="18"/>
          <w:lang w:val="en-GB"/>
        </w:rPr>
        <w:t>18</w:t>
      </w:r>
      <w:r w:rsidRPr="005950CC">
        <w:rPr>
          <w:szCs w:val="18"/>
          <w:lang w:val="en-GB"/>
        </w:rPr>
        <w:t>, 399–405.</w:t>
      </w:r>
    </w:p>
    <w:p w14:paraId="446E02B6"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Ormandy, D.; Ezratty, V. Health and thermal comfort: From WHO guidance to housing strategies. </w:t>
      </w:r>
      <w:r w:rsidRPr="005950CC">
        <w:rPr>
          <w:i/>
          <w:iCs/>
          <w:szCs w:val="18"/>
          <w:lang w:val="en-GB"/>
        </w:rPr>
        <w:t>Energy Policy</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49</w:t>
      </w:r>
      <w:r w:rsidRPr="005950CC">
        <w:rPr>
          <w:szCs w:val="18"/>
          <w:lang w:val="en-GB"/>
        </w:rPr>
        <w:t>, 116–121.</w:t>
      </w:r>
    </w:p>
    <w:p w14:paraId="4B6AE21F"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Rudge, J.; Gilchrist, R. Excess winter morbidity among older people at risk of cold homes: A population-based study in a London borough. </w:t>
      </w:r>
      <w:r w:rsidRPr="005950CC">
        <w:rPr>
          <w:i/>
          <w:iCs/>
          <w:szCs w:val="18"/>
          <w:lang w:val="en-GB"/>
        </w:rPr>
        <w:t>J. Public Health</w:t>
      </w:r>
      <w:r w:rsidRPr="005950CC">
        <w:rPr>
          <w:szCs w:val="18"/>
          <w:lang w:val="en-GB"/>
        </w:rPr>
        <w:t xml:space="preserve"> </w:t>
      </w:r>
      <w:r w:rsidRPr="005950CC">
        <w:rPr>
          <w:b/>
          <w:bCs/>
          <w:szCs w:val="18"/>
          <w:lang w:val="en-GB"/>
        </w:rPr>
        <w:t>2005</w:t>
      </w:r>
      <w:r w:rsidRPr="005950CC">
        <w:rPr>
          <w:szCs w:val="18"/>
          <w:lang w:val="en-GB"/>
        </w:rPr>
        <w:t xml:space="preserve">, </w:t>
      </w:r>
      <w:r w:rsidRPr="005950CC">
        <w:rPr>
          <w:i/>
          <w:iCs/>
          <w:szCs w:val="18"/>
          <w:lang w:val="en-GB"/>
        </w:rPr>
        <w:t>27</w:t>
      </w:r>
      <w:r w:rsidRPr="005950CC">
        <w:rPr>
          <w:szCs w:val="18"/>
          <w:lang w:val="en-GB"/>
        </w:rPr>
        <w:t>, 353–358.</w:t>
      </w:r>
    </w:p>
    <w:p w14:paraId="5E71AF94" w14:textId="77777777" w:rsidR="00C13FB8" w:rsidRPr="005950CC" w:rsidRDefault="00C13FB8" w:rsidP="00C13FB8">
      <w:pPr>
        <w:pStyle w:val="MDPI71References"/>
        <w:numPr>
          <w:ilvl w:val="0"/>
          <w:numId w:val="50"/>
        </w:numPr>
        <w:ind w:left="425" w:hanging="425"/>
        <w:rPr>
          <w:spacing w:val="-4"/>
          <w:szCs w:val="18"/>
          <w:lang w:val="en-GB"/>
        </w:rPr>
      </w:pPr>
      <w:r w:rsidRPr="005950CC">
        <w:rPr>
          <w:szCs w:val="18"/>
          <w:lang w:val="en-GB"/>
        </w:rPr>
        <w:t xml:space="preserve">Bøkenes, L.; Mercer, J.B.; MacEvilly, S.; Andrews, J.F.; Bolle, R. Annual variations in indoor climate in the </w:t>
      </w:r>
      <w:r w:rsidRPr="005950CC">
        <w:rPr>
          <w:spacing w:val="-4"/>
          <w:szCs w:val="18"/>
          <w:lang w:val="en-GB"/>
        </w:rPr>
        <w:t xml:space="preserve">homes of elderly persons living in Dublin, Ireland and Tromsø, Norway. </w:t>
      </w:r>
      <w:r w:rsidRPr="005950CC">
        <w:rPr>
          <w:i/>
          <w:iCs/>
          <w:spacing w:val="-4"/>
          <w:szCs w:val="18"/>
          <w:lang w:val="en-GB"/>
        </w:rPr>
        <w:t>Eur. J. Public Health</w:t>
      </w:r>
      <w:r w:rsidRPr="005950CC">
        <w:rPr>
          <w:spacing w:val="-4"/>
          <w:szCs w:val="18"/>
          <w:lang w:val="en-GB"/>
        </w:rPr>
        <w:t xml:space="preserve"> </w:t>
      </w:r>
      <w:r w:rsidRPr="005950CC">
        <w:rPr>
          <w:b/>
          <w:bCs/>
          <w:spacing w:val="-4"/>
          <w:szCs w:val="18"/>
          <w:lang w:val="en-GB"/>
        </w:rPr>
        <w:t>2011</w:t>
      </w:r>
      <w:r w:rsidRPr="005950CC">
        <w:rPr>
          <w:spacing w:val="-4"/>
          <w:szCs w:val="18"/>
          <w:lang w:val="en-GB"/>
        </w:rPr>
        <w:t xml:space="preserve">, </w:t>
      </w:r>
      <w:r w:rsidRPr="005950CC">
        <w:rPr>
          <w:i/>
          <w:iCs/>
          <w:spacing w:val="-4"/>
          <w:szCs w:val="18"/>
          <w:lang w:val="en-GB"/>
        </w:rPr>
        <w:t>21</w:t>
      </w:r>
      <w:r w:rsidRPr="005950CC">
        <w:rPr>
          <w:spacing w:val="-4"/>
          <w:szCs w:val="18"/>
          <w:lang w:val="en-GB"/>
        </w:rPr>
        <w:t>, 526–531.</w:t>
      </w:r>
    </w:p>
    <w:p w14:paraId="4A69A552"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Department of Health. </w:t>
      </w:r>
      <w:r w:rsidRPr="005950CC">
        <w:rPr>
          <w:i/>
          <w:iCs/>
          <w:szCs w:val="18"/>
          <w:lang w:val="en-GB"/>
        </w:rPr>
        <w:t>How to Reduce the Risk of Seasonal Excess Deaths Systematically in Vulnerable Older People to Impact at Population Level</w:t>
      </w:r>
      <w:r w:rsidRPr="005950CC">
        <w:rPr>
          <w:szCs w:val="18"/>
          <w:lang w:val="en-GB"/>
        </w:rPr>
        <w:t>; Department of Health: London, UK, 2010.</w:t>
      </w:r>
    </w:p>
    <w:p w14:paraId="51F80B7C" w14:textId="360313E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Department of Health. </w:t>
      </w:r>
      <w:r w:rsidRPr="005950CC">
        <w:rPr>
          <w:i/>
          <w:iCs/>
          <w:szCs w:val="18"/>
          <w:lang w:val="en-GB"/>
        </w:rPr>
        <w:t xml:space="preserve">Improving Outcomes and Supporting Transparency: Part 1 </w:t>
      </w:r>
      <w:r w:rsidR="008D7858">
        <w:rPr>
          <w:i/>
          <w:iCs/>
          <w:szCs w:val="18"/>
          <w:lang w:val="en-GB"/>
        </w:rPr>
        <w:t>a</w:t>
      </w:r>
      <w:r w:rsidRPr="005950CC">
        <w:rPr>
          <w:i/>
          <w:iCs/>
          <w:szCs w:val="18"/>
          <w:lang w:val="en-GB"/>
        </w:rPr>
        <w:t xml:space="preserve"> Public Health Outcomes Framework for England 2013–2016</w:t>
      </w:r>
      <w:proofErr w:type="gramStart"/>
      <w:r w:rsidRPr="005950CC">
        <w:rPr>
          <w:szCs w:val="18"/>
          <w:lang w:val="en-GB"/>
        </w:rPr>
        <w:t>;</w:t>
      </w:r>
      <w:proofErr w:type="gramEnd"/>
      <w:r w:rsidRPr="005950CC">
        <w:rPr>
          <w:szCs w:val="18"/>
          <w:lang w:val="en-GB"/>
        </w:rPr>
        <w:t xml:space="preserve"> Department of Health: London, UK, 2012.</w:t>
      </w:r>
    </w:p>
    <w:p w14:paraId="33DD85F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Hales, S.; Blakely, T.; Foster, R.H.; Baker, M.G.; Howden-Chapman, P. Seasonal patterns of mortality in relation to social factors. </w:t>
      </w:r>
      <w:r w:rsidRPr="005950CC">
        <w:rPr>
          <w:i/>
          <w:iCs/>
          <w:szCs w:val="18"/>
          <w:lang w:val="en-GB"/>
        </w:rPr>
        <w:t>J. Epidemiol. Community Health</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66</w:t>
      </w:r>
      <w:r w:rsidRPr="005950CC">
        <w:rPr>
          <w:szCs w:val="18"/>
          <w:lang w:val="en-GB"/>
        </w:rPr>
        <w:t>, 379–384.</w:t>
      </w:r>
    </w:p>
    <w:p w14:paraId="5468259F"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Liddell, C.; Morris, C.; Thomson, H.; Guiney, C. Excess winter deaths in 30 European countries 1980–2013: A critical review of methods. </w:t>
      </w:r>
      <w:r w:rsidRPr="005950CC">
        <w:rPr>
          <w:i/>
          <w:iCs/>
          <w:szCs w:val="18"/>
          <w:lang w:val="en-GB"/>
        </w:rPr>
        <w:t>J. Public Health</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38</w:t>
      </w:r>
      <w:r w:rsidRPr="005950CC">
        <w:rPr>
          <w:szCs w:val="18"/>
          <w:lang w:val="en-GB"/>
        </w:rPr>
        <w:t>, 806–814.</w:t>
      </w:r>
    </w:p>
    <w:p w14:paraId="3A783202"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Fowler, T.; Southgate, R.J.; Waite, T.; Harrell, R.; Kovats, S.; Bone, A.; Doyle, Y.; Murray, V. Excess winter deaths in Europe: A multi-country descriptive analysis. </w:t>
      </w:r>
      <w:r w:rsidRPr="005950CC">
        <w:rPr>
          <w:i/>
          <w:iCs/>
          <w:szCs w:val="18"/>
          <w:lang w:val="en-GB"/>
        </w:rPr>
        <w:t>Eur. J. Public Health</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25</w:t>
      </w:r>
      <w:r w:rsidRPr="005950CC">
        <w:rPr>
          <w:szCs w:val="18"/>
          <w:lang w:val="en-GB"/>
        </w:rPr>
        <w:t>, 339–345.</w:t>
      </w:r>
    </w:p>
    <w:p w14:paraId="30234A1F"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Healy, J.D. Excess winter mortality in Europe: A </w:t>
      </w:r>
      <w:proofErr w:type="gramStart"/>
      <w:r w:rsidRPr="005950CC">
        <w:rPr>
          <w:szCs w:val="18"/>
          <w:lang w:val="en-GB"/>
        </w:rPr>
        <w:t>cross country</w:t>
      </w:r>
      <w:proofErr w:type="gramEnd"/>
      <w:r w:rsidRPr="005950CC">
        <w:rPr>
          <w:szCs w:val="18"/>
          <w:lang w:val="en-GB"/>
        </w:rPr>
        <w:t xml:space="preserve"> analysis identifying key risk factors. </w:t>
      </w:r>
      <w:r w:rsidRPr="005950CC">
        <w:rPr>
          <w:i/>
          <w:iCs/>
          <w:szCs w:val="18"/>
          <w:lang w:val="en-GB"/>
        </w:rPr>
        <w:t>J. Epidemiol. Community Health</w:t>
      </w:r>
      <w:r w:rsidRPr="005950CC">
        <w:rPr>
          <w:szCs w:val="18"/>
          <w:lang w:val="en-GB"/>
        </w:rPr>
        <w:t xml:space="preserve"> </w:t>
      </w:r>
      <w:r w:rsidRPr="005950CC">
        <w:rPr>
          <w:b/>
          <w:bCs/>
          <w:szCs w:val="18"/>
          <w:lang w:val="en-GB"/>
        </w:rPr>
        <w:t>2003</w:t>
      </w:r>
      <w:r w:rsidRPr="005950CC">
        <w:rPr>
          <w:szCs w:val="18"/>
          <w:lang w:val="en-GB"/>
        </w:rPr>
        <w:t xml:space="preserve">, </w:t>
      </w:r>
      <w:r w:rsidRPr="005950CC">
        <w:rPr>
          <w:i/>
          <w:iCs/>
          <w:szCs w:val="18"/>
          <w:lang w:val="en-GB"/>
        </w:rPr>
        <w:t>57</w:t>
      </w:r>
      <w:r w:rsidRPr="005950CC">
        <w:rPr>
          <w:szCs w:val="18"/>
          <w:lang w:val="en-GB"/>
        </w:rPr>
        <w:t>, 784–789.</w:t>
      </w:r>
    </w:p>
    <w:p w14:paraId="54DF6778"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Braubach, M.; Jacobs, D.E.; Ormandy, D. </w:t>
      </w:r>
      <w:r w:rsidRPr="005950CC">
        <w:rPr>
          <w:i/>
          <w:iCs/>
          <w:szCs w:val="18"/>
          <w:lang w:val="en-GB"/>
        </w:rPr>
        <w:t>Environmental Burden of Disease Associated with Inadequate Housing</w:t>
      </w:r>
      <w:r w:rsidRPr="005950CC">
        <w:rPr>
          <w:szCs w:val="18"/>
          <w:lang w:val="en-GB"/>
        </w:rPr>
        <w:t xml:space="preserve">; WHO Regional Office for Europe: Copenhagen, </w:t>
      </w:r>
      <w:r w:rsidRPr="005950CC">
        <w:rPr>
          <w:lang w:val="en-GB"/>
        </w:rPr>
        <w:t>Denmark,</w:t>
      </w:r>
      <w:r w:rsidRPr="005950CC">
        <w:rPr>
          <w:szCs w:val="18"/>
          <w:lang w:val="en-GB"/>
        </w:rPr>
        <w:t xml:space="preserve"> 2011.</w:t>
      </w:r>
    </w:p>
    <w:p w14:paraId="19914921"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Healy, J.D. </w:t>
      </w:r>
      <w:r w:rsidRPr="005950CC">
        <w:rPr>
          <w:i/>
          <w:iCs/>
          <w:szCs w:val="18"/>
          <w:lang w:val="en-GB"/>
        </w:rPr>
        <w:t>Housing, Fuel Poverty and Health: A Pan-European Analysis</w:t>
      </w:r>
      <w:r w:rsidRPr="005950CC">
        <w:rPr>
          <w:szCs w:val="18"/>
          <w:lang w:val="en-GB"/>
        </w:rPr>
        <w:t>; Ashgate: Aldershot, UK, 2004.</w:t>
      </w:r>
    </w:p>
    <w:p w14:paraId="75AF24FE" w14:textId="0D6879B8" w:rsidR="00C13FB8" w:rsidRPr="00426DAE" w:rsidRDefault="00C13FB8" w:rsidP="00C13FB8">
      <w:pPr>
        <w:pStyle w:val="MDPI71References"/>
        <w:numPr>
          <w:ilvl w:val="0"/>
          <w:numId w:val="50"/>
        </w:numPr>
        <w:ind w:left="425" w:hanging="425"/>
        <w:rPr>
          <w:szCs w:val="18"/>
          <w:lang w:val="en-GB"/>
        </w:rPr>
      </w:pPr>
      <w:r w:rsidRPr="00426DAE">
        <w:rPr>
          <w:szCs w:val="18"/>
          <w:lang w:val="en-GB"/>
        </w:rPr>
        <w:t xml:space="preserve">Eurofound. </w:t>
      </w:r>
      <w:r w:rsidRPr="00426DAE">
        <w:rPr>
          <w:i/>
          <w:szCs w:val="18"/>
          <w:lang w:val="en-GB"/>
        </w:rPr>
        <w:t>European Quality of Life Survey, 2011–2012 [Computer File]</w:t>
      </w:r>
      <w:r w:rsidRPr="00426DAE">
        <w:rPr>
          <w:szCs w:val="18"/>
          <w:lang w:val="en-GB"/>
        </w:rPr>
        <w:t xml:space="preserve">, 2nd ed.; UK Data Archive [distributor]: </w:t>
      </w:r>
      <w:r w:rsidRPr="00426DAE">
        <w:rPr>
          <w:lang w:val="en-GB"/>
        </w:rPr>
        <w:t>Colchester, UK,</w:t>
      </w:r>
      <w:r w:rsidRPr="00426DAE">
        <w:rPr>
          <w:szCs w:val="18"/>
          <w:lang w:val="en-GB"/>
        </w:rPr>
        <w:t xml:space="preserve"> January 2014</w:t>
      </w:r>
      <w:r w:rsidR="009108C8" w:rsidRPr="00426DAE">
        <w:rPr>
          <w:szCs w:val="18"/>
          <w:lang w:val="en-GB"/>
        </w:rPr>
        <w:t>.</w:t>
      </w:r>
    </w:p>
    <w:p w14:paraId="5B2B1257" w14:textId="3EA5376E"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Eurofound. </w:t>
      </w:r>
      <w:r w:rsidRPr="005950CC">
        <w:rPr>
          <w:i/>
          <w:iCs/>
          <w:szCs w:val="18"/>
          <w:lang w:val="en-GB"/>
        </w:rPr>
        <w:t>Second European Quality of Life Survey: Overview</w:t>
      </w:r>
      <w:proofErr w:type="gramStart"/>
      <w:r w:rsidRPr="005950CC">
        <w:rPr>
          <w:szCs w:val="18"/>
          <w:lang w:val="en-GB"/>
        </w:rPr>
        <w:t>;</w:t>
      </w:r>
      <w:proofErr w:type="gramEnd"/>
      <w:r w:rsidRPr="005950CC">
        <w:rPr>
          <w:szCs w:val="18"/>
          <w:lang w:val="en-GB"/>
        </w:rPr>
        <w:t xml:space="preserve"> Office for Official Publications of the European Communities: Luxembourg, 2009.</w:t>
      </w:r>
    </w:p>
    <w:p w14:paraId="1E6B8D5E" w14:textId="4A9AB7A8"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Eurofound. </w:t>
      </w:r>
      <w:r w:rsidRPr="005950CC">
        <w:rPr>
          <w:i/>
          <w:iCs/>
          <w:szCs w:val="18"/>
          <w:lang w:val="en-GB"/>
        </w:rPr>
        <w:t>Third European Quality of Life Survey—Quality of Life in Europe: Impacts of the Crisis</w:t>
      </w:r>
      <w:r w:rsidRPr="005950CC">
        <w:rPr>
          <w:szCs w:val="18"/>
          <w:lang w:val="en-GB"/>
        </w:rPr>
        <w:t>; Publications Office of the European Union: Luxembourg, 2012.</w:t>
      </w:r>
    </w:p>
    <w:p w14:paraId="1F1B08FF" w14:textId="021392E8"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Thomson, H.; Bouzarovski, S.; Snell, C. Rethinking the measurement of energy poverty in Europe: A critical analysis of indicators and data. </w:t>
      </w:r>
      <w:r w:rsidRPr="005950CC">
        <w:rPr>
          <w:i/>
          <w:iCs/>
          <w:szCs w:val="18"/>
          <w:lang w:val="en-GB"/>
        </w:rPr>
        <w:t>Indoor Built Environ.</w:t>
      </w:r>
      <w:r w:rsidRPr="005950CC">
        <w:rPr>
          <w:szCs w:val="18"/>
          <w:lang w:val="en-GB"/>
        </w:rPr>
        <w:t xml:space="preserve"> </w:t>
      </w:r>
      <w:r w:rsidRPr="005950CC">
        <w:rPr>
          <w:b/>
          <w:bCs/>
          <w:szCs w:val="18"/>
          <w:lang w:val="en-GB"/>
        </w:rPr>
        <w:t>2017</w:t>
      </w:r>
      <w:r w:rsidR="00895515" w:rsidRPr="005950CC">
        <w:rPr>
          <w:szCs w:val="18"/>
          <w:lang w:val="en-GB"/>
        </w:rPr>
        <w:t>,</w:t>
      </w:r>
      <w:r w:rsidRPr="005950CC">
        <w:rPr>
          <w:szCs w:val="18"/>
          <w:lang w:val="en-GB"/>
        </w:rPr>
        <w:t xml:space="preserve"> doi</w:t>
      </w:r>
      <w:proofErr w:type="gramStart"/>
      <w:r w:rsidRPr="005950CC">
        <w:rPr>
          <w:szCs w:val="18"/>
          <w:lang w:val="en-GB"/>
        </w:rPr>
        <w:t>:</w:t>
      </w:r>
      <w:r w:rsidRPr="005950CC">
        <w:rPr>
          <w:lang w:val="en-GB"/>
        </w:rPr>
        <w:t>10.1177</w:t>
      </w:r>
      <w:proofErr w:type="gramEnd"/>
      <w:r w:rsidRPr="005950CC">
        <w:rPr>
          <w:lang w:val="en-GB"/>
        </w:rPr>
        <w:t>/1420326X17699260</w:t>
      </w:r>
      <w:r w:rsidR="00895515" w:rsidRPr="005950CC">
        <w:rPr>
          <w:lang w:val="en-GB"/>
        </w:rPr>
        <w:t>.</w:t>
      </w:r>
    </w:p>
    <w:p w14:paraId="6B34DACD" w14:textId="0016B2F5"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Healy, J.D.; Clinch, J.P. </w:t>
      </w:r>
      <w:r w:rsidRPr="005950CC">
        <w:rPr>
          <w:i/>
          <w:iCs/>
          <w:szCs w:val="18"/>
          <w:lang w:val="en-GB"/>
        </w:rPr>
        <w:t xml:space="preserve">Fuel Poverty in Europe: A Cross-Country Analysis Using </w:t>
      </w:r>
      <w:r w:rsidR="00426DAE">
        <w:rPr>
          <w:i/>
          <w:iCs/>
          <w:szCs w:val="18"/>
          <w:lang w:val="en-GB"/>
        </w:rPr>
        <w:t>a</w:t>
      </w:r>
      <w:r w:rsidRPr="005950CC">
        <w:rPr>
          <w:i/>
          <w:iCs/>
          <w:szCs w:val="18"/>
          <w:lang w:val="en-GB"/>
        </w:rPr>
        <w:t xml:space="preserve"> New Composite Measure</w:t>
      </w:r>
      <w:r w:rsidRPr="005950CC">
        <w:rPr>
          <w:szCs w:val="18"/>
          <w:lang w:val="en-GB"/>
        </w:rPr>
        <w:t xml:space="preserve">; Environmental Studies Research Series; University College Dublin: </w:t>
      </w:r>
      <w:r w:rsidRPr="005950CC">
        <w:rPr>
          <w:lang w:val="en-GB"/>
        </w:rPr>
        <w:t>Dublin, Ireland,</w:t>
      </w:r>
      <w:r w:rsidRPr="005950CC">
        <w:rPr>
          <w:szCs w:val="18"/>
          <w:lang w:val="en-GB"/>
        </w:rPr>
        <w:t xml:space="preserve"> 2002.</w:t>
      </w:r>
    </w:p>
    <w:p w14:paraId="65BAE53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Dunn, S.L.; Arslanian-Engoren, C.; DeKoekkoek, T.; Jadack, R.; Scott, L.D. Secondary Data Analysis as an Efficient and Effective Approach to Nursing Research. </w:t>
      </w:r>
      <w:r w:rsidRPr="005950CC">
        <w:rPr>
          <w:i/>
          <w:iCs/>
          <w:szCs w:val="18"/>
          <w:lang w:val="en-GB"/>
        </w:rPr>
        <w:t>West. J. Nurs. Res.</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37</w:t>
      </w:r>
      <w:r w:rsidRPr="005950CC">
        <w:rPr>
          <w:szCs w:val="18"/>
          <w:lang w:val="en-GB"/>
        </w:rPr>
        <w:t>, 1295–1307.</w:t>
      </w:r>
    </w:p>
    <w:p w14:paraId="4DF7EA1C" w14:textId="26A6CE05"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Artazcoz, L.; Cortès, I.; Benavides, F.G.; Escribà-Agüir, V.; Bartoll, X.; Vargas, H.; Borrell, C. Long working hours and health in Europe: Gender and welfare state differences in a context of economic crisis. </w:t>
      </w:r>
      <w:r w:rsidRPr="005950CC">
        <w:rPr>
          <w:i/>
          <w:iCs/>
          <w:szCs w:val="18"/>
          <w:lang w:val="en-GB"/>
        </w:rPr>
        <w:t>Health Place</w:t>
      </w:r>
      <w:r w:rsidRPr="005950CC">
        <w:rPr>
          <w:szCs w:val="18"/>
          <w:lang w:val="en-GB"/>
        </w:rPr>
        <w:t xml:space="preserve"> </w:t>
      </w:r>
      <w:r w:rsidRPr="005950CC">
        <w:rPr>
          <w:b/>
          <w:bCs/>
          <w:szCs w:val="18"/>
          <w:lang w:val="en-GB"/>
        </w:rPr>
        <w:t>2016</w:t>
      </w:r>
      <w:r w:rsidRPr="005950CC">
        <w:rPr>
          <w:szCs w:val="18"/>
          <w:lang w:val="en-GB"/>
        </w:rPr>
        <w:t xml:space="preserve">, </w:t>
      </w:r>
      <w:r w:rsidRPr="005950CC">
        <w:rPr>
          <w:i/>
          <w:iCs/>
          <w:szCs w:val="18"/>
          <w:lang w:val="en-GB"/>
        </w:rPr>
        <w:t>40</w:t>
      </w:r>
      <w:r w:rsidRPr="005950CC">
        <w:rPr>
          <w:szCs w:val="18"/>
          <w:lang w:val="en-GB"/>
        </w:rPr>
        <w:t>, 161</w:t>
      </w:r>
      <w:r w:rsidR="000E710E" w:rsidRPr="005950CC">
        <w:rPr>
          <w:szCs w:val="18"/>
          <w:lang w:val="en-GB"/>
        </w:rPr>
        <w:t>–</w:t>
      </w:r>
      <w:r w:rsidRPr="005950CC">
        <w:rPr>
          <w:szCs w:val="18"/>
          <w:lang w:val="en-GB"/>
        </w:rPr>
        <w:t>168.</w:t>
      </w:r>
    </w:p>
    <w:p w14:paraId="3ADD156E"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Mulinari, S.; Bredström, A.; Merlo, J. Questioning the discriminatory accuracy of broad migrant categories in public health: Self-Rated health in Sweden. </w:t>
      </w:r>
      <w:r w:rsidRPr="005950CC">
        <w:rPr>
          <w:i/>
          <w:iCs/>
          <w:szCs w:val="18"/>
          <w:lang w:val="en-GB"/>
        </w:rPr>
        <w:t>Eur. J. Public Health</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25</w:t>
      </w:r>
      <w:r w:rsidRPr="005950CC">
        <w:rPr>
          <w:szCs w:val="18"/>
          <w:lang w:val="en-GB"/>
        </w:rPr>
        <w:t>, 911–917.</w:t>
      </w:r>
    </w:p>
    <w:p w14:paraId="4E8BEDF5"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Lundberg, O.; Manderbacka, K. Assessing reliability of a measure of self-rated health. </w:t>
      </w:r>
      <w:r w:rsidRPr="005950CC">
        <w:rPr>
          <w:i/>
          <w:iCs/>
          <w:szCs w:val="18"/>
          <w:lang w:val="en-GB"/>
        </w:rPr>
        <w:t>Scand. J. Soc. Med.</w:t>
      </w:r>
      <w:r w:rsidRPr="005950CC">
        <w:rPr>
          <w:szCs w:val="18"/>
          <w:lang w:val="en-GB"/>
        </w:rPr>
        <w:t xml:space="preserve"> </w:t>
      </w:r>
      <w:r w:rsidRPr="005950CC">
        <w:rPr>
          <w:b/>
          <w:bCs/>
          <w:szCs w:val="18"/>
          <w:lang w:val="en-GB"/>
        </w:rPr>
        <w:t>1996</w:t>
      </w:r>
      <w:r w:rsidRPr="005950CC">
        <w:rPr>
          <w:szCs w:val="18"/>
          <w:lang w:val="en-GB"/>
        </w:rPr>
        <w:t xml:space="preserve">, </w:t>
      </w:r>
      <w:r w:rsidRPr="005950CC">
        <w:rPr>
          <w:i/>
          <w:iCs/>
          <w:szCs w:val="18"/>
          <w:lang w:val="en-GB"/>
        </w:rPr>
        <w:t>24</w:t>
      </w:r>
      <w:r w:rsidRPr="005950CC">
        <w:rPr>
          <w:szCs w:val="18"/>
          <w:lang w:val="en-GB"/>
        </w:rPr>
        <w:t>, 218–224.</w:t>
      </w:r>
    </w:p>
    <w:p w14:paraId="6934B767"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Maheswaran, H.; Kupek, E.; Petrou, S. Self-reported health and socio-economic inequalities in England, 1996–2009: Repeated national cross-sectional study. </w:t>
      </w:r>
      <w:r w:rsidRPr="005950CC">
        <w:rPr>
          <w:i/>
          <w:iCs/>
          <w:szCs w:val="18"/>
          <w:lang w:val="en-GB"/>
        </w:rPr>
        <w:t>Soc. Sci. Med.</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136</w:t>
      </w:r>
      <w:r w:rsidRPr="005950CC">
        <w:rPr>
          <w:szCs w:val="18"/>
          <w:lang w:val="en-GB"/>
        </w:rPr>
        <w:t>–</w:t>
      </w:r>
      <w:r w:rsidRPr="005950CC">
        <w:rPr>
          <w:i/>
          <w:iCs/>
          <w:szCs w:val="18"/>
          <w:lang w:val="en-GB"/>
        </w:rPr>
        <w:t>137</w:t>
      </w:r>
      <w:r w:rsidRPr="005950CC">
        <w:rPr>
          <w:szCs w:val="18"/>
          <w:lang w:val="en-GB"/>
        </w:rPr>
        <w:t>, 135–146.</w:t>
      </w:r>
    </w:p>
    <w:p w14:paraId="266CDDBC"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Mishra, S.; Carleton, R.N. Subjective relative deprivation is associated with poorer physical and mental health. </w:t>
      </w:r>
      <w:r w:rsidRPr="005950CC">
        <w:rPr>
          <w:i/>
          <w:iCs/>
          <w:szCs w:val="18"/>
          <w:lang w:val="en-GB"/>
        </w:rPr>
        <w:t>Soc. Sci. Med.</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147</w:t>
      </w:r>
      <w:r w:rsidRPr="005950CC">
        <w:rPr>
          <w:szCs w:val="18"/>
          <w:lang w:val="en-GB"/>
        </w:rPr>
        <w:t>, 144–149.</w:t>
      </w:r>
    </w:p>
    <w:p w14:paraId="39833DAE"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Miilunpalo, S.; Vuori, I.; Oja, P.; Pasanen, M.; Urponen, H. Self-rated health status as a health measure: The predictive value of self-reported health status on the use of physician services and on mortality in the working-age population. </w:t>
      </w:r>
      <w:r w:rsidRPr="005950CC">
        <w:rPr>
          <w:i/>
          <w:iCs/>
          <w:szCs w:val="18"/>
          <w:lang w:val="en-GB"/>
        </w:rPr>
        <w:t>J. Clin. Epidemiol.</w:t>
      </w:r>
      <w:r w:rsidRPr="005950CC">
        <w:rPr>
          <w:szCs w:val="18"/>
          <w:lang w:val="en-GB"/>
        </w:rPr>
        <w:t xml:space="preserve"> </w:t>
      </w:r>
      <w:r w:rsidRPr="005950CC">
        <w:rPr>
          <w:b/>
          <w:bCs/>
          <w:szCs w:val="18"/>
          <w:lang w:val="en-GB"/>
        </w:rPr>
        <w:t>1997</w:t>
      </w:r>
      <w:r w:rsidRPr="005950CC">
        <w:rPr>
          <w:szCs w:val="18"/>
          <w:lang w:val="en-GB"/>
        </w:rPr>
        <w:t xml:space="preserve">, </w:t>
      </w:r>
      <w:r w:rsidRPr="005950CC">
        <w:rPr>
          <w:i/>
          <w:iCs/>
          <w:szCs w:val="18"/>
          <w:lang w:val="en-GB"/>
        </w:rPr>
        <w:t>50</w:t>
      </w:r>
      <w:r w:rsidRPr="005950CC">
        <w:rPr>
          <w:szCs w:val="18"/>
          <w:lang w:val="en-GB"/>
        </w:rPr>
        <w:t>, 517–528.</w:t>
      </w:r>
    </w:p>
    <w:p w14:paraId="7AE20184"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Mossey, J.M.; Shapiro, E. Self-rated health: A predictor of mortality among the elderly. </w:t>
      </w:r>
      <w:r w:rsidRPr="005950CC">
        <w:rPr>
          <w:i/>
          <w:iCs/>
          <w:szCs w:val="18"/>
          <w:lang w:val="en-GB"/>
        </w:rPr>
        <w:t>Am. J. Public Health</w:t>
      </w:r>
      <w:r w:rsidRPr="005950CC">
        <w:rPr>
          <w:szCs w:val="18"/>
          <w:lang w:val="en-GB"/>
        </w:rPr>
        <w:t xml:space="preserve"> </w:t>
      </w:r>
      <w:r w:rsidRPr="005950CC">
        <w:rPr>
          <w:b/>
          <w:bCs/>
          <w:szCs w:val="18"/>
          <w:lang w:val="en-GB"/>
        </w:rPr>
        <w:t>1982</w:t>
      </w:r>
      <w:r w:rsidRPr="005950CC">
        <w:rPr>
          <w:szCs w:val="18"/>
          <w:lang w:val="en-GB"/>
        </w:rPr>
        <w:t xml:space="preserve">, </w:t>
      </w:r>
      <w:r w:rsidRPr="005950CC">
        <w:rPr>
          <w:i/>
          <w:iCs/>
          <w:szCs w:val="18"/>
          <w:lang w:val="en-GB"/>
        </w:rPr>
        <w:t>72</w:t>
      </w:r>
      <w:r w:rsidRPr="005950CC">
        <w:rPr>
          <w:szCs w:val="18"/>
          <w:lang w:val="en-GB"/>
        </w:rPr>
        <w:t>, 800–808.</w:t>
      </w:r>
    </w:p>
    <w:p w14:paraId="4B6125D4" w14:textId="43F78594" w:rsidR="00C13FB8" w:rsidRPr="005950CC" w:rsidRDefault="00C13FB8" w:rsidP="00C13FB8">
      <w:pPr>
        <w:pStyle w:val="MDPI71References"/>
        <w:numPr>
          <w:ilvl w:val="0"/>
          <w:numId w:val="50"/>
        </w:numPr>
        <w:ind w:left="425" w:hanging="425"/>
        <w:rPr>
          <w:szCs w:val="18"/>
          <w:lang w:val="en-GB"/>
        </w:rPr>
      </w:pPr>
      <w:r w:rsidRPr="005950CC">
        <w:rPr>
          <w:szCs w:val="18"/>
          <w:lang w:val="en-GB"/>
        </w:rPr>
        <w:lastRenderedPageBreak/>
        <w:t xml:space="preserve">Eurostat. </w:t>
      </w:r>
      <w:r w:rsidRPr="005950CC">
        <w:rPr>
          <w:i/>
          <w:iCs/>
          <w:szCs w:val="18"/>
          <w:lang w:val="en-GB"/>
        </w:rPr>
        <w:t>Description of Target Variables: Cross-sectional and Longitudinal. EU-SILC 065/08</w:t>
      </w:r>
      <w:r w:rsidRPr="005950CC">
        <w:rPr>
          <w:szCs w:val="18"/>
          <w:lang w:val="en-GB"/>
        </w:rPr>
        <w:t>; Publications Office of the European Union: Luxembourg, 2010.</w:t>
      </w:r>
    </w:p>
    <w:p w14:paraId="68F52009"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Topp, C.W.; Østergaard, S.D.; Søndergaard, S.; Bech, P. The WHO-5 Well-Being Index: A systematic review of the literature. </w:t>
      </w:r>
      <w:r w:rsidRPr="005950CC">
        <w:rPr>
          <w:i/>
          <w:iCs/>
          <w:szCs w:val="18"/>
          <w:lang w:val="en-GB"/>
        </w:rPr>
        <w:t>Psychother. Psychosom.</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84</w:t>
      </w:r>
      <w:r w:rsidRPr="005950CC">
        <w:rPr>
          <w:szCs w:val="18"/>
          <w:lang w:val="en-GB"/>
        </w:rPr>
        <w:t>, 167–176.</w:t>
      </w:r>
    </w:p>
    <w:p w14:paraId="1EDAFA4C"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Krieger, T.; Zimmermann, J.; Huffziger, S.; Ubl, B.; Diener, C.; Kuehner, C.; Grosse Holtforth, M. Measuring depression with a well-being index: Further evidence for the validity of the WHO Well-Being Index (WHO-5) as a measure of the severity of depression. </w:t>
      </w:r>
      <w:r w:rsidRPr="005950CC">
        <w:rPr>
          <w:i/>
          <w:iCs/>
          <w:szCs w:val="18"/>
          <w:lang w:val="en-GB"/>
        </w:rPr>
        <w:t>J. Affect. Disord.</w:t>
      </w:r>
      <w:r w:rsidRPr="005950CC">
        <w:rPr>
          <w:szCs w:val="18"/>
          <w:lang w:val="en-GB"/>
        </w:rPr>
        <w:t xml:space="preserve"> </w:t>
      </w:r>
      <w:r w:rsidRPr="005950CC">
        <w:rPr>
          <w:b/>
          <w:bCs/>
          <w:szCs w:val="18"/>
          <w:lang w:val="en-GB"/>
        </w:rPr>
        <w:t>2014</w:t>
      </w:r>
      <w:r w:rsidRPr="005950CC">
        <w:rPr>
          <w:szCs w:val="18"/>
          <w:lang w:val="en-GB"/>
        </w:rPr>
        <w:t xml:space="preserve">, </w:t>
      </w:r>
      <w:r w:rsidRPr="005950CC">
        <w:rPr>
          <w:i/>
          <w:iCs/>
          <w:szCs w:val="18"/>
          <w:lang w:val="en-GB"/>
        </w:rPr>
        <w:t>156</w:t>
      </w:r>
      <w:r w:rsidRPr="005950CC">
        <w:rPr>
          <w:szCs w:val="18"/>
          <w:lang w:val="en-GB"/>
        </w:rPr>
        <w:t>, 240–244.</w:t>
      </w:r>
    </w:p>
    <w:p w14:paraId="51C10735"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McDowell, I. Measures of self-perceived </w:t>
      </w:r>
      <w:proofErr w:type="gramStart"/>
      <w:r w:rsidRPr="005950CC">
        <w:rPr>
          <w:szCs w:val="18"/>
          <w:lang w:val="en-GB"/>
        </w:rPr>
        <w:t>well-being</w:t>
      </w:r>
      <w:proofErr w:type="gramEnd"/>
      <w:r w:rsidRPr="005950CC">
        <w:rPr>
          <w:szCs w:val="18"/>
          <w:lang w:val="en-GB"/>
        </w:rPr>
        <w:t xml:space="preserve">. </w:t>
      </w:r>
      <w:r w:rsidRPr="005950CC">
        <w:rPr>
          <w:i/>
          <w:iCs/>
          <w:szCs w:val="18"/>
          <w:lang w:val="en-GB"/>
        </w:rPr>
        <w:t>J. Psychosom. Res.</w:t>
      </w:r>
      <w:r w:rsidRPr="005950CC">
        <w:rPr>
          <w:szCs w:val="18"/>
          <w:lang w:val="en-GB"/>
        </w:rPr>
        <w:t xml:space="preserve"> </w:t>
      </w:r>
      <w:r w:rsidRPr="005950CC">
        <w:rPr>
          <w:b/>
          <w:bCs/>
          <w:szCs w:val="18"/>
          <w:lang w:val="en-GB"/>
        </w:rPr>
        <w:t>2010</w:t>
      </w:r>
      <w:r w:rsidRPr="005950CC">
        <w:rPr>
          <w:szCs w:val="18"/>
          <w:lang w:val="en-GB"/>
        </w:rPr>
        <w:t xml:space="preserve">, </w:t>
      </w:r>
      <w:r w:rsidRPr="005950CC">
        <w:rPr>
          <w:i/>
          <w:iCs/>
          <w:szCs w:val="18"/>
          <w:lang w:val="en-GB"/>
        </w:rPr>
        <w:t>69</w:t>
      </w:r>
      <w:r w:rsidRPr="005950CC">
        <w:rPr>
          <w:szCs w:val="18"/>
          <w:lang w:val="en-GB"/>
        </w:rPr>
        <w:t>, 69–79.</w:t>
      </w:r>
    </w:p>
    <w:p w14:paraId="753E4EAC" w14:textId="738EBE68" w:rsidR="00C13FB8" w:rsidRPr="005950CC" w:rsidRDefault="00426DAE" w:rsidP="00C13FB8">
      <w:pPr>
        <w:pStyle w:val="MDPI71References"/>
        <w:numPr>
          <w:ilvl w:val="0"/>
          <w:numId w:val="50"/>
        </w:numPr>
        <w:ind w:left="425" w:hanging="425"/>
        <w:rPr>
          <w:szCs w:val="18"/>
          <w:lang w:val="en-GB"/>
        </w:rPr>
      </w:pPr>
      <w:r w:rsidRPr="005950CC">
        <w:rPr>
          <w:szCs w:val="18"/>
          <w:lang w:val="en-GB"/>
        </w:rPr>
        <w:t>D</w:t>
      </w:r>
      <w:r w:rsidR="00C13FB8" w:rsidRPr="005950CC">
        <w:rPr>
          <w:szCs w:val="18"/>
          <w:lang w:val="en-GB"/>
        </w:rPr>
        <w:t xml:space="preserve">e Wit, M.; Pouwer, F.; Gemke, R.J.; Delemarre-van de Waal, H.A.; Snoek, F.J. Validation of the WHO-5 Well-Being Index in adolescents with type 1 diabetes. </w:t>
      </w:r>
      <w:r w:rsidR="00C13FB8" w:rsidRPr="005950CC">
        <w:rPr>
          <w:i/>
          <w:iCs/>
          <w:szCs w:val="18"/>
          <w:lang w:val="en-GB"/>
        </w:rPr>
        <w:t>Diabetes Care</w:t>
      </w:r>
      <w:r w:rsidR="00C13FB8" w:rsidRPr="005950CC">
        <w:rPr>
          <w:szCs w:val="18"/>
          <w:lang w:val="en-GB"/>
        </w:rPr>
        <w:t xml:space="preserve"> </w:t>
      </w:r>
      <w:r w:rsidR="00C13FB8" w:rsidRPr="005950CC">
        <w:rPr>
          <w:b/>
          <w:bCs/>
          <w:szCs w:val="18"/>
          <w:lang w:val="en-GB"/>
        </w:rPr>
        <w:t>2007</w:t>
      </w:r>
      <w:r w:rsidR="00C13FB8" w:rsidRPr="005950CC">
        <w:rPr>
          <w:szCs w:val="18"/>
          <w:lang w:val="en-GB"/>
        </w:rPr>
        <w:t xml:space="preserve">, </w:t>
      </w:r>
      <w:r w:rsidR="00C13FB8" w:rsidRPr="005950CC">
        <w:rPr>
          <w:i/>
          <w:iCs/>
          <w:szCs w:val="18"/>
          <w:lang w:val="en-GB"/>
        </w:rPr>
        <w:t>30</w:t>
      </w:r>
      <w:r w:rsidR="00C13FB8" w:rsidRPr="005950CC">
        <w:rPr>
          <w:szCs w:val="18"/>
          <w:lang w:val="en-GB"/>
        </w:rPr>
        <w:t>, 2003–2006.</w:t>
      </w:r>
    </w:p>
    <w:p w14:paraId="725D1531"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Dreger, C.; Lopez-Bazo, E.; Ramos, R.; Royuela, V.; Surinach, J. </w:t>
      </w:r>
      <w:r w:rsidRPr="005950CC">
        <w:rPr>
          <w:i/>
          <w:iCs/>
          <w:szCs w:val="18"/>
          <w:lang w:val="en-GB"/>
        </w:rPr>
        <w:t>Wage and Income Inequality in the European Union</w:t>
      </w:r>
      <w:r w:rsidRPr="005950CC">
        <w:rPr>
          <w:szCs w:val="18"/>
          <w:lang w:val="en-GB"/>
        </w:rPr>
        <w:t>; European Union: Brussels, Belgium, 2015.</w:t>
      </w:r>
    </w:p>
    <w:p w14:paraId="7802EA9D"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Smith, H.J.; Huo, Y.J. Relative Deprivation: How Subjective Experiences of Inequality Influence Social Behavior and Health. </w:t>
      </w:r>
      <w:r w:rsidRPr="005950CC">
        <w:rPr>
          <w:i/>
          <w:iCs/>
          <w:szCs w:val="18"/>
          <w:lang w:val="en-GB"/>
        </w:rPr>
        <w:t>Policy Insights Behav. Brain Sci.</w:t>
      </w:r>
      <w:r w:rsidRPr="005950CC">
        <w:rPr>
          <w:szCs w:val="18"/>
          <w:lang w:val="en-GB"/>
        </w:rPr>
        <w:t xml:space="preserve"> </w:t>
      </w:r>
      <w:r w:rsidRPr="005950CC">
        <w:rPr>
          <w:b/>
          <w:bCs/>
          <w:szCs w:val="18"/>
          <w:lang w:val="en-GB"/>
        </w:rPr>
        <w:t>2014</w:t>
      </w:r>
      <w:r w:rsidRPr="005950CC">
        <w:rPr>
          <w:szCs w:val="18"/>
          <w:lang w:val="en-GB"/>
        </w:rPr>
        <w:t xml:space="preserve">, </w:t>
      </w:r>
      <w:r w:rsidRPr="005950CC">
        <w:rPr>
          <w:i/>
          <w:iCs/>
          <w:szCs w:val="18"/>
          <w:lang w:val="en-GB"/>
        </w:rPr>
        <w:t>1</w:t>
      </w:r>
      <w:r w:rsidRPr="005950CC">
        <w:rPr>
          <w:szCs w:val="18"/>
          <w:lang w:val="en-GB"/>
        </w:rPr>
        <w:t>, 231–238.</w:t>
      </w:r>
    </w:p>
    <w:p w14:paraId="22EF85F1" w14:textId="0E9D03E5" w:rsidR="00C13FB8" w:rsidRPr="005950CC" w:rsidRDefault="00C13FB8" w:rsidP="00C13FB8">
      <w:pPr>
        <w:pStyle w:val="MDPI71References"/>
        <w:numPr>
          <w:ilvl w:val="0"/>
          <w:numId w:val="50"/>
        </w:numPr>
        <w:ind w:left="425" w:hanging="425"/>
        <w:rPr>
          <w:szCs w:val="18"/>
          <w:lang w:val="en-GB"/>
        </w:rPr>
      </w:pPr>
      <w:r w:rsidRPr="005950CC">
        <w:rPr>
          <w:szCs w:val="18"/>
          <w:lang w:val="en-GB"/>
        </w:rPr>
        <w:t>Åberg Yngwe, M.; Kondo, N.; Hägg, S.; Kawachi, I. Relative deprivation and mortality—</w:t>
      </w:r>
      <w:r w:rsidR="00426DAE" w:rsidRPr="005950CC">
        <w:rPr>
          <w:szCs w:val="18"/>
          <w:lang w:val="en-GB"/>
        </w:rPr>
        <w:t>A</w:t>
      </w:r>
      <w:r w:rsidRPr="005950CC">
        <w:rPr>
          <w:szCs w:val="18"/>
          <w:lang w:val="en-GB"/>
        </w:rPr>
        <w:t xml:space="preserve"> longitudinal study in a Swedish population of 4.7 million, 1990–2006. </w:t>
      </w:r>
      <w:r w:rsidRPr="005950CC">
        <w:rPr>
          <w:i/>
          <w:iCs/>
          <w:szCs w:val="18"/>
          <w:lang w:val="en-GB"/>
        </w:rPr>
        <w:t>BMC Public Health</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12</w:t>
      </w:r>
      <w:r w:rsidRPr="005950CC">
        <w:rPr>
          <w:szCs w:val="18"/>
          <w:lang w:val="en-GB"/>
        </w:rPr>
        <w:t>, 664.</w:t>
      </w:r>
    </w:p>
    <w:p w14:paraId="59F24099" w14:textId="03A8CAAE" w:rsidR="00C13FB8" w:rsidRPr="005950CC" w:rsidRDefault="001602E3" w:rsidP="005950CC">
      <w:pPr>
        <w:pStyle w:val="CommentText"/>
        <w:numPr>
          <w:ilvl w:val="0"/>
          <w:numId w:val="50"/>
        </w:numPr>
        <w:adjustRightInd w:val="0"/>
        <w:snapToGrid w:val="0"/>
        <w:spacing w:line="260" w:lineRule="atLeast"/>
        <w:ind w:left="425" w:hanging="425"/>
        <w:rPr>
          <w:rFonts w:ascii="Palatino Linotype" w:hAnsi="Palatino Linotype"/>
          <w:snapToGrid w:val="0"/>
          <w:sz w:val="18"/>
          <w:szCs w:val="18"/>
          <w:lang w:val="en-GB" w:bidi="en-US"/>
        </w:rPr>
      </w:pPr>
      <w:r w:rsidRPr="005950CC">
        <w:rPr>
          <w:rFonts w:ascii="Palatino Linotype" w:hAnsi="Palatino Linotype"/>
          <w:snapToGrid w:val="0"/>
          <w:sz w:val="18"/>
          <w:szCs w:val="18"/>
          <w:lang w:val="en-GB" w:bidi="en-US"/>
        </w:rPr>
        <w:t xml:space="preserve">Tkalec, T.; Živčič, L. Report on National Situation in the Field of Energy Poverty: Slovenia. Available online: </w:t>
      </w:r>
      <w:hyperlink r:id="rId15" w:history="1">
        <w:r w:rsidRPr="005950CC">
          <w:rPr>
            <w:rFonts w:ascii="Palatino Linotype" w:hAnsi="Palatino Linotype"/>
            <w:snapToGrid w:val="0"/>
            <w:sz w:val="18"/>
            <w:szCs w:val="18"/>
            <w:lang w:val="en-GB" w:bidi="en-US"/>
          </w:rPr>
          <w:t>http://reach-energy.eu/wordpress/wp-content/uploads/2014/12/D2.2-Focus_EN.pdf</w:t>
        </w:r>
      </w:hyperlink>
      <w:r w:rsidRPr="005950CC">
        <w:rPr>
          <w:rFonts w:ascii="Palatino Linotype" w:hAnsi="Palatino Linotype"/>
          <w:snapToGrid w:val="0"/>
          <w:sz w:val="18"/>
          <w:szCs w:val="18"/>
          <w:lang w:val="en-GB" w:bidi="en-US"/>
        </w:rPr>
        <w:t xml:space="preserve"> (accessed on 20 June 2016)</w:t>
      </w:r>
      <w:r w:rsidR="005950CC" w:rsidRPr="005950CC">
        <w:rPr>
          <w:rFonts w:ascii="Palatino Linotype" w:hAnsi="Palatino Linotype"/>
          <w:snapToGrid w:val="0"/>
          <w:sz w:val="18"/>
          <w:szCs w:val="18"/>
          <w:lang w:val="en-GB" w:bidi="en-US"/>
        </w:rPr>
        <w:t>.</w:t>
      </w:r>
    </w:p>
    <w:p w14:paraId="3DA50373"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Friberg, D. The Swedish policy case for Cogeneration and District Heating. In Proceedings of the National snapshot of DH and CHP IEA, Paris, France, 12–13 February 2013.</w:t>
      </w:r>
    </w:p>
    <w:p w14:paraId="7E8232C2"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Euroheat &amp; Power. </w:t>
      </w:r>
      <w:r w:rsidRPr="005950CC">
        <w:rPr>
          <w:i/>
          <w:iCs/>
          <w:szCs w:val="18"/>
          <w:lang w:val="en-GB"/>
        </w:rPr>
        <w:t>Statistics Overview 2013</w:t>
      </w:r>
      <w:r w:rsidRPr="005950CC">
        <w:rPr>
          <w:szCs w:val="18"/>
          <w:lang w:val="en-GB"/>
        </w:rPr>
        <w:t xml:space="preserve">; Euroheat &amp; Power: Brussels, </w:t>
      </w:r>
      <w:r w:rsidRPr="005950CC">
        <w:rPr>
          <w:lang w:val="en-GB"/>
        </w:rPr>
        <w:t>Belgium,</w:t>
      </w:r>
      <w:r w:rsidRPr="005950CC">
        <w:rPr>
          <w:szCs w:val="18"/>
          <w:lang w:val="en-GB"/>
        </w:rPr>
        <w:t xml:space="preserve"> 2015.</w:t>
      </w:r>
    </w:p>
    <w:p w14:paraId="63E23077"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Tirado Herrero, S.; Ürge-Vorsatz, D. Trapped in the heat: A post-communist type of fuel poverty. </w:t>
      </w:r>
      <w:r w:rsidRPr="005950CC">
        <w:rPr>
          <w:i/>
          <w:iCs/>
          <w:szCs w:val="18"/>
          <w:lang w:val="en-GB"/>
        </w:rPr>
        <w:t>Energy Policy</w:t>
      </w:r>
      <w:r w:rsidRPr="005950CC">
        <w:rPr>
          <w:szCs w:val="18"/>
          <w:lang w:val="en-GB"/>
        </w:rPr>
        <w:t xml:space="preserve"> </w:t>
      </w:r>
      <w:r w:rsidRPr="005950CC">
        <w:rPr>
          <w:b/>
          <w:bCs/>
          <w:szCs w:val="18"/>
          <w:lang w:val="en-GB"/>
        </w:rPr>
        <w:t>2012</w:t>
      </w:r>
      <w:r w:rsidRPr="005950CC">
        <w:rPr>
          <w:szCs w:val="18"/>
          <w:lang w:val="en-GB"/>
        </w:rPr>
        <w:t xml:space="preserve">, </w:t>
      </w:r>
      <w:r w:rsidRPr="005950CC">
        <w:rPr>
          <w:i/>
          <w:iCs/>
          <w:szCs w:val="18"/>
          <w:lang w:val="en-GB"/>
        </w:rPr>
        <w:t>49</w:t>
      </w:r>
      <w:r w:rsidRPr="005950CC">
        <w:rPr>
          <w:szCs w:val="18"/>
          <w:lang w:val="en-GB"/>
        </w:rPr>
        <w:t>, 60–68.</w:t>
      </w:r>
    </w:p>
    <w:p w14:paraId="776A25F6"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Lindén, A</w:t>
      </w:r>
      <w:proofErr w:type="gramStart"/>
      <w:r w:rsidRPr="005950CC">
        <w:rPr>
          <w:szCs w:val="18"/>
          <w:lang w:val="en-GB"/>
        </w:rPr>
        <w:t>.-</w:t>
      </w:r>
      <w:proofErr w:type="gramEnd"/>
      <w:r w:rsidRPr="005950CC">
        <w:rPr>
          <w:szCs w:val="18"/>
          <w:lang w:val="en-GB"/>
        </w:rPr>
        <w:t xml:space="preserve">L.; Carlsson-Kanyama, A.; Eriksson, B. Efficient and inefficient aspects of residential energy behaviour: What are the policy instruments for change? </w:t>
      </w:r>
      <w:r w:rsidRPr="005950CC">
        <w:rPr>
          <w:i/>
          <w:iCs/>
          <w:szCs w:val="18"/>
          <w:lang w:val="en-GB"/>
        </w:rPr>
        <w:t>Energy Policy</w:t>
      </w:r>
      <w:r w:rsidRPr="005950CC">
        <w:rPr>
          <w:szCs w:val="18"/>
          <w:lang w:val="en-GB"/>
        </w:rPr>
        <w:t xml:space="preserve"> </w:t>
      </w:r>
      <w:r w:rsidRPr="005950CC">
        <w:rPr>
          <w:b/>
          <w:bCs/>
          <w:szCs w:val="18"/>
          <w:lang w:val="en-GB"/>
        </w:rPr>
        <w:t>2006</w:t>
      </w:r>
      <w:r w:rsidRPr="005950CC">
        <w:rPr>
          <w:szCs w:val="18"/>
          <w:lang w:val="en-GB"/>
        </w:rPr>
        <w:t xml:space="preserve">, </w:t>
      </w:r>
      <w:r w:rsidRPr="005950CC">
        <w:rPr>
          <w:i/>
          <w:iCs/>
          <w:szCs w:val="18"/>
          <w:lang w:val="en-GB"/>
        </w:rPr>
        <w:t>34</w:t>
      </w:r>
      <w:r w:rsidRPr="005950CC">
        <w:rPr>
          <w:szCs w:val="18"/>
          <w:lang w:val="en-GB"/>
        </w:rPr>
        <w:t>, 1918–1927.</w:t>
      </w:r>
    </w:p>
    <w:p w14:paraId="3E3F3B50" w14:textId="77777777" w:rsidR="00C13FB8" w:rsidRPr="005950CC" w:rsidRDefault="00C13FB8" w:rsidP="00C13FB8">
      <w:pPr>
        <w:pStyle w:val="MDPI71References"/>
        <w:numPr>
          <w:ilvl w:val="0"/>
          <w:numId w:val="50"/>
        </w:numPr>
        <w:ind w:left="425" w:hanging="425"/>
        <w:rPr>
          <w:szCs w:val="18"/>
          <w:lang w:val="en-GB"/>
        </w:rPr>
      </w:pPr>
      <w:r w:rsidRPr="005950CC">
        <w:rPr>
          <w:szCs w:val="18"/>
          <w:lang w:val="en-GB"/>
        </w:rPr>
        <w:t xml:space="preserve">Thomson, H.; Liddell, C. The suitability of wood pellet heating for domestic households: A review of </w:t>
      </w:r>
      <w:proofErr w:type="gramStart"/>
      <w:r w:rsidRPr="005950CC">
        <w:rPr>
          <w:szCs w:val="18"/>
          <w:lang w:val="en-GB"/>
        </w:rPr>
        <w:t>literature</w:t>
      </w:r>
      <w:proofErr w:type="gramEnd"/>
      <w:r w:rsidRPr="005950CC">
        <w:rPr>
          <w:szCs w:val="18"/>
          <w:lang w:val="en-GB"/>
        </w:rPr>
        <w:t xml:space="preserve">. </w:t>
      </w:r>
      <w:r w:rsidRPr="005950CC">
        <w:rPr>
          <w:i/>
          <w:iCs/>
          <w:szCs w:val="18"/>
          <w:lang w:val="en-GB"/>
        </w:rPr>
        <w:t>Renew. Sustain. Energy Rev.</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42</w:t>
      </w:r>
      <w:r w:rsidRPr="005950CC">
        <w:rPr>
          <w:szCs w:val="18"/>
          <w:lang w:val="en-GB"/>
        </w:rPr>
        <w:t>, 1362–1369.</w:t>
      </w:r>
    </w:p>
    <w:p w14:paraId="1AD34A1A" w14:textId="77777777" w:rsidR="00C13FB8" w:rsidRPr="005950CC" w:rsidRDefault="00C13FB8" w:rsidP="00C13FB8">
      <w:pPr>
        <w:pStyle w:val="MDPI71References"/>
        <w:numPr>
          <w:ilvl w:val="0"/>
          <w:numId w:val="50"/>
        </w:numPr>
        <w:spacing w:after="240"/>
        <w:ind w:left="425" w:hanging="425"/>
        <w:rPr>
          <w:szCs w:val="18"/>
          <w:lang w:val="en-GB"/>
        </w:rPr>
      </w:pPr>
      <w:r w:rsidRPr="005950CC">
        <w:rPr>
          <w:szCs w:val="18"/>
          <w:lang w:val="en-GB"/>
        </w:rPr>
        <w:t xml:space="preserve">Hamilton, I.; Milner, J.; Chalabi, Z.; Das, P.; Jones, B.; Shrubsole, C.; Davies, M.; Wilkinson, P. Health effects of home energy efficiency interventions in England: A modelling study. </w:t>
      </w:r>
      <w:r w:rsidRPr="005950CC">
        <w:rPr>
          <w:i/>
          <w:iCs/>
          <w:szCs w:val="18"/>
          <w:lang w:val="en-GB"/>
        </w:rPr>
        <w:t>BMJ Open</w:t>
      </w:r>
      <w:r w:rsidRPr="005950CC">
        <w:rPr>
          <w:szCs w:val="18"/>
          <w:lang w:val="en-GB"/>
        </w:rPr>
        <w:t xml:space="preserve"> </w:t>
      </w:r>
      <w:r w:rsidRPr="005950CC">
        <w:rPr>
          <w:b/>
          <w:bCs/>
          <w:szCs w:val="18"/>
          <w:lang w:val="en-GB"/>
        </w:rPr>
        <w:t>2015</w:t>
      </w:r>
      <w:r w:rsidRPr="005950CC">
        <w:rPr>
          <w:szCs w:val="18"/>
          <w:lang w:val="en-GB"/>
        </w:rPr>
        <w:t xml:space="preserve">, </w:t>
      </w:r>
      <w:r w:rsidRPr="005950CC">
        <w:rPr>
          <w:i/>
          <w:iCs/>
          <w:szCs w:val="18"/>
          <w:lang w:val="en-GB"/>
        </w:rPr>
        <w:t>5</w:t>
      </w:r>
      <w:r w:rsidRPr="005950CC">
        <w:rPr>
          <w:szCs w:val="18"/>
          <w:lang w:val="en-GB"/>
        </w:rPr>
        <w:t>, e007298.</w:t>
      </w:r>
    </w:p>
    <w:p w14:paraId="36CE7959" w14:textId="2388E7BB" w:rsidR="00C13FB8" w:rsidRPr="002B5544" w:rsidRDefault="00C13FB8" w:rsidP="00C13FB8">
      <w:pPr>
        <w:pStyle w:val="MDPI71References"/>
        <w:numPr>
          <w:ilvl w:val="0"/>
          <w:numId w:val="0"/>
        </w:numPr>
        <w:spacing w:before="240"/>
        <w:ind w:left="425" w:hanging="425"/>
        <w:rPr>
          <w:rFonts w:eastAsiaTheme="minorEastAsia"/>
          <w:lang w:val="en-GB"/>
        </w:rPr>
      </w:pPr>
      <w:bookmarkStart w:id="0" w:name="OLE_LINK3"/>
      <w:bookmarkStart w:id="1" w:name="_GoBack"/>
      <w:bookmarkEnd w:id="1"/>
      <w:proofErr w:type="gramStart"/>
      <w:r w:rsidRPr="005950CC">
        <w:rPr>
          <w:szCs w:val="18"/>
          <w:lang w:val="en-GB"/>
        </w:rPr>
        <w:t>© 2017 by the authors.</w:t>
      </w:r>
      <w:proofErr w:type="gramEnd"/>
      <w:r w:rsidRPr="005950CC">
        <w:rPr>
          <w:szCs w:val="18"/>
          <w:lang w:val="en-GB"/>
        </w:rPr>
        <w:t xml:space="preserve"> Submitted for possible open access publication under the </w:t>
      </w:r>
      <w:r w:rsidRPr="005950CC">
        <w:rPr>
          <w:szCs w:val="18"/>
          <w:lang w:val="en-GB"/>
        </w:rPr>
        <w:br/>
        <w:t>terms and conditions of the Creative Commons Attribution (CC BY) license (http://creativecommons.org/licenses/by/4.0/).</w:t>
      </w:r>
      <w:bookmarkEnd w:id="0"/>
    </w:p>
    <w:sectPr w:rsidR="00C13FB8" w:rsidRPr="002B5544" w:rsidSect="0073761B">
      <w:headerReference w:type="even" r:id="rId16"/>
      <w:headerReference w:type="default" r:id="rId17"/>
      <w:footerReference w:type="default" r:id="rId18"/>
      <w:headerReference w:type="first" r:id="rId19"/>
      <w:footerReference w:type="first" r:id="rId20"/>
      <w:type w:val="continuous"/>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3413" w14:textId="77777777" w:rsidR="00A96CF5" w:rsidRDefault="00A96CF5" w:rsidP="00C1340D">
      <w:r>
        <w:separator/>
      </w:r>
    </w:p>
  </w:endnote>
  <w:endnote w:type="continuationSeparator" w:id="0">
    <w:p w14:paraId="01505C07" w14:textId="77777777" w:rsidR="00A96CF5" w:rsidRDefault="00A96CF5"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81E02" w14:textId="77777777" w:rsidR="009108C8" w:rsidRPr="00590BF9" w:rsidRDefault="009108C8" w:rsidP="00590BF9">
    <w:pPr>
      <w:pStyle w:val="Footer"/>
      <w:spacing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717389558"/>
      <w:docPartObj>
        <w:docPartGallery w:val="Page Numbers (Top of Page)"/>
        <w:docPartUnique/>
      </w:docPartObj>
    </w:sdtPr>
    <w:sdtEndPr>
      <w:rPr>
        <w:i w:val="0"/>
      </w:rPr>
    </w:sdtEndPr>
    <w:sdtContent>
      <w:p w14:paraId="46D09C97" w14:textId="6678B0F1" w:rsidR="009108C8" w:rsidRPr="008B308E" w:rsidRDefault="0099256A" w:rsidP="00391035">
        <w:pPr>
          <w:pStyle w:val="MDPIfooterfirstpage"/>
          <w:rPr>
            <w:lang w:val="fr-CH"/>
          </w:rP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F3814" w14:textId="77777777" w:rsidR="00A96CF5" w:rsidRDefault="00A96CF5" w:rsidP="00C1340D">
      <w:r>
        <w:separator/>
      </w:r>
    </w:p>
  </w:footnote>
  <w:footnote w:type="continuationSeparator" w:id="0">
    <w:p w14:paraId="22DEE380" w14:textId="77777777" w:rsidR="00A96CF5" w:rsidRDefault="00A96CF5" w:rsidP="00C134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5A20F" w14:textId="77777777" w:rsidR="009108C8" w:rsidRDefault="009108C8" w:rsidP="00225F3F">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B3AE5" w14:textId="3F2903F0" w:rsidR="009108C8" w:rsidRPr="00305CED" w:rsidRDefault="009108C8" w:rsidP="00305CED">
    <w:pPr>
      <w:adjustRightInd w:val="0"/>
      <w:snapToGrid w:val="0"/>
      <w:spacing w:after="240" w:line="240" w:lineRule="auto"/>
      <w:rPr>
        <w:rFonts w:ascii="Palatino Linotype" w:hAnsi="Palatino Linotype"/>
        <w:sz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3E303" w14:textId="1FFEE798" w:rsidR="009108C8" w:rsidRDefault="009108C8" w:rsidP="008810B3">
    <w:pPr>
      <w:pStyle w:val="MDPIheaderjournallogo"/>
    </w:pPr>
    <w:r>
      <w:rPr>
        <w:i w:val="0"/>
        <w:noProof/>
        <w:szCs w:val="16"/>
        <w:lang w:eastAsia="en-US"/>
      </w:rPr>
      <mc:AlternateContent>
        <mc:Choice Requires="wps">
          <w:drawing>
            <wp:anchor distT="45720" distB="45720" distL="114300" distR="114300" simplePos="0" relativeHeight="251657728" behindDoc="1" locked="0" layoutInCell="1" allowOverlap="1" wp14:anchorId="27932C6A" wp14:editId="541BAD7B">
              <wp:simplePos x="0" y="0"/>
              <wp:positionH relativeFrom="rightMargin">
                <wp:posOffset>-558165</wp:posOffset>
              </wp:positionH>
              <wp:positionV relativeFrom="paragraph">
                <wp:posOffset>0</wp:posOffset>
              </wp:positionV>
              <wp:extent cx="12382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709295"/>
                      </a:xfrm>
                      <a:prstGeom prst="rect">
                        <a:avLst/>
                      </a:prstGeom>
                      <a:solidFill>
                        <a:srgbClr val="FFFFFF"/>
                      </a:solidFill>
                      <a:ln w="9525">
                        <a:noFill/>
                        <a:miter lim="800000"/>
                        <a:headEnd/>
                        <a:tailEnd/>
                      </a:ln>
                    </wps:spPr>
                    <wps:txbx>
                      <w:txbxContent>
                        <w:p w14:paraId="61DEEFF0" w14:textId="1107774E" w:rsidR="009108C8" w:rsidRDefault="009108C8" w:rsidP="009D119E">
                          <w:pPr>
                            <w:pStyle w:val="MDPIheaderjournallogo"/>
                            <w:jc w:val="center"/>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3.9pt;margin-top:0;width:9.7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" stroked="f">
              <v:textbox inset="0,0,0,0">
                <w:txbxContent>
                  <w:p w14:paraId="61DEEFF0" w14:textId="1107774E" w:rsidR="009108C8" w:rsidRDefault="009108C8" w:rsidP="009D119E">
                    <w:pPr>
                      <w:pStyle w:val="MDPIheaderjournallogo"/>
                      <w:jc w:val="center"/>
                      <w:rPr>
                        <w:i w:val="0"/>
                        <w:szCs w:val="16"/>
                      </w:rPr>
                    </w:pPr>
                  </w:p>
                </w:txbxContent>
              </v:textbox>
              <w10:wrap anchorx="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nsid w:val="34197207"/>
    <w:multiLevelType w:val="hybridMultilevel"/>
    <w:tmpl w:val="B1A0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nsid w:val="41396465"/>
    <w:multiLevelType w:val="hybridMultilevel"/>
    <w:tmpl w:val="C84A4AF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0B505B"/>
    <w:multiLevelType w:val="hybridMultilevel"/>
    <w:tmpl w:val="E3F84D44"/>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3C370A"/>
    <w:multiLevelType w:val="hybridMultilevel"/>
    <w:tmpl w:val="96EA3A9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4">
    <w:nsid w:val="6DB20A64"/>
    <w:multiLevelType w:val="hybridMultilevel"/>
    <w:tmpl w:val="01E4F044"/>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4"/>
  </w:num>
  <w:num w:numId="3">
    <w:abstractNumId w:val="10"/>
  </w:num>
  <w:num w:numId="4">
    <w:abstractNumId w:val="0"/>
  </w:num>
  <w:num w:numId="5">
    <w:abstractNumId w:val="8"/>
  </w:num>
  <w:num w:numId="6">
    <w:abstractNumId w:val="14"/>
  </w:num>
  <w:num w:numId="7">
    <w:abstractNumId w:val="5"/>
  </w:num>
  <w:num w:numId="8">
    <w:abstractNumId w:val="1"/>
  </w:num>
  <w:num w:numId="9">
    <w:abstractNumId w:val="2"/>
  </w:num>
  <w:num w:numId="10">
    <w:abstractNumId w:val="11"/>
  </w:num>
  <w:num w:numId="11">
    <w:abstractNumId w:val="12"/>
  </w:num>
  <w:num w:numId="12">
    <w:abstractNumId w:val="13"/>
  </w:num>
  <w:num w:numId="13">
    <w:abstractNumId w:val="4"/>
  </w:num>
  <w:num w:numId="14">
    <w:abstractNumId w:val="7"/>
  </w:num>
  <w:num w:numId="15">
    <w:abstractNumId w:val="3"/>
  </w:num>
  <w:num w:numId="16">
    <w:abstractNumId w:val="3"/>
  </w:num>
  <w:num w:numId="17">
    <w:abstractNumId w:val="10"/>
  </w:num>
  <w:num w:numId="18">
    <w:abstractNumId w:val="10"/>
  </w:num>
  <w:num w:numId="19">
    <w:abstractNumId w:val="13"/>
  </w:num>
  <w:num w:numId="20">
    <w:abstractNumId w:val="14"/>
  </w:num>
  <w:num w:numId="21">
    <w:abstractNumId w:val="4"/>
  </w:num>
  <w:num w:numId="22">
    <w:abstractNumId w:val="7"/>
  </w:num>
  <w:num w:numId="23">
    <w:abstractNumId w:val="3"/>
  </w:num>
  <w:num w:numId="24">
    <w:abstractNumId w:val="3"/>
  </w:num>
  <w:num w:numId="25">
    <w:abstractNumId w:val="4"/>
  </w:num>
  <w:num w:numId="26">
    <w:abstractNumId w:val="7"/>
  </w:num>
  <w:num w:numId="27">
    <w:abstractNumId w:val="3"/>
  </w:num>
  <w:num w:numId="28">
    <w:abstractNumId w:val="4"/>
  </w:num>
  <w:num w:numId="29">
    <w:abstractNumId w:val="7"/>
  </w:num>
  <w:num w:numId="30">
    <w:abstractNumId w:val="4"/>
  </w:num>
  <w:num w:numId="31">
    <w:abstractNumId w:val="7"/>
  </w:num>
  <w:num w:numId="32">
    <w:abstractNumId w:val="3"/>
  </w:num>
  <w:num w:numId="33">
    <w:abstractNumId w:val="3"/>
  </w:num>
  <w:num w:numId="34">
    <w:abstractNumId w:val="13"/>
  </w:num>
  <w:num w:numId="35">
    <w:abstractNumId w:val="14"/>
  </w:num>
  <w:num w:numId="36">
    <w:abstractNumId w:val="10"/>
  </w:num>
  <w:num w:numId="37">
    <w:abstractNumId w:val="13"/>
  </w:num>
  <w:num w:numId="38">
    <w:abstractNumId w:val="14"/>
  </w:num>
  <w:num w:numId="39">
    <w:abstractNumId w:val="10"/>
  </w:num>
  <w:num w:numId="40">
    <w:abstractNumId w:val="5"/>
  </w:num>
  <w:num w:numId="41">
    <w:abstractNumId w:val="14"/>
  </w:num>
  <w:num w:numId="42">
    <w:abstractNumId w:val="10"/>
  </w:num>
  <w:num w:numId="43">
    <w:abstractNumId w:val="13"/>
  </w:num>
  <w:num w:numId="44">
    <w:abstractNumId w:val="14"/>
  </w:num>
  <w:num w:numId="45">
    <w:abstractNumId w:val="10"/>
  </w:num>
  <w:num w:numId="46">
    <w:abstractNumId w:val="13"/>
  </w:num>
  <w:num w:numId="47">
    <w:abstractNumId w:val="14"/>
  </w:num>
  <w:num w:numId="48">
    <w:abstractNumId w:val="10"/>
  </w:num>
  <w:num w:numId="49">
    <w:abstractNumId w:val="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19E"/>
    <w:rsid w:val="00000637"/>
    <w:rsid w:val="000006F8"/>
    <w:rsid w:val="000029F0"/>
    <w:rsid w:val="00003FE3"/>
    <w:rsid w:val="00004544"/>
    <w:rsid w:val="000046B6"/>
    <w:rsid w:val="00004BA7"/>
    <w:rsid w:val="00005FC2"/>
    <w:rsid w:val="00011BC3"/>
    <w:rsid w:val="0001283B"/>
    <w:rsid w:val="0002090C"/>
    <w:rsid w:val="00021148"/>
    <w:rsid w:val="000221D9"/>
    <w:rsid w:val="00024621"/>
    <w:rsid w:val="0002467B"/>
    <w:rsid w:val="00025A91"/>
    <w:rsid w:val="00025C56"/>
    <w:rsid w:val="000319B8"/>
    <w:rsid w:val="00032165"/>
    <w:rsid w:val="0003351A"/>
    <w:rsid w:val="00034840"/>
    <w:rsid w:val="00034BF8"/>
    <w:rsid w:val="000361F7"/>
    <w:rsid w:val="00037CEA"/>
    <w:rsid w:val="00037F00"/>
    <w:rsid w:val="00041A10"/>
    <w:rsid w:val="0004245C"/>
    <w:rsid w:val="00042C12"/>
    <w:rsid w:val="000439F3"/>
    <w:rsid w:val="00043F91"/>
    <w:rsid w:val="00044417"/>
    <w:rsid w:val="0004473F"/>
    <w:rsid w:val="00045898"/>
    <w:rsid w:val="00046FE3"/>
    <w:rsid w:val="00050716"/>
    <w:rsid w:val="00050C65"/>
    <w:rsid w:val="00050D6D"/>
    <w:rsid w:val="000517C5"/>
    <w:rsid w:val="000520E3"/>
    <w:rsid w:val="000551E0"/>
    <w:rsid w:val="000554E4"/>
    <w:rsid w:val="000562B9"/>
    <w:rsid w:val="00056DBB"/>
    <w:rsid w:val="000578BD"/>
    <w:rsid w:val="000602E4"/>
    <w:rsid w:val="000605CD"/>
    <w:rsid w:val="00063A6A"/>
    <w:rsid w:val="0006467F"/>
    <w:rsid w:val="000654BA"/>
    <w:rsid w:val="00066489"/>
    <w:rsid w:val="000668DA"/>
    <w:rsid w:val="00071D03"/>
    <w:rsid w:val="00073BD9"/>
    <w:rsid w:val="00073DA7"/>
    <w:rsid w:val="00077A9D"/>
    <w:rsid w:val="00077B09"/>
    <w:rsid w:val="00082D78"/>
    <w:rsid w:val="000833FA"/>
    <w:rsid w:val="000848F9"/>
    <w:rsid w:val="00094176"/>
    <w:rsid w:val="00094A5C"/>
    <w:rsid w:val="000A0E49"/>
    <w:rsid w:val="000A0F29"/>
    <w:rsid w:val="000A3155"/>
    <w:rsid w:val="000A411D"/>
    <w:rsid w:val="000A45A9"/>
    <w:rsid w:val="000A5FAE"/>
    <w:rsid w:val="000B05D0"/>
    <w:rsid w:val="000B0721"/>
    <w:rsid w:val="000B2368"/>
    <w:rsid w:val="000B38AC"/>
    <w:rsid w:val="000B529D"/>
    <w:rsid w:val="000B5482"/>
    <w:rsid w:val="000B7EF6"/>
    <w:rsid w:val="000B7F93"/>
    <w:rsid w:val="000C1CC9"/>
    <w:rsid w:val="000C299D"/>
    <w:rsid w:val="000C4A82"/>
    <w:rsid w:val="000C4B5D"/>
    <w:rsid w:val="000C4FB6"/>
    <w:rsid w:val="000D0305"/>
    <w:rsid w:val="000D0745"/>
    <w:rsid w:val="000D0874"/>
    <w:rsid w:val="000D093A"/>
    <w:rsid w:val="000D166F"/>
    <w:rsid w:val="000D2842"/>
    <w:rsid w:val="000D2F06"/>
    <w:rsid w:val="000D5554"/>
    <w:rsid w:val="000E08FD"/>
    <w:rsid w:val="000E35FE"/>
    <w:rsid w:val="000E37D1"/>
    <w:rsid w:val="000E38CF"/>
    <w:rsid w:val="000E710E"/>
    <w:rsid w:val="000E7A5D"/>
    <w:rsid w:val="000E7E99"/>
    <w:rsid w:val="000F0E65"/>
    <w:rsid w:val="000F0E85"/>
    <w:rsid w:val="000F0F9F"/>
    <w:rsid w:val="000F2324"/>
    <w:rsid w:val="000F4E0E"/>
    <w:rsid w:val="000F4E23"/>
    <w:rsid w:val="00100B2F"/>
    <w:rsid w:val="00100FE2"/>
    <w:rsid w:val="00103634"/>
    <w:rsid w:val="001170CF"/>
    <w:rsid w:val="0011779E"/>
    <w:rsid w:val="001204ED"/>
    <w:rsid w:val="0012125D"/>
    <w:rsid w:val="00124285"/>
    <w:rsid w:val="0012462F"/>
    <w:rsid w:val="001267C9"/>
    <w:rsid w:val="001268A0"/>
    <w:rsid w:val="00127B58"/>
    <w:rsid w:val="00130F88"/>
    <w:rsid w:val="00131F3D"/>
    <w:rsid w:val="00131F66"/>
    <w:rsid w:val="001352B6"/>
    <w:rsid w:val="00135C14"/>
    <w:rsid w:val="00140795"/>
    <w:rsid w:val="00140A39"/>
    <w:rsid w:val="0014158B"/>
    <w:rsid w:val="00143181"/>
    <w:rsid w:val="00144660"/>
    <w:rsid w:val="00144DC5"/>
    <w:rsid w:val="00144E54"/>
    <w:rsid w:val="00145F5A"/>
    <w:rsid w:val="00150342"/>
    <w:rsid w:val="00151E48"/>
    <w:rsid w:val="00152F85"/>
    <w:rsid w:val="00155401"/>
    <w:rsid w:val="00156006"/>
    <w:rsid w:val="001578ED"/>
    <w:rsid w:val="001602E3"/>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860DD"/>
    <w:rsid w:val="00192141"/>
    <w:rsid w:val="001929BE"/>
    <w:rsid w:val="00193EBD"/>
    <w:rsid w:val="00194DCB"/>
    <w:rsid w:val="001A0390"/>
    <w:rsid w:val="001A0C24"/>
    <w:rsid w:val="001A0D5B"/>
    <w:rsid w:val="001A103B"/>
    <w:rsid w:val="001A2334"/>
    <w:rsid w:val="001A2D5C"/>
    <w:rsid w:val="001A3926"/>
    <w:rsid w:val="001A4A0E"/>
    <w:rsid w:val="001A7D08"/>
    <w:rsid w:val="001A7E71"/>
    <w:rsid w:val="001B09F9"/>
    <w:rsid w:val="001B22D3"/>
    <w:rsid w:val="001B2E32"/>
    <w:rsid w:val="001B396D"/>
    <w:rsid w:val="001B3A0F"/>
    <w:rsid w:val="001B446E"/>
    <w:rsid w:val="001C0136"/>
    <w:rsid w:val="001C24AD"/>
    <w:rsid w:val="001C2A2E"/>
    <w:rsid w:val="001C3963"/>
    <w:rsid w:val="001C3B86"/>
    <w:rsid w:val="001C6374"/>
    <w:rsid w:val="001C71BF"/>
    <w:rsid w:val="001D0A2E"/>
    <w:rsid w:val="001D0BD8"/>
    <w:rsid w:val="001D16DA"/>
    <w:rsid w:val="001D4C88"/>
    <w:rsid w:val="001D4CBF"/>
    <w:rsid w:val="001D5C83"/>
    <w:rsid w:val="001D5CB0"/>
    <w:rsid w:val="001D7118"/>
    <w:rsid w:val="001D7351"/>
    <w:rsid w:val="001E04E2"/>
    <w:rsid w:val="001E0BFA"/>
    <w:rsid w:val="001E26BA"/>
    <w:rsid w:val="001E38C9"/>
    <w:rsid w:val="001E3A01"/>
    <w:rsid w:val="001E3DBC"/>
    <w:rsid w:val="001E7AE9"/>
    <w:rsid w:val="001F2913"/>
    <w:rsid w:val="001F45A9"/>
    <w:rsid w:val="001F55DC"/>
    <w:rsid w:val="001F5A4A"/>
    <w:rsid w:val="0020147D"/>
    <w:rsid w:val="002021CF"/>
    <w:rsid w:val="002026F5"/>
    <w:rsid w:val="00206B4D"/>
    <w:rsid w:val="00211749"/>
    <w:rsid w:val="0021202D"/>
    <w:rsid w:val="0021304A"/>
    <w:rsid w:val="00214190"/>
    <w:rsid w:val="00216FA9"/>
    <w:rsid w:val="00220209"/>
    <w:rsid w:val="0022189B"/>
    <w:rsid w:val="002220D5"/>
    <w:rsid w:val="00223198"/>
    <w:rsid w:val="00223A64"/>
    <w:rsid w:val="00225217"/>
    <w:rsid w:val="00225F3F"/>
    <w:rsid w:val="00226AB1"/>
    <w:rsid w:val="00234143"/>
    <w:rsid w:val="00234505"/>
    <w:rsid w:val="00235077"/>
    <w:rsid w:val="00235973"/>
    <w:rsid w:val="00236969"/>
    <w:rsid w:val="00236C0D"/>
    <w:rsid w:val="00236D35"/>
    <w:rsid w:val="00236F94"/>
    <w:rsid w:val="00237EDD"/>
    <w:rsid w:val="0024084D"/>
    <w:rsid w:val="00240C8C"/>
    <w:rsid w:val="00241C14"/>
    <w:rsid w:val="002434C9"/>
    <w:rsid w:val="00246CE0"/>
    <w:rsid w:val="00250E75"/>
    <w:rsid w:val="0025127B"/>
    <w:rsid w:val="00251811"/>
    <w:rsid w:val="0025232D"/>
    <w:rsid w:val="00252515"/>
    <w:rsid w:val="0025259B"/>
    <w:rsid w:val="00252BD9"/>
    <w:rsid w:val="00252EB7"/>
    <w:rsid w:val="00253193"/>
    <w:rsid w:val="00255B5C"/>
    <w:rsid w:val="00257403"/>
    <w:rsid w:val="0025777F"/>
    <w:rsid w:val="00261B77"/>
    <w:rsid w:val="002623FD"/>
    <w:rsid w:val="00263890"/>
    <w:rsid w:val="0026479E"/>
    <w:rsid w:val="002665A2"/>
    <w:rsid w:val="00271783"/>
    <w:rsid w:val="00271978"/>
    <w:rsid w:val="00272574"/>
    <w:rsid w:val="00273440"/>
    <w:rsid w:val="0027513B"/>
    <w:rsid w:val="00275630"/>
    <w:rsid w:val="0027593D"/>
    <w:rsid w:val="00275DDB"/>
    <w:rsid w:val="00275F7E"/>
    <w:rsid w:val="00276B71"/>
    <w:rsid w:val="0027713B"/>
    <w:rsid w:val="002813F6"/>
    <w:rsid w:val="00285954"/>
    <w:rsid w:val="0028727D"/>
    <w:rsid w:val="002915B6"/>
    <w:rsid w:val="0029287A"/>
    <w:rsid w:val="00294C2F"/>
    <w:rsid w:val="0029628E"/>
    <w:rsid w:val="00296D8B"/>
    <w:rsid w:val="00296EB7"/>
    <w:rsid w:val="002A31E4"/>
    <w:rsid w:val="002A66E9"/>
    <w:rsid w:val="002B0BCA"/>
    <w:rsid w:val="002B37F5"/>
    <w:rsid w:val="002B4981"/>
    <w:rsid w:val="002B5544"/>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1AA"/>
    <w:rsid w:val="002E2696"/>
    <w:rsid w:val="002E42B2"/>
    <w:rsid w:val="002E45FF"/>
    <w:rsid w:val="002E4AE9"/>
    <w:rsid w:val="002E59FA"/>
    <w:rsid w:val="002E699F"/>
    <w:rsid w:val="002F0022"/>
    <w:rsid w:val="002F1F90"/>
    <w:rsid w:val="002F30E0"/>
    <w:rsid w:val="002F3A40"/>
    <w:rsid w:val="002F6006"/>
    <w:rsid w:val="002F667B"/>
    <w:rsid w:val="002F6728"/>
    <w:rsid w:val="002F6F7C"/>
    <w:rsid w:val="002F6FC8"/>
    <w:rsid w:val="00300F39"/>
    <w:rsid w:val="0030282D"/>
    <w:rsid w:val="0030286C"/>
    <w:rsid w:val="0030379B"/>
    <w:rsid w:val="003053D7"/>
    <w:rsid w:val="00305668"/>
    <w:rsid w:val="00305CED"/>
    <w:rsid w:val="003066AC"/>
    <w:rsid w:val="00306771"/>
    <w:rsid w:val="0030792C"/>
    <w:rsid w:val="00307DAD"/>
    <w:rsid w:val="00312344"/>
    <w:rsid w:val="00312E29"/>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556"/>
    <w:rsid w:val="00341638"/>
    <w:rsid w:val="00341815"/>
    <w:rsid w:val="003424E0"/>
    <w:rsid w:val="00344684"/>
    <w:rsid w:val="00344DFE"/>
    <w:rsid w:val="00346A68"/>
    <w:rsid w:val="00346B1B"/>
    <w:rsid w:val="00347596"/>
    <w:rsid w:val="00352D55"/>
    <w:rsid w:val="0035313A"/>
    <w:rsid w:val="0035340A"/>
    <w:rsid w:val="00353B41"/>
    <w:rsid w:val="0035469E"/>
    <w:rsid w:val="0035521D"/>
    <w:rsid w:val="00357207"/>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0BD"/>
    <w:rsid w:val="00394742"/>
    <w:rsid w:val="003A0FDD"/>
    <w:rsid w:val="003A116E"/>
    <w:rsid w:val="003A1FCC"/>
    <w:rsid w:val="003A2168"/>
    <w:rsid w:val="003A2FC7"/>
    <w:rsid w:val="003A3F7E"/>
    <w:rsid w:val="003A445F"/>
    <w:rsid w:val="003A4FD3"/>
    <w:rsid w:val="003A5E59"/>
    <w:rsid w:val="003B2A22"/>
    <w:rsid w:val="003B3A7C"/>
    <w:rsid w:val="003B4785"/>
    <w:rsid w:val="003B4E63"/>
    <w:rsid w:val="003B559A"/>
    <w:rsid w:val="003B65E3"/>
    <w:rsid w:val="003B6F7D"/>
    <w:rsid w:val="003C014C"/>
    <w:rsid w:val="003C245C"/>
    <w:rsid w:val="003C2C26"/>
    <w:rsid w:val="003C4A20"/>
    <w:rsid w:val="003C4AAF"/>
    <w:rsid w:val="003C7C01"/>
    <w:rsid w:val="003D1BCF"/>
    <w:rsid w:val="003D2888"/>
    <w:rsid w:val="003D2BC8"/>
    <w:rsid w:val="003D6836"/>
    <w:rsid w:val="003D6DF8"/>
    <w:rsid w:val="003D740F"/>
    <w:rsid w:val="003E08EB"/>
    <w:rsid w:val="003E0A65"/>
    <w:rsid w:val="003E0C56"/>
    <w:rsid w:val="003E14E1"/>
    <w:rsid w:val="003E1D64"/>
    <w:rsid w:val="003E2B81"/>
    <w:rsid w:val="003E5D86"/>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7F9"/>
    <w:rsid w:val="00415FB0"/>
    <w:rsid w:val="00416645"/>
    <w:rsid w:val="00417A0D"/>
    <w:rsid w:val="00420172"/>
    <w:rsid w:val="00420492"/>
    <w:rsid w:val="00423429"/>
    <w:rsid w:val="00424882"/>
    <w:rsid w:val="00425AEA"/>
    <w:rsid w:val="0042627E"/>
    <w:rsid w:val="004262FE"/>
    <w:rsid w:val="00426DAE"/>
    <w:rsid w:val="00427902"/>
    <w:rsid w:val="004300D9"/>
    <w:rsid w:val="0043115A"/>
    <w:rsid w:val="00432800"/>
    <w:rsid w:val="00432DEF"/>
    <w:rsid w:val="00433837"/>
    <w:rsid w:val="00434423"/>
    <w:rsid w:val="00436BA8"/>
    <w:rsid w:val="0043748F"/>
    <w:rsid w:val="004378B1"/>
    <w:rsid w:val="0044006E"/>
    <w:rsid w:val="00441209"/>
    <w:rsid w:val="00441AF9"/>
    <w:rsid w:val="00441FA3"/>
    <w:rsid w:val="004466AA"/>
    <w:rsid w:val="00446CA3"/>
    <w:rsid w:val="00447133"/>
    <w:rsid w:val="0045011E"/>
    <w:rsid w:val="0045101B"/>
    <w:rsid w:val="004539D4"/>
    <w:rsid w:val="00453AF3"/>
    <w:rsid w:val="00453CFB"/>
    <w:rsid w:val="0045405C"/>
    <w:rsid w:val="00455021"/>
    <w:rsid w:val="00456BA6"/>
    <w:rsid w:val="00461413"/>
    <w:rsid w:val="004614D9"/>
    <w:rsid w:val="00461DA2"/>
    <w:rsid w:val="00462789"/>
    <w:rsid w:val="00462F89"/>
    <w:rsid w:val="004638D9"/>
    <w:rsid w:val="00463E20"/>
    <w:rsid w:val="00467F33"/>
    <w:rsid w:val="0047035D"/>
    <w:rsid w:val="00471859"/>
    <w:rsid w:val="00471F58"/>
    <w:rsid w:val="00475F95"/>
    <w:rsid w:val="00476172"/>
    <w:rsid w:val="00477487"/>
    <w:rsid w:val="0048098C"/>
    <w:rsid w:val="00480BAE"/>
    <w:rsid w:val="00480E4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6E3D"/>
    <w:rsid w:val="004A7C02"/>
    <w:rsid w:val="004B1516"/>
    <w:rsid w:val="004B637A"/>
    <w:rsid w:val="004B664F"/>
    <w:rsid w:val="004C16C9"/>
    <w:rsid w:val="004C1706"/>
    <w:rsid w:val="004C1961"/>
    <w:rsid w:val="004C1A82"/>
    <w:rsid w:val="004C1AB7"/>
    <w:rsid w:val="004C1B70"/>
    <w:rsid w:val="004C3D4B"/>
    <w:rsid w:val="004C6EE2"/>
    <w:rsid w:val="004C71C5"/>
    <w:rsid w:val="004D0408"/>
    <w:rsid w:val="004D3246"/>
    <w:rsid w:val="004D3D30"/>
    <w:rsid w:val="004D464D"/>
    <w:rsid w:val="004D50E0"/>
    <w:rsid w:val="004D55DB"/>
    <w:rsid w:val="004D6828"/>
    <w:rsid w:val="004E16F5"/>
    <w:rsid w:val="004E70CE"/>
    <w:rsid w:val="004F1511"/>
    <w:rsid w:val="004F41A3"/>
    <w:rsid w:val="004F7B5B"/>
    <w:rsid w:val="00501C7D"/>
    <w:rsid w:val="00505235"/>
    <w:rsid w:val="005052F4"/>
    <w:rsid w:val="005055B1"/>
    <w:rsid w:val="0050609E"/>
    <w:rsid w:val="0051108A"/>
    <w:rsid w:val="00514D19"/>
    <w:rsid w:val="005163BA"/>
    <w:rsid w:val="00516FD5"/>
    <w:rsid w:val="005173DA"/>
    <w:rsid w:val="00520C33"/>
    <w:rsid w:val="00523C06"/>
    <w:rsid w:val="00524C04"/>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20F2"/>
    <w:rsid w:val="0056451B"/>
    <w:rsid w:val="00565398"/>
    <w:rsid w:val="00565B1B"/>
    <w:rsid w:val="005665B7"/>
    <w:rsid w:val="0056676E"/>
    <w:rsid w:val="00566825"/>
    <w:rsid w:val="00566C4A"/>
    <w:rsid w:val="00566CC8"/>
    <w:rsid w:val="0056718A"/>
    <w:rsid w:val="00567455"/>
    <w:rsid w:val="005702D5"/>
    <w:rsid w:val="00570518"/>
    <w:rsid w:val="00571422"/>
    <w:rsid w:val="00577374"/>
    <w:rsid w:val="00580739"/>
    <w:rsid w:val="00587918"/>
    <w:rsid w:val="005879FB"/>
    <w:rsid w:val="005904F3"/>
    <w:rsid w:val="00590BF9"/>
    <w:rsid w:val="00591118"/>
    <w:rsid w:val="00592174"/>
    <w:rsid w:val="005950CC"/>
    <w:rsid w:val="005967E7"/>
    <w:rsid w:val="0059706B"/>
    <w:rsid w:val="0059738E"/>
    <w:rsid w:val="005A1A79"/>
    <w:rsid w:val="005A1EE1"/>
    <w:rsid w:val="005A42BD"/>
    <w:rsid w:val="005A6846"/>
    <w:rsid w:val="005A6DDC"/>
    <w:rsid w:val="005A791C"/>
    <w:rsid w:val="005B0003"/>
    <w:rsid w:val="005B372B"/>
    <w:rsid w:val="005C001C"/>
    <w:rsid w:val="005C1C6F"/>
    <w:rsid w:val="005C2A6C"/>
    <w:rsid w:val="005C5730"/>
    <w:rsid w:val="005D196D"/>
    <w:rsid w:val="005D19D4"/>
    <w:rsid w:val="005D2650"/>
    <w:rsid w:val="005D35BB"/>
    <w:rsid w:val="005D5700"/>
    <w:rsid w:val="005E1274"/>
    <w:rsid w:val="005E13E0"/>
    <w:rsid w:val="005E36A0"/>
    <w:rsid w:val="005E4EC3"/>
    <w:rsid w:val="005E64B5"/>
    <w:rsid w:val="005E7457"/>
    <w:rsid w:val="005E74D7"/>
    <w:rsid w:val="005E790B"/>
    <w:rsid w:val="005F092A"/>
    <w:rsid w:val="005F1258"/>
    <w:rsid w:val="005F3117"/>
    <w:rsid w:val="005F69DB"/>
    <w:rsid w:val="0060191C"/>
    <w:rsid w:val="0060376A"/>
    <w:rsid w:val="00603D46"/>
    <w:rsid w:val="0060502A"/>
    <w:rsid w:val="006054D8"/>
    <w:rsid w:val="00607C65"/>
    <w:rsid w:val="00610143"/>
    <w:rsid w:val="006101B1"/>
    <w:rsid w:val="00610C2F"/>
    <w:rsid w:val="006118C4"/>
    <w:rsid w:val="00612526"/>
    <w:rsid w:val="00612FD7"/>
    <w:rsid w:val="00613A11"/>
    <w:rsid w:val="00614AE8"/>
    <w:rsid w:val="0061522B"/>
    <w:rsid w:val="0061539D"/>
    <w:rsid w:val="0061583B"/>
    <w:rsid w:val="00615B18"/>
    <w:rsid w:val="00616522"/>
    <w:rsid w:val="0062046E"/>
    <w:rsid w:val="00621703"/>
    <w:rsid w:val="00621836"/>
    <w:rsid w:val="00621F58"/>
    <w:rsid w:val="00622325"/>
    <w:rsid w:val="00622348"/>
    <w:rsid w:val="00625F2E"/>
    <w:rsid w:val="00626100"/>
    <w:rsid w:val="00626476"/>
    <w:rsid w:val="00627115"/>
    <w:rsid w:val="006310D8"/>
    <w:rsid w:val="00632FFF"/>
    <w:rsid w:val="006349FA"/>
    <w:rsid w:val="00636789"/>
    <w:rsid w:val="006378A2"/>
    <w:rsid w:val="00637E6E"/>
    <w:rsid w:val="006402BD"/>
    <w:rsid w:val="006408F0"/>
    <w:rsid w:val="006410D6"/>
    <w:rsid w:val="006411A5"/>
    <w:rsid w:val="00641221"/>
    <w:rsid w:val="00642B45"/>
    <w:rsid w:val="0064371D"/>
    <w:rsid w:val="00643E4D"/>
    <w:rsid w:val="00645862"/>
    <w:rsid w:val="006458D8"/>
    <w:rsid w:val="00647753"/>
    <w:rsid w:val="0065052E"/>
    <w:rsid w:val="00650B8F"/>
    <w:rsid w:val="0065221D"/>
    <w:rsid w:val="00652887"/>
    <w:rsid w:val="00653B88"/>
    <w:rsid w:val="00654659"/>
    <w:rsid w:val="00655087"/>
    <w:rsid w:val="00655D54"/>
    <w:rsid w:val="00655F4C"/>
    <w:rsid w:val="0065777B"/>
    <w:rsid w:val="00661780"/>
    <w:rsid w:val="006617E2"/>
    <w:rsid w:val="00663D7F"/>
    <w:rsid w:val="00663FED"/>
    <w:rsid w:val="00667F99"/>
    <w:rsid w:val="006719DE"/>
    <w:rsid w:val="00673C97"/>
    <w:rsid w:val="00674566"/>
    <w:rsid w:val="006746B1"/>
    <w:rsid w:val="006808E8"/>
    <w:rsid w:val="00682FE2"/>
    <w:rsid w:val="00684284"/>
    <w:rsid w:val="00684579"/>
    <w:rsid w:val="006847A9"/>
    <w:rsid w:val="00685F5B"/>
    <w:rsid w:val="00686750"/>
    <w:rsid w:val="00686CBD"/>
    <w:rsid w:val="00686CC5"/>
    <w:rsid w:val="0068700B"/>
    <w:rsid w:val="0069559D"/>
    <w:rsid w:val="00695D67"/>
    <w:rsid w:val="00696F8C"/>
    <w:rsid w:val="0069700C"/>
    <w:rsid w:val="00697037"/>
    <w:rsid w:val="00697801"/>
    <w:rsid w:val="006A074F"/>
    <w:rsid w:val="006A32E6"/>
    <w:rsid w:val="006A54E3"/>
    <w:rsid w:val="006A55D7"/>
    <w:rsid w:val="006A652D"/>
    <w:rsid w:val="006A7AD1"/>
    <w:rsid w:val="006B20CA"/>
    <w:rsid w:val="006B440B"/>
    <w:rsid w:val="006B5189"/>
    <w:rsid w:val="006C09DE"/>
    <w:rsid w:val="006C1055"/>
    <w:rsid w:val="006C3E9D"/>
    <w:rsid w:val="006C44B9"/>
    <w:rsid w:val="006C4FA4"/>
    <w:rsid w:val="006C51D6"/>
    <w:rsid w:val="006C6552"/>
    <w:rsid w:val="006C67DC"/>
    <w:rsid w:val="006C7D91"/>
    <w:rsid w:val="006C7FED"/>
    <w:rsid w:val="006D0426"/>
    <w:rsid w:val="006D0C85"/>
    <w:rsid w:val="006D15EB"/>
    <w:rsid w:val="006D2ED9"/>
    <w:rsid w:val="006D4052"/>
    <w:rsid w:val="006D425B"/>
    <w:rsid w:val="006D45B2"/>
    <w:rsid w:val="006D6F56"/>
    <w:rsid w:val="006D7D80"/>
    <w:rsid w:val="006E17AC"/>
    <w:rsid w:val="006E24C6"/>
    <w:rsid w:val="006E32F6"/>
    <w:rsid w:val="006E60D8"/>
    <w:rsid w:val="006E60E5"/>
    <w:rsid w:val="006F078B"/>
    <w:rsid w:val="006F0B83"/>
    <w:rsid w:val="006F7F03"/>
    <w:rsid w:val="00701836"/>
    <w:rsid w:val="00701F70"/>
    <w:rsid w:val="00702356"/>
    <w:rsid w:val="00702650"/>
    <w:rsid w:val="007062E3"/>
    <w:rsid w:val="00706936"/>
    <w:rsid w:val="00706B3D"/>
    <w:rsid w:val="0070769C"/>
    <w:rsid w:val="0071004F"/>
    <w:rsid w:val="007110CE"/>
    <w:rsid w:val="00715914"/>
    <w:rsid w:val="00716CC2"/>
    <w:rsid w:val="0071759D"/>
    <w:rsid w:val="0072079B"/>
    <w:rsid w:val="00720EB7"/>
    <w:rsid w:val="00722184"/>
    <w:rsid w:val="007229D7"/>
    <w:rsid w:val="0072401B"/>
    <w:rsid w:val="00724474"/>
    <w:rsid w:val="007269A0"/>
    <w:rsid w:val="0072795E"/>
    <w:rsid w:val="00730EDD"/>
    <w:rsid w:val="00734C7C"/>
    <w:rsid w:val="00736FD6"/>
    <w:rsid w:val="0073714D"/>
    <w:rsid w:val="0073761B"/>
    <w:rsid w:val="00737F17"/>
    <w:rsid w:val="00742349"/>
    <w:rsid w:val="0074264B"/>
    <w:rsid w:val="0074415C"/>
    <w:rsid w:val="00744A6A"/>
    <w:rsid w:val="00746790"/>
    <w:rsid w:val="0074696F"/>
    <w:rsid w:val="00746DFC"/>
    <w:rsid w:val="00747BD5"/>
    <w:rsid w:val="007512D0"/>
    <w:rsid w:val="00751A70"/>
    <w:rsid w:val="0075223F"/>
    <w:rsid w:val="00752DCE"/>
    <w:rsid w:val="00753727"/>
    <w:rsid w:val="00755404"/>
    <w:rsid w:val="00755676"/>
    <w:rsid w:val="0075682F"/>
    <w:rsid w:val="00757DD1"/>
    <w:rsid w:val="00760E65"/>
    <w:rsid w:val="00763B07"/>
    <w:rsid w:val="00763D41"/>
    <w:rsid w:val="00766CD4"/>
    <w:rsid w:val="00770785"/>
    <w:rsid w:val="0077147D"/>
    <w:rsid w:val="00772085"/>
    <w:rsid w:val="007739A7"/>
    <w:rsid w:val="00777B58"/>
    <w:rsid w:val="007814A1"/>
    <w:rsid w:val="00786C6C"/>
    <w:rsid w:val="00790072"/>
    <w:rsid w:val="00791FB2"/>
    <w:rsid w:val="00792569"/>
    <w:rsid w:val="007936E5"/>
    <w:rsid w:val="00793A96"/>
    <w:rsid w:val="007943C0"/>
    <w:rsid w:val="00795F84"/>
    <w:rsid w:val="007A0251"/>
    <w:rsid w:val="007A29C5"/>
    <w:rsid w:val="007A6C30"/>
    <w:rsid w:val="007B0185"/>
    <w:rsid w:val="007B0A56"/>
    <w:rsid w:val="007B1CC9"/>
    <w:rsid w:val="007B4B9B"/>
    <w:rsid w:val="007B7493"/>
    <w:rsid w:val="007C425D"/>
    <w:rsid w:val="007C431E"/>
    <w:rsid w:val="007C7E77"/>
    <w:rsid w:val="007C7EFC"/>
    <w:rsid w:val="007D1B6F"/>
    <w:rsid w:val="007D1E10"/>
    <w:rsid w:val="007D2D1A"/>
    <w:rsid w:val="007D3CF3"/>
    <w:rsid w:val="007D40E6"/>
    <w:rsid w:val="007D58E2"/>
    <w:rsid w:val="007D6401"/>
    <w:rsid w:val="007D76D3"/>
    <w:rsid w:val="007D7ECD"/>
    <w:rsid w:val="007E1C66"/>
    <w:rsid w:val="007E2481"/>
    <w:rsid w:val="007E250D"/>
    <w:rsid w:val="007E25C6"/>
    <w:rsid w:val="007E3C59"/>
    <w:rsid w:val="007E3F1E"/>
    <w:rsid w:val="007E4B91"/>
    <w:rsid w:val="007E52C3"/>
    <w:rsid w:val="007E5473"/>
    <w:rsid w:val="007E596F"/>
    <w:rsid w:val="007E70AC"/>
    <w:rsid w:val="007E735C"/>
    <w:rsid w:val="007E7A85"/>
    <w:rsid w:val="007F0197"/>
    <w:rsid w:val="007F0281"/>
    <w:rsid w:val="007F1923"/>
    <w:rsid w:val="007F1FB0"/>
    <w:rsid w:val="007F2001"/>
    <w:rsid w:val="007F263B"/>
    <w:rsid w:val="007F2DC8"/>
    <w:rsid w:val="007F5437"/>
    <w:rsid w:val="007F5BE2"/>
    <w:rsid w:val="007F7723"/>
    <w:rsid w:val="0080014F"/>
    <w:rsid w:val="0080052D"/>
    <w:rsid w:val="0080057F"/>
    <w:rsid w:val="008005B3"/>
    <w:rsid w:val="0080262B"/>
    <w:rsid w:val="008027F5"/>
    <w:rsid w:val="0080381D"/>
    <w:rsid w:val="00803BBF"/>
    <w:rsid w:val="008045A7"/>
    <w:rsid w:val="00804F2A"/>
    <w:rsid w:val="00805498"/>
    <w:rsid w:val="00805A27"/>
    <w:rsid w:val="00806F80"/>
    <w:rsid w:val="00810F85"/>
    <w:rsid w:val="008111C0"/>
    <w:rsid w:val="00811217"/>
    <w:rsid w:val="00813C4D"/>
    <w:rsid w:val="00814E34"/>
    <w:rsid w:val="008156EB"/>
    <w:rsid w:val="008158EE"/>
    <w:rsid w:val="0081603E"/>
    <w:rsid w:val="00816EB3"/>
    <w:rsid w:val="0082066B"/>
    <w:rsid w:val="008252B3"/>
    <w:rsid w:val="00826339"/>
    <w:rsid w:val="00826661"/>
    <w:rsid w:val="008277BB"/>
    <w:rsid w:val="00831D40"/>
    <w:rsid w:val="00832530"/>
    <w:rsid w:val="00832C19"/>
    <w:rsid w:val="0083491C"/>
    <w:rsid w:val="00834DFD"/>
    <w:rsid w:val="00835FDF"/>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29CF"/>
    <w:rsid w:val="00863893"/>
    <w:rsid w:val="008640E5"/>
    <w:rsid w:val="00865499"/>
    <w:rsid w:val="008670AA"/>
    <w:rsid w:val="0086721C"/>
    <w:rsid w:val="00870E00"/>
    <w:rsid w:val="008777D3"/>
    <w:rsid w:val="008810B3"/>
    <w:rsid w:val="00883B03"/>
    <w:rsid w:val="0088505F"/>
    <w:rsid w:val="0088519A"/>
    <w:rsid w:val="00890C8F"/>
    <w:rsid w:val="00891F22"/>
    <w:rsid w:val="00892D5C"/>
    <w:rsid w:val="00894D12"/>
    <w:rsid w:val="00894E26"/>
    <w:rsid w:val="00895515"/>
    <w:rsid w:val="00895D2A"/>
    <w:rsid w:val="00896C4C"/>
    <w:rsid w:val="008A1923"/>
    <w:rsid w:val="008A20CD"/>
    <w:rsid w:val="008A26D8"/>
    <w:rsid w:val="008A37CD"/>
    <w:rsid w:val="008A5B8F"/>
    <w:rsid w:val="008A5EC4"/>
    <w:rsid w:val="008A6BDF"/>
    <w:rsid w:val="008A716B"/>
    <w:rsid w:val="008B5B4F"/>
    <w:rsid w:val="008B7538"/>
    <w:rsid w:val="008C0E13"/>
    <w:rsid w:val="008C2CAB"/>
    <w:rsid w:val="008C3CC7"/>
    <w:rsid w:val="008C5A60"/>
    <w:rsid w:val="008D0F11"/>
    <w:rsid w:val="008D2721"/>
    <w:rsid w:val="008D4222"/>
    <w:rsid w:val="008D448D"/>
    <w:rsid w:val="008D48DD"/>
    <w:rsid w:val="008D5B12"/>
    <w:rsid w:val="008D5E3B"/>
    <w:rsid w:val="008D7858"/>
    <w:rsid w:val="008E114F"/>
    <w:rsid w:val="008E3EC7"/>
    <w:rsid w:val="008E5FC6"/>
    <w:rsid w:val="008E7A56"/>
    <w:rsid w:val="008E7C63"/>
    <w:rsid w:val="008F1A68"/>
    <w:rsid w:val="008F2DEE"/>
    <w:rsid w:val="008F33FE"/>
    <w:rsid w:val="008F3A92"/>
    <w:rsid w:val="008F4FF8"/>
    <w:rsid w:val="008F5F39"/>
    <w:rsid w:val="008F60AE"/>
    <w:rsid w:val="008F71EA"/>
    <w:rsid w:val="00900B3C"/>
    <w:rsid w:val="00900F5C"/>
    <w:rsid w:val="0090278A"/>
    <w:rsid w:val="009029A5"/>
    <w:rsid w:val="009108C8"/>
    <w:rsid w:val="00910A12"/>
    <w:rsid w:val="009136F9"/>
    <w:rsid w:val="00916274"/>
    <w:rsid w:val="00916936"/>
    <w:rsid w:val="00917AB1"/>
    <w:rsid w:val="0092016B"/>
    <w:rsid w:val="0092078E"/>
    <w:rsid w:val="00921161"/>
    <w:rsid w:val="00922F79"/>
    <w:rsid w:val="00923D04"/>
    <w:rsid w:val="00924154"/>
    <w:rsid w:val="00924749"/>
    <w:rsid w:val="009250E0"/>
    <w:rsid w:val="0092599A"/>
    <w:rsid w:val="00926435"/>
    <w:rsid w:val="00930373"/>
    <w:rsid w:val="00930D40"/>
    <w:rsid w:val="009320BE"/>
    <w:rsid w:val="0093245D"/>
    <w:rsid w:val="00932DF7"/>
    <w:rsid w:val="00935FFF"/>
    <w:rsid w:val="00936873"/>
    <w:rsid w:val="00937630"/>
    <w:rsid w:val="00937AFB"/>
    <w:rsid w:val="00941A38"/>
    <w:rsid w:val="00943614"/>
    <w:rsid w:val="00943DB0"/>
    <w:rsid w:val="009445C2"/>
    <w:rsid w:val="00945ABF"/>
    <w:rsid w:val="00946C5E"/>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3EA8"/>
    <w:rsid w:val="00986BB9"/>
    <w:rsid w:val="0098796E"/>
    <w:rsid w:val="009906F4"/>
    <w:rsid w:val="0099115A"/>
    <w:rsid w:val="00992FA0"/>
    <w:rsid w:val="0099449B"/>
    <w:rsid w:val="009947DB"/>
    <w:rsid w:val="00994E48"/>
    <w:rsid w:val="0099601C"/>
    <w:rsid w:val="00997536"/>
    <w:rsid w:val="00997702"/>
    <w:rsid w:val="009A21C5"/>
    <w:rsid w:val="009A2D1C"/>
    <w:rsid w:val="009A428D"/>
    <w:rsid w:val="009A453D"/>
    <w:rsid w:val="009A5030"/>
    <w:rsid w:val="009A656B"/>
    <w:rsid w:val="009A73A9"/>
    <w:rsid w:val="009A7DE1"/>
    <w:rsid w:val="009B1383"/>
    <w:rsid w:val="009B5493"/>
    <w:rsid w:val="009B75D1"/>
    <w:rsid w:val="009C1EA0"/>
    <w:rsid w:val="009C3A17"/>
    <w:rsid w:val="009C47DE"/>
    <w:rsid w:val="009C4D38"/>
    <w:rsid w:val="009C501E"/>
    <w:rsid w:val="009C50FC"/>
    <w:rsid w:val="009D0479"/>
    <w:rsid w:val="009D0924"/>
    <w:rsid w:val="009D119E"/>
    <w:rsid w:val="009D34D2"/>
    <w:rsid w:val="009D55DE"/>
    <w:rsid w:val="009D56B4"/>
    <w:rsid w:val="009E2755"/>
    <w:rsid w:val="009E3FB2"/>
    <w:rsid w:val="009E43C3"/>
    <w:rsid w:val="009E50FD"/>
    <w:rsid w:val="009E5D13"/>
    <w:rsid w:val="009E5FB2"/>
    <w:rsid w:val="009E61C0"/>
    <w:rsid w:val="009E7648"/>
    <w:rsid w:val="009F017C"/>
    <w:rsid w:val="009F1081"/>
    <w:rsid w:val="009F245B"/>
    <w:rsid w:val="009F3C30"/>
    <w:rsid w:val="009F4C77"/>
    <w:rsid w:val="009F6F14"/>
    <w:rsid w:val="009F70DB"/>
    <w:rsid w:val="00A00529"/>
    <w:rsid w:val="00A01504"/>
    <w:rsid w:val="00A01773"/>
    <w:rsid w:val="00A0318A"/>
    <w:rsid w:val="00A06558"/>
    <w:rsid w:val="00A06614"/>
    <w:rsid w:val="00A0689F"/>
    <w:rsid w:val="00A077D6"/>
    <w:rsid w:val="00A10B4B"/>
    <w:rsid w:val="00A12039"/>
    <w:rsid w:val="00A12104"/>
    <w:rsid w:val="00A14C60"/>
    <w:rsid w:val="00A15B50"/>
    <w:rsid w:val="00A16B99"/>
    <w:rsid w:val="00A202CE"/>
    <w:rsid w:val="00A24EF8"/>
    <w:rsid w:val="00A2661C"/>
    <w:rsid w:val="00A26CF0"/>
    <w:rsid w:val="00A30E40"/>
    <w:rsid w:val="00A31AFC"/>
    <w:rsid w:val="00A32E38"/>
    <w:rsid w:val="00A33216"/>
    <w:rsid w:val="00A34A3A"/>
    <w:rsid w:val="00A34AC3"/>
    <w:rsid w:val="00A37B20"/>
    <w:rsid w:val="00A37CE5"/>
    <w:rsid w:val="00A404B1"/>
    <w:rsid w:val="00A41A44"/>
    <w:rsid w:val="00A42C45"/>
    <w:rsid w:val="00A434D9"/>
    <w:rsid w:val="00A44129"/>
    <w:rsid w:val="00A44FB7"/>
    <w:rsid w:val="00A46EC6"/>
    <w:rsid w:val="00A46FB9"/>
    <w:rsid w:val="00A47071"/>
    <w:rsid w:val="00A51E43"/>
    <w:rsid w:val="00A52CCF"/>
    <w:rsid w:val="00A55A64"/>
    <w:rsid w:val="00A61DE2"/>
    <w:rsid w:val="00A66446"/>
    <w:rsid w:val="00A67762"/>
    <w:rsid w:val="00A7295D"/>
    <w:rsid w:val="00A753C9"/>
    <w:rsid w:val="00A75FF2"/>
    <w:rsid w:val="00A774B8"/>
    <w:rsid w:val="00A808AC"/>
    <w:rsid w:val="00A82ADF"/>
    <w:rsid w:val="00A84510"/>
    <w:rsid w:val="00A84F67"/>
    <w:rsid w:val="00A8598D"/>
    <w:rsid w:val="00A861F6"/>
    <w:rsid w:val="00A902DE"/>
    <w:rsid w:val="00A9156B"/>
    <w:rsid w:val="00A91FB2"/>
    <w:rsid w:val="00A9574C"/>
    <w:rsid w:val="00A95E52"/>
    <w:rsid w:val="00A96386"/>
    <w:rsid w:val="00A96AAA"/>
    <w:rsid w:val="00A96CF5"/>
    <w:rsid w:val="00A96DC0"/>
    <w:rsid w:val="00AA2CBC"/>
    <w:rsid w:val="00AA3365"/>
    <w:rsid w:val="00AA4CDC"/>
    <w:rsid w:val="00AA534C"/>
    <w:rsid w:val="00AA6075"/>
    <w:rsid w:val="00AA6D33"/>
    <w:rsid w:val="00AA6D42"/>
    <w:rsid w:val="00AA7D47"/>
    <w:rsid w:val="00AB118B"/>
    <w:rsid w:val="00AB3B2F"/>
    <w:rsid w:val="00AB4374"/>
    <w:rsid w:val="00AB475F"/>
    <w:rsid w:val="00AB5F5D"/>
    <w:rsid w:val="00AB6A1D"/>
    <w:rsid w:val="00AB7823"/>
    <w:rsid w:val="00AC0F37"/>
    <w:rsid w:val="00AC1CB6"/>
    <w:rsid w:val="00AC2E74"/>
    <w:rsid w:val="00AC37B2"/>
    <w:rsid w:val="00AD1980"/>
    <w:rsid w:val="00AD323F"/>
    <w:rsid w:val="00AD40A3"/>
    <w:rsid w:val="00AD414A"/>
    <w:rsid w:val="00AD419B"/>
    <w:rsid w:val="00AD452E"/>
    <w:rsid w:val="00AD595E"/>
    <w:rsid w:val="00AD5DDA"/>
    <w:rsid w:val="00AD70B5"/>
    <w:rsid w:val="00AD70FE"/>
    <w:rsid w:val="00AE1FC9"/>
    <w:rsid w:val="00AE26B0"/>
    <w:rsid w:val="00AE481D"/>
    <w:rsid w:val="00AE499B"/>
    <w:rsid w:val="00AE4CA4"/>
    <w:rsid w:val="00AE737B"/>
    <w:rsid w:val="00AF319E"/>
    <w:rsid w:val="00AF3647"/>
    <w:rsid w:val="00AF41F2"/>
    <w:rsid w:val="00AF69A6"/>
    <w:rsid w:val="00AF6B00"/>
    <w:rsid w:val="00AF6F96"/>
    <w:rsid w:val="00AF75FB"/>
    <w:rsid w:val="00AF7D31"/>
    <w:rsid w:val="00B00435"/>
    <w:rsid w:val="00B00829"/>
    <w:rsid w:val="00B008AE"/>
    <w:rsid w:val="00B01244"/>
    <w:rsid w:val="00B04A30"/>
    <w:rsid w:val="00B062AD"/>
    <w:rsid w:val="00B06C8B"/>
    <w:rsid w:val="00B075B0"/>
    <w:rsid w:val="00B110B4"/>
    <w:rsid w:val="00B11CEA"/>
    <w:rsid w:val="00B16843"/>
    <w:rsid w:val="00B16B3A"/>
    <w:rsid w:val="00B17C8F"/>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5123"/>
    <w:rsid w:val="00B36FA1"/>
    <w:rsid w:val="00B37511"/>
    <w:rsid w:val="00B451AE"/>
    <w:rsid w:val="00B45C21"/>
    <w:rsid w:val="00B52973"/>
    <w:rsid w:val="00B52EB1"/>
    <w:rsid w:val="00B53E41"/>
    <w:rsid w:val="00B544E2"/>
    <w:rsid w:val="00B5455D"/>
    <w:rsid w:val="00B56B51"/>
    <w:rsid w:val="00B6121E"/>
    <w:rsid w:val="00B61A5C"/>
    <w:rsid w:val="00B62B2E"/>
    <w:rsid w:val="00B637D3"/>
    <w:rsid w:val="00B65A10"/>
    <w:rsid w:val="00B66F4D"/>
    <w:rsid w:val="00B74786"/>
    <w:rsid w:val="00B757FD"/>
    <w:rsid w:val="00B770CF"/>
    <w:rsid w:val="00B80F65"/>
    <w:rsid w:val="00B81556"/>
    <w:rsid w:val="00B82878"/>
    <w:rsid w:val="00B832AE"/>
    <w:rsid w:val="00B83B50"/>
    <w:rsid w:val="00B85C83"/>
    <w:rsid w:val="00B87655"/>
    <w:rsid w:val="00B8797E"/>
    <w:rsid w:val="00B90965"/>
    <w:rsid w:val="00B90E49"/>
    <w:rsid w:val="00B92E82"/>
    <w:rsid w:val="00B93EAE"/>
    <w:rsid w:val="00B93F30"/>
    <w:rsid w:val="00B94B25"/>
    <w:rsid w:val="00B958A6"/>
    <w:rsid w:val="00B96FBF"/>
    <w:rsid w:val="00BA1537"/>
    <w:rsid w:val="00BA250B"/>
    <w:rsid w:val="00BA2636"/>
    <w:rsid w:val="00BA5987"/>
    <w:rsid w:val="00BA6755"/>
    <w:rsid w:val="00BA745B"/>
    <w:rsid w:val="00BB349D"/>
    <w:rsid w:val="00BB5110"/>
    <w:rsid w:val="00BB514E"/>
    <w:rsid w:val="00BC0793"/>
    <w:rsid w:val="00BC092A"/>
    <w:rsid w:val="00BC2E11"/>
    <w:rsid w:val="00BC33F8"/>
    <w:rsid w:val="00BC61FC"/>
    <w:rsid w:val="00BD20C8"/>
    <w:rsid w:val="00BD30B2"/>
    <w:rsid w:val="00BD3F58"/>
    <w:rsid w:val="00BD583E"/>
    <w:rsid w:val="00BD5E87"/>
    <w:rsid w:val="00BE0663"/>
    <w:rsid w:val="00BE0ADB"/>
    <w:rsid w:val="00BE0EB9"/>
    <w:rsid w:val="00BE10C7"/>
    <w:rsid w:val="00BE6469"/>
    <w:rsid w:val="00BE7A85"/>
    <w:rsid w:val="00BE7D4C"/>
    <w:rsid w:val="00BF0ADC"/>
    <w:rsid w:val="00BF1568"/>
    <w:rsid w:val="00BF321E"/>
    <w:rsid w:val="00BF4E44"/>
    <w:rsid w:val="00BF5584"/>
    <w:rsid w:val="00BF602D"/>
    <w:rsid w:val="00BF7B4F"/>
    <w:rsid w:val="00C00218"/>
    <w:rsid w:val="00C01305"/>
    <w:rsid w:val="00C01849"/>
    <w:rsid w:val="00C0532A"/>
    <w:rsid w:val="00C05F9F"/>
    <w:rsid w:val="00C06CF0"/>
    <w:rsid w:val="00C07D01"/>
    <w:rsid w:val="00C11FEA"/>
    <w:rsid w:val="00C124C6"/>
    <w:rsid w:val="00C12626"/>
    <w:rsid w:val="00C1340D"/>
    <w:rsid w:val="00C13FB8"/>
    <w:rsid w:val="00C14AF9"/>
    <w:rsid w:val="00C152AD"/>
    <w:rsid w:val="00C21F04"/>
    <w:rsid w:val="00C221B1"/>
    <w:rsid w:val="00C232C0"/>
    <w:rsid w:val="00C236E0"/>
    <w:rsid w:val="00C23CA1"/>
    <w:rsid w:val="00C23F3D"/>
    <w:rsid w:val="00C258E4"/>
    <w:rsid w:val="00C25FEE"/>
    <w:rsid w:val="00C2663D"/>
    <w:rsid w:val="00C31793"/>
    <w:rsid w:val="00C32AC9"/>
    <w:rsid w:val="00C352DB"/>
    <w:rsid w:val="00C373FE"/>
    <w:rsid w:val="00C37F15"/>
    <w:rsid w:val="00C4329A"/>
    <w:rsid w:val="00C45687"/>
    <w:rsid w:val="00C45730"/>
    <w:rsid w:val="00C45A45"/>
    <w:rsid w:val="00C465A9"/>
    <w:rsid w:val="00C47CCD"/>
    <w:rsid w:val="00C50174"/>
    <w:rsid w:val="00C504B1"/>
    <w:rsid w:val="00C5213B"/>
    <w:rsid w:val="00C52891"/>
    <w:rsid w:val="00C52AF1"/>
    <w:rsid w:val="00C53638"/>
    <w:rsid w:val="00C541C4"/>
    <w:rsid w:val="00C54255"/>
    <w:rsid w:val="00C55BA4"/>
    <w:rsid w:val="00C57E9A"/>
    <w:rsid w:val="00C62E0E"/>
    <w:rsid w:val="00C64ACC"/>
    <w:rsid w:val="00C6573A"/>
    <w:rsid w:val="00C66CC4"/>
    <w:rsid w:val="00C70D7F"/>
    <w:rsid w:val="00C715CB"/>
    <w:rsid w:val="00C7209A"/>
    <w:rsid w:val="00C721BC"/>
    <w:rsid w:val="00C73A3A"/>
    <w:rsid w:val="00C741F2"/>
    <w:rsid w:val="00C76B07"/>
    <w:rsid w:val="00C77BDE"/>
    <w:rsid w:val="00C77C78"/>
    <w:rsid w:val="00C804DA"/>
    <w:rsid w:val="00C80FCB"/>
    <w:rsid w:val="00C814C8"/>
    <w:rsid w:val="00C819D0"/>
    <w:rsid w:val="00C81B6C"/>
    <w:rsid w:val="00C8206B"/>
    <w:rsid w:val="00C85B4A"/>
    <w:rsid w:val="00C86511"/>
    <w:rsid w:val="00C874D2"/>
    <w:rsid w:val="00C9168E"/>
    <w:rsid w:val="00C930E0"/>
    <w:rsid w:val="00C937F4"/>
    <w:rsid w:val="00C93855"/>
    <w:rsid w:val="00C94ADE"/>
    <w:rsid w:val="00C95527"/>
    <w:rsid w:val="00C96464"/>
    <w:rsid w:val="00CA1184"/>
    <w:rsid w:val="00CA464D"/>
    <w:rsid w:val="00CA538C"/>
    <w:rsid w:val="00CA54B4"/>
    <w:rsid w:val="00CA63B5"/>
    <w:rsid w:val="00CA6A51"/>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52CB"/>
    <w:rsid w:val="00CE5F79"/>
    <w:rsid w:val="00CF01EB"/>
    <w:rsid w:val="00CF042E"/>
    <w:rsid w:val="00CF1A7E"/>
    <w:rsid w:val="00CF1BC0"/>
    <w:rsid w:val="00CF28B7"/>
    <w:rsid w:val="00CF39CC"/>
    <w:rsid w:val="00CF3B0F"/>
    <w:rsid w:val="00CF422F"/>
    <w:rsid w:val="00CF49E5"/>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086C"/>
    <w:rsid w:val="00D427F0"/>
    <w:rsid w:val="00D438A1"/>
    <w:rsid w:val="00D43C23"/>
    <w:rsid w:val="00D4756A"/>
    <w:rsid w:val="00D50FDB"/>
    <w:rsid w:val="00D521BE"/>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609"/>
    <w:rsid w:val="00D807CB"/>
    <w:rsid w:val="00D82A79"/>
    <w:rsid w:val="00D84033"/>
    <w:rsid w:val="00D8426C"/>
    <w:rsid w:val="00D87983"/>
    <w:rsid w:val="00D90392"/>
    <w:rsid w:val="00D914A3"/>
    <w:rsid w:val="00D91766"/>
    <w:rsid w:val="00D92A92"/>
    <w:rsid w:val="00D946C1"/>
    <w:rsid w:val="00D9548A"/>
    <w:rsid w:val="00D95579"/>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5F10"/>
    <w:rsid w:val="00DB6C33"/>
    <w:rsid w:val="00DB75FF"/>
    <w:rsid w:val="00DC2AAE"/>
    <w:rsid w:val="00DC2CB7"/>
    <w:rsid w:val="00DC3888"/>
    <w:rsid w:val="00DC440B"/>
    <w:rsid w:val="00DC4A24"/>
    <w:rsid w:val="00DC7F92"/>
    <w:rsid w:val="00DD10A4"/>
    <w:rsid w:val="00DD268D"/>
    <w:rsid w:val="00DD33B8"/>
    <w:rsid w:val="00DD3E4C"/>
    <w:rsid w:val="00DD502C"/>
    <w:rsid w:val="00DD5A7F"/>
    <w:rsid w:val="00DD5FC4"/>
    <w:rsid w:val="00DD7120"/>
    <w:rsid w:val="00DD7886"/>
    <w:rsid w:val="00DD7C63"/>
    <w:rsid w:val="00DE0C52"/>
    <w:rsid w:val="00DE51CE"/>
    <w:rsid w:val="00DE5A20"/>
    <w:rsid w:val="00DE691C"/>
    <w:rsid w:val="00DF0811"/>
    <w:rsid w:val="00DF0FE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24C81"/>
    <w:rsid w:val="00E32DAA"/>
    <w:rsid w:val="00E36E4C"/>
    <w:rsid w:val="00E3769D"/>
    <w:rsid w:val="00E4022E"/>
    <w:rsid w:val="00E4488A"/>
    <w:rsid w:val="00E44F88"/>
    <w:rsid w:val="00E54EAF"/>
    <w:rsid w:val="00E55014"/>
    <w:rsid w:val="00E558E4"/>
    <w:rsid w:val="00E55A16"/>
    <w:rsid w:val="00E563E8"/>
    <w:rsid w:val="00E56549"/>
    <w:rsid w:val="00E56680"/>
    <w:rsid w:val="00E576D2"/>
    <w:rsid w:val="00E576D8"/>
    <w:rsid w:val="00E60124"/>
    <w:rsid w:val="00E6022B"/>
    <w:rsid w:val="00E60504"/>
    <w:rsid w:val="00E62DEE"/>
    <w:rsid w:val="00E62F39"/>
    <w:rsid w:val="00E63751"/>
    <w:rsid w:val="00E647C0"/>
    <w:rsid w:val="00E648C4"/>
    <w:rsid w:val="00E678FC"/>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954B6"/>
    <w:rsid w:val="00EA186E"/>
    <w:rsid w:val="00EA3851"/>
    <w:rsid w:val="00EA3B35"/>
    <w:rsid w:val="00EA5F8F"/>
    <w:rsid w:val="00EA6423"/>
    <w:rsid w:val="00EA6BDF"/>
    <w:rsid w:val="00EB214B"/>
    <w:rsid w:val="00EB30B4"/>
    <w:rsid w:val="00EB3C5A"/>
    <w:rsid w:val="00EB55D4"/>
    <w:rsid w:val="00EB6AC4"/>
    <w:rsid w:val="00EB718C"/>
    <w:rsid w:val="00EB7428"/>
    <w:rsid w:val="00EC0025"/>
    <w:rsid w:val="00EC1380"/>
    <w:rsid w:val="00EC1463"/>
    <w:rsid w:val="00EC3E6A"/>
    <w:rsid w:val="00EC456D"/>
    <w:rsid w:val="00EC5027"/>
    <w:rsid w:val="00EC5E32"/>
    <w:rsid w:val="00EC6A76"/>
    <w:rsid w:val="00EC7ADC"/>
    <w:rsid w:val="00ED2D8B"/>
    <w:rsid w:val="00ED3981"/>
    <w:rsid w:val="00ED40B7"/>
    <w:rsid w:val="00ED42A7"/>
    <w:rsid w:val="00ED51FC"/>
    <w:rsid w:val="00ED7F7F"/>
    <w:rsid w:val="00EE0626"/>
    <w:rsid w:val="00EE120F"/>
    <w:rsid w:val="00EE287B"/>
    <w:rsid w:val="00EF0C73"/>
    <w:rsid w:val="00EF36CB"/>
    <w:rsid w:val="00EF5129"/>
    <w:rsid w:val="00EF56B2"/>
    <w:rsid w:val="00EF5F2E"/>
    <w:rsid w:val="00F010A9"/>
    <w:rsid w:val="00F01DD6"/>
    <w:rsid w:val="00F0347B"/>
    <w:rsid w:val="00F119E2"/>
    <w:rsid w:val="00F11AA2"/>
    <w:rsid w:val="00F13393"/>
    <w:rsid w:val="00F144F4"/>
    <w:rsid w:val="00F156AC"/>
    <w:rsid w:val="00F1600E"/>
    <w:rsid w:val="00F21CAD"/>
    <w:rsid w:val="00F228FA"/>
    <w:rsid w:val="00F22B53"/>
    <w:rsid w:val="00F23BCE"/>
    <w:rsid w:val="00F2598F"/>
    <w:rsid w:val="00F27175"/>
    <w:rsid w:val="00F31901"/>
    <w:rsid w:val="00F31CA9"/>
    <w:rsid w:val="00F3278E"/>
    <w:rsid w:val="00F33C00"/>
    <w:rsid w:val="00F35D88"/>
    <w:rsid w:val="00F37431"/>
    <w:rsid w:val="00F42D71"/>
    <w:rsid w:val="00F430ED"/>
    <w:rsid w:val="00F444FD"/>
    <w:rsid w:val="00F45AAC"/>
    <w:rsid w:val="00F46624"/>
    <w:rsid w:val="00F46D96"/>
    <w:rsid w:val="00F5119D"/>
    <w:rsid w:val="00F55539"/>
    <w:rsid w:val="00F5715D"/>
    <w:rsid w:val="00F57252"/>
    <w:rsid w:val="00F57454"/>
    <w:rsid w:val="00F57A80"/>
    <w:rsid w:val="00F57D61"/>
    <w:rsid w:val="00F61310"/>
    <w:rsid w:val="00F61B11"/>
    <w:rsid w:val="00F63D61"/>
    <w:rsid w:val="00F653FE"/>
    <w:rsid w:val="00F65579"/>
    <w:rsid w:val="00F721EB"/>
    <w:rsid w:val="00F723C9"/>
    <w:rsid w:val="00F72AD8"/>
    <w:rsid w:val="00F72B7B"/>
    <w:rsid w:val="00F73710"/>
    <w:rsid w:val="00F74EFD"/>
    <w:rsid w:val="00F75858"/>
    <w:rsid w:val="00F769D3"/>
    <w:rsid w:val="00F80519"/>
    <w:rsid w:val="00F80D63"/>
    <w:rsid w:val="00F83B5F"/>
    <w:rsid w:val="00F84D8C"/>
    <w:rsid w:val="00F8504B"/>
    <w:rsid w:val="00F860B3"/>
    <w:rsid w:val="00F868AF"/>
    <w:rsid w:val="00F87A76"/>
    <w:rsid w:val="00F87B42"/>
    <w:rsid w:val="00F90137"/>
    <w:rsid w:val="00F90ADA"/>
    <w:rsid w:val="00F93914"/>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5B4"/>
    <w:rsid w:val="00FB6CBF"/>
    <w:rsid w:val="00FB6FA7"/>
    <w:rsid w:val="00FC1608"/>
    <w:rsid w:val="00FC2BEC"/>
    <w:rsid w:val="00FC2C5F"/>
    <w:rsid w:val="00FC3FE6"/>
    <w:rsid w:val="00FC5786"/>
    <w:rsid w:val="00FC5DA4"/>
    <w:rsid w:val="00FC7178"/>
    <w:rsid w:val="00FC7BC3"/>
    <w:rsid w:val="00FD0A9E"/>
    <w:rsid w:val="00FD0B51"/>
    <w:rsid w:val="00FD1368"/>
    <w:rsid w:val="00FD4174"/>
    <w:rsid w:val="00FD438B"/>
    <w:rsid w:val="00FE07B4"/>
    <w:rsid w:val="00FE1979"/>
    <w:rsid w:val="00FE1F09"/>
    <w:rsid w:val="00FE39FA"/>
    <w:rsid w:val="00FE43F1"/>
    <w:rsid w:val="00FE44E3"/>
    <w:rsid w:val="00FF038A"/>
    <w:rsid w:val="00FF1B9C"/>
    <w:rsid w:val="00FF1EB5"/>
    <w:rsid w:val="00FF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530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148"/>
    <w:pPr>
      <w:spacing w:line="276" w:lineRule="auto"/>
    </w:pPr>
    <w:rPr>
      <w:rFonts w:ascii="Arial" w:eastAsia="Arial" w:hAnsi="Arial" w:cs="Arial"/>
      <w:color w:val="000000"/>
      <w:kern w:val="0"/>
      <w:sz w:val="22"/>
      <w:szCs w:val="22"/>
      <w:lang w:val="en-GB" w:eastAsia="en-GB"/>
    </w:rPr>
  </w:style>
  <w:style w:type="paragraph" w:styleId="Heading1">
    <w:name w:val="heading 1"/>
    <w:aliases w:val="x"/>
    <w:basedOn w:val="Normal"/>
    <w:next w:val="Normal"/>
    <w:link w:val="Heading1Char"/>
    <w:uiPriority w:val="9"/>
    <w:qFormat/>
    <w:rsid w:val="00F87A76"/>
    <w:pPr>
      <w:spacing w:before="240" w:line="340" w:lineRule="atLeast"/>
      <w:jc w:val="both"/>
      <w:outlineLvl w:val="0"/>
    </w:pPr>
    <w:rPr>
      <w:rFonts w:eastAsia="Times New Roman" w:cs="Times New Roman"/>
      <w:b/>
      <w:sz w:val="24"/>
      <w:szCs w:val="20"/>
      <w:u w:val="single"/>
      <w:lang w:val="en-US" w:eastAsia="de-DE"/>
    </w:rPr>
  </w:style>
  <w:style w:type="paragraph" w:styleId="Heading2">
    <w:name w:val="heading 2"/>
    <w:basedOn w:val="Normal"/>
    <w:next w:val="Normal"/>
    <w:link w:val="Heading2Char"/>
    <w:qFormat/>
    <w:rsid w:val="00F87A76"/>
    <w:pPr>
      <w:spacing w:before="120" w:line="340" w:lineRule="atLeast"/>
      <w:jc w:val="both"/>
      <w:outlineLvl w:val="1"/>
    </w:pPr>
    <w:rPr>
      <w:rFonts w:eastAsia="Times New Roman" w:cstheme="majorBidi"/>
      <w:b/>
      <w:sz w:val="24"/>
      <w:szCs w:val="20"/>
      <w:lang w:val="en-US" w:eastAsia="de-DE"/>
    </w:rPr>
  </w:style>
  <w:style w:type="paragraph" w:styleId="Heading3">
    <w:name w:val="heading 3"/>
    <w:basedOn w:val="Normal"/>
    <w:next w:val="Normal"/>
    <w:link w:val="Heading3Char"/>
    <w:qFormat/>
    <w:rsid w:val="00F87A76"/>
    <w:pPr>
      <w:spacing w:line="340" w:lineRule="atLeast"/>
      <w:ind w:left="360"/>
      <w:jc w:val="both"/>
      <w:outlineLvl w:val="2"/>
    </w:pPr>
    <w:rPr>
      <w:rFonts w:ascii="Times New Roman" w:eastAsia="Times New Roman" w:hAnsi="Times New Roman" w:cs="Times New Roman"/>
      <w:b/>
      <w:sz w:val="24"/>
      <w:szCs w:val="20"/>
      <w:lang w:val="en-US" w:eastAsia="de-DE"/>
    </w:rPr>
  </w:style>
  <w:style w:type="paragraph" w:styleId="Heading4">
    <w:name w:val="heading 4"/>
    <w:basedOn w:val="Normal"/>
    <w:next w:val="Normal"/>
    <w:link w:val="Heading4Char"/>
    <w:qFormat/>
    <w:rsid w:val="00F87A76"/>
    <w:pPr>
      <w:keepNext/>
      <w:keepLines/>
      <w:spacing w:before="240" w:line="480" w:lineRule="atLeast"/>
      <w:ind w:left="907" w:hanging="907"/>
      <w:jc w:val="both"/>
      <w:outlineLvl w:val="3"/>
    </w:pPr>
    <w:rPr>
      <w:rFonts w:eastAsia="Times New Roman" w:cstheme="majorBidi"/>
      <w:b/>
      <w:sz w:val="24"/>
      <w:szCs w:val="20"/>
      <w:lang w:val="en-US" w:eastAsia="de-DE"/>
    </w:rPr>
  </w:style>
  <w:style w:type="paragraph" w:styleId="Heading5">
    <w:name w:val="heading 5"/>
    <w:basedOn w:val="Normal"/>
    <w:next w:val="Normal"/>
    <w:link w:val="Heading5Char"/>
    <w:qFormat/>
    <w:rsid w:val="00F87A76"/>
    <w:pPr>
      <w:spacing w:line="340" w:lineRule="atLeast"/>
      <w:ind w:left="706"/>
      <w:jc w:val="both"/>
      <w:outlineLvl w:val="4"/>
    </w:pPr>
    <w:rPr>
      <w:rFonts w:ascii="Times New Roman" w:eastAsia="Times New Roman" w:hAnsi="Times New Roman" w:cs="Times New Roman"/>
      <w:b/>
      <w:sz w:val="24"/>
      <w:szCs w:val="20"/>
      <w:lang w:val="en-US" w:eastAsia="de-DE"/>
    </w:rPr>
  </w:style>
  <w:style w:type="paragraph" w:styleId="Heading6">
    <w:name w:val="heading 6"/>
    <w:basedOn w:val="Normal"/>
    <w:next w:val="Normal"/>
    <w:link w:val="Heading6Char"/>
    <w:qFormat/>
    <w:rsid w:val="00F87A76"/>
    <w:pPr>
      <w:spacing w:line="340" w:lineRule="atLeast"/>
      <w:ind w:left="706"/>
      <w:jc w:val="both"/>
      <w:outlineLvl w:val="5"/>
    </w:pPr>
    <w:rPr>
      <w:rFonts w:ascii="Times New Roman" w:eastAsia="Times New Roman" w:hAnsi="Times New Roman" w:cstheme="majorBidi"/>
      <w:sz w:val="24"/>
      <w:szCs w:val="20"/>
      <w:u w:val="single"/>
      <w:lang w:val="en-US" w:eastAsia="de-DE"/>
    </w:rPr>
  </w:style>
  <w:style w:type="paragraph" w:styleId="Heading7">
    <w:name w:val="heading 7"/>
    <w:basedOn w:val="Normal"/>
    <w:next w:val="Normal"/>
    <w:link w:val="Heading7Char"/>
    <w:qFormat/>
    <w:rsid w:val="00F87A76"/>
    <w:pPr>
      <w:spacing w:line="340" w:lineRule="atLeast"/>
      <w:ind w:left="706"/>
      <w:jc w:val="both"/>
      <w:outlineLvl w:val="6"/>
    </w:pPr>
    <w:rPr>
      <w:rFonts w:ascii="Times New Roman" w:eastAsia="Times New Roman" w:hAnsi="Times New Roman" w:cs="Times New Roman"/>
      <w:i/>
      <w:sz w:val="24"/>
      <w:szCs w:val="20"/>
      <w:lang w:val="en-US" w:eastAsia="de-DE"/>
    </w:rPr>
  </w:style>
  <w:style w:type="paragraph" w:styleId="Heading8">
    <w:name w:val="heading 8"/>
    <w:basedOn w:val="Normal"/>
    <w:next w:val="Normal"/>
    <w:link w:val="Heading8Char"/>
    <w:qFormat/>
    <w:rsid w:val="00F87A76"/>
    <w:pPr>
      <w:spacing w:line="340" w:lineRule="atLeast"/>
      <w:ind w:left="706"/>
      <w:jc w:val="both"/>
      <w:outlineLvl w:val="7"/>
    </w:pPr>
    <w:rPr>
      <w:rFonts w:ascii="Times New Roman" w:eastAsia="Times New Roman" w:hAnsi="Times New Roman" w:cstheme="majorBidi"/>
      <w:i/>
      <w:sz w:val="24"/>
      <w:szCs w:val="20"/>
      <w:lang w:val="en-US" w:eastAsia="de-DE"/>
    </w:rPr>
  </w:style>
  <w:style w:type="paragraph" w:styleId="Heading9">
    <w:name w:val="heading 9"/>
    <w:basedOn w:val="Normal"/>
    <w:next w:val="Normal"/>
    <w:link w:val="Heading9Char"/>
    <w:qFormat/>
    <w:rsid w:val="00F87A76"/>
    <w:pPr>
      <w:spacing w:line="340" w:lineRule="atLeast"/>
      <w:ind w:left="706"/>
      <w:jc w:val="both"/>
      <w:outlineLvl w:val="8"/>
    </w:pPr>
    <w:rPr>
      <w:rFonts w:ascii="Times New Roman" w:eastAsia="Times New Roman" w:hAnsi="Times New Roman" w:cstheme="majorBidi"/>
      <w:i/>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spacing w:line="340" w:lineRule="atLeast"/>
      <w:ind w:right="360"/>
      <w:jc w:val="both"/>
      <w:outlineLvl w:val="0"/>
    </w:pPr>
    <w:rPr>
      <w:rFonts w:ascii="Times New Roman" w:eastAsia="Times New Roman" w:hAnsi="Times New Roman" w:cs="Times New Roman"/>
      <w:i/>
      <w:sz w:val="24"/>
      <w:szCs w:val="20"/>
      <w:lang w:val="en-US" w:eastAsia="de-DE"/>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jc w:val="both"/>
    </w:pPr>
    <w:rPr>
      <w:rFonts w:ascii="Minion Pro" w:eastAsia="Times New Roman" w:hAnsi="Minion Pro" w:cs="Times New Roman"/>
      <w:color w:val="000000" w:themeColor="text1"/>
      <w:sz w:val="24"/>
      <w:szCs w:val="20"/>
      <w:lang w:val="en-US" w:eastAsia="de-DE"/>
    </w:rPr>
  </w:style>
  <w:style w:type="paragraph" w:customStyle="1" w:styleId="Maddress">
    <w:name w:val="M_address"/>
    <w:basedOn w:val="Normal"/>
    <w:rsid w:val="00F87A76"/>
    <w:pPr>
      <w:spacing w:before="240" w:line="340" w:lineRule="atLeast"/>
      <w:jc w:val="both"/>
    </w:pPr>
    <w:rPr>
      <w:rFonts w:ascii="Times New Roman" w:eastAsia="Times New Roman" w:hAnsi="Times New Roman" w:cs="Times New Roman"/>
      <w:sz w:val="24"/>
      <w:szCs w:val="20"/>
      <w:lang w:val="en-US" w:eastAsia="de-DE"/>
    </w:rPr>
  </w:style>
  <w:style w:type="paragraph" w:customStyle="1" w:styleId="Mauthor">
    <w:name w:val="M_author"/>
    <w:basedOn w:val="Normal"/>
    <w:rsid w:val="00F87A76"/>
    <w:pPr>
      <w:spacing w:before="240" w:after="240" w:line="340" w:lineRule="exact"/>
      <w:jc w:val="both"/>
    </w:pPr>
    <w:rPr>
      <w:rFonts w:ascii="Times New Roman" w:eastAsia="Times New Roman" w:hAnsi="Times New Roman" w:cs="Times New Roman"/>
      <w:b/>
      <w:sz w:val="24"/>
      <w:szCs w:val="20"/>
      <w:lang w:val="it-IT" w:eastAsia="de-DE"/>
    </w:rPr>
  </w:style>
  <w:style w:type="paragraph" w:customStyle="1" w:styleId="MCaption">
    <w:name w:val="M_Caption"/>
    <w:basedOn w:val="Normal"/>
    <w:rsid w:val="00F87A76"/>
    <w:pPr>
      <w:spacing w:before="240" w:after="240" w:line="340" w:lineRule="atLeast"/>
      <w:jc w:val="center"/>
    </w:pPr>
    <w:rPr>
      <w:rFonts w:ascii="Times New Roman" w:eastAsia="Times New Roman" w:hAnsi="Times New Roman" w:cs="Times New Roman"/>
      <w:sz w:val="24"/>
      <w:szCs w:val="20"/>
      <w:lang w:val="en-US" w:eastAsia="de-DE"/>
    </w:r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305CED"/>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305CED"/>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305CED"/>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305CED"/>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305CED"/>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305CED"/>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305CED"/>
    <w:pPr>
      <w:spacing w:before="240"/>
      <w:ind w:left="113" w:firstLine="0"/>
    </w:pPr>
  </w:style>
  <w:style w:type="paragraph" w:customStyle="1" w:styleId="Mdeck3publcationhistory">
    <w:name w:val="M_deck_3_publcation_history"/>
    <w:next w:val="Normal"/>
    <w:qFormat/>
    <w:rsid w:val="00305CED"/>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305CED"/>
    <w:pPr>
      <w:spacing w:line="340" w:lineRule="atLeast"/>
      <w:outlineLvl w:val="0"/>
    </w:pPr>
    <w:rPr>
      <w:b/>
      <w:snapToGrid/>
    </w:rPr>
  </w:style>
  <w:style w:type="paragraph" w:customStyle="1" w:styleId="Mdeck4heading2">
    <w:name w:val="M_deck_4_heading_2"/>
    <w:basedOn w:val="MHeading3"/>
    <w:next w:val="Normal"/>
    <w:qFormat/>
    <w:rsid w:val="00305CED"/>
    <w:pPr>
      <w:outlineLvl w:val="1"/>
    </w:pPr>
    <w:rPr>
      <w:i/>
      <w:snapToGrid/>
    </w:rPr>
  </w:style>
  <w:style w:type="paragraph" w:customStyle="1" w:styleId="Mdeck4heading3">
    <w:name w:val="M_deck_4_heading_3"/>
    <w:basedOn w:val="Mdeck4text"/>
    <w:next w:val="Normal"/>
    <w:qFormat/>
    <w:rsid w:val="00305CED"/>
    <w:pPr>
      <w:spacing w:before="240" w:after="120" w:line="340" w:lineRule="atLeast"/>
      <w:ind w:firstLineChars="50" w:firstLine="50"/>
      <w:outlineLvl w:val="2"/>
    </w:pPr>
    <w:rPr>
      <w:snapToGrid/>
    </w:rPr>
  </w:style>
  <w:style w:type="paragraph" w:customStyle="1" w:styleId="Mdeck4text">
    <w:name w:val="M_deck_4_text"/>
    <w:qFormat/>
    <w:rsid w:val="00305CED"/>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305CED"/>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305CED"/>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305CED"/>
    <w:rPr>
      <w:i/>
    </w:rPr>
  </w:style>
  <w:style w:type="paragraph" w:customStyle="1" w:styleId="Mdeck4textlrindent">
    <w:name w:val="M_deck_4_text_lr_indent"/>
    <w:basedOn w:val="Mdeck4text"/>
    <w:qFormat/>
    <w:rsid w:val="00305CED"/>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305CED"/>
    <w:pPr>
      <w:numPr>
        <w:numId w:val="47"/>
      </w:numPr>
      <w:spacing w:before="120" w:after="120" w:line="340" w:lineRule="atLeast"/>
    </w:pPr>
    <w:rPr>
      <w:snapToGrid/>
    </w:rPr>
  </w:style>
  <w:style w:type="paragraph" w:customStyle="1" w:styleId="Mdeck5tablebody">
    <w:name w:val="M_deck_5_table_body"/>
    <w:qFormat/>
    <w:rsid w:val="00305CED"/>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305CED"/>
    <w:pPr>
      <w:adjustRightInd w:val="0"/>
      <w:snapToGrid w:val="0"/>
      <w:spacing w:line="300" w:lineRule="exact"/>
      <w:jc w:val="center"/>
    </w:pPr>
    <w:rPr>
      <w:rFonts w:eastAsiaTheme="minorEastAsia" w:cs="Times New Roman"/>
      <w:kern w:val="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305CED"/>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305CED"/>
    <w:pPr>
      <w:spacing w:line="300" w:lineRule="exact"/>
    </w:pPr>
  </w:style>
  <w:style w:type="paragraph" w:customStyle="1" w:styleId="Mdeck5tableheader">
    <w:name w:val="M_deck_5_table_header"/>
    <w:basedOn w:val="Mdeck5tablefooter"/>
    <w:rsid w:val="00305CED"/>
  </w:style>
  <w:style w:type="paragraph" w:customStyle="1" w:styleId="Mdeck6figurebody">
    <w:name w:val="M_deck_6_figure_body"/>
    <w:qFormat/>
    <w:rsid w:val="00305CED"/>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305CED"/>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305CED"/>
    <w:pPr>
      <w:spacing w:before="120" w:after="120"/>
      <w:ind w:left="709" w:firstLine="0"/>
      <w:jc w:val="center"/>
    </w:pPr>
    <w:rPr>
      <w:i/>
      <w:snapToGrid/>
      <w:szCs w:val="24"/>
      <w:lang w:eastAsia="en-US"/>
    </w:rPr>
  </w:style>
  <w:style w:type="paragraph" w:customStyle="1" w:styleId="Mdeck8references">
    <w:name w:val="M_deck_8_references"/>
    <w:qFormat/>
    <w:rsid w:val="00305CED"/>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line="340" w:lineRule="atLeast"/>
      <w:ind w:left="425"/>
      <w:jc w:val="both"/>
    </w:pPr>
    <w:rPr>
      <w:rFonts w:ascii="Minion Pro" w:eastAsia="Times New Roman" w:hAnsi="Minion Pro" w:cs="Times New Roman"/>
      <w:sz w:val="24"/>
      <w:szCs w:val="20"/>
      <w:lang w:val="en-US" w:eastAsia="de-DE"/>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line="340" w:lineRule="atLeast"/>
      <w:jc w:val="right"/>
    </w:pPr>
    <w:rPr>
      <w:rFonts w:ascii="Times New Roman" w:eastAsia="Times New Roman" w:hAnsi="Times New Roman" w:cs="Times New Roman"/>
      <w:sz w:val="24"/>
      <w:szCs w:val="20"/>
      <w:lang w:val="en-US" w:eastAsia="de-DE"/>
    </w:r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line="340" w:lineRule="atLeast"/>
      <w:jc w:val="right"/>
    </w:pPr>
    <w:rPr>
      <w:rFonts w:ascii="Times New Roman" w:eastAsia="Times New Roman" w:hAnsi="Times New Roman" w:cs="Times New Roman"/>
      <w:b/>
      <w:i/>
      <w:sz w:val="64"/>
      <w:szCs w:val="20"/>
      <w:lang w:val="en-US" w:eastAsia="de-DE"/>
    </w:rPr>
  </w:style>
  <w:style w:type="paragraph" w:customStyle="1" w:styleId="Mreceived">
    <w:name w:val="M_received"/>
    <w:basedOn w:val="Maddress"/>
    <w:rsid w:val="00F87A76"/>
    <w:rPr>
      <w:i/>
    </w:rPr>
  </w:style>
  <w:style w:type="paragraph" w:customStyle="1" w:styleId="MRefer">
    <w:name w:val="M_Refer"/>
    <w:basedOn w:val="Normal"/>
    <w:rsid w:val="00F87A76"/>
    <w:pPr>
      <w:spacing w:line="340" w:lineRule="atLeast"/>
      <w:ind w:left="461" w:hanging="461"/>
      <w:jc w:val="both"/>
    </w:pPr>
    <w:rPr>
      <w:rFonts w:ascii="Times New Roman" w:eastAsia="Times New Roman" w:hAnsi="Times New Roman" w:cs="Times New Roman"/>
      <w:sz w:val="24"/>
      <w:szCs w:val="20"/>
      <w:lang w:val="en-US" w:eastAsia="de-DE"/>
    </w:rPr>
  </w:style>
  <w:style w:type="paragraph" w:customStyle="1" w:styleId="Mtable">
    <w:name w:val="M_table"/>
    <w:basedOn w:val="Normal"/>
    <w:rsid w:val="00F87A76"/>
    <w:pPr>
      <w:keepNext/>
      <w:tabs>
        <w:tab w:val="left" w:pos="284"/>
      </w:tabs>
      <w:spacing w:line="340" w:lineRule="atLeast"/>
      <w:jc w:val="both"/>
    </w:pPr>
    <w:rPr>
      <w:rFonts w:ascii="Times New Roman" w:eastAsia="Times New Roman" w:hAnsi="Times New Roman" w:cs="Times New Roman"/>
      <w:sz w:val="24"/>
      <w:szCs w:val="20"/>
      <w:lang w:val="en-US" w:eastAsia="de-DE"/>
    </w:r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spacing w:line="340" w:lineRule="atLeast"/>
      <w:ind w:firstLine="288"/>
      <w:jc w:val="both"/>
    </w:pPr>
    <w:rPr>
      <w:rFonts w:ascii="Times New Roman" w:eastAsia="Times New Roman" w:hAnsi="Times New Roman" w:cs="Times New Roman"/>
      <w:sz w:val="24"/>
      <w:szCs w:val="20"/>
      <w:lang w:val="en-US" w:eastAsia="de-DE"/>
    </w:rPr>
  </w:style>
  <w:style w:type="paragraph" w:customStyle="1" w:styleId="MTitel">
    <w:name w:val="M_Titel"/>
    <w:basedOn w:val="Normal"/>
    <w:rsid w:val="00F87A76"/>
    <w:pPr>
      <w:spacing w:before="240" w:line="340" w:lineRule="atLeast"/>
      <w:jc w:val="both"/>
    </w:pPr>
    <w:rPr>
      <w:rFonts w:ascii="Times New Roman" w:eastAsia="Times New Roman" w:hAnsi="Times New Roman" w:cs="Times New Roman"/>
      <w:b/>
      <w:sz w:val="36"/>
      <w:szCs w:val="20"/>
      <w:lang w:eastAsia="de-DE"/>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jc w:val="both"/>
    </w:pPr>
    <w:rPr>
      <w:rFonts w:eastAsia="Times New Roman" w:cs="Times New Roman"/>
      <w:sz w:val="24"/>
      <w:szCs w:val="20"/>
      <w:lang w:val="de-DE" w:eastAsia="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pPr>
      <w:spacing w:line="340" w:lineRule="atLeast"/>
      <w:jc w:val="both"/>
    </w:pPr>
    <w:rPr>
      <w:rFonts w:ascii="Times New Roman" w:eastAsia="Times New Roman" w:hAnsi="Times New Roman" w:cs="Times New Roman"/>
      <w:sz w:val="24"/>
      <w:szCs w:val="20"/>
      <w:lang w:val="en-US" w:eastAsia="de-DE"/>
    </w:rPr>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spacing w:line="340" w:lineRule="atLeast"/>
      <w:ind w:left="200" w:hangingChars="200" w:hanging="200"/>
      <w:contextualSpacing/>
      <w:jc w:val="both"/>
    </w:pPr>
    <w:rPr>
      <w:rFonts w:ascii="Times New Roman" w:eastAsia="Times New Roman" w:hAnsi="Times New Roman" w:cs="Times New Roman"/>
      <w:sz w:val="24"/>
      <w:szCs w:val="20"/>
      <w:lang w:val="en-US" w:eastAsia="de-DE"/>
    </w:rPr>
  </w:style>
  <w:style w:type="paragraph" w:styleId="ListBullet">
    <w:name w:val="List Bullet"/>
    <w:basedOn w:val="Normal"/>
    <w:rsid w:val="00F87A76"/>
    <w:pPr>
      <w:tabs>
        <w:tab w:val="num" w:pos="360"/>
      </w:tabs>
      <w:spacing w:line="340" w:lineRule="atLeast"/>
      <w:ind w:left="200" w:hangingChars="200" w:hanging="200"/>
      <w:contextualSpacing/>
      <w:jc w:val="both"/>
    </w:pPr>
    <w:rPr>
      <w:rFonts w:ascii="Times New Roman" w:eastAsia="Times New Roman" w:hAnsi="Times New Roman" w:cs="Times New Roman"/>
      <w:sz w:val="24"/>
      <w:szCs w:val="20"/>
      <w:lang w:val="en-US" w:eastAsia="de-DE"/>
    </w:rPr>
  </w:style>
  <w:style w:type="paragraph" w:styleId="ListParagraph">
    <w:name w:val="List Paragraph"/>
    <w:basedOn w:val="Normal"/>
    <w:uiPriority w:val="34"/>
    <w:qFormat/>
    <w:rsid w:val="00F87A76"/>
    <w:pPr>
      <w:spacing w:line="340" w:lineRule="atLeast"/>
      <w:ind w:firstLineChars="200" w:firstLine="420"/>
      <w:jc w:val="both"/>
    </w:pPr>
    <w:rPr>
      <w:rFonts w:ascii="Times New Roman" w:eastAsia="Times New Roman" w:hAnsi="Times New Roman" w:cs="Times New Roman"/>
      <w:sz w:val="24"/>
      <w:szCs w:val="20"/>
      <w:lang w:val="en-US" w:eastAsia="de-DE"/>
    </w:rPr>
  </w:style>
  <w:style w:type="paragraph" w:styleId="BalloonText">
    <w:name w:val="Balloon Text"/>
    <w:basedOn w:val="Normal"/>
    <w:link w:val="BalloonTextChar"/>
    <w:uiPriority w:val="99"/>
    <w:rsid w:val="00F87A76"/>
    <w:pPr>
      <w:spacing w:line="340" w:lineRule="atLeast"/>
      <w:jc w:val="both"/>
    </w:pPr>
    <w:rPr>
      <w:rFonts w:ascii="Times New Roman" w:eastAsia="Times New Roman" w:hAnsi="Times New Roman" w:cs="Tahoma"/>
      <w:sz w:val="18"/>
      <w:szCs w:val="18"/>
      <w:lang w:val="en-US" w:eastAsia="de-DE"/>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pPr>
      <w:spacing w:line="340" w:lineRule="atLeast"/>
      <w:jc w:val="both"/>
    </w:pPr>
    <w:rPr>
      <w:rFonts w:ascii="Times New Roman" w:eastAsia="Times New Roman" w:hAnsi="Times New Roman" w:cs="Times New Roman"/>
      <w:sz w:val="24"/>
      <w:szCs w:val="20"/>
      <w:lang w:val="en-US" w:eastAsia="de-DE"/>
    </w:rPr>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pPr>
      <w:spacing w:line="340" w:lineRule="atLeast"/>
      <w:jc w:val="both"/>
    </w:pPr>
    <w:rPr>
      <w:rFonts w:ascii="Times New Roman" w:eastAsia="Times New Roman" w:hAnsi="Times New Roman" w:cs="Times New Roman"/>
      <w:sz w:val="24"/>
      <w:szCs w:val="24"/>
      <w:lang w:val="en-US" w:eastAsia="de-DE"/>
    </w:rPr>
  </w:style>
  <w:style w:type="paragraph" w:styleId="Bibliography">
    <w:name w:val="Bibliography"/>
    <w:basedOn w:val="Normal"/>
    <w:next w:val="Normal"/>
    <w:uiPriority w:val="37"/>
    <w:unhideWhenUsed/>
    <w:rsid w:val="00F87A76"/>
    <w:pPr>
      <w:spacing w:line="240" w:lineRule="atLeast"/>
      <w:jc w:val="both"/>
    </w:pPr>
    <w:rPr>
      <w:rFonts w:ascii="Times New Roman" w:eastAsia="Times New Roman" w:hAnsi="Times New Roman" w:cs="Times New Roman"/>
      <w:sz w:val="24"/>
      <w:szCs w:val="20"/>
      <w:lang w:val="en-US" w:eastAsia="de-DE"/>
    </w:rPr>
  </w:style>
  <w:style w:type="paragraph" w:styleId="Caption">
    <w:name w:val="caption"/>
    <w:basedOn w:val="Normal"/>
    <w:next w:val="Normal"/>
    <w:qFormat/>
    <w:rsid w:val="00F87A76"/>
    <w:pPr>
      <w:spacing w:line="340" w:lineRule="atLeast"/>
      <w:ind w:left="850" w:hanging="850"/>
      <w:jc w:val="center"/>
    </w:pPr>
    <w:rPr>
      <w:rFonts w:ascii="Times New Roman" w:eastAsia="Times New Roman" w:hAnsi="Times New Roman" w:cs="Times New Roman"/>
      <w:b/>
      <w:bCs/>
      <w:sz w:val="24"/>
      <w:szCs w:val="24"/>
      <w:lang w:val="en-US" w:eastAsia="en-US"/>
    </w:rPr>
  </w:style>
  <w:style w:type="paragraph" w:styleId="TableofFigures">
    <w:name w:val="table of figures"/>
    <w:basedOn w:val="Normal"/>
    <w:next w:val="Normal"/>
    <w:rsid w:val="00F87A76"/>
    <w:pPr>
      <w:tabs>
        <w:tab w:val="left" w:pos="374"/>
      </w:tabs>
      <w:snapToGrid w:val="0"/>
      <w:spacing w:line="220" w:lineRule="exact"/>
      <w:jc w:val="both"/>
    </w:pPr>
    <w:rPr>
      <w:rFonts w:ascii="Times New Roman" w:eastAsia="Times New Roman" w:hAnsi="Times New Roman" w:cs="Times New Roman"/>
      <w:sz w:val="16"/>
      <w:szCs w:val="16"/>
      <w:lang w:val="en-US" w:eastAsia="de-DE"/>
    </w:rPr>
  </w:style>
  <w:style w:type="table" w:styleId="TableGrid">
    <w:name w:val="Table Grid"/>
    <w:basedOn w:val="TableNormal"/>
    <w:uiPriority w:val="39"/>
    <w:rsid w:val="00F87A76"/>
    <w:rPr>
      <w:rFonts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F87A76"/>
    <w:pPr>
      <w:spacing w:line="360" w:lineRule="auto"/>
      <w:jc w:val="both"/>
    </w:pPr>
    <w:rPr>
      <w:rFonts w:ascii="Times New Roman" w:eastAsia="Times New Roman" w:hAnsi="Times New Roman" w:cs="Times New Roman"/>
      <w:sz w:val="24"/>
      <w:szCs w:val="24"/>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jc w:val="both"/>
    </w:pPr>
    <w:rPr>
      <w:rFonts w:ascii="Times New Roman" w:eastAsia="Times New Roman" w:hAnsi="Times New Roman" w:cs="Times New Roman"/>
      <w:sz w:val="18"/>
      <w:szCs w:val="18"/>
      <w:lang w:val="en-US" w:eastAsia="de-DE"/>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rFonts w:ascii="Times New Roman" w:eastAsia="Times New Roman" w:hAnsi="Times New Roman" w:cs="Times New Roman"/>
      <w:sz w:val="18"/>
      <w:szCs w:val="18"/>
      <w:lang w:val="en-US" w:eastAsia="de-DE"/>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305CED"/>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eastAsia="Times New Roman" w:hAnsi="Palatino Linotype" w:cstheme="minorBidi"/>
      <w:sz w:val="18"/>
      <w:lang w:val="en-US" w:eastAsia="de-DE"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eastAsia="Times New Roman" w:hAnsi="Palatino Linotype" w:cs="Times New Roman"/>
      <w:sz w:val="18"/>
      <w:szCs w:val="20"/>
      <w:lang w:val="en-US" w:eastAsia="de-DE"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HTMLPreformatted">
    <w:name w:val="HTML Preformatted"/>
    <w:basedOn w:val="Normal"/>
    <w:link w:val="HTMLPreformattedChar"/>
    <w:uiPriority w:val="99"/>
    <w:semiHidden/>
    <w:unhideWhenUsed/>
    <w:rsid w:val="003A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宋体" w:hAnsi="Courier" w:cs="Courier"/>
      <w:color w:val="auto"/>
      <w:sz w:val="20"/>
      <w:szCs w:val="20"/>
      <w:lang w:eastAsia="en-US"/>
    </w:rPr>
  </w:style>
  <w:style w:type="character" w:customStyle="1" w:styleId="HTMLPreformattedChar">
    <w:name w:val="HTML Preformatted Char"/>
    <w:basedOn w:val="DefaultParagraphFont"/>
    <w:link w:val="HTMLPreformatted"/>
    <w:uiPriority w:val="99"/>
    <w:semiHidden/>
    <w:rsid w:val="003A2FC7"/>
    <w:rPr>
      <w:rFonts w:ascii="Courier" w:hAnsi="Courier" w:cs="Courier"/>
      <w:kern w:val="0"/>
      <w:lang w:val="en-GB" w:eastAsia="en-US"/>
    </w:rPr>
  </w:style>
  <w:style w:type="character" w:customStyle="1" w:styleId="xbe">
    <w:name w:val="_xbe"/>
    <w:basedOn w:val="DefaultParagraphFont"/>
    <w:rsid w:val="00F5119D"/>
  </w:style>
  <w:style w:type="paragraph" w:styleId="DocumentMap">
    <w:name w:val="Document Map"/>
    <w:basedOn w:val="Normal"/>
    <w:link w:val="DocumentMapChar"/>
    <w:uiPriority w:val="99"/>
    <w:semiHidden/>
    <w:unhideWhenUsed/>
    <w:rsid w:val="00D521BE"/>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521BE"/>
    <w:rPr>
      <w:rFonts w:eastAsia="Arial" w:cs="Times New Roman"/>
      <w:color w:val="000000"/>
      <w:kern w:val="0"/>
      <w:sz w:val="24"/>
      <w:szCs w:val="24"/>
      <w:lang w:val="en-GB" w:eastAsia="en-GB"/>
    </w:rPr>
  </w:style>
  <w:style w:type="paragraph" w:styleId="Revision">
    <w:name w:val="Revision"/>
    <w:hidden/>
    <w:uiPriority w:val="99"/>
    <w:semiHidden/>
    <w:rsid w:val="001602E3"/>
    <w:rPr>
      <w:rFonts w:ascii="Arial" w:eastAsia="Arial" w:hAnsi="Arial" w:cs="Arial"/>
      <w:color w:val="000000"/>
      <w:kern w:val="0"/>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148"/>
    <w:pPr>
      <w:spacing w:line="276" w:lineRule="auto"/>
    </w:pPr>
    <w:rPr>
      <w:rFonts w:ascii="Arial" w:eastAsia="Arial" w:hAnsi="Arial" w:cs="Arial"/>
      <w:color w:val="000000"/>
      <w:kern w:val="0"/>
      <w:sz w:val="22"/>
      <w:szCs w:val="22"/>
      <w:lang w:val="en-GB" w:eastAsia="en-GB"/>
    </w:rPr>
  </w:style>
  <w:style w:type="paragraph" w:styleId="Heading1">
    <w:name w:val="heading 1"/>
    <w:aliases w:val="x"/>
    <w:basedOn w:val="Normal"/>
    <w:next w:val="Normal"/>
    <w:link w:val="Heading1Char"/>
    <w:uiPriority w:val="9"/>
    <w:qFormat/>
    <w:rsid w:val="00F87A76"/>
    <w:pPr>
      <w:spacing w:before="240" w:line="340" w:lineRule="atLeast"/>
      <w:jc w:val="both"/>
      <w:outlineLvl w:val="0"/>
    </w:pPr>
    <w:rPr>
      <w:rFonts w:eastAsia="Times New Roman" w:cs="Times New Roman"/>
      <w:b/>
      <w:sz w:val="24"/>
      <w:szCs w:val="20"/>
      <w:u w:val="single"/>
      <w:lang w:val="en-US" w:eastAsia="de-DE"/>
    </w:rPr>
  </w:style>
  <w:style w:type="paragraph" w:styleId="Heading2">
    <w:name w:val="heading 2"/>
    <w:basedOn w:val="Normal"/>
    <w:next w:val="Normal"/>
    <w:link w:val="Heading2Char"/>
    <w:qFormat/>
    <w:rsid w:val="00F87A76"/>
    <w:pPr>
      <w:spacing w:before="120" w:line="340" w:lineRule="atLeast"/>
      <w:jc w:val="both"/>
      <w:outlineLvl w:val="1"/>
    </w:pPr>
    <w:rPr>
      <w:rFonts w:eastAsia="Times New Roman" w:cstheme="majorBidi"/>
      <w:b/>
      <w:sz w:val="24"/>
      <w:szCs w:val="20"/>
      <w:lang w:val="en-US" w:eastAsia="de-DE"/>
    </w:rPr>
  </w:style>
  <w:style w:type="paragraph" w:styleId="Heading3">
    <w:name w:val="heading 3"/>
    <w:basedOn w:val="Normal"/>
    <w:next w:val="Normal"/>
    <w:link w:val="Heading3Char"/>
    <w:qFormat/>
    <w:rsid w:val="00F87A76"/>
    <w:pPr>
      <w:spacing w:line="340" w:lineRule="atLeast"/>
      <w:ind w:left="360"/>
      <w:jc w:val="both"/>
      <w:outlineLvl w:val="2"/>
    </w:pPr>
    <w:rPr>
      <w:rFonts w:ascii="Times New Roman" w:eastAsia="Times New Roman" w:hAnsi="Times New Roman" w:cs="Times New Roman"/>
      <w:b/>
      <w:sz w:val="24"/>
      <w:szCs w:val="20"/>
      <w:lang w:val="en-US" w:eastAsia="de-DE"/>
    </w:rPr>
  </w:style>
  <w:style w:type="paragraph" w:styleId="Heading4">
    <w:name w:val="heading 4"/>
    <w:basedOn w:val="Normal"/>
    <w:next w:val="Normal"/>
    <w:link w:val="Heading4Char"/>
    <w:qFormat/>
    <w:rsid w:val="00F87A76"/>
    <w:pPr>
      <w:keepNext/>
      <w:keepLines/>
      <w:spacing w:before="240" w:line="480" w:lineRule="atLeast"/>
      <w:ind w:left="907" w:hanging="907"/>
      <w:jc w:val="both"/>
      <w:outlineLvl w:val="3"/>
    </w:pPr>
    <w:rPr>
      <w:rFonts w:eastAsia="Times New Roman" w:cstheme="majorBidi"/>
      <w:b/>
      <w:sz w:val="24"/>
      <w:szCs w:val="20"/>
      <w:lang w:val="en-US" w:eastAsia="de-DE"/>
    </w:rPr>
  </w:style>
  <w:style w:type="paragraph" w:styleId="Heading5">
    <w:name w:val="heading 5"/>
    <w:basedOn w:val="Normal"/>
    <w:next w:val="Normal"/>
    <w:link w:val="Heading5Char"/>
    <w:qFormat/>
    <w:rsid w:val="00F87A76"/>
    <w:pPr>
      <w:spacing w:line="340" w:lineRule="atLeast"/>
      <w:ind w:left="706"/>
      <w:jc w:val="both"/>
      <w:outlineLvl w:val="4"/>
    </w:pPr>
    <w:rPr>
      <w:rFonts w:ascii="Times New Roman" w:eastAsia="Times New Roman" w:hAnsi="Times New Roman" w:cs="Times New Roman"/>
      <w:b/>
      <w:sz w:val="24"/>
      <w:szCs w:val="20"/>
      <w:lang w:val="en-US" w:eastAsia="de-DE"/>
    </w:rPr>
  </w:style>
  <w:style w:type="paragraph" w:styleId="Heading6">
    <w:name w:val="heading 6"/>
    <w:basedOn w:val="Normal"/>
    <w:next w:val="Normal"/>
    <w:link w:val="Heading6Char"/>
    <w:qFormat/>
    <w:rsid w:val="00F87A76"/>
    <w:pPr>
      <w:spacing w:line="340" w:lineRule="atLeast"/>
      <w:ind w:left="706"/>
      <w:jc w:val="both"/>
      <w:outlineLvl w:val="5"/>
    </w:pPr>
    <w:rPr>
      <w:rFonts w:ascii="Times New Roman" w:eastAsia="Times New Roman" w:hAnsi="Times New Roman" w:cstheme="majorBidi"/>
      <w:sz w:val="24"/>
      <w:szCs w:val="20"/>
      <w:u w:val="single"/>
      <w:lang w:val="en-US" w:eastAsia="de-DE"/>
    </w:rPr>
  </w:style>
  <w:style w:type="paragraph" w:styleId="Heading7">
    <w:name w:val="heading 7"/>
    <w:basedOn w:val="Normal"/>
    <w:next w:val="Normal"/>
    <w:link w:val="Heading7Char"/>
    <w:qFormat/>
    <w:rsid w:val="00F87A76"/>
    <w:pPr>
      <w:spacing w:line="340" w:lineRule="atLeast"/>
      <w:ind w:left="706"/>
      <w:jc w:val="both"/>
      <w:outlineLvl w:val="6"/>
    </w:pPr>
    <w:rPr>
      <w:rFonts w:ascii="Times New Roman" w:eastAsia="Times New Roman" w:hAnsi="Times New Roman" w:cs="Times New Roman"/>
      <w:i/>
      <w:sz w:val="24"/>
      <w:szCs w:val="20"/>
      <w:lang w:val="en-US" w:eastAsia="de-DE"/>
    </w:rPr>
  </w:style>
  <w:style w:type="paragraph" w:styleId="Heading8">
    <w:name w:val="heading 8"/>
    <w:basedOn w:val="Normal"/>
    <w:next w:val="Normal"/>
    <w:link w:val="Heading8Char"/>
    <w:qFormat/>
    <w:rsid w:val="00F87A76"/>
    <w:pPr>
      <w:spacing w:line="340" w:lineRule="atLeast"/>
      <w:ind w:left="706"/>
      <w:jc w:val="both"/>
      <w:outlineLvl w:val="7"/>
    </w:pPr>
    <w:rPr>
      <w:rFonts w:ascii="Times New Roman" w:eastAsia="Times New Roman" w:hAnsi="Times New Roman" w:cstheme="majorBidi"/>
      <w:i/>
      <w:sz w:val="24"/>
      <w:szCs w:val="20"/>
      <w:lang w:val="en-US" w:eastAsia="de-DE"/>
    </w:rPr>
  </w:style>
  <w:style w:type="paragraph" w:styleId="Heading9">
    <w:name w:val="heading 9"/>
    <w:basedOn w:val="Normal"/>
    <w:next w:val="Normal"/>
    <w:link w:val="Heading9Char"/>
    <w:qFormat/>
    <w:rsid w:val="00F87A76"/>
    <w:pPr>
      <w:spacing w:line="340" w:lineRule="atLeast"/>
      <w:ind w:left="706"/>
      <w:jc w:val="both"/>
      <w:outlineLvl w:val="8"/>
    </w:pPr>
    <w:rPr>
      <w:rFonts w:ascii="Times New Roman" w:eastAsia="Times New Roman" w:hAnsi="Times New Roman" w:cstheme="majorBidi"/>
      <w:i/>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spacing w:line="340" w:lineRule="atLeast"/>
      <w:ind w:right="360"/>
      <w:jc w:val="both"/>
      <w:outlineLvl w:val="0"/>
    </w:pPr>
    <w:rPr>
      <w:rFonts w:ascii="Times New Roman" w:eastAsia="Times New Roman" w:hAnsi="Times New Roman" w:cs="Times New Roman"/>
      <w:i/>
      <w:sz w:val="24"/>
      <w:szCs w:val="20"/>
      <w:lang w:val="en-US" w:eastAsia="de-DE"/>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jc w:val="both"/>
    </w:pPr>
    <w:rPr>
      <w:rFonts w:ascii="Minion Pro" w:eastAsia="Times New Roman" w:hAnsi="Minion Pro" w:cs="Times New Roman"/>
      <w:color w:val="000000" w:themeColor="text1"/>
      <w:sz w:val="24"/>
      <w:szCs w:val="20"/>
      <w:lang w:val="en-US" w:eastAsia="de-DE"/>
    </w:rPr>
  </w:style>
  <w:style w:type="paragraph" w:customStyle="1" w:styleId="Maddress">
    <w:name w:val="M_address"/>
    <w:basedOn w:val="Normal"/>
    <w:rsid w:val="00F87A76"/>
    <w:pPr>
      <w:spacing w:before="240" w:line="340" w:lineRule="atLeast"/>
      <w:jc w:val="both"/>
    </w:pPr>
    <w:rPr>
      <w:rFonts w:ascii="Times New Roman" w:eastAsia="Times New Roman" w:hAnsi="Times New Roman" w:cs="Times New Roman"/>
      <w:sz w:val="24"/>
      <w:szCs w:val="20"/>
      <w:lang w:val="en-US" w:eastAsia="de-DE"/>
    </w:rPr>
  </w:style>
  <w:style w:type="paragraph" w:customStyle="1" w:styleId="Mauthor">
    <w:name w:val="M_author"/>
    <w:basedOn w:val="Normal"/>
    <w:rsid w:val="00F87A76"/>
    <w:pPr>
      <w:spacing w:before="240" w:after="240" w:line="340" w:lineRule="exact"/>
      <w:jc w:val="both"/>
    </w:pPr>
    <w:rPr>
      <w:rFonts w:ascii="Times New Roman" w:eastAsia="Times New Roman" w:hAnsi="Times New Roman" w:cs="Times New Roman"/>
      <w:b/>
      <w:sz w:val="24"/>
      <w:szCs w:val="20"/>
      <w:lang w:val="it-IT" w:eastAsia="de-DE"/>
    </w:rPr>
  </w:style>
  <w:style w:type="paragraph" w:customStyle="1" w:styleId="MCaption">
    <w:name w:val="M_Caption"/>
    <w:basedOn w:val="Normal"/>
    <w:rsid w:val="00F87A76"/>
    <w:pPr>
      <w:spacing w:before="240" w:after="240" w:line="340" w:lineRule="atLeast"/>
      <w:jc w:val="center"/>
    </w:pPr>
    <w:rPr>
      <w:rFonts w:ascii="Times New Roman" w:eastAsia="Times New Roman" w:hAnsi="Times New Roman" w:cs="Times New Roman"/>
      <w:sz w:val="24"/>
      <w:szCs w:val="20"/>
      <w:lang w:val="en-US" w:eastAsia="de-DE"/>
    </w:r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305CED"/>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305CED"/>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305CED"/>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305CED"/>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305CED"/>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305CED"/>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305CED"/>
    <w:pPr>
      <w:spacing w:before="240"/>
      <w:ind w:left="113" w:firstLine="0"/>
    </w:pPr>
  </w:style>
  <w:style w:type="paragraph" w:customStyle="1" w:styleId="Mdeck3publcationhistory">
    <w:name w:val="M_deck_3_publcation_history"/>
    <w:next w:val="Normal"/>
    <w:qFormat/>
    <w:rsid w:val="00305CED"/>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305CED"/>
    <w:pPr>
      <w:spacing w:line="340" w:lineRule="atLeast"/>
      <w:outlineLvl w:val="0"/>
    </w:pPr>
    <w:rPr>
      <w:b/>
      <w:snapToGrid/>
    </w:rPr>
  </w:style>
  <w:style w:type="paragraph" w:customStyle="1" w:styleId="Mdeck4heading2">
    <w:name w:val="M_deck_4_heading_2"/>
    <w:basedOn w:val="MHeading3"/>
    <w:next w:val="Normal"/>
    <w:qFormat/>
    <w:rsid w:val="00305CED"/>
    <w:pPr>
      <w:outlineLvl w:val="1"/>
    </w:pPr>
    <w:rPr>
      <w:i/>
      <w:snapToGrid/>
    </w:rPr>
  </w:style>
  <w:style w:type="paragraph" w:customStyle="1" w:styleId="Mdeck4heading3">
    <w:name w:val="M_deck_4_heading_3"/>
    <w:basedOn w:val="Mdeck4text"/>
    <w:next w:val="Normal"/>
    <w:qFormat/>
    <w:rsid w:val="00305CED"/>
    <w:pPr>
      <w:spacing w:before="240" w:after="120" w:line="340" w:lineRule="atLeast"/>
      <w:ind w:firstLineChars="50" w:firstLine="50"/>
      <w:outlineLvl w:val="2"/>
    </w:pPr>
    <w:rPr>
      <w:snapToGrid/>
    </w:rPr>
  </w:style>
  <w:style w:type="paragraph" w:customStyle="1" w:styleId="Mdeck4text">
    <w:name w:val="M_deck_4_text"/>
    <w:qFormat/>
    <w:rsid w:val="00305CED"/>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305CED"/>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305CED"/>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305CED"/>
    <w:rPr>
      <w:i/>
    </w:rPr>
  </w:style>
  <w:style w:type="paragraph" w:customStyle="1" w:styleId="Mdeck4textlrindent">
    <w:name w:val="M_deck_4_text_lr_indent"/>
    <w:basedOn w:val="Mdeck4text"/>
    <w:qFormat/>
    <w:rsid w:val="00305CED"/>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305CED"/>
    <w:pPr>
      <w:numPr>
        <w:numId w:val="47"/>
      </w:numPr>
      <w:spacing w:before="120" w:after="120" w:line="340" w:lineRule="atLeast"/>
    </w:pPr>
    <w:rPr>
      <w:snapToGrid/>
    </w:rPr>
  </w:style>
  <w:style w:type="paragraph" w:customStyle="1" w:styleId="Mdeck5tablebody">
    <w:name w:val="M_deck_5_table_body"/>
    <w:qFormat/>
    <w:rsid w:val="00305CED"/>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305CED"/>
    <w:pPr>
      <w:adjustRightInd w:val="0"/>
      <w:snapToGrid w:val="0"/>
      <w:spacing w:line="300" w:lineRule="exact"/>
      <w:jc w:val="center"/>
    </w:pPr>
    <w:rPr>
      <w:rFonts w:eastAsiaTheme="minorEastAsia" w:cs="Times New Roman"/>
      <w:kern w:val="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305CED"/>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305CED"/>
    <w:pPr>
      <w:spacing w:line="300" w:lineRule="exact"/>
    </w:pPr>
  </w:style>
  <w:style w:type="paragraph" w:customStyle="1" w:styleId="Mdeck5tableheader">
    <w:name w:val="M_deck_5_table_header"/>
    <w:basedOn w:val="Mdeck5tablefooter"/>
    <w:rsid w:val="00305CED"/>
  </w:style>
  <w:style w:type="paragraph" w:customStyle="1" w:styleId="Mdeck6figurebody">
    <w:name w:val="M_deck_6_figure_body"/>
    <w:qFormat/>
    <w:rsid w:val="00305CED"/>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305CED"/>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305CED"/>
    <w:pPr>
      <w:spacing w:before="120" w:after="120"/>
      <w:ind w:left="709" w:firstLine="0"/>
      <w:jc w:val="center"/>
    </w:pPr>
    <w:rPr>
      <w:i/>
      <w:snapToGrid/>
      <w:szCs w:val="24"/>
      <w:lang w:eastAsia="en-US"/>
    </w:rPr>
  </w:style>
  <w:style w:type="paragraph" w:customStyle="1" w:styleId="Mdeck8references">
    <w:name w:val="M_deck_8_references"/>
    <w:qFormat/>
    <w:rsid w:val="00305CED"/>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line="340" w:lineRule="atLeast"/>
      <w:ind w:left="425"/>
      <w:jc w:val="both"/>
    </w:pPr>
    <w:rPr>
      <w:rFonts w:ascii="Minion Pro" w:eastAsia="Times New Roman" w:hAnsi="Minion Pro" w:cs="Times New Roman"/>
      <w:sz w:val="24"/>
      <w:szCs w:val="20"/>
      <w:lang w:val="en-US" w:eastAsia="de-DE"/>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line="340" w:lineRule="atLeast"/>
      <w:jc w:val="right"/>
    </w:pPr>
    <w:rPr>
      <w:rFonts w:ascii="Times New Roman" w:eastAsia="Times New Roman" w:hAnsi="Times New Roman" w:cs="Times New Roman"/>
      <w:sz w:val="24"/>
      <w:szCs w:val="20"/>
      <w:lang w:val="en-US" w:eastAsia="de-DE"/>
    </w:r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line="340" w:lineRule="atLeast"/>
      <w:jc w:val="right"/>
    </w:pPr>
    <w:rPr>
      <w:rFonts w:ascii="Times New Roman" w:eastAsia="Times New Roman" w:hAnsi="Times New Roman" w:cs="Times New Roman"/>
      <w:b/>
      <w:i/>
      <w:sz w:val="64"/>
      <w:szCs w:val="20"/>
      <w:lang w:val="en-US" w:eastAsia="de-DE"/>
    </w:rPr>
  </w:style>
  <w:style w:type="paragraph" w:customStyle="1" w:styleId="Mreceived">
    <w:name w:val="M_received"/>
    <w:basedOn w:val="Maddress"/>
    <w:rsid w:val="00F87A76"/>
    <w:rPr>
      <w:i/>
    </w:rPr>
  </w:style>
  <w:style w:type="paragraph" w:customStyle="1" w:styleId="MRefer">
    <w:name w:val="M_Refer"/>
    <w:basedOn w:val="Normal"/>
    <w:rsid w:val="00F87A76"/>
    <w:pPr>
      <w:spacing w:line="340" w:lineRule="atLeast"/>
      <w:ind w:left="461" w:hanging="461"/>
      <w:jc w:val="both"/>
    </w:pPr>
    <w:rPr>
      <w:rFonts w:ascii="Times New Roman" w:eastAsia="Times New Roman" w:hAnsi="Times New Roman" w:cs="Times New Roman"/>
      <w:sz w:val="24"/>
      <w:szCs w:val="20"/>
      <w:lang w:val="en-US" w:eastAsia="de-DE"/>
    </w:rPr>
  </w:style>
  <w:style w:type="paragraph" w:customStyle="1" w:styleId="Mtable">
    <w:name w:val="M_table"/>
    <w:basedOn w:val="Normal"/>
    <w:rsid w:val="00F87A76"/>
    <w:pPr>
      <w:keepNext/>
      <w:tabs>
        <w:tab w:val="left" w:pos="284"/>
      </w:tabs>
      <w:spacing w:line="340" w:lineRule="atLeast"/>
      <w:jc w:val="both"/>
    </w:pPr>
    <w:rPr>
      <w:rFonts w:ascii="Times New Roman" w:eastAsia="Times New Roman" w:hAnsi="Times New Roman" w:cs="Times New Roman"/>
      <w:sz w:val="24"/>
      <w:szCs w:val="20"/>
      <w:lang w:val="en-US" w:eastAsia="de-DE"/>
    </w:r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spacing w:line="340" w:lineRule="atLeast"/>
      <w:ind w:firstLine="288"/>
      <w:jc w:val="both"/>
    </w:pPr>
    <w:rPr>
      <w:rFonts w:ascii="Times New Roman" w:eastAsia="Times New Roman" w:hAnsi="Times New Roman" w:cs="Times New Roman"/>
      <w:sz w:val="24"/>
      <w:szCs w:val="20"/>
      <w:lang w:val="en-US" w:eastAsia="de-DE"/>
    </w:rPr>
  </w:style>
  <w:style w:type="paragraph" w:customStyle="1" w:styleId="MTitel">
    <w:name w:val="M_Titel"/>
    <w:basedOn w:val="Normal"/>
    <w:rsid w:val="00F87A76"/>
    <w:pPr>
      <w:spacing w:before="240" w:line="340" w:lineRule="atLeast"/>
      <w:jc w:val="both"/>
    </w:pPr>
    <w:rPr>
      <w:rFonts w:ascii="Times New Roman" w:eastAsia="Times New Roman" w:hAnsi="Times New Roman" w:cs="Times New Roman"/>
      <w:b/>
      <w:sz w:val="36"/>
      <w:szCs w:val="20"/>
      <w:lang w:eastAsia="de-DE"/>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jc w:val="both"/>
    </w:pPr>
    <w:rPr>
      <w:rFonts w:eastAsia="Times New Roman" w:cs="Times New Roman"/>
      <w:sz w:val="24"/>
      <w:szCs w:val="20"/>
      <w:lang w:val="de-DE" w:eastAsia="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pPr>
      <w:spacing w:line="340" w:lineRule="atLeast"/>
      <w:jc w:val="both"/>
    </w:pPr>
    <w:rPr>
      <w:rFonts w:ascii="Times New Roman" w:eastAsia="Times New Roman" w:hAnsi="Times New Roman" w:cs="Times New Roman"/>
      <w:sz w:val="24"/>
      <w:szCs w:val="20"/>
      <w:lang w:val="en-US" w:eastAsia="de-DE"/>
    </w:rPr>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spacing w:line="340" w:lineRule="atLeast"/>
      <w:ind w:left="200" w:hangingChars="200" w:hanging="200"/>
      <w:contextualSpacing/>
      <w:jc w:val="both"/>
    </w:pPr>
    <w:rPr>
      <w:rFonts w:ascii="Times New Roman" w:eastAsia="Times New Roman" w:hAnsi="Times New Roman" w:cs="Times New Roman"/>
      <w:sz w:val="24"/>
      <w:szCs w:val="20"/>
      <w:lang w:val="en-US" w:eastAsia="de-DE"/>
    </w:rPr>
  </w:style>
  <w:style w:type="paragraph" w:styleId="ListBullet">
    <w:name w:val="List Bullet"/>
    <w:basedOn w:val="Normal"/>
    <w:rsid w:val="00F87A76"/>
    <w:pPr>
      <w:tabs>
        <w:tab w:val="num" w:pos="360"/>
      </w:tabs>
      <w:spacing w:line="340" w:lineRule="atLeast"/>
      <w:ind w:left="200" w:hangingChars="200" w:hanging="200"/>
      <w:contextualSpacing/>
      <w:jc w:val="both"/>
    </w:pPr>
    <w:rPr>
      <w:rFonts w:ascii="Times New Roman" w:eastAsia="Times New Roman" w:hAnsi="Times New Roman" w:cs="Times New Roman"/>
      <w:sz w:val="24"/>
      <w:szCs w:val="20"/>
      <w:lang w:val="en-US" w:eastAsia="de-DE"/>
    </w:rPr>
  </w:style>
  <w:style w:type="paragraph" w:styleId="ListParagraph">
    <w:name w:val="List Paragraph"/>
    <w:basedOn w:val="Normal"/>
    <w:uiPriority w:val="34"/>
    <w:qFormat/>
    <w:rsid w:val="00F87A76"/>
    <w:pPr>
      <w:spacing w:line="340" w:lineRule="atLeast"/>
      <w:ind w:firstLineChars="200" w:firstLine="420"/>
      <w:jc w:val="both"/>
    </w:pPr>
    <w:rPr>
      <w:rFonts w:ascii="Times New Roman" w:eastAsia="Times New Roman" w:hAnsi="Times New Roman" w:cs="Times New Roman"/>
      <w:sz w:val="24"/>
      <w:szCs w:val="20"/>
      <w:lang w:val="en-US" w:eastAsia="de-DE"/>
    </w:rPr>
  </w:style>
  <w:style w:type="paragraph" w:styleId="BalloonText">
    <w:name w:val="Balloon Text"/>
    <w:basedOn w:val="Normal"/>
    <w:link w:val="BalloonTextChar"/>
    <w:uiPriority w:val="99"/>
    <w:rsid w:val="00F87A76"/>
    <w:pPr>
      <w:spacing w:line="340" w:lineRule="atLeast"/>
      <w:jc w:val="both"/>
    </w:pPr>
    <w:rPr>
      <w:rFonts w:ascii="Times New Roman" w:eastAsia="Times New Roman" w:hAnsi="Times New Roman" w:cs="Tahoma"/>
      <w:sz w:val="18"/>
      <w:szCs w:val="18"/>
      <w:lang w:val="en-US" w:eastAsia="de-DE"/>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pPr>
      <w:spacing w:line="340" w:lineRule="atLeast"/>
      <w:jc w:val="both"/>
    </w:pPr>
    <w:rPr>
      <w:rFonts w:ascii="Times New Roman" w:eastAsia="Times New Roman" w:hAnsi="Times New Roman" w:cs="Times New Roman"/>
      <w:sz w:val="24"/>
      <w:szCs w:val="20"/>
      <w:lang w:val="en-US" w:eastAsia="de-DE"/>
    </w:rPr>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pPr>
      <w:spacing w:line="340" w:lineRule="atLeast"/>
      <w:jc w:val="both"/>
    </w:pPr>
    <w:rPr>
      <w:rFonts w:ascii="Times New Roman" w:eastAsia="Times New Roman" w:hAnsi="Times New Roman" w:cs="Times New Roman"/>
      <w:sz w:val="24"/>
      <w:szCs w:val="24"/>
      <w:lang w:val="en-US" w:eastAsia="de-DE"/>
    </w:rPr>
  </w:style>
  <w:style w:type="paragraph" w:styleId="Bibliography">
    <w:name w:val="Bibliography"/>
    <w:basedOn w:val="Normal"/>
    <w:next w:val="Normal"/>
    <w:uiPriority w:val="37"/>
    <w:unhideWhenUsed/>
    <w:rsid w:val="00F87A76"/>
    <w:pPr>
      <w:spacing w:line="240" w:lineRule="atLeast"/>
      <w:jc w:val="both"/>
    </w:pPr>
    <w:rPr>
      <w:rFonts w:ascii="Times New Roman" w:eastAsia="Times New Roman" w:hAnsi="Times New Roman" w:cs="Times New Roman"/>
      <w:sz w:val="24"/>
      <w:szCs w:val="20"/>
      <w:lang w:val="en-US" w:eastAsia="de-DE"/>
    </w:rPr>
  </w:style>
  <w:style w:type="paragraph" w:styleId="Caption">
    <w:name w:val="caption"/>
    <w:basedOn w:val="Normal"/>
    <w:next w:val="Normal"/>
    <w:qFormat/>
    <w:rsid w:val="00F87A76"/>
    <w:pPr>
      <w:spacing w:line="340" w:lineRule="atLeast"/>
      <w:ind w:left="850" w:hanging="850"/>
      <w:jc w:val="center"/>
    </w:pPr>
    <w:rPr>
      <w:rFonts w:ascii="Times New Roman" w:eastAsia="Times New Roman" w:hAnsi="Times New Roman" w:cs="Times New Roman"/>
      <w:b/>
      <w:bCs/>
      <w:sz w:val="24"/>
      <w:szCs w:val="24"/>
      <w:lang w:val="en-US" w:eastAsia="en-US"/>
    </w:rPr>
  </w:style>
  <w:style w:type="paragraph" w:styleId="TableofFigures">
    <w:name w:val="table of figures"/>
    <w:basedOn w:val="Normal"/>
    <w:next w:val="Normal"/>
    <w:rsid w:val="00F87A76"/>
    <w:pPr>
      <w:tabs>
        <w:tab w:val="left" w:pos="374"/>
      </w:tabs>
      <w:snapToGrid w:val="0"/>
      <w:spacing w:line="220" w:lineRule="exact"/>
      <w:jc w:val="both"/>
    </w:pPr>
    <w:rPr>
      <w:rFonts w:ascii="Times New Roman" w:eastAsia="Times New Roman" w:hAnsi="Times New Roman" w:cs="Times New Roman"/>
      <w:sz w:val="16"/>
      <w:szCs w:val="16"/>
      <w:lang w:val="en-US" w:eastAsia="de-DE"/>
    </w:rPr>
  </w:style>
  <w:style w:type="table" w:styleId="TableGrid">
    <w:name w:val="Table Grid"/>
    <w:basedOn w:val="TableNormal"/>
    <w:uiPriority w:val="39"/>
    <w:rsid w:val="00F87A76"/>
    <w:rPr>
      <w:rFonts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F87A76"/>
    <w:pPr>
      <w:spacing w:line="360" w:lineRule="auto"/>
      <w:jc w:val="both"/>
    </w:pPr>
    <w:rPr>
      <w:rFonts w:ascii="Times New Roman" w:eastAsia="Times New Roman" w:hAnsi="Times New Roman" w:cs="Times New Roman"/>
      <w:sz w:val="24"/>
      <w:szCs w:val="24"/>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jc w:val="both"/>
    </w:pPr>
    <w:rPr>
      <w:rFonts w:ascii="Times New Roman" w:eastAsia="Times New Roman" w:hAnsi="Times New Roman" w:cs="Times New Roman"/>
      <w:sz w:val="18"/>
      <w:szCs w:val="18"/>
      <w:lang w:val="en-US" w:eastAsia="de-DE"/>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rFonts w:ascii="Times New Roman" w:eastAsia="Times New Roman" w:hAnsi="Times New Roman" w:cs="Times New Roman"/>
      <w:sz w:val="18"/>
      <w:szCs w:val="18"/>
      <w:lang w:val="en-US" w:eastAsia="de-DE"/>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305CED"/>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eastAsia="Times New Roman" w:hAnsi="Palatino Linotype" w:cstheme="minorBidi"/>
      <w:sz w:val="18"/>
      <w:lang w:val="en-US" w:eastAsia="de-DE"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eastAsia="Times New Roman" w:hAnsi="Palatino Linotype" w:cs="Times New Roman"/>
      <w:sz w:val="18"/>
      <w:szCs w:val="20"/>
      <w:lang w:val="en-US" w:eastAsia="de-DE"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HTMLPreformatted">
    <w:name w:val="HTML Preformatted"/>
    <w:basedOn w:val="Normal"/>
    <w:link w:val="HTMLPreformattedChar"/>
    <w:uiPriority w:val="99"/>
    <w:semiHidden/>
    <w:unhideWhenUsed/>
    <w:rsid w:val="003A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宋体" w:hAnsi="Courier" w:cs="Courier"/>
      <w:color w:val="auto"/>
      <w:sz w:val="20"/>
      <w:szCs w:val="20"/>
      <w:lang w:eastAsia="en-US"/>
    </w:rPr>
  </w:style>
  <w:style w:type="character" w:customStyle="1" w:styleId="HTMLPreformattedChar">
    <w:name w:val="HTML Preformatted Char"/>
    <w:basedOn w:val="DefaultParagraphFont"/>
    <w:link w:val="HTMLPreformatted"/>
    <w:uiPriority w:val="99"/>
    <w:semiHidden/>
    <w:rsid w:val="003A2FC7"/>
    <w:rPr>
      <w:rFonts w:ascii="Courier" w:hAnsi="Courier" w:cs="Courier"/>
      <w:kern w:val="0"/>
      <w:lang w:val="en-GB" w:eastAsia="en-US"/>
    </w:rPr>
  </w:style>
  <w:style w:type="character" w:customStyle="1" w:styleId="xbe">
    <w:name w:val="_xbe"/>
    <w:basedOn w:val="DefaultParagraphFont"/>
    <w:rsid w:val="00F5119D"/>
  </w:style>
  <w:style w:type="paragraph" w:styleId="DocumentMap">
    <w:name w:val="Document Map"/>
    <w:basedOn w:val="Normal"/>
    <w:link w:val="DocumentMapChar"/>
    <w:uiPriority w:val="99"/>
    <w:semiHidden/>
    <w:unhideWhenUsed/>
    <w:rsid w:val="00D521BE"/>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521BE"/>
    <w:rPr>
      <w:rFonts w:eastAsia="Arial" w:cs="Times New Roman"/>
      <w:color w:val="000000"/>
      <w:kern w:val="0"/>
      <w:sz w:val="24"/>
      <w:szCs w:val="24"/>
      <w:lang w:val="en-GB" w:eastAsia="en-GB"/>
    </w:rPr>
  </w:style>
  <w:style w:type="paragraph" w:styleId="Revision">
    <w:name w:val="Revision"/>
    <w:hidden/>
    <w:uiPriority w:val="99"/>
    <w:semiHidden/>
    <w:rsid w:val="001602E3"/>
    <w:rPr>
      <w:rFonts w:ascii="Arial" w:eastAsia="Arial" w:hAnsi="Arial" w:cs="Arial"/>
      <w:color w:val="000000"/>
      <w:kern w:val="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5881">
      <w:bodyDiv w:val="1"/>
      <w:marLeft w:val="0"/>
      <w:marRight w:val="0"/>
      <w:marTop w:val="0"/>
      <w:marBottom w:val="0"/>
      <w:divBdr>
        <w:top w:val="none" w:sz="0" w:space="0" w:color="auto"/>
        <w:left w:val="none" w:sz="0" w:space="0" w:color="auto"/>
        <w:bottom w:val="none" w:sz="0" w:space="0" w:color="auto"/>
        <w:right w:val="none" w:sz="0" w:space="0" w:color="auto"/>
      </w:divBdr>
      <w:divsChild>
        <w:div w:id="956369742">
          <w:marLeft w:val="0"/>
          <w:marRight w:val="0"/>
          <w:marTop w:val="0"/>
          <w:marBottom w:val="0"/>
          <w:divBdr>
            <w:top w:val="none" w:sz="0" w:space="0" w:color="auto"/>
            <w:left w:val="none" w:sz="0" w:space="0" w:color="auto"/>
            <w:bottom w:val="none" w:sz="0" w:space="0" w:color="auto"/>
            <w:right w:val="none" w:sz="0" w:space="0" w:color="auto"/>
          </w:divBdr>
        </w:div>
        <w:div w:id="860822374">
          <w:marLeft w:val="0"/>
          <w:marRight w:val="0"/>
          <w:marTop w:val="280"/>
          <w:marBottom w:val="280"/>
          <w:divBdr>
            <w:top w:val="none" w:sz="0" w:space="0" w:color="auto"/>
            <w:left w:val="none" w:sz="0" w:space="0" w:color="auto"/>
            <w:bottom w:val="none" w:sz="0" w:space="0" w:color="auto"/>
            <w:right w:val="none" w:sz="0" w:space="0" w:color="auto"/>
          </w:divBdr>
        </w:div>
      </w:divsChild>
    </w:div>
    <w:div w:id="527718301">
      <w:bodyDiv w:val="1"/>
      <w:marLeft w:val="0"/>
      <w:marRight w:val="0"/>
      <w:marTop w:val="0"/>
      <w:marBottom w:val="0"/>
      <w:divBdr>
        <w:top w:val="none" w:sz="0" w:space="0" w:color="auto"/>
        <w:left w:val="none" w:sz="0" w:space="0" w:color="auto"/>
        <w:bottom w:val="none" w:sz="0" w:space="0" w:color="auto"/>
        <w:right w:val="none" w:sz="0" w:space="0" w:color="auto"/>
      </w:divBdr>
    </w:div>
    <w:div w:id="905535263">
      <w:bodyDiv w:val="1"/>
      <w:marLeft w:val="0"/>
      <w:marRight w:val="0"/>
      <w:marTop w:val="0"/>
      <w:marBottom w:val="0"/>
      <w:divBdr>
        <w:top w:val="none" w:sz="0" w:space="0" w:color="auto"/>
        <w:left w:val="none" w:sz="0" w:space="0" w:color="auto"/>
        <w:bottom w:val="none" w:sz="0" w:space="0" w:color="auto"/>
        <w:right w:val="none" w:sz="0" w:space="0" w:color="auto"/>
      </w:divBdr>
    </w:div>
    <w:div w:id="991446724">
      <w:bodyDiv w:val="1"/>
      <w:marLeft w:val="0"/>
      <w:marRight w:val="0"/>
      <w:marTop w:val="0"/>
      <w:marBottom w:val="0"/>
      <w:divBdr>
        <w:top w:val="none" w:sz="0" w:space="0" w:color="auto"/>
        <w:left w:val="none" w:sz="0" w:space="0" w:color="auto"/>
        <w:bottom w:val="none" w:sz="0" w:space="0" w:color="auto"/>
        <w:right w:val="none" w:sz="0" w:space="0" w:color="auto"/>
      </w:divBdr>
    </w:div>
    <w:div w:id="1599672748">
      <w:bodyDiv w:val="1"/>
      <w:marLeft w:val="0"/>
      <w:marRight w:val="0"/>
      <w:marTop w:val="0"/>
      <w:marBottom w:val="0"/>
      <w:divBdr>
        <w:top w:val="none" w:sz="0" w:space="0" w:color="auto"/>
        <w:left w:val="none" w:sz="0" w:space="0" w:color="auto"/>
        <w:bottom w:val="none" w:sz="0" w:space="0" w:color="auto"/>
        <w:right w:val="none" w:sz="0" w:space="0" w:color="auto"/>
      </w:divBdr>
      <w:divsChild>
        <w:div w:id="813644042">
          <w:marLeft w:val="0"/>
          <w:marRight w:val="0"/>
          <w:marTop w:val="0"/>
          <w:marBottom w:val="0"/>
          <w:divBdr>
            <w:top w:val="none" w:sz="0" w:space="0" w:color="auto"/>
            <w:left w:val="none" w:sz="0" w:space="0" w:color="auto"/>
            <w:bottom w:val="none" w:sz="0" w:space="0" w:color="auto"/>
            <w:right w:val="none" w:sz="0" w:space="0" w:color="auto"/>
          </w:divBdr>
          <w:divsChild>
            <w:div w:id="801117123">
              <w:marLeft w:val="0"/>
              <w:marRight w:val="0"/>
              <w:marTop w:val="0"/>
              <w:marBottom w:val="0"/>
              <w:divBdr>
                <w:top w:val="none" w:sz="0" w:space="0" w:color="auto"/>
                <w:left w:val="none" w:sz="0" w:space="0" w:color="auto"/>
                <w:bottom w:val="none" w:sz="0" w:space="0" w:color="auto"/>
                <w:right w:val="none" w:sz="0" w:space="0" w:color="auto"/>
              </w:divBdr>
              <w:divsChild>
                <w:div w:id="12163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5882">
      <w:bodyDiv w:val="1"/>
      <w:marLeft w:val="0"/>
      <w:marRight w:val="0"/>
      <w:marTop w:val="0"/>
      <w:marBottom w:val="0"/>
      <w:divBdr>
        <w:top w:val="none" w:sz="0" w:space="0" w:color="auto"/>
        <w:left w:val="none" w:sz="0" w:space="0" w:color="auto"/>
        <w:bottom w:val="none" w:sz="0" w:space="0" w:color="auto"/>
        <w:right w:val="none" w:sz="0" w:space="0" w:color="auto"/>
      </w:divBdr>
    </w:div>
    <w:div w:id="1649550534">
      <w:bodyDiv w:val="1"/>
      <w:marLeft w:val="0"/>
      <w:marRight w:val="0"/>
      <w:marTop w:val="0"/>
      <w:marBottom w:val="0"/>
      <w:divBdr>
        <w:top w:val="none" w:sz="0" w:space="0" w:color="auto"/>
        <w:left w:val="none" w:sz="0" w:space="0" w:color="auto"/>
        <w:bottom w:val="none" w:sz="0" w:space="0" w:color="auto"/>
        <w:right w:val="none" w:sz="0" w:space="0" w:color="auto"/>
      </w:divBdr>
    </w:div>
    <w:div w:id="1764715942">
      <w:bodyDiv w:val="1"/>
      <w:marLeft w:val="0"/>
      <w:marRight w:val="0"/>
      <w:marTop w:val="0"/>
      <w:marBottom w:val="0"/>
      <w:divBdr>
        <w:top w:val="none" w:sz="0" w:space="0" w:color="auto"/>
        <w:left w:val="none" w:sz="0" w:space="0" w:color="auto"/>
        <w:bottom w:val="none" w:sz="0" w:space="0" w:color="auto"/>
        <w:right w:val="none" w:sz="0" w:space="0" w:color="auto"/>
      </w:divBdr>
    </w:div>
    <w:div w:id="1944145645">
      <w:bodyDiv w:val="1"/>
      <w:marLeft w:val="0"/>
      <w:marRight w:val="0"/>
      <w:marTop w:val="0"/>
      <w:marBottom w:val="0"/>
      <w:divBdr>
        <w:top w:val="none" w:sz="0" w:space="0" w:color="auto"/>
        <w:left w:val="none" w:sz="0" w:space="0" w:color="auto"/>
        <w:bottom w:val="none" w:sz="0" w:space="0" w:color="auto"/>
        <w:right w:val="none" w:sz="0" w:space="0" w:color="auto"/>
      </w:divBdr>
      <w:divsChild>
        <w:div w:id="669870634">
          <w:marLeft w:val="0"/>
          <w:marRight w:val="0"/>
          <w:marTop w:val="0"/>
          <w:marBottom w:val="0"/>
          <w:divBdr>
            <w:top w:val="none" w:sz="0" w:space="0" w:color="auto"/>
            <w:left w:val="none" w:sz="0" w:space="0" w:color="auto"/>
            <w:bottom w:val="none" w:sz="0" w:space="0" w:color="auto"/>
            <w:right w:val="none" w:sz="0" w:space="0" w:color="auto"/>
          </w:divBdr>
        </w:div>
        <w:div w:id="189919918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hyperlink" Target="http://reach-energy.eu/wordpress/wp-content/uploads/2014/12/D2.2-Focus_EN.pdf"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20USB:# Uni of Manchester:Articles - journal:IJERPH - Health &amp; Well-being:Health inequalities - results tables 0211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sz="1050">
                <a:latin typeface="Palatino Linotype"/>
                <a:cs typeface="Palatino Linotype"/>
              </a:defRPr>
            </a:pPr>
            <a:r>
              <a:rPr lang="en-US" sz="1050">
                <a:latin typeface="Palatino Linotype"/>
                <a:cs typeface="Palatino Linotype"/>
              </a:rPr>
              <a:t>Prevalence</a:t>
            </a:r>
            <a:r>
              <a:rPr lang="en-US" sz="1050" baseline="0">
                <a:latin typeface="Palatino Linotype"/>
                <a:cs typeface="Palatino Linotype"/>
              </a:rPr>
              <a:t> of poor health in the energy poor population versus non-energy poor population</a:t>
            </a:r>
            <a:endParaRPr lang="en-US" sz="1050">
              <a:latin typeface="Palatino Linotype"/>
              <a:cs typeface="Palatino Linotype"/>
            </a:endParaRPr>
          </a:p>
        </c:rich>
      </c:tx>
      <c:layout/>
      <c:overlay val="0"/>
    </c:title>
    <c:autoTitleDeleted val="0"/>
    <c:plotArea>
      <c:layout/>
      <c:lineChart>
        <c:grouping val="standard"/>
        <c:varyColors val="0"/>
        <c:ser>
          <c:idx val="0"/>
          <c:order val="0"/>
          <c:tx>
            <c:strRef>
              <c:f>'Q42% with bad &amp; very bad health'!$C$5</c:f>
              <c:strCache>
                <c:ptCount val="1"/>
                <c:pt idx="0">
                  <c:v>Non-energy poor population %</c:v>
                </c:pt>
              </c:strCache>
            </c:strRef>
          </c:tx>
          <c:spPr>
            <a:ln w="22225"/>
          </c:spPr>
          <c:marker>
            <c:symbol val="none"/>
          </c:marker>
          <c:cat>
            <c:strRef>
              <c:f>'Q42% with bad &amp; very bad health'!$A$6:$A$37</c:f>
              <c:strCache>
                <c:ptCount val="32"/>
                <c:pt idx="0">
                  <c:v>Slovenia</c:v>
                </c:pt>
                <c:pt idx="1">
                  <c:v>Netherlands</c:v>
                </c:pt>
                <c:pt idx="2">
                  <c:v>Sweden</c:v>
                </c:pt>
                <c:pt idx="3">
                  <c:v>Romania</c:v>
                </c:pt>
                <c:pt idx="4">
                  <c:v>Serbia</c:v>
                </c:pt>
                <c:pt idx="5">
                  <c:v>Montenegro</c:v>
                </c:pt>
                <c:pt idx="6">
                  <c:v>Denmark</c:v>
                </c:pt>
                <c:pt idx="7">
                  <c:v>Lithuania</c:v>
                </c:pt>
                <c:pt idx="8">
                  <c:v>Luxembourg</c:v>
                </c:pt>
                <c:pt idx="9">
                  <c:v>Croatia</c:v>
                </c:pt>
                <c:pt idx="10">
                  <c:v>Hungary</c:v>
                </c:pt>
                <c:pt idx="11">
                  <c:v>Latvia</c:v>
                </c:pt>
                <c:pt idx="12">
                  <c:v>Belgium</c:v>
                </c:pt>
                <c:pt idx="13">
                  <c:v>UK</c:v>
                </c:pt>
                <c:pt idx="14">
                  <c:v>Czech Republic</c:v>
                </c:pt>
                <c:pt idx="15">
                  <c:v>Portugal</c:v>
                </c:pt>
                <c:pt idx="16">
                  <c:v>Poland</c:v>
                </c:pt>
                <c:pt idx="17">
                  <c:v>Estonia</c:v>
                </c:pt>
                <c:pt idx="18">
                  <c:v>Slovakia</c:v>
                </c:pt>
                <c:pt idx="19">
                  <c:v>Bulgaria</c:v>
                </c:pt>
                <c:pt idx="20">
                  <c:v>Ireland</c:v>
                </c:pt>
                <c:pt idx="21">
                  <c:v>Germany</c:v>
                </c:pt>
                <c:pt idx="22">
                  <c:v>Greece</c:v>
                </c:pt>
                <c:pt idx="23">
                  <c:v>Austria</c:v>
                </c:pt>
                <c:pt idx="24">
                  <c:v>Turkey</c:v>
                </c:pt>
                <c:pt idx="25">
                  <c:v>Spain</c:v>
                </c:pt>
                <c:pt idx="26">
                  <c:v>Finland</c:v>
                </c:pt>
                <c:pt idx="27">
                  <c:v>Italy</c:v>
                </c:pt>
                <c:pt idx="28">
                  <c:v>France</c:v>
                </c:pt>
                <c:pt idx="29">
                  <c:v>Macedonia</c:v>
                </c:pt>
                <c:pt idx="30">
                  <c:v>Malta</c:v>
                </c:pt>
                <c:pt idx="31">
                  <c:v>Cyprus</c:v>
                </c:pt>
              </c:strCache>
            </c:strRef>
          </c:cat>
          <c:val>
            <c:numRef>
              <c:f>'Q42% with bad &amp; very bad health'!$C$6:$C$37</c:f>
              <c:numCache>
                <c:formatCode>0</c:formatCode>
                <c:ptCount val="32"/>
                <c:pt idx="0">
                  <c:v>8.755828222812168</c:v>
                </c:pt>
                <c:pt idx="1">
                  <c:v>9.310866362733616</c:v>
                </c:pt>
                <c:pt idx="2">
                  <c:v>7.228693332120235</c:v>
                </c:pt>
                <c:pt idx="3">
                  <c:v>13.87172187253113</c:v>
                </c:pt>
                <c:pt idx="4">
                  <c:v>13.26735861224993</c:v>
                </c:pt>
                <c:pt idx="5">
                  <c:v>8.326374028346194</c:v>
                </c:pt>
                <c:pt idx="6">
                  <c:v>12.27851843794012</c:v>
                </c:pt>
                <c:pt idx="7">
                  <c:v>18.14811288866468</c:v>
                </c:pt>
                <c:pt idx="8">
                  <c:v>6.28223318734829</c:v>
                </c:pt>
                <c:pt idx="9">
                  <c:v>12.10682127544183</c:v>
                </c:pt>
                <c:pt idx="10">
                  <c:v>13.44314288535122</c:v>
                </c:pt>
                <c:pt idx="11">
                  <c:v>12.8091356140593</c:v>
                </c:pt>
                <c:pt idx="12">
                  <c:v>7.609662909826502</c:v>
                </c:pt>
                <c:pt idx="13">
                  <c:v>8.92150999917192</c:v>
                </c:pt>
                <c:pt idx="14">
                  <c:v>10.94532264474856</c:v>
                </c:pt>
                <c:pt idx="15">
                  <c:v>10.48953831581832</c:v>
                </c:pt>
                <c:pt idx="16">
                  <c:v>9.583227308447778</c:v>
                </c:pt>
                <c:pt idx="17">
                  <c:v>12.11103784180173</c:v>
                </c:pt>
                <c:pt idx="18">
                  <c:v>9.26757266062968</c:v>
                </c:pt>
                <c:pt idx="19">
                  <c:v>8.48919976895724</c:v>
                </c:pt>
                <c:pt idx="20">
                  <c:v>2.960535461809273</c:v>
                </c:pt>
                <c:pt idx="21">
                  <c:v>8.42941749260227</c:v>
                </c:pt>
                <c:pt idx="22">
                  <c:v>5.302755291517466</c:v>
                </c:pt>
                <c:pt idx="23">
                  <c:v>3.76408935401046</c:v>
                </c:pt>
                <c:pt idx="24">
                  <c:v>5.468151097918207</c:v>
                </c:pt>
                <c:pt idx="25">
                  <c:v>4.291104135540067</c:v>
                </c:pt>
                <c:pt idx="26">
                  <c:v>6.861454409418521</c:v>
                </c:pt>
                <c:pt idx="27">
                  <c:v>4.775971596499609</c:v>
                </c:pt>
                <c:pt idx="28">
                  <c:v>6.29009585396153</c:v>
                </c:pt>
                <c:pt idx="29">
                  <c:v>6.327424637512399</c:v>
                </c:pt>
                <c:pt idx="30">
                  <c:v>1.491291572205775</c:v>
                </c:pt>
                <c:pt idx="31">
                  <c:v>1.678427524063637</c:v>
                </c:pt>
              </c:numCache>
            </c:numRef>
          </c:val>
          <c:smooth val="0"/>
        </c:ser>
        <c:ser>
          <c:idx val="1"/>
          <c:order val="1"/>
          <c:tx>
            <c:strRef>
              <c:f>'Q42% with bad &amp; very bad health'!$D$5</c:f>
              <c:strCache>
                <c:ptCount val="1"/>
                <c:pt idx="0">
                  <c:v>Energy poor population %</c:v>
                </c:pt>
              </c:strCache>
            </c:strRef>
          </c:tx>
          <c:spPr>
            <a:ln w="22225">
              <a:solidFill>
                <a:srgbClr val="B3B3B3"/>
              </a:solidFill>
            </a:ln>
          </c:spPr>
          <c:marker>
            <c:symbol val="none"/>
          </c:marker>
          <c:cat>
            <c:strRef>
              <c:f>'Q42% with bad &amp; very bad health'!$A$6:$A$37</c:f>
              <c:strCache>
                <c:ptCount val="32"/>
                <c:pt idx="0">
                  <c:v>Slovenia</c:v>
                </c:pt>
                <c:pt idx="1">
                  <c:v>Netherlands</c:v>
                </c:pt>
                <c:pt idx="2">
                  <c:v>Sweden</c:v>
                </c:pt>
                <c:pt idx="3">
                  <c:v>Romania</c:v>
                </c:pt>
                <c:pt idx="4">
                  <c:v>Serbia</c:v>
                </c:pt>
                <c:pt idx="5">
                  <c:v>Montenegro</c:v>
                </c:pt>
                <c:pt idx="6">
                  <c:v>Denmark</c:v>
                </c:pt>
                <c:pt idx="7">
                  <c:v>Lithuania</c:v>
                </c:pt>
                <c:pt idx="8">
                  <c:v>Luxembourg</c:v>
                </c:pt>
                <c:pt idx="9">
                  <c:v>Croatia</c:v>
                </c:pt>
                <c:pt idx="10">
                  <c:v>Hungary</c:v>
                </c:pt>
                <c:pt idx="11">
                  <c:v>Latvia</c:v>
                </c:pt>
                <c:pt idx="12">
                  <c:v>Belgium</c:v>
                </c:pt>
                <c:pt idx="13">
                  <c:v>UK</c:v>
                </c:pt>
                <c:pt idx="14">
                  <c:v>Czech Republic</c:v>
                </c:pt>
                <c:pt idx="15">
                  <c:v>Portugal</c:v>
                </c:pt>
                <c:pt idx="16">
                  <c:v>Poland</c:v>
                </c:pt>
                <c:pt idx="17">
                  <c:v>Estonia</c:v>
                </c:pt>
                <c:pt idx="18">
                  <c:v>Slovakia</c:v>
                </c:pt>
                <c:pt idx="19">
                  <c:v>Bulgaria</c:v>
                </c:pt>
                <c:pt idx="20">
                  <c:v>Ireland</c:v>
                </c:pt>
                <c:pt idx="21">
                  <c:v>Germany</c:v>
                </c:pt>
                <c:pt idx="22">
                  <c:v>Greece</c:v>
                </c:pt>
                <c:pt idx="23">
                  <c:v>Austria</c:v>
                </c:pt>
                <c:pt idx="24">
                  <c:v>Turkey</c:v>
                </c:pt>
                <c:pt idx="25">
                  <c:v>Spain</c:v>
                </c:pt>
                <c:pt idx="26">
                  <c:v>Finland</c:v>
                </c:pt>
                <c:pt idx="27">
                  <c:v>Italy</c:v>
                </c:pt>
                <c:pt idx="28">
                  <c:v>France</c:v>
                </c:pt>
                <c:pt idx="29">
                  <c:v>Macedonia</c:v>
                </c:pt>
                <c:pt idx="30">
                  <c:v>Malta</c:v>
                </c:pt>
                <c:pt idx="31">
                  <c:v>Cyprus</c:v>
                </c:pt>
              </c:strCache>
            </c:strRef>
          </c:cat>
          <c:val>
            <c:numRef>
              <c:f>'Q42% with bad &amp; very bad health'!$D$6:$D$37</c:f>
              <c:numCache>
                <c:formatCode>0</c:formatCode>
                <c:ptCount val="32"/>
                <c:pt idx="0">
                  <c:v>55.64409003885624</c:v>
                </c:pt>
                <c:pt idx="1">
                  <c:v>40.07918141844947</c:v>
                </c:pt>
                <c:pt idx="2">
                  <c:v>38.80996367629451</c:v>
                </c:pt>
                <c:pt idx="3">
                  <c:v>32.66352214240216</c:v>
                </c:pt>
                <c:pt idx="4">
                  <c:v>31.8307670431975</c:v>
                </c:pt>
                <c:pt idx="5">
                  <c:v>30.9615259338741</c:v>
                </c:pt>
                <c:pt idx="6">
                  <c:v>30.85066003474684</c:v>
                </c:pt>
                <c:pt idx="7">
                  <c:v>29.51673511836501</c:v>
                </c:pt>
                <c:pt idx="8">
                  <c:v>29.06932947096484</c:v>
                </c:pt>
                <c:pt idx="9">
                  <c:v>28.72609102662603</c:v>
                </c:pt>
                <c:pt idx="10">
                  <c:v>28.55650078784288</c:v>
                </c:pt>
                <c:pt idx="11">
                  <c:v>27.4712817564145</c:v>
                </c:pt>
                <c:pt idx="12">
                  <c:v>26.37080430691189</c:v>
                </c:pt>
                <c:pt idx="13">
                  <c:v>24.30657948406158</c:v>
                </c:pt>
                <c:pt idx="14">
                  <c:v>24.24035451164944</c:v>
                </c:pt>
                <c:pt idx="15">
                  <c:v>23.97625976712877</c:v>
                </c:pt>
                <c:pt idx="16">
                  <c:v>23.118716481036</c:v>
                </c:pt>
                <c:pt idx="17">
                  <c:v>22.47805799721433</c:v>
                </c:pt>
                <c:pt idx="18">
                  <c:v>21.65200220723988</c:v>
                </c:pt>
                <c:pt idx="19">
                  <c:v>19.94014669934773</c:v>
                </c:pt>
                <c:pt idx="20">
                  <c:v>19.28636682707679</c:v>
                </c:pt>
                <c:pt idx="21">
                  <c:v>15.74188967379726</c:v>
                </c:pt>
                <c:pt idx="22">
                  <c:v>15.37960715044022</c:v>
                </c:pt>
                <c:pt idx="23">
                  <c:v>12.39821091012475</c:v>
                </c:pt>
                <c:pt idx="24">
                  <c:v>12.2225748244703</c:v>
                </c:pt>
                <c:pt idx="25">
                  <c:v>11.1256547997086</c:v>
                </c:pt>
                <c:pt idx="26">
                  <c:v>10.9589087877342</c:v>
                </c:pt>
                <c:pt idx="27">
                  <c:v>9.738191602859906</c:v>
                </c:pt>
                <c:pt idx="28">
                  <c:v>9.4937028634237</c:v>
                </c:pt>
                <c:pt idx="29">
                  <c:v>8.65443030937977</c:v>
                </c:pt>
                <c:pt idx="30">
                  <c:v>8.380983049051561</c:v>
                </c:pt>
                <c:pt idx="31">
                  <c:v>6.404293288304543</c:v>
                </c:pt>
              </c:numCache>
            </c:numRef>
          </c:val>
          <c:smooth val="0"/>
        </c:ser>
        <c:dLbls>
          <c:showLegendKey val="0"/>
          <c:showVal val="0"/>
          <c:showCatName val="0"/>
          <c:showSerName val="0"/>
          <c:showPercent val="0"/>
          <c:showBubbleSize val="0"/>
        </c:dLbls>
        <c:dropLines>
          <c:spPr>
            <a:ln>
              <a:solidFill>
                <a:schemeClr val="bg1">
                  <a:lumMod val="75000"/>
                  <a:alpha val="33000"/>
                </a:schemeClr>
              </a:solidFill>
            </a:ln>
          </c:spPr>
        </c:dropLines>
        <c:marker val="1"/>
        <c:smooth val="0"/>
        <c:axId val="-2075614760"/>
        <c:axId val="1852177544"/>
      </c:lineChart>
      <c:catAx>
        <c:axId val="-2075614760"/>
        <c:scaling>
          <c:orientation val="minMax"/>
        </c:scaling>
        <c:delete val="0"/>
        <c:axPos val="b"/>
        <c:numFmt formatCode="General" sourceLinked="0"/>
        <c:majorTickMark val="none"/>
        <c:minorTickMark val="none"/>
        <c:tickLblPos val="nextTo"/>
        <c:txPr>
          <a:bodyPr/>
          <a:lstStyle/>
          <a:p>
            <a:pPr>
              <a:defRPr>
                <a:latin typeface="Palatino Linotype"/>
                <a:cs typeface="Palatino Linotype"/>
              </a:defRPr>
            </a:pPr>
            <a:endParaRPr lang="en-US"/>
          </a:p>
        </c:txPr>
        <c:crossAx val="1852177544"/>
        <c:crosses val="autoZero"/>
        <c:auto val="1"/>
        <c:lblAlgn val="ctr"/>
        <c:lblOffset val="100"/>
        <c:noMultiLvlLbl val="0"/>
      </c:catAx>
      <c:valAx>
        <c:axId val="1852177544"/>
        <c:scaling>
          <c:orientation val="minMax"/>
        </c:scaling>
        <c:delete val="0"/>
        <c:axPos val="l"/>
        <c:title>
          <c:tx>
            <c:rich>
              <a:bodyPr rot="-5400000" vert="horz"/>
              <a:lstStyle/>
              <a:p>
                <a:pPr>
                  <a:defRPr>
                    <a:latin typeface="Palatino Linotype"/>
                    <a:cs typeface="Palatino Linotype"/>
                  </a:defRPr>
                </a:pPr>
                <a:r>
                  <a:rPr lang="en-US">
                    <a:latin typeface="Palatino Linotype"/>
                    <a:cs typeface="Palatino Linotype"/>
                  </a:rPr>
                  <a:t>Percentage</a:t>
                </a:r>
                <a:r>
                  <a:rPr lang="en-US" baseline="0">
                    <a:latin typeface="Palatino Linotype"/>
                    <a:cs typeface="Palatino Linotype"/>
                  </a:rPr>
                  <a:t> (%)</a:t>
                </a:r>
                <a:endParaRPr lang="en-US">
                  <a:latin typeface="Palatino Linotype"/>
                  <a:cs typeface="Palatino Linotype"/>
                </a:endParaRPr>
              </a:p>
            </c:rich>
          </c:tx>
          <c:layout>
            <c:manualLayout>
              <c:xMode val="edge"/>
              <c:yMode val="edge"/>
              <c:x val="0.0169485615225975"/>
              <c:y val="0.242287219357047"/>
            </c:manualLayout>
          </c:layout>
          <c:overlay val="0"/>
        </c:title>
        <c:numFmt formatCode="0" sourceLinked="1"/>
        <c:majorTickMark val="none"/>
        <c:minorTickMark val="none"/>
        <c:tickLblPos val="nextTo"/>
        <c:txPr>
          <a:bodyPr/>
          <a:lstStyle/>
          <a:p>
            <a:pPr>
              <a:defRPr>
                <a:latin typeface="Palatino Linotype"/>
                <a:cs typeface="Palatino Linotype"/>
              </a:defRPr>
            </a:pPr>
            <a:endParaRPr lang="en-US"/>
          </a:p>
        </c:txPr>
        <c:crossAx val="-2075614760"/>
        <c:crosses val="autoZero"/>
        <c:crossBetween val="between"/>
      </c:valAx>
      <c:spPr>
        <a:noFill/>
      </c:spPr>
    </c:plotArea>
    <c:legend>
      <c:legendPos val="b"/>
      <c:layout/>
      <c:overlay val="0"/>
      <c:txPr>
        <a:bodyPr/>
        <a:lstStyle/>
        <a:p>
          <a:pPr>
            <a:defRPr>
              <a:latin typeface="Palatino Linotype"/>
              <a:cs typeface="Palatino Linotype"/>
            </a:defRPr>
          </a:pPr>
          <a:endParaRPr lang="en-US"/>
        </a:p>
      </c:txPr>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sz="1050"/>
            </a:pPr>
            <a:r>
              <a:rPr lang="en-US" sz="1050"/>
              <a:t>Scatterplot of energy poverty rates and differences in poor SRH rates</a:t>
            </a:r>
          </a:p>
        </c:rich>
      </c:tx>
      <c:layout/>
      <c:overlay val="0"/>
    </c:title>
    <c:autoTitleDeleted val="0"/>
    <c:plotArea>
      <c:layout/>
      <c:scatterChart>
        <c:scatterStyle val="lineMarker"/>
        <c:varyColors val="0"/>
        <c:ser>
          <c:idx val="0"/>
          <c:order val="0"/>
          <c:spPr>
            <a:ln w="31750">
              <a:noFill/>
            </a:ln>
          </c:spPr>
          <c:dLbls>
            <c:dLbl>
              <c:idx val="0"/>
              <c:layout/>
              <c:tx>
                <c:rich>
                  <a:bodyPr/>
                  <a:lstStyle/>
                  <a:p>
                    <a:r>
                      <a:rPr lang="en-US" sz="800"/>
                      <a:t>AT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sz="800"/>
                      <a:t>BE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0105502317108628"/>
                  <c:y val="0.0181441161223432"/>
                </c:manualLayout>
              </c:layout>
              <c:tx>
                <c:rich>
                  <a:bodyPr/>
                  <a:lstStyle/>
                  <a:p>
                    <a:r>
                      <a:rPr lang="en-US" sz="800"/>
                      <a:t>BG</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00452147701582517"/>
                  <c:y val="-0.00777604976671851"/>
                </c:manualLayout>
              </c:layout>
              <c:tx>
                <c:rich>
                  <a:bodyPr/>
                  <a:lstStyle/>
                  <a:p>
                    <a:r>
                      <a:rPr lang="en-US" sz="800"/>
                      <a:t>HR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sz="800"/>
                      <a:t>CY</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sz="800"/>
                      <a:t>CZ</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sz="800"/>
                      <a:t>DK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layout>
                <c:manualLayout>
                  <c:x val="-0.0221122463155403"/>
                  <c:y val="-0.0146418081277494"/>
                </c:manualLayout>
              </c:layout>
              <c:tx>
                <c:rich>
                  <a:bodyPr/>
                  <a:lstStyle/>
                  <a:p>
                    <a:r>
                      <a:rPr lang="en-US" sz="800"/>
                      <a:t>EE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tx>
                <c:rich>
                  <a:bodyPr/>
                  <a:lstStyle/>
                  <a:p>
                    <a:r>
                      <a:rPr lang="en-US" sz="800"/>
                      <a:t>FI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00452147701582517"/>
                  <c:y val="0.00777604976671851"/>
                </c:manualLayout>
              </c:layout>
              <c:tx>
                <c:rich>
                  <a:bodyPr/>
                  <a:lstStyle/>
                  <a:p>
                    <a:r>
                      <a:rPr lang="en-US" sz="800"/>
                      <a:t>FR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layout/>
              <c:tx>
                <c:rich>
                  <a:bodyPr/>
                  <a:lstStyle/>
                  <a:p>
                    <a:r>
                      <a:rPr lang="en-US" sz="800"/>
                      <a:t>DE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layout/>
              <c:tx>
                <c:rich>
                  <a:bodyPr/>
                  <a:lstStyle/>
                  <a:p>
                    <a:r>
                      <a:rPr lang="en-US" sz="800"/>
                      <a:t>GR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layout/>
              <c:tx>
                <c:rich>
                  <a:bodyPr/>
                  <a:lstStyle/>
                  <a:p>
                    <a:r>
                      <a:rPr lang="en-US" sz="800"/>
                      <a:t>HU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layout>
                <c:manualLayout>
                  <c:x val="-0.0442239781016264"/>
                  <c:y val="0.0268306741867424"/>
                </c:manualLayout>
              </c:layout>
              <c:tx>
                <c:rich>
                  <a:bodyPr/>
                  <a:lstStyle/>
                  <a:p>
                    <a:r>
                      <a:rPr lang="en-US" sz="800"/>
                      <a:t>IE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layout/>
              <c:tx>
                <c:rich>
                  <a:bodyPr/>
                  <a:lstStyle/>
                  <a:p>
                    <a:r>
                      <a:rPr lang="en-US" sz="800"/>
                      <a:t>IT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layout/>
              <c:tx>
                <c:rich>
                  <a:bodyPr/>
                  <a:lstStyle/>
                  <a:p>
                    <a:r>
                      <a:rPr lang="en-US" sz="800"/>
                      <a:t>LV</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6"/>
              <c:layout>
                <c:manualLayout>
                  <c:x val="-0.0120572720422004"/>
                  <c:y val="-0.0233281493001555"/>
                </c:manualLayout>
              </c:layout>
              <c:tx>
                <c:rich>
                  <a:bodyPr/>
                  <a:lstStyle/>
                  <a:p>
                    <a:r>
                      <a:rPr lang="en-US" sz="800"/>
                      <a:t>LT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7"/>
              <c:layout/>
              <c:tx>
                <c:rich>
                  <a:bodyPr/>
                  <a:lstStyle/>
                  <a:p>
                    <a:r>
                      <a:rPr lang="en-US" sz="800"/>
                      <a:t>LU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8"/>
              <c:layout/>
              <c:tx>
                <c:rich>
                  <a:bodyPr/>
                  <a:lstStyle/>
                  <a:p>
                    <a:r>
                      <a:rPr lang="en-US" sz="800"/>
                      <a:t>MK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9"/>
              <c:layout/>
              <c:tx>
                <c:rich>
                  <a:bodyPr/>
                  <a:lstStyle/>
                  <a:p>
                    <a:r>
                      <a:rPr lang="en-US" sz="800"/>
                      <a:t>MT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0"/>
              <c:layout/>
              <c:tx>
                <c:rich>
                  <a:bodyPr/>
                  <a:lstStyle/>
                  <a:p>
                    <a:r>
                      <a:rPr lang="en-US" sz="800"/>
                      <a:t>ME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1"/>
              <c:layout>
                <c:manualLayout>
                  <c:x val="0.0"/>
                  <c:y val="-0.0159999999999999"/>
                </c:manualLayout>
              </c:layout>
              <c:tx>
                <c:rich>
                  <a:bodyPr/>
                  <a:lstStyle/>
                  <a:p>
                    <a:r>
                      <a:rPr lang="en-US" sz="800"/>
                      <a:t>NL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2"/>
              <c:layout/>
              <c:tx>
                <c:rich>
                  <a:bodyPr/>
                  <a:lstStyle/>
                  <a:p>
                    <a:r>
                      <a:rPr lang="en-US" sz="800"/>
                      <a:t>PL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3"/>
              <c:layout/>
              <c:tx>
                <c:rich>
                  <a:bodyPr/>
                  <a:lstStyle/>
                  <a:p>
                    <a:r>
                      <a:rPr lang="en-US" sz="800"/>
                      <a:t>PT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4"/>
              <c:layout/>
              <c:tx>
                <c:rich>
                  <a:bodyPr/>
                  <a:lstStyle/>
                  <a:p>
                    <a:r>
                      <a:rPr lang="en-US" sz="800"/>
                      <a:t>RO</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5"/>
              <c:layout/>
              <c:tx>
                <c:rich>
                  <a:bodyPr/>
                  <a:lstStyle/>
                  <a:p>
                    <a:r>
                      <a:rPr lang="en-US" sz="800"/>
                      <a:t>RS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6"/>
              <c:layout/>
              <c:tx>
                <c:rich>
                  <a:bodyPr/>
                  <a:lstStyle/>
                  <a:p>
                    <a:r>
                      <a:rPr lang="en-US" sz="800"/>
                      <a:t>SK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7"/>
              <c:layout/>
              <c:tx>
                <c:rich>
                  <a:bodyPr/>
                  <a:lstStyle/>
                  <a:p>
                    <a:r>
                      <a:rPr lang="en-US" sz="800"/>
                      <a:t>SI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8"/>
              <c:layout/>
              <c:tx>
                <c:rich>
                  <a:bodyPr/>
                  <a:lstStyle/>
                  <a:p>
                    <a:r>
                      <a:rPr lang="en-US" sz="800"/>
                      <a:t>ES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9"/>
              <c:layout/>
              <c:tx>
                <c:rich>
                  <a:bodyPr/>
                  <a:lstStyle/>
                  <a:p>
                    <a:r>
                      <a:rPr lang="en-US" sz="800"/>
                      <a:t>SE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0"/>
              <c:layout/>
              <c:tx>
                <c:rich>
                  <a:bodyPr/>
                  <a:lstStyle/>
                  <a:p>
                    <a:r>
                      <a:rPr lang="en-US" sz="800"/>
                      <a:t>TR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1"/>
              <c:layout/>
              <c:tx>
                <c:rich>
                  <a:bodyPr/>
                  <a:lstStyle/>
                  <a:p>
                    <a:r>
                      <a:rPr lang="en-US" sz="800"/>
                      <a:t>UK</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'Discussion chart'!$C$3:$C$34</c:f>
              <c:numCache>
                <c:formatCode>0</c:formatCode>
                <c:ptCount val="32"/>
                <c:pt idx="0">
                  <c:v>8.634121556114291</c:v>
                </c:pt>
                <c:pt idx="1">
                  <c:v>18.76114139708539</c:v>
                </c:pt>
                <c:pt idx="2">
                  <c:v>11.4509469303906</c:v>
                </c:pt>
                <c:pt idx="3">
                  <c:v>16.6192697511842</c:v>
                </c:pt>
                <c:pt idx="4">
                  <c:v>4.725865764240907</c:v>
                </c:pt>
                <c:pt idx="5">
                  <c:v>13.29503186690088</c:v>
                </c:pt>
                <c:pt idx="6">
                  <c:v>18.57214159680673</c:v>
                </c:pt>
                <c:pt idx="7">
                  <c:v>10.36702015541259</c:v>
                </c:pt>
                <c:pt idx="8">
                  <c:v>4.097454378315667</c:v>
                </c:pt>
                <c:pt idx="9">
                  <c:v>3.203607009462168</c:v>
                </c:pt>
                <c:pt idx="10">
                  <c:v>7.312472181194993</c:v>
                </c:pt>
                <c:pt idx="11">
                  <c:v>10.07685185892275</c:v>
                </c:pt>
                <c:pt idx="12">
                  <c:v>15.11335790249166</c:v>
                </c:pt>
                <c:pt idx="13">
                  <c:v>16.32583136526751</c:v>
                </c:pt>
                <c:pt idx="14">
                  <c:v>4.96222000636032</c:v>
                </c:pt>
                <c:pt idx="15">
                  <c:v>14.66214614235522</c:v>
                </c:pt>
                <c:pt idx="16">
                  <c:v>11.36862222970031</c:v>
                </c:pt>
                <c:pt idx="17">
                  <c:v>22.78709628361664</c:v>
                </c:pt>
                <c:pt idx="18">
                  <c:v>2.32700567186735</c:v>
                </c:pt>
                <c:pt idx="19">
                  <c:v>6.889691476845786</c:v>
                </c:pt>
                <c:pt idx="20">
                  <c:v>22.63515190552789</c:v>
                </c:pt>
                <c:pt idx="21">
                  <c:v>30.76831505571587</c:v>
                </c:pt>
                <c:pt idx="22">
                  <c:v>13.53548917258822</c:v>
                </c:pt>
                <c:pt idx="23">
                  <c:v>13.48672145131045</c:v>
                </c:pt>
                <c:pt idx="24">
                  <c:v>18.79180026987104</c:v>
                </c:pt>
                <c:pt idx="25">
                  <c:v>18.56340843094757</c:v>
                </c:pt>
                <c:pt idx="26">
                  <c:v>12.3844295466102</c:v>
                </c:pt>
                <c:pt idx="27">
                  <c:v>46.88826181604404</c:v>
                </c:pt>
                <c:pt idx="28">
                  <c:v>6.834550664168514</c:v>
                </c:pt>
                <c:pt idx="29">
                  <c:v>31.58127034417443</c:v>
                </c:pt>
                <c:pt idx="30">
                  <c:v>6.754423726552077</c:v>
                </c:pt>
                <c:pt idx="31">
                  <c:v>15.38506948488967</c:v>
                </c:pt>
              </c:numCache>
            </c:numRef>
          </c:xVal>
          <c:yVal>
            <c:numRef>
              <c:f>'Discussion chart'!$H$3:$H$34</c:f>
              <c:numCache>
                <c:formatCode>0</c:formatCode>
                <c:ptCount val="32"/>
                <c:pt idx="0">
                  <c:v>1.97668953067487</c:v>
                </c:pt>
                <c:pt idx="1">
                  <c:v>7.10972975792337</c:v>
                </c:pt>
                <c:pt idx="2">
                  <c:v>22.91389697273421</c:v>
                </c:pt>
                <c:pt idx="3">
                  <c:v>8.90743529397069</c:v>
                </c:pt>
                <c:pt idx="4">
                  <c:v>35.24530395251147</c:v>
                </c:pt>
                <c:pt idx="5">
                  <c:v>5.375577416763059</c:v>
                </c:pt>
                <c:pt idx="6">
                  <c:v>2.09557053588926</c:v>
                </c:pt>
                <c:pt idx="7">
                  <c:v>24.65062137350003</c:v>
                </c:pt>
                <c:pt idx="8">
                  <c:v>1.498746574467344</c:v>
                </c:pt>
                <c:pt idx="9">
                  <c:v>8.189212232619786</c:v>
                </c:pt>
                <c:pt idx="10">
                  <c:v>6.214179498750418</c:v>
                </c:pt>
                <c:pt idx="11">
                  <c:v>28.34087963306669</c:v>
                </c:pt>
                <c:pt idx="12">
                  <c:v>15.27964721235591</c:v>
                </c:pt>
                <c:pt idx="13">
                  <c:v>8.8264094987349</c:v>
                </c:pt>
                <c:pt idx="14">
                  <c:v>8.934188580717498</c:v>
                </c:pt>
                <c:pt idx="15">
                  <c:v>19.02913828210454</c:v>
                </c:pt>
                <c:pt idx="16">
                  <c:v>23.28331367351322</c:v>
                </c:pt>
                <c:pt idx="17">
                  <c:v>2.07719680240306</c:v>
                </c:pt>
                <c:pt idx="18">
                  <c:v>13.40317999381175</c:v>
                </c:pt>
                <c:pt idx="19">
                  <c:v>27.0505514592114</c:v>
                </c:pt>
                <c:pt idx="20">
                  <c:v>7.549832679543238</c:v>
                </c:pt>
                <c:pt idx="21">
                  <c:v>2.095054150002181</c:v>
                </c:pt>
                <c:pt idx="22">
                  <c:v>23.87519253962212</c:v>
                </c:pt>
                <c:pt idx="23">
                  <c:v>32.26802448933986</c:v>
                </c:pt>
                <c:pt idx="24">
                  <c:v>18.36323917532678</c:v>
                </c:pt>
                <c:pt idx="25">
                  <c:v>16.85553364163622</c:v>
                </c:pt>
                <c:pt idx="26">
                  <c:v>10.58897114920083</c:v>
                </c:pt>
                <c:pt idx="27">
                  <c:v>2.333478767804689</c:v>
                </c:pt>
                <c:pt idx="28">
                  <c:v>17.27556996234645</c:v>
                </c:pt>
                <c:pt idx="29">
                  <c:v>1.274891560553684</c:v>
                </c:pt>
                <c:pt idx="30">
                  <c:v>42.4759207295115</c:v>
                </c:pt>
                <c:pt idx="31">
                  <c:v>12.03958959550284</c:v>
                </c:pt>
              </c:numCache>
            </c:numRef>
          </c:yVal>
          <c:smooth val="0"/>
        </c:ser>
        <c:dLbls>
          <c:showLegendKey val="0"/>
          <c:showVal val="0"/>
          <c:showCatName val="0"/>
          <c:showSerName val="0"/>
          <c:showPercent val="0"/>
          <c:showBubbleSize val="0"/>
        </c:dLbls>
        <c:axId val="-2006969832"/>
        <c:axId val="-2006490104"/>
      </c:scatterChart>
      <c:valAx>
        <c:axId val="-2006969832"/>
        <c:scaling>
          <c:orientation val="minMax"/>
        </c:scaling>
        <c:delete val="0"/>
        <c:axPos val="b"/>
        <c:title>
          <c:tx>
            <c:rich>
              <a:bodyPr/>
              <a:lstStyle/>
              <a:p>
                <a:pPr algn="ctr">
                  <a:defRPr sz="1000"/>
                </a:pPr>
                <a:r>
                  <a:rPr lang="en-US" sz="1000"/>
                  <a:t>Difference in poor SRH rates (% points)</a:t>
                </a:r>
              </a:p>
            </c:rich>
          </c:tx>
          <c:layout>
            <c:manualLayout>
              <c:xMode val="edge"/>
              <c:yMode val="edge"/>
              <c:x val="0.386957878903778"/>
              <c:y val="0.915101286594867"/>
            </c:manualLayout>
          </c:layout>
          <c:overlay val="0"/>
        </c:title>
        <c:numFmt formatCode="0" sourceLinked="1"/>
        <c:majorTickMark val="out"/>
        <c:minorTickMark val="none"/>
        <c:tickLblPos val="nextTo"/>
        <c:txPr>
          <a:bodyPr/>
          <a:lstStyle/>
          <a:p>
            <a:pPr>
              <a:defRPr sz="1000"/>
            </a:pPr>
            <a:endParaRPr lang="en-US"/>
          </a:p>
        </c:txPr>
        <c:crossAx val="-2006490104"/>
        <c:crosses val="autoZero"/>
        <c:crossBetween val="midCat"/>
      </c:valAx>
      <c:valAx>
        <c:axId val="-2006490104"/>
        <c:scaling>
          <c:orientation val="minMax"/>
        </c:scaling>
        <c:delete val="0"/>
        <c:axPos val="l"/>
        <c:majorGridlines/>
        <c:title>
          <c:tx>
            <c:rich>
              <a:bodyPr rot="-5400000" vert="horz"/>
              <a:lstStyle/>
              <a:p>
                <a:pPr>
                  <a:defRPr sz="1000"/>
                </a:pPr>
                <a:r>
                  <a:rPr lang="en-US" sz="1000"/>
                  <a:t>Energy poverty rates (%)</a:t>
                </a:r>
              </a:p>
            </c:rich>
          </c:tx>
          <c:layout>
            <c:manualLayout>
              <c:xMode val="edge"/>
              <c:yMode val="edge"/>
              <c:x val="0.00990916597853014"/>
              <c:y val="0.364655432221916"/>
            </c:manualLayout>
          </c:layout>
          <c:overlay val="0"/>
        </c:title>
        <c:numFmt formatCode="0" sourceLinked="1"/>
        <c:majorTickMark val="out"/>
        <c:minorTickMark val="none"/>
        <c:tickLblPos val="nextTo"/>
        <c:txPr>
          <a:bodyPr/>
          <a:lstStyle/>
          <a:p>
            <a:pPr>
              <a:defRPr sz="1000"/>
            </a:pPr>
            <a:endParaRPr lang="en-US"/>
          </a:p>
        </c:txPr>
        <c:crossAx val="-2006969832"/>
        <c:crosses val="autoZero"/>
        <c:crossBetween val="midCat"/>
      </c:valAx>
      <c:spPr>
        <a:noFill/>
      </c:spPr>
    </c:plotArea>
    <c:plotVisOnly val="1"/>
    <c:dispBlanksAs val="gap"/>
    <c:showDLblsOverMax val="0"/>
  </c:chart>
  <c:spPr>
    <a:noFill/>
  </c:spPr>
  <c:txPr>
    <a:bodyPr/>
    <a:lstStyle/>
    <a:p>
      <a:pPr>
        <a:defRPr sz="1200">
          <a:latin typeface="Palatino Linotype"/>
          <a:cs typeface="Palatino Linotyp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050"/>
            </a:pPr>
            <a:r>
              <a:rPr lang="en-US" sz="1050"/>
              <a:t>Percentage of poor well-being in the energy poor population versus non-energy poor population</a:t>
            </a:r>
          </a:p>
        </c:rich>
      </c:tx>
      <c:layout/>
      <c:overlay val="0"/>
    </c:title>
    <c:autoTitleDeleted val="0"/>
    <c:plotArea>
      <c:layout>
        <c:manualLayout>
          <c:layoutTarget val="inner"/>
          <c:xMode val="edge"/>
          <c:yMode val="edge"/>
          <c:x val="0.10338690429413"/>
          <c:y val="0.194851485148515"/>
          <c:w val="0.869861372277534"/>
          <c:h val="0.384041163171435"/>
        </c:manualLayout>
      </c:layout>
      <c:lineChart>
        <c:grouping val="standard"/>
        <c:varyColors val="0"/>
        <c:ser>
          <c:idx val="0"/>
          <c:order val="0"/>
          <c:tx>
            <c:strRef>
              <c:f>'% WHO-5 poor WB'!$C$5</c:f>
              <c:strCache>
                <c:ptCount val="1"/>
                <c:pt idx="0">
                  <c:v>Non-energy poor population %</c:v>
                </c:pt>
              </c:strCache>
            </c:strRef>
          </c:tx>
          <c:spPr>
            <a:ln w="22225"/>
          </c:spPr>
          <c:marker>
            <c:symbol val="none"/>
          </c:marker>
          <c:cat>
            <c:strRef>
              <c:f>'% WHO-5 poor WB'!$A$6:$A$37</c:f>
              <c:strCache>
                <c:ptCount val="32"/>
                <c:pt idx="0">
                  <c:v>Slovenia</c:v>
                </c:pt>
                <c:pt idx="1">
                  <c:v>Sweden</c:v>
                </c:pt>
                <c:pt idx="2">
                  <c:v>Slovakia</c:v>
                </c:pt>
                <c:pt idx="3">
                  <c:v>Romania</c:v>
                </c:pt>
                <c:pt idx="4">
                  <c:v>Serbia</c:v>
                </c:pt>
                <c:pt idx="5">
                  <c:v>UK</c:v>
                </c:pt>
                <c:pt idx="6">
                  <c:v>Luxembourg</c:v>
                </c:pt>
                <c:pt idx="7">
                  <c:v>Greece</c:v>
                </c:pt>
                <c:pt idx="8">
                  <c:v>Latvia</c:v>
                </c:pt>
                <c:pt idx="9">
                  <c:v>Poland</c:v>
                </c:pt>
                <c:pt idx="10">
                  <c:v>Belgium</c:v>
                </c:pt>
                <c:pt idx="11">
                  <c:v>Hungary</c:v>
                </c:pt>
                <c:pt idx="12">
                  <c:v>Ireland</c:v>
                </c:pt>
                <c:pt idx="13">
                  <c:v>Lithuania</c:v>
                </c:pt>
                <c:pt idx="14">
                  <c:v>Malta</c:v>
                </c:pt>
                <c:pt idx="15">
                  <c:v>Czech Republic</c:v>
                </c:pt>
                <c:pt idx="16">
                  <c:v>Turkey</c:v>
                </c:pt>
                <c:pt idx="17">
                  <c:v>Estonia</c:v>
                </c:pt>
                <c:pt idx="18">
                  <c:v>Montenegro</c:v>
                </c:pt>
                <c:pt idx="19">
                  <c:v>Cyprus</c:v>
                </c:pt>
                <c:pt idx="20">
                  <c:v>Bulgaria</c:v>
                </c:pt>
                <c:pt idx="21">
                  <c:v>Macedonia</c:v>
                </c:pt>
                <c:pt idx="22">
                  <c:v>France</c:v>
                </c:pt>
                <c:pt idx="23">
                  <c:v>Italy</c:v>
                </c:pt>
                <c:pt idx="24">
                  <c:v>Croatia</c:v>
                </c:pt>
                <c:pt idx="25">
                  <c:v>Germany</c:v>
                </c:pt>
                <c:pt idx="26">
                  <c:v>Netherlands</c:v>
                </c:pt>
                <c:pt idx="27">
                  <c:v>Portugal</c:v>
                </c:pt>
                <c:pt idx="28">
                  <c:v>Spain</c:v>
                </c:pt>
                <c:pt idx="29">
                  <c:v>Denmark</c:v>
                </c:pt>
                <c:pt idx="30">
                  <c:v>Austria</c:v>
                </c:pt>
                <c:pt idx="31">
                  <c:v>Finland</c:v>
                </c:pt>
              </c:strCache>
            </c:strRef>
          </c:cat>
          <c:val>
            <c:numRef>
              <c:f>'% WHO-5 poor WB'!$C$6:$C$37</c:f>
              <c:numCache>
                <c:formatCode>General</c:formatCode>
                <c:ptCount val="32"/>
                <c:pt idx="0">
                  <c:v>28.4</c:v>
                </c:pt>
                <c:pt idx="1">
                  <c:v>20.4</c:v>
                </c:pt>
                <c:pt idx="2">
                  <c:v>26.6</c:v>
                </c:pt>
                <c:pt idx="3">
                  <c:v>30.7</c:v>
                </c:pt>
                <c:pt idx="4">
                  <c:v>35.4</c:v>
                </c:pt>
                <c:pt idx="5">
                  <c:v>29.0</c:v>
                </c:pt>
                <c:pt idx="6">
                  <c:v>22.0</c:v>
                </c:pt>
                <c:pt idx="7">
                  <c:v>27.1</c:v>
                </c:pt>
                <c:pt idx="8">
                  <c:v>30.6</c:v>
                </c:pt>
                <c:pt idx="9">
                  <c:v>27.6</c:v>
                </c:pt>
                <c:pt idx="10">
                  <c:v>19.2</c:v>
                </c:pt>
                <c:pt idx="11">
                  <c:v>23.2</c:v>
                </c:pt>
                <c:pt idx="12">
                  <c:v>19.5</c:v>
                </c:pt>
                <c:pt idx="13">
                  <c:v>28.9</c:v>
                </c:pt>
                <c:pt idx="14">
                  <c:v>26.4</c:v>
                </c:pt>
                <c:pt idx="15">
                  <c:v>23.9</c:v>
                </c:pt>
                <c:pt idx="16">
                  <c:v>31.9</c:v>
                </c:pt>
                <c:pt idx="17">
                  <c:v>28.5</c:v>
                </c:pt>
                <c:pt idx="18">
                  <c:v>19.4</c:v>
                </c:pt>
                <c:pt idx="19">
                  <c:v>26.1</c:v>
                </c:pt>
                <c:pt idx="20">
                  <c:v>19.0</c:v>
                </c:pt>
                <c:pt idx="21">
                  <c:v>17.0</c:v>
                </c:pt>
                <c:pt idx="22">
                  <c:v>25.5</c:v>
                </c:pt>
                <c:pt idx="23">
                  <c:v>19.1</c:v>
                </c:pt>
                <c:pt idx="24">
                  <c:v>25.0</c:v>
                </c:pt>
                <c:pt idx="25">
                  <c:v>17.7</c:v>
                </c:pt>
                <c:pt idx="26">
                  <c:v>19.7</c:v>
                </c:pt>
                <c:pt idx="27">
                  <c:v>12.9</c:v>
                </c:pt>
                <c:pt idx="28">
                  <c:v>18.8</c:v>
                </c:pt>
                <c:pt idx="29">
                  <c:v>13.0</c:v>
                </c:pt>
                <c:pt idx="30">
                  <c:v>17.5</c:v>
                </c:pt>
                <c:pt idx="31">
                  <c:v>15.5</c:v>
                </c:pt>
              </c:numCache>
            </c:numRef>
          </c:val>
          <c:smooth val="0"/>
        </c:ser>
        <c:ser>
          <c:idx val="1"/>
          <c:order val="1"/>
          <c:tx>
            <c:strRef>
              <c:f>'% WHO-5 poor WB'!$F$5</c:f>
              <c:strCache>
                <c:ptCount val="1"/>
                <c:pt idx="0">
                  <c:v>Energy poor population %</c:v>
                </c:pt>
              </c:strCache>
            </c:strRef>
          </c:tx>
          <c:spPr>
            <a:ln w="22225"/>
          </c:spPr>
          <c:marker>
            <c:symbol val="none"/>
          </c:marker>
          <c:cat>
            <c:strRef>
              <c:f>'% WHO-5 poor WB'!$A$6:$A$37</c:f>
              <c:strCache>
                <c:ptCount val="32"/>
                <c:pt idx="0">
                  <c:v>Slovenia</c:v>
                </c:pt>
                <c:pt idx="1">
                  <c:v>Sweden</c:v>
                </c:pt>
                <c:pt idx="2">
                  <c:v>Slovakia</c:v>
                </c:pt>
                <c:pt idx="3">
                  <c:v>Romania</c:v>
                </c:pt>
                <c:pt idx="4">
                  <c:v>Serbia</c:v>
                </c:pt>
                <c:pt idx="5">
                  <c:v>UK</c:v>
                </c:pt>
                <c:pt idx="6">
                  <c:v>Luxembourg</c:v>
                </c:pt>
                <c:pt idx="7">
                  <c:v>Greece</c:v>
                </c:pt>
                <c:pt idx="8">
                  <c:v>Latvia</c:v>
                </c:pt>
                <c:pt idx="9">
                  <c:v>Poland</c:v>
                </c:pt>
                <c:pt idx="10">
                  <c:v>Belgium</c:v>
                </c:pt>
                <c:pt idx="11">
                  <c:v>Hungary</c:v>
                </c:pt>
                <c:pt idx="12">
                  <c:v>Ireland</c:v>
                </c:pt>
                <c:pt idx="13">
                  <c:v>Lithuania</c:v>
                </c:pt>
                <c:pt idx="14">
                  <c:v>Malta</c:v>
                </c:pt>
                <c:pt idx="15">
                  <c:v>Czech Republic</c:v>
                </c:pt>
                <c:pt idx="16">
                  <c:v>Turkey</c:v>
                </c:pt>
                <c:pt idx="17">
                  <c:v>Estonia</c:v>
                </c:pt>
                <c:pt idx="18">
                  <c:v>Montenegro</c:v>
                </c:pt>
                <c:pt idx="19">
                  <c:v>Cyprus</c:v>
                </c:pt>
                <c:pt idx="20">
                  <c:v>Bulgaria</c:v>
                </c:pt>
                <c:pt idx="21">
                  <c:v>Macedonia</c:v>
                </c:pt>
                <c:pt idx="22">
                  <c:v>France</c:v>
                </c:pt>
                <c:pt idx="23">
                  <c:v>Italy</c:v>
                </c:pt>
                <c:pt idx="24">
                  <c:v>Croatia</c:v>
                </c:pt>
                <c:pt idx="25">
                  <c:v>Germany</c:v>
                </c:pt>
                <c:pt idx="26">
                  <c:v>Netherlands</c:v>
                </c:pt>
                <c:pt idx="27">
                  <c:v>Portugal</c:v>
                </c:pt>
                <c:pt idx="28">
                  <c:v>Spain</c:v>
                </c:pt>
                <c:pt idx="29">
                  <c:v>Denmark</c:v>
                </c:pt>
                <c:pt idx="30">
                  <c:v>Austria</c:v>
                </c:pt>
                <c:pt idx="31">
                  <c:v>Finland</c:v>
                </c:pt>
              </c:strCache>
            </c:strRef>
          </c:cat>
          <c:val>
            <c:numRef>
              <c:f>'% WHO-5 poor WB'!$F$6:$F$37</c:f>
              <c:numCache>
                <c:formatCode>General</c:formatCode>
                <c:ptCount val="32"/>
                <c:pt idx="0">
                  <c:v>73.9</c:v>
                </c:pt>
                <c:pt idx="1">
                  <c:v>69.2</c:v>
                </c:pt>
                <c:pt idx="2">
                  <c:v>64.4</c:v>
                </c:pt>
                <c:pt idx="3">
                  <c:v>61.1</c:v>
                </c:pt>
                <c:pt idx="4">
                  <c:v>59.8</c:v>
                </c:pt>
                <c:pt idx="5">
                  <c:v>57.3</c:v>
                </c:pt>
                <c:pt idx="6">
                  <c:v>57.1</c:v>
                </c:pt>
                <c:pt idx="7">
                  <c:v>52.9</c:v>
                </c:pt>
                <c:pt idx="8">
                  <c:v>52.5</c:v>
                </c:pt>
                <c:pt idx="9">
                  <c:v>51.5</c:v>
                </c:pt>
                <c:pt idx="10">
                  <c:v>51.4</c:v>
                </c:pt>
                <c:pt idx="11">
                  <c:v>49.7</c:v>
                </c:pt>
                <c:pt idx="12">
                  <c:v>48.9</c:v>
                </c:pt>
                <c:pt idx="13">
                  <c:v>46.9</c:v>
                </c:pt>
                <c:pt idx="14">
                  <c:v>46.5</c:v>
                </c:pt>
                <c:pt idx="15">
                  <c:v>46.3</c:v>
                </c:pt>
                <c:pt idx="16">
                  <c:v>45.3</c:v>
                </c:pt>
                <c:pt idx="17">
                  <c:v>44.3</c:v>
                </c:pt>
                <c:pt idx="18">
                  <c:v>43.7</c:v>
                </c:pt>
                <c:pt idx="19">
                  <c:v>42.3</c:v>
                </c:pt>
                <c:pt idx="20">
                  <c:v>41.5</c:v>
                </c:pt>
                <c:pt idx="21">
                  <c:v>38.9</c:v>
                </c:pt>
                <c:pt idx="22">
                  <c:v>38.4</c:v>
                </c:pt>
                <c:pt idx="23">
                  <c:v>38.30000000000001</c:v>
                </c:pt>
                <c:pt idx="24">
                  <c:v>36.9</c:v>
                </c:pt>
                <c:pt idx="25">
                  <c:v>33.30000000000001</c:v>
                </c:pt>
                <c:pt idx="26">
                  <c:v>33.30000000000001</c:v>
                </c:pt>
                <c:pt idx="27">
                  <c:v>32.80000000000001</c:v>
                </c:pt>
                <c:pt idx="28">
                  <c:v>30.7</c:v>
                </c:pt>
                <c:pt idx="29">
                  <c:v>28.6</c:v>
                </c:pt>
                <c:pt idx="30">
                  <c:v>21.1</c:v>
                </c:pt>
                <c:pt idx="31">
                  <c:v>20.0</c:v>
                </c:pt>
              </c:numCache>
            </c:numRef>
          </c:val>
          <c:smooth val="0"/>
        </c:ser>
        <c:dLbls>
          <c:showLegendKey val="0"/>
          <c:showVal val="0"/>
          <c:showCatName val="0"/>
          <c:showSerName val="0"/>
          <c:showPercent val="0"/>
          <c:showBubbleSize val="0"/>
        </c:dLbls>
        <c:dropLines>
          <c:spPr>
            <a:ln>
              <a:solidFill>
                <a:schemeClr val="bg1">
                  <a:lumMod val="50000"/>
                  <a:alpha val="33000"/>
                </a:schemeClr>
              </a:solidFill>
            </a:ln>
          </c:spPr>
        </c:dropLines>
        <c:marker val="1"/>
        <c:smooth val="0"/>
        <c:axId val="-2009319416"/>
        <c:axId val="-2009316440"/>
      </c:lineChart>
      <c:catAx>
        <c:axId val="-2009319416"/>
        <c:scaling>
          <c:orientation val="minMax"/>
        </c:scaling>
        <c:delete val="0"/>
        <c:axPos val="b"/>
        <c:numFmt formatCode="General" sourceLinked="0"/>
        <c:majorTickMark val="none"/>
        <c:minorTickMark val="none"/>
        <c:tickLblPos val="nextTo"/>
        <c:crossAx val="-2009316440"/>
        <c:crosses val="autoZero"/>
        <c:auto val="1"/>
        <c:lblAlgn val="ctr"/>
        <c:lblOffset val="100"/>
        <c:noMultiLvlLbl val="0"/>
      </c:catAx>
      <c:valAx>
        <c:axId val="-2009316440"/>
        <c:scaling>
          <c:orientation val="minMax"/>
        </c:scaling>
        <c:delete val="0"/>
        <c:axPos val="l"/>
        <c:title>
          <c:tx>
            <c:rich>
              <a:bodyPr rot="-5400000" vert="horz"/>
              <a:lstStyle/>
              <a:p>
                <a:pPr>
                  <a:defRPr/>
                </a:pPr>
                <a:r>
                  <a:rPr lang="en-US"/>
                  <a:t>Percentage (%)</a:t>
                </a:r>
              </a:p>
            </c:rich>
          </c:tx>
          <c:layout>
            <c:manualLayout>
              <c:xMode val="edge"/>
              <c:yMode val="edge"/>
              <c:x val="0.0133086895525477"/>
              <c:y val="0.269492559744164"/>
            </c:manualLayout>
          </c:layout>
          <c:overlay val="0"/>
        </c:title>
        <c:numFmt formatCode="General" sourceLinked="1"/>
        <c:majorTickMark val="none"/>
        <c:minorTickMark val="none"/>
        <c:tickLblPos val="nextTo"/>
        <c:crossAx val="-2009319416"/>
        <c:crosses val="autoZero"/>
        <c:crossBetween val="between"/>
      </c:valAx>
      <c:spPr>
        <a:noFill/>
      </c:spPr>
    </c:plotArea>
    <c:legend>
      <c:legendPos val="b"/>
      <c:layout/>
      <c:overlay val="0"/>
    </c:legend>
    <c:plotVisOnly val="1"/>
    <c:dispBlanksAs val="gap"/>
    <c:showDLblsOverMax val="0"/>
  </c:chart>
  <c:spPr>
    <a:noFill/>
  </c:spPr>
  <c:txPr>
    <a:bodyPr/>
    <a:lstStyle/>
    <a:p>
      <a:pPr>
        <a:defRPr sz="1000">
          <a:latin typeface="Palatino Linotype"/>
          <a:cs typeface="Palatino Linotyp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sz="1050"/>
            </a:pPr>
            <a:r>
              <a:rPr lang="en-US" sz="1050"/>
              <a:t>Scatterplot of energy poverty and differences in poor well-being rates</a:t>
            </a:r>
          </a:p>
        </c:rich>
      </c:tx>
      <c:layout/>
      <c:overlay val="0"/>
    </c:title>
    <c:autoTitleDeleted val="0"/>
    <c:plotArea>
      <c:layout/>
      <c:scatterChart>
        <c:scatterStyle val="lineMarker"/>
        <c:varyColors val="0"/>
        <c:ser>
          <c:idx val="0"/>
          <c:order val="0"/>
          <c:spPr>
            <a:ln w="31750">
              <a:noFill/>
            </a:ln>
          </c:spPr>
          <c:dLbls>
            <c:dLbl>
              <c:idx val="0"/>
              <c:layout>
                <c:manualLayout>
                  <c:x val="-0.025093868474774"/>
                  <c:y val="-0.0428990547960646"/>
                </c:manualLayout>
              </c:layout>
              <c:tx>
                <c:rich>
                  <a:bodyPr/>
                  <a:lstStyle/>
                  <a:p>
                    <a:r>
                      <a:rPr lang="en-US" sz="800"/>
                      <a:t>AT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sz="800"/>
                      <a:t>BE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00300435631665915"/>
                  <c:y val="0.0106157112526539"/>
                </c:manualLayout>
              </c:layout>
              <c:tx>
                <c:rich>
                  <a:bodyPr/>
                  <a:lstStyle/>
                  <a:p>
                    <a:r>
                      <a:rPr lang="en-US" sz="800"/>
                      <a:t>BG</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013519721706711"/>
                  <c:y val="-0.0318471337579618"/>
                </c:manualLayout>
              </c:layout>
              <c:tx>
                <c:rich>
                  <a:bodyPr/>
                  <a:lstStyle/>
                  <a:p>
                    <a:r>
                      <a:rPr lang="en-US" sz="800"/>
                      <a:t>HR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sz="800"/>
                      <a:t>CY</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tx>
                <c:rich>
                  <a:bodyPr/>
                  <a:lstStyle/>
                  <a:p>
                    <a:r>
                      <a:rPr lang="en-US" sz="800"/>
                      <a:t>CZ</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sz="800"/>
                      <a:t>DK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layout>
                <c:manualLayout>
                  <c:x val="-0.0162037037037037"/>
                  <c:y val="-0.049079754601227"/>
                </c:manualLayout>
              </c:layout>
              <c:tx>
                <c:rich>
                  <a:bodyPr/>
                  <a:lstStyle/>
                  <a:p>
                    <a:r>
                      <a:rPr lang="en-US" sz="800"/>
                      <a:t>EE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0.0115740740740741"/>
                  <c:y val="-0.0163599182004091"/>
                </c:manualLayout>
              </c:layout>
              <c:tx>
                <c:rich>
                  <a:bodyPr/>
                  <a:lstStyle/>
                  <a:p>
                    <a:r>
                      <a:rPr lang="en-US" sz="800"/>
                      <a:t>FI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tx>
                <c:rich>
                  <a:bodyPr/>
                  <a:lstStyle/>
                  <a:p>
                    <a:r>
                      <a:rPr lang="en-US" sz="800"/>
                      <a:t>FR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layout/>
              <c:tx>
                <c:rich>
                  <a:bodyPr/>
                  <a:lstStyle/>
                  <a:p>
                    <a:r>
                      <a:rPr lang="en-US" sz="800"/>
                      <a:t>DE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layout/>
              <c:tx>
                <c:rich>
                  <a:bodyPr/>
                  <a:lstStyle/>
                  <a:p>
                    <a:r>
                      <a:rPr lang="en-US" sz="800"/>
                      <a:t>GR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layout/>
              <c:tx>
                <c:rich>
                  <a:bodyPr/>
                  <a:lstStyle/>
                  <a:p>
                    <a:r>
                      <a:rPr lang="en-US" sz="800"/>
                      <a:t>HU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layout>
                <c:manualLayout>
                  <c:x val="0.0138888888888888"/>
                  <c:y val="-0.0122699386503068"/>
                </c:manualLayout>
              </c:layout>
              <c:tx>
                <c:rich>
                  <a:bodyPr/>
                  <a:lstStyle/>
                  <a:p>
                    <a:r>
                      <a:rPr lang="en-US" sz="800"/>
                      <a:t>IE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layout/>
              <c:tx>
                <c:rich>
                  <a:bodyPr/>
                  <a:lstStyle/>
                  <a:p>
                    <a:r>
                      <a:rPr lang="en-US" sz="800"/>
                      <a:t>IT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layout/>
              <c:tx>
                <c:rich>
                  <a:bodyPr/>
                  <a:lstStyle/>
                  <a:p>
                    <a:r>
                      <a:rPr lang="en-US" sz="800"/>
                      <a:t>LV</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6"/>
              <c:layout/>
              <c:tx>
                <c:rich>
                  <a:bodyPr/>
                  <a:lstStyle/>
                  <a:p>
                    <a:r>
                      <a:rPr lang="en-US" sz="800"/>
                      <a:t>LT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7"/>
              <c:layout/>
              <c:tx>
                <c:rich>
                  <a:bodyPr/>
                  <a:lstStyle/>
                  <a:p>
                    <a:r>
                      <a:rPr lang="en-US" sz="800"/>
                      <a:t>LU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8"/>
              <c:layout/>
              <c:tx>
                <c:rich>
                  <a:bodyPr/>
                  <a:lstStyle/>
                  <a:p>
                    <a:r>
                      <a:rPr lang="en-US" sz="800"/>
                      <a:t>MK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9"/>
              <c:layout/>
              <c:tx>
                <c:rich>
                  <a:bodyPr/>
                  <a:lstStyle/>
                  <a:p>
                    <a:r>
                      <a:rPr lang="en-US" sz="800"/>
                      <a:t>MT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0"/>
              <c:layout/>
              <c:tx>
                <c:rich>
                  <a:bodyPr/>
                  <a:lstStyle/>
                  <a:p>
                    <a:r>
                      <a:rPr lang="en-US" sz="800"/>
                      <a:t>ME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1"/>
              <c:layout>
                <c:manualLayout>
                  <c:x val="-0.0275315325167687"/>
                  <c:y val="-0.0416817223000499"/>
                </c:manualLayout>
              </c:layout>
              <c:tx>
                <c:rich>
                  <a:bodyPr/>
                  <a:lstStyle/>
                  <a:p>
                    <a:r>
                      <a:rPr lang="en-US" sz="800"/>
                      <a:t>NL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2"/>
              <c:layout>
                <c:manualLayout>
                  <c:x val="0.0"/>
                  <c:y val="-0.0106157112526539"/>
                </c:manualLayout>
              </c:layout>
              <c:tx>
                <c:rich>
                  <a:bodyPr/>
                  <a:lstStyle/>
                  <a:p>
                    <a:r>
                      <a:rPr lang="en-US" sz="800"/>
                      <a:t>PL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3"/>
              <c:layout/>
              <c:tx>
                <c:rich>
                  <a:bodyPr/>
                  <a:lstStyle/>
                  <a:p>
                    <a:r>
                      <a:rPr lang="en-US" sz="800"/>
                      <a:t>PT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4"/>
              <c:layout/>
              <c:tx>
                <c:rich>
                  <a:bodyPr/>
                  <a:lstStyle/>
                  <a:p>
                    <a:r>
                      <a:rPr lang="en-US" sz="800"/>
                      <a:t>RO</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5"/>
              <c:layout>
                <c:manualLayout>
                  <c:x val="-1.82268883056285E-7"/>
                  <c:y val="-0.0286301788963497"/>
                </c:manualLayout>
              </c:layout>
              <c:tx>
                <c:rich>
                  <a:bodyPr/>
                  <a:lstStyle/>
                  <a:p>
                    <a:r>
                      <a:rPr lang="en-US" sz="800"/>
                      <a:t>RS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6"/>
              <c:layout>
                <c:manualLayout>
                  <c:x val="-0.00462962962962963"/>
                  <c:y val="-0.0327198364008179"/>
                </c:manualLayout>
              </c:layout>
              <c:tx>
                <c:rich>
                  <a:bodyPr/>
                  <a:lstStyle/>
                  <a:p>
                    <a:r>
                      <a:rPr lang="en-US" sz="800"/>
                      <a:t>SK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7"/>
              <c:layout>
                <c:manualLayout>
                  <c:x val="-0.00231481481481481"/>
                  <c:y val="-0.0368098159509202"/>
                </c:manualLayout>
              </c:layout>
              <c:tx>
                <c:rich>
                  <a:bodyPr/>
                  <a:lstStyle/>
                  <a:p>
                    <a:r>
                      <a:rPr lang="en-US" sz="800"/>
                      <a:t>SI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8"/>
              <c:layout/>
              <c:tx>
                <c:rich>
                  <a:bodyPr/>
                  <a:lstStyle/>
                  <a:p>
                    <a:r>
                      <a:rPr lang="en-US" sz="800"/>
                      <a:t>ES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9"/>
              <c:layout/>
              <c:tx>
                <c:rich>
                  <a:bodyPr/>
                  <a:lstStyle/>
                  <a:p>
                    <a:r>
                      <a:rPr lang="en-US" sz="800"/>
                      <a:t>SE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0"/>
              <c:layout/>
              <c:tx>
                <c:rich>
                  <a:bodyPr/>
                  <a:lstStyle/>
                  <a:p>
                    <a:r>
                      <a:rPr lang="en-US" sz="800"/>
                      <a:t>TR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1"/>
              <c:layout/>
              <c:tx>
                <c:rich>
                  <a:bodyPr/>
                  <a:lstStyle/>
                  <a:p>
                    <a:r>
                      <a:rPr lang="en-US" sz="800"/>
                      <a:t>UK</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'Discussion chart'!$E$3:$E$34</c:f>
              <c:numCache>
                <c:formatCode>0</c:formatCode>
                <c:ptCount val="32"/>
                <c:pt idx="0">
                  <c:v>3.600000000000001</c:v>
                </c:pt>
                <c:pt idx="1">
                  <c:v>32.2</c:v>
                </c:pt>
                <c:pt idx="2">
                  <c:v>22.5</c:v>
                </c:pt>
                <c:pt idx="3">
                  <c:v>11.9</c:v>
                </c:pt>
                <c:pt idx="4">
                  <c:v>16.2</c:v>
                </c:pt>
                <c:pt idx="5">
                  <c:v>22.4</c:v>
                </c:pt>
                <c:pt idx="6">
                  <c:v>15.6</c:v>
                </c:pt>
                <c:pt idx="7">
                  <c:v>15.8</c:v>
                </c:pt>
                <c:pt idx="8">
                  <c:v>4.5</c:v>
                </c:pt>
                <c:pt idx="9">
                  <c:v>12.9</c:v>
                </c:pt>
                <c:pt idx="10">
                  <c:v>15.6</c:v>
                </c:pt>
                <c:pt idx="11">
                  <c:v>25.8</c:v>
                </c:pt>
                <c:pt idx="12">
                  <c:v>26.5</c:v>
                </c:pt>
                <c:pt idx="13">
                  <c:v>29.4</c:v>
                </c:pt>
                <c:pt idx="14">
                  <c:v>19.2</c:v>
                </c:pt>
                <c:pt idx="15">
                  <c:v>21.9</c:v>
                </c:pt>
                <c:pt idx="16">
                  <c:v>18.0</c:v>
                </c:pt>
                <c:pt idx="17">
                  <c:v>35.1</c:v>
                </c:pt>
                <c:pt idx="18">
                  <c:v>21.9</c:v>
                </c:pt>
                <c:pt idx="19">
                  <c:v>20.1</c:v>
                </c:pt>
                <c:pt idx="20">
                  <c:v>24.3</c:v>
                </c:pt>
                <c:pt idx="21">
                  <c:v>13.6</c:v>
                </c:pt>
                <c:pt idx="22">
                  <c:v>23.9</c:v>
                </c:pt>
                <c:pt idx="23">
                  <c:v>19.9</c:v>
                </c:pt>
                <c:pt idx="24">
                  <c:v>30.4</c:v>
                </c:pt>
                <c:pt idx="25">
                  <c:v>24.4</c:v>
                </c:pt>
                <c:pt idx="26">
                  <c:v>37.80000000000001</c:v>
                </c:pt>
                <c:pt idx="27">
                  <c:v>45.50000000000001</c:v>
                </c:pt>
                <c:pt idx="28">
                  <c:v>11.9</c:v>
                </c:pt>
                <c:pt idx="29">
                  <c:v>48.8</c:v>
                </c:pt>
                <c:pt idx="30">
                  <c:v>13.4</c:v>
                </c:pt>
                <c:pt idx="31">
                  <c:v>28.3</c:v>
                </c:pt>
              </c:numCache>
            </c:numRef>
          </c:xVal>
          <c:yVal>
            <c:numRef>
              <c:f>'Discussion chart'!$H$3:$H$34</c:f>
              <c:numCache>
                <c:formatCode>0</c:formatCode>
                <c:ptCount val="32"/>
                <c:pt idx="0">
                  <c:v>1.97668953067487</c:v>
                </c:pt>
                <c:pt idx="1">
                  <c:v>7.10972975792337</c:v>
                </c:pt>
                <c:pt idx="2">
                  <c:v>22.91389697273421</c:v>
                </c:pt>
                <c:pt idx="3">
                  <c:v>8.90743529397069</c:v>
                </c:pt>
                <c:pt idx="4">
                  <c:v>35.24530395251147</c:v>
                </c:pt>
                <c:pt idx="5">
                  <c:v>5.375577416763059</c:v>
                </c:pt>
                <c:pt idx="6">
                  <c:v>2.09557053588926</c:v>
                </c:pt>
                <c:pt idx="7">
                  <c:v>24.65062137350003</c:v>
                </c:pt>
                <c:pt idx="8">
                  <c:v>1.498746574467344</c:v>
                </c:pt>
                <c:pt idx="9">
                  <c:v>8.189212232619786</c:v>
                </c:pt>
                <c:pt idx="10">
                  <c:v>6.214179498750418</c:v>
                </c:pt>
                <c:pt idx="11">
                  <c:v>28.34087963306669</c:v>
                </c:pt>
                <c:pt idx="12">
                  <c:v>15.27964721235591</c:v>
                </c:pt>
                <c:pt idx="13">
                  <c:v>8.8264094987349</c:v>
                </c:pt>
                <c:pt idx="14">
                  <c:v>8.934188580717498</c:v>
                </c:pt>
                <c:pt idx="15">
                  <c:v>19.02913828210454</c:v>
                </c:pt>
                <c:pt idx="16">
                  <c:v>23.28331367351322</c:v>
                </c:pt>
                <c:pt idx="17">
                  <c:v>2.07719680240306</c:v>
                </c:pt>
                <c:pt idx="18">
                  <c:v>13.40317999381175</c:v>
                </c:pt>
                <c:pt idx="19">
                  <c:v>27.0505514592114</c:v>
                </c:pt>
                <c:pt idx="20">
                  <c:v>7.549832679543238</c:v>
                </c:pt>
                <c:pt idx="21">
                  <c:v>2.095054150002181</c:v>
                </c:pt>
                <c:pt idx="22">
                  <c:v>23.87519253962212</c:v>
                </c:pt>
                <c:pt idx="23">
                  <c:v>32.26802448933986</c:v>
                </c:pt>
                <c:pt idx="24">
                  <c:v>18.36323917532678</c:v>
                </c:pt>
                <c:pt idx="25">
                  <c:v>16.85553364163622</c:v>
                </c:pt>
                <c:pt idx="26">
                  <c:v>10.58897114920083</c:v>
                </c:pt>
                <c:pt idx="27">
                  <c:v>2.333478767804689</c:v>
                </c:pt>
                <c:pt idx="28">
                  <c:v>17.27556996234645</c:v>
                </c:pt>
                <c:pt idx="29">
                  <c:v>1.274891560553684</c:v>
                </c:pt>
                <c:pt idx="30">
                  <c:v>42.4759207295115</c:v>
                </c:pt>
                <c:pt idx="31">
                  <c:v>12.03958959550284</c:v>
                </c:pt>
              </c:numCache>
            </c:numRef>
          </c:yVal>
          <c:smooth val="0"/>
        </c:ser>
        <c:dLbls>
          <c:showLegendKey val="0"/>
          <c:showVal val="0"/>
          <c:showCatName val="0"/>
          <c:showSerName val="0"/>
          <c:showPercent val="0"/>
          <c:showBubbleSize val="0"/>
        </c:dLbls>
        <c:axId val="1853047064"/>
        <c:axId val="1853052600"/>
      </c:scatterChart>
      <c:valAx>
        <c:axId val="1853047064"/>
        <c:scaling>
          <c:orientation val="minMax"/>
        </c:scaling>
        <c:delete val="0"/>
        <c:axPos val="b"/>
        <c:title>
          <c:tx>
            <c:rich>
              <a:bodyPr/>
              <a:lstStyle/>
              <a:p>
                <a:pPr>
                  <a:defRPr/>
                </a:pPr>
                <a:r>
                  <a:rPr lang="en-US"/>
                  <a:t>Differences in poor well-being (% points)</a:t>
                </a:r>
              </a:p>
            </c:rich>
          </c:tx>
          <c:layout>
            <c:manualLayout>
              <c:xMode val="edge"/>
              <c:yMode val="edge"/>
              <c:x val="0.298466936424614"/>
              <c:y val="0.916107434423458"/>
            </c:manualLayout>
          </c:layout>
          <c:overlay val="0"/>
        </c:title>
        <c:numFmt formatCode="0" sourceLinked="1"/>
        <c:majorTickMark val="out"/>
        <c:minorTickMark val="none"/>
        <c:tickLblPos val="nextTo"/>
        <c:crossAx val="1853052600"/>
        <c:crosses val="autoZero"/>
        <c:crossBetween val="midCat"/>
      </c:valAx>
      <c:valAx>
        <c:axId val="1853052600"/>
        <c:scaling>
          <c:orientation val="minMax"/>
        </c:scaling>
        <c:delete val="0"/>
        <c:axPos val="l"/>
        <c:majorGridlines/>
        <c:title>
          <c:tx>
            <c:rich>
              <a:bodyPr rot="-5400000" vert="horz"/>
              <a:lstStyle/>
              <a:p>
                <a:pPr>
                  <a:defRPr/>
                </a:pPr>
                <a:r>
                  <a:rPr lang="en-US"/>
                  <a:t>Energy poverty rates (%)</a:t>
                </a:r>
              </a:p>
            </c:rich>
          </c:tx>
          <c:layout>
            <c:manualLayout>
              <c:xMode val="edge"/>
              <c:yMode val="edge"/>
              <c:x val="0.0132303514144065"/>
              <c:y val="0.243052670563419"/>
            </c:manualLayout>
          </c:layout>
          <c:overlay val="0"/>
        </c:title>
        <c:numFmt formatCode="0" sourceLinked="1"/>
        <c:majorTickMark val="out"/>
        <c:minorTickMark val="none"/>
        <c:tickLblPos val="nextTo"/>
        <c:crossAx val="1853047064"/>
        <c:crosses val="autoZero"/>
        <c:crossBetween val="midCat"/>
      </c:valAx>
      <c:spPr>
        <a:noFill/>
      </c:spPr>
    </c:plotArea>
    <c:plotVisOnly val="1"/>
    <c:dispBlanksAs val="gap"/>
    <c:showDLblsOverMax val="0"/>
  </c:chart>
  <c:spPr>
    <a:noFill/>
  </c:spPr>
  <c:txPr>
    <a:bodyPr/>
    <a:lstStyle/>
    <a:p>
      <a:pPr>
        <a:defRPr sz="1000">
          <a:latin typeface="Palatino Linotype"/>
          <a:cs typeface="Palatino Linotyp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050"/>
            </a:pPr>
            <a:r>
              <a:rPr lang="en-US" sz="1050"/>
              <a:t>Prevalence of likely depression in the energy poor population versus non-energy poor population</a:t>
            </a:r>
          </a:p>
        </c:rich>
      </c:tx>
      <c:layout/>
      <c:overlay val="0"/>
    </c:title>
    <c:autoTitleDeleted val="0"/>
    <c:plotArea>
      <c:layout>
        <c:manualLayout>
          <c:layoutTarget val="inner"/>
          <c:xMode val="edge"/>
          <c:yMode val="edge"/>
          <c:x val="0.060121090579855"/>
          <c:y val="0.16572928383952"/>
          <c:w val="0.911187671282868"/>
          <c:h val="0.450741491959174"/>
        </c:manualLayout>
      </c:layout>
      <c:lineChart>
        <c:grouping val="standard"/>
        <c:varyColors val="0"/>
        <c:ser>
          <c:idx val="0"/>
          <c:order val="0"/>
          <c:tx>
            <c:strRef>
              <c:f>'% WHO-5 depression'!$D$5</c:f>
              <c:strCache>
                <c:ptCount val="1"/>
                <c:pt idx="0">
                  <c:v>Non-energy poor population %</c:v>
                </c:pt>
              </c:strCache>
            </c:strRef>
          </c:tx>
          <c:spPr>
            <a:ln w="22225">
              <a:solidFill>
                <a:schemeClr val="bg1">
                  <a:lumMod val="50000"/>
                </a:schemeClr>
              </a:solidFill>
            </a:ln>
          </c:spPr>
          <c:marker>
            <c:symbol val="none"/>
          </c:marker>
          <c:cat>
            <c:strRef>
              <c:f>'% WHO-5 depression'!$A$6:$A$37</c:f>
              <c:strCache>
                <c:ptCount val="32"/>
                <c:pt idx="0">
                  <c:v>Slovenia</c:v>
                </c:pt>
                <c:pt idx="1">
                  <c:v>Slovakia</c:v>
                </c:pt>
                <c:pt idx="2">
                  <c:v>Romania</c:v>
                </c:pt>
                <c:pt idx="3">
                  <c:v>Serbia</c:v>
                </c:pt>
                <c:pt idx="4">
                  <c:v>Turkey</c:v>
                </c:pt>
                <c:pt idx="5">
                  <c:v>Ireland</c:v>
                </c:pt>
                <c:pt idx="6">
                  <c:v>UK</c:v>
                </c:pt>
                <c:pt idx="7">
                  <c:v>Luxembourg</c:v>
                </c:pt>
                <c:pt idx="8">
                  <c:v>Greece</c:v>
                </c:pt>
                <c:pt idx="9">
                  <c:v>Denmark</c:v>
                </c:pt>
                <c:pt idx="10">
                  <c:v>Poland</c:v>
                </c:pt>
                <c:pt idx="11">
                  <c:v>Hungary</c:v>
                </c:pt>
                <c:pt idx="12">
                  <c:v>Sweden</c:v>
                </c:pt>
                <c:pt idx="13">
                  <c:v>Cyprus</c:v>
                </c:pt>
                <c:pt idx="14">
                  <c:v>Latvia</c:v>
                </c:pt>
                <c:pt idx="15">
                  <c:v>Montenegro</c:v>
                </c:pt>
                <c:pt idx="16">
                  <c:v>Bulgaria</c:v>
                </c:pt>
                <c:pt idx="17">
                  <c:v>Belgium</c:v>
                </c:pt>
                <c:pt idx="18">
                  <c:v>Lithuania</c:v>
                </c:pt>
                <c:pt idx="19">
                  <c:v>Netherlands</c:v>
                </c:pt>
                <c:pt idx="20">
                  <c:v>Czech Republic</c:v>
                </c:pt>
                <c:pt idx="21">
                  <c:v>France</c:v>
                </c:pt>
                <c:pt idx="22">
                  <c:v>Malta</c:v>
                </c:pt>
                <c:pt idx="23">
                  <c:v>Germany</c:v>
                </c:pt>
                <c:pt idx="24">
                  <c:v>Croatia</c:v>
                </c:pt>
                <c:pt idx="25">
                  <c:v>Portugal</c:v>
                </c:pt>
                <c:pt idx="26">
                  <c:v>Macedonia</c:v>
                </c:pt>
                <c:pt idx="27">
                  <c:v>Estonia</c:v>
                </c:pt>
                <c:pt idx="28">
                  <c:v>Italy</c:v>
                </c:pt>
                <c:pt idx="29">
                  <c:v>Spain</c:v>
                </c:pt>
                <c:pt idx="30">
                  <c:v>Austria</c:v>
                </c:pt>
                <c:pt idx="31">
                  <c:v>Finland</c:v>
                </c:pt>
              </c:strCache>
            </c:strRef>
          </c:cat>
          <c:val>
            <c:numRef>
              <c:f>'% WHO-5 depression'!$D$6:$D$37</c:f>
              <c:numCache>
                <c:formatCode>0</c:formatCode>
                <c:ptCount val="32"/>
                <c:pt idx="0">
                  <c:v>9.4</c:v>
                </c:pt>
                <c:pt idx="1">
                  <c:v>8.5</c:v>
                </c:pt>
                <c:pt idx="2">
                  <c:v>12.6</c:v>
                </c:pt>
                <c:pt idx="3">
                  <c:v>13.0</c:v>
                </c:pt>
                <c:pt idx="4">
                  <c:v>20.7</c:v>
                </c:pt>
                <c:pt idx="5">
                  <c:v>5.6</c:v>
                </c:pt>
                <c:pt idx="6">
                  <c:v>9.5</c:v>
                </c:pt>
                <c:pt idx="7">
                  <c:v>6.8</c:v>
                </c:pt>
                <c:pt idx="8">
                  <c:v>6.0</c:v>
                </c:pt>
                <c:pt idx="9">
                  <c:v>2.3</c:v>
                </c:pt>
                <c:pt idx="10">
                  <c:v>11.2</c:v>
                </c:pt>
                <c:pt idx="11">
                  <c:v>7.8</c:v>
                </c:pt>
                <c:pt idx="12">
                  <c:v>4.7</c:v>
                </c:pt>
                <c:pt idx="13">
                  <c:v>11.7</c:v>
                </c:pt>
                <c:pt idx="14">
                  <c:v>10.7</c:v>
                </c:pt>
                <c:pt idx="15">
                  <c:v>3.9</c:v>
                </c:pt>
                <c:pt idx="16">
                  <c:v>7.8</c:v>
                </c:pt>
                <c:pt idx="17">
                  <c:v>4.8</c:v>
                </c:pt>
                <c:pt idx="18">
                  <c:v>7.1</c:v>
                </c:pt>
                <c:pt idx="19">
                  <c:v>5.5</c:v>
                </c:pt>
                <c:pt idx="20">
                  <c:v>5.6</c:v>
                </c:pt>
                <c:pt idx="21">
                  <c:v>8.3</c:v>
                </c:pt>
                <c:pt idx="22">
                  <c:v>9.1</c:v>
                </c:pt>
                <c:pt idx="23">
                  <c:v>5.1</c:v>
                </c:pt>
                <c:pt idx="24">
                  <c:v>7.4</c:v>
                </c:pt>
                <c:pt idx="25">
                  <c:v>4.9</c:v>
                </c:pt>
                <c:pt idx="26">
                  <c:v>6.5</c:v>
                </c:pt>
                <c:pt idx="27">
                  <c:v>5.9</c:v>
                </c:pt>
                <c:pt idx="28">
                  <c:v>4.6</c:v>
                </c:pt>
                <c:pt idx="29">
                  <c:v>6.4</c:v>
                </c:pt>
                <c:pt idx="30">
                  <c:v>5.1</c:v>
                </c:pt>
                <c:pt idx="31">
                  <c:v>3.3</c:v>
                </c:pt>
              </c:numCache>
            </c:numRef>
          </c:val>
          <c:smooth val="0"/>
        </c:ser>
        <c:ser>
          <c:idx val="1"/>
          <c:order val="1"/>
          <c:tx>
            <c:strRef>
              <c:f>'% WHO-5 depression'!$F$5</c:f>
              <c:strCache>
                <c:ptCount val="1"/>
                <c:pt idx="0">
                  <c:v>Energy poor population %</c:v>
                </c:pt>
              </c:strCache>
            </c:strRef>
          </c:tx>
          <c:spPr>
            <a:ln w="22225"/>
          </c:spPr>
          <c:marker>
            <c:symbol val="none"/>
          </c:marker>
          <c:cat>
            <c:strRef>
              <c:f>'% WHO-5 depression'!$A$6:$A$37</c:f>
              <c:strCache>
                <c:ptCount val="32"/>
                <c:pt idx="0">
                  <c:v>Slovenia</c:v>
                </c:pt>
                <c:pt idx="1">
                  <c:v>Slovakia</c:v>
                </c:pt>
                <c:pt idx="2">
                  <c:v>Romania</c:v>
                </c:pt>
                <c:pt idx="3">
                  <c:v>Serbia</c:v>
                </c:pt>
                <c:pt idx="4">
                  <c:v>Turkey</c:v>
                </c:pt>
                <c:pt idx="5">
                  <c:v>Ireland</c:v>
                </c:pt>
                <c:pt idx="6">
                  <c:v>UK</c:v>
                </c:pt>
                <c:pt idx="7">
                  <c:v>Luxembourg</c:v>
                </c:pt>
                <c:pt idx="8">
                  <c:v>Greece</c:v>
                </c:pt>
                <c:pt idx="9">
                  <c:v>Denmark</c:v>
                </c:pt>
                <c:pt idx="10">
                  <c:v>Poland</c:v>
                </c:pt>
                <c:pt idx="11">
                  <c:v>Hungary</c:v>
                </c:pt>
                <c:pt idx="12">
                  <c:v>Sweden</c:v>
                </c:pt>
                <c:pt idx="13">
                  <c:v>Cyprus</c:v>
                </c:pt>
                <c:pt idx="14">
                  <c:v>Latvia</c:v>
                </c:pt>
                <c:pt idx="15">
                  <c:v>Montenegro</c:v>
                </c:pt>
                <c:pt idx="16">
                  <c:v>Bulgaria</c:v>
                </c:pt>
                <c:pt idx="17">
                  <c:v>Belgium</c:v>
                </c:pt>
                <c:pt idx="18">
                  <c:v>Lithuania</c:v>
                </c:pt>
                <c:pt idx="19">
                  <c:v>Netherlands</c:v>
                </c:pt>
                <c:pt idx="20">
                  <c:v>Czech Republic</c:v>
                </c:pt>
                <c:pt idx="21">
                  <c:v>France</c:v>
                </c:pt>
                <c:pt idx="22">
                  <c:v>Malta</c:v>
                </c:pt>
                <c:pt idx="23">
                  <c:v>Germany</c:v>
                </c:pt>
                <c:pt idx="24">
                  <c:v>Croatia</c:v>
                </c:pt>
                <c:pt idx="25">
                  <c:v>Portugal</c:v>
                </c:pt>
                <c:pt idx="26">
                  <c:v>Macedonia</c:v>
                </c:pt>
                <c:pt idx="27">
                  <c:v>Estonia</c:v>
                </c:pt>
                <c:pt idx="28">
                  <c:v>Italy</c:v>
                </c:pt>
                <c:pt idx="29">
                  <c:v>Spain</c:v>
                </c:pt>
                <c:pt idx="30">
                  <c:v>Austria</c:v>
                </c:pt>
                <c:pt idx="31">
                  <c:v>Finland</c:v>
                </c:pt>
              </c:strCache>
            </c:strRef>
          </c:cat>
          <c:val>
            <c:numRef>
              <c:f>'% WHO-5 depression'!$F$6:$F$37</c:f>
              <c:numCache>
                <c:formatCode>0</c:formatCode>
                <c:ptCount val="32"/>
                <c:pt idx="0">
                  <c:v>56.5</c:v>
                </c:pt>
                <c:pt idx="1">
                  <c:v>38.80000000000001</c:v>
                </c:pt>
                <c:pt idx="2">
                  <c:v>35.1</c:v>
                </c:pt>
                <c:pt idx="3">
                  <c:v>33.1</c:v>
                </c:pt>
                <c:pt idx="4">
                  <c:v>31.4</c:v>
                </c:pt>
                <c:pt idx="5">
                  <c:v>31.2</c:v>
                </c:pt>
                <c:pt idx="6">
                  <c:v>29.1</c:v>
                </c:pt>
                <c:pt idx="7">
                  <c:v>28.6</c:v>
                </c:pt>
                <c:pt idx="8">
                  <c:v>27.7</c:v>
                </c:pt>
                <c:pt idx="9">
                  <c:v>27.3</c:v>
                </c:pt>
                <c:pt idx="10">
                  <c:v>24.6</c:v>
                </c:pt>
                <c:pt idx="11">
                  <c:v>23.5</c:v>
                </c:pt>
                <c:pt idx="12">
                  <c:v>23.1</c:v>
                </c:pt>
                <c:pt idx="13">
                  <c:v>23.0</c:v>
                </c:pt>
                <c:pt idx="14">
                  <c:v>23.0</c:v>
                </c:pt>
                <c:pt idx="15">
                  <c:v>22.2</c:v>
                </c:pt>
                <c:pt idx="16">
                  <c:v>21.7</c:v>
                </c:pt>
                <c:pt idx="17">
                  <c:v>19.4</c:v>
                </c:pt>
                <c:pt idx="18">
                  <c:v>19.3</c:v>
                </c:pt>
                <c:pt idx="19">
                  <c:v>19.0</c:v>
                </c:pt>
                <c:pt idx="20">
                  <c:v>18.5</c:v>
                </c:pt>
                <c:pt idx="21">
                  <c:v>18.4</c:v>
                </c:pt>
                <c:pt idx="22">
                  <c:v>16.8</c:v>
                </c:pt>
                <c:pt idx="23">
                  <c:v>14.9</c:v>
                </c:pt>
                <c:pt idx="24">
                  <c:v>14.3</c:v>
                </c:pt>
                <c:pt idx="25">
                  <c:v>13.0</c:v>
                </c:pt>
                <c:pt idx="26">
                  <c:v>12.9</c:v>
                </c:pt>
                <c:pt idx="27">
                  <c:v>11.1</c:v>
                </c:pt>
                <c:pt idx="28">
                  <c:v>10.9</c:v>
                </c:pt>
                <c:pt idx="29">
                  <c:v>9.3</c:v>
                </c:pt>
                <c:pt idx="30">
                  <c:v>5.3</c:v>
                </c:pt>
                <c:pt idx="31">
                  <c:v>0.0</c:v>
                </c:pt>
              </c:numCache>
            </c:numRef>
          </c:val>
          <c:smooth val="0"/>
        </c:ser>
        <c:dLbls>
          <c:showLegendKey val="0"/>
          <c:showVal val="0"/>
          <c:showCatName val="0"/>
          <c:showSerName val="0"/>
          <c:showPercent val="0"/>
          <c:showBubbleSize val="0"/>
        </c:dLbls>
        <c:dropLines>
          <c:spPr>
            <a:ln>
              <a:solidFill>
                <a:schemeClr val="bg1">
                  <a:lumMod val="50000"/>
                  <a:alpha val="33000"/>
                </a:schemeClr>
              </a:solidFill>
            </a:ln>
          </c:spPr>
        </c:dropLines>
        <c:marker val="1"/>
        <c:smooth val="0"/>
        <c:axId val="1853082616"/>
        <c:axId val="1853085656"/>
      </c:lineChart>
      <c:catAx>
        <c:axId val="1853082616"/>
        <c:scaling>
          <c:orientation val="minMax"/>
        </c:scaling>
        <c:delete val="0"/>
        <c:axPos val="b"/>
        <c:numFmt formatCode="General" sourceLinked="0"/>
        <c:majorTickMark val="none"/>
        <c:minorTickMark val="none"/>
        <c:tickLblPos val="nextTo"/>
        <c:crossAx val="1853085656"/>
        <c:crosses val="autoZero"/>
        <c:auto val="1"/>
        <c:lblAlgn val="ctr"/>
        <c:lblOffset val="100"/>
        <c:noMultiLvlLbl val="0"/>
      </c:catAx>
      <c:valAx>
        <c:axId val="1853085656"/>
        <c:scaling>
          <c:orientation val="minMax"/>
        </c:scaling>
        <c:delete val="0"/>
        <c:axPos val="l"/>
        <c:numFmt formatCode="0" sourceLinked="0"/>
        <c:majorTickMark val="none"/>
        <c:minorTickMark val="none"/>
        <c:tickLblPos val="nextTo"/>
        <c:crossAx val="1853082616"/>
        <c:crosses val="autoZero"/>
        <c:crossBetween val="between"/>
      </c:valAx>
      <c:spPr>
        <a:noFill/>
      </c:spPr>
    </c:plotArea>
    <c:legend>
      <c:legendPos val="b"/>
      <c:layout>
        <c:manualLayout>
          <c:xMode val="edge"/>
          <c:yMode val="edge"/>
          <c:x val="0.099005625289997"/>
          <c:y val="0.904948790849963"/>
          <c:w val="0.80640278605651"/>
          <c:h val="0.0800530839156916"/>
        </c:manualLayout>
      </c:layout>
      <c:overlay val="0"/>
    </c:legend>
    <c:plotVisOnly val="1"/>
    <c:dispBlanksAs val="gap"/>
    <c:showDLblsOverMax val="0"/>
  </c:chart>
  <c:spPr>
    <a:noFill/>
  </c:spPr>
  <c:txPr>
    <a:bodyPr/>
    <a:lstStyle/>
    <a:p>
      <a:pPr>
        <a:defRPr sz="1000">
          <a:latin typeface="Palatino Linotype"/>
          <a:cs typeface="Palatino Linotype"/>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sz="1050"/>
            </a:pPr>
            <a:r>
              <a:rPr lang="en-US" sz="1050"/>
              <a:t>Scatterplot of energy poverty rates and differences in rates of likely depression</a:t>
            </a:r>
          </a:p>
        </c:rich>
      </c:tx>
      <c:layout/>
      <c:overlay val="0"/>
    </c:title>
    <c:autoTitleDeleted val="0"/>
    <c:plotArea>
      <c:layout/>
      <c:scatterChart>
        <c:scatterStyle val="lineMarker"/>
        <c:varyColors val="0"/>
        <c:ser>
          <c:idx val="0"/>
          <c:order val="0"/>
          <c:spPr>
            <a:ln w="31750">
              <a:noFill/>
            </a:ln>
          </c:spPr>
          <c:dLbls>
            <c:dLbl>
              <c:idx val="0"/>
              <c:layout>
                <c:manualLayout>
                  <c:x val="-0.00462962962962963"/>
                  <c:y val="-2.86484109442659E-7"/>
                </c:manualLayout>
              </c:layout>
              <c:tx>
                <c:rich>
                  <a:bodyPr/>
                  <a:lstStyle/>
                  <a:p>
                    <a:r>
                      <a:rPr lang="en-US" sz="800"/>
                      <a:t>AT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00925925925925926"/>
                  <c:y val="-0.0109150445697653"/>
                </c:manualLayout>
              </c:layout>
              <c:tx>
                <c:rich>
                  <a:bodyPr/>
                  <a:lstStyle/>
                  <a:p>
                    <a:r>
                      <a:rPr lang="en-US" sz="800"/>
                      <a:t>BE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0481967758018947"/>
                  <c:y val="0.0208986415882967"/>
                </c:manualLayout>
              </c:layout>
              <c:tx>
                <c:rich>
                  <a:bodyPr/>
                  <a:lstStyle/>
                  <a:p>
                    <a:r>
                      <a:rPr lang="en-US" sz="800"/>
                      <a:t>LT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0195277413240012"/>
                  <c:y val="-0.0181917409496089"/>
                </c:manualLayout>
              </c:layout>
              <c:tx>
                <c:rich>
                  <a:bodyPr/>
                  <a:lstStyle/>
                  <a:p>
                    <a:r>
                      <a:rPr lang="en-US" sz="800"/>
                      <a:t>HR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tx>
                <c:rich>
                  <a:bodyPr/>
                  <a:lstStyle/>
                  <a:p>
                    <a:r>
                      <a:rPr lang="en-US" sz="800"/>
                      <a:t>CY</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0416666666666666"/>
                  <c:y val="-0.0363834818992178"/>
                </c:manualLayout>
              </c:layout>
              <c:tx>
                <c:rich>
                  <a:bodyPr/>
                  <a:lstStyle/>
                  <a:p>
                    <a:r>
                      <a:rPr lang="en-US" sz="800"/>
                      <a:t>CZ</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tx>
                <c:rich>
                  <a:bodyPr/>
                  <a:lstStyle/>
                  <a:p>
                    <a:r>
                      <a:rPr lang="en-US" sz="800"/>
                      <a:t>DK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layout/>
              <c:tx>
                <c:rich>
                  <a:bodyPr/>
                  <a:lstStyle/>
                  <a:p>
                    <a:r>
                      <a:rPr lang="en-US" sz="800"/>
                      <a:t>EE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tx>
                <c:rich>
                  <a:bodyPr/>
                  <a:lstStyle/>
                  <a:p>
                    <a:r>
                      <a:rPr lang="en-US" sz="800"/>
                      <a:t>FI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0138888888888889"/>
                  <c:y val="-0.0254684373294524"/>
                </c:manualLayout>
              </c:layout>
              <c:tx>
                <c:rich>
                  <a:bodyPr/>
                  <a:lstStyle/>
                  <a:p>
                    <a:r>
                      <a:rPr lang="en-US" sz="800"/>
                      <a:t>FR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layout>
                <c:manualLayout>
                  <c:x val="-0.0509259259259259"/>
                  <c:y val="0.0291067855193742"/>
                </c:manualLayout>
              </c:layout>
              <c:tx>
                <c:rich>
                  <a:bodyPr/>
                  <a:lstStyle/>
                  <a:p>
                    <a:r>
                      <a:rPr lang="en-US" sz="800"/>
                      <a:t>DE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layout/>
              <c:tx>
                <c:rich>
                  <a:bodyPr/>
                  <a:lstStyle/>
                  <a:p>
                    <a:r>
                      <a:rPr lang="en-US" sz="800"/>
                      <a:t>GR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layout/>
              <c:tx>
                <c:rich>
                  <a:bodyPr/>
                  <a:lstStyle/>
                  <a:p>
                    <a:r>
                      <a:rPr lang="en-US" sz="800"/>
                      <a:t>HU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layout/>
              <c:tx>
                <c:rich>
                  <a:bodyPr/>
                  <a:lstStyle/>
                  <a:p>
                    <a:r>
                      <a:rPr lang="en-US" sz="800"/>
                      <a:t>IE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layout>
                <c:manualLayout>
                  <c:x val="-0.0540130139982502"/>
                  <c:y val="0.0141821093538495"/>
                </c:manualLayout>
              </c:layout>
              <c:tx>
                <c:rich>
                  <a:bodyPr/>
                  <a:lstStyle/>
                  <a:p>
                    <a:r>
                      <a:rPr lang="en-US" sz="800"/>
                      <a:t>IT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layout/>
              <c:tx>
                <c:rich>
                  <a:bodyPr/>
                  <a:lstStyle/>
                  <a:p>
                    <a:r>
                      <a:rPr lang="en-US" sz="800"/>
                      <a:t>LV</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6"/>
              <c:layout>
                <c:manualLayout>
                  <c:x val="0.00997174671763337"/>
                  <c:y val="0.0313479623824451"/>
                </c:manualLayout>
              </c:layout>
              <c:tx>
                <c:rich>
                  <a:bodyPr/>
                  <a:lstStyle/>
                  <a:p>
                    <a:r>
                      <a:rPr lang="en-US" sz="800"/>
                      <a:t>BG</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7"/>
              <c:layout>
                <c:manualLayout>
                  <c:x val="-0.00694444444444444"/>
                  <c:y val="-0.0254684373294524"/>
                </c:manualLayout>
              </c:layout>
              <c:tx>
                <c:rich>
                  <a:bodyPr/>
                  <a:lstStyle/>
                  <a:p>
                    <a:r>
                      <a:rPr lang="en-US" sz="800"/>
                      <a:t>LU</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8"/>
              <c:layout/>
              <c:tx>
                <c:rich>
                  <a:bodyPr/>
                  <a:lstStyle/>
                  <a:p>
                    <a:r>
                      <a:rPr lang="en-US" sz="800"/>
                      <a:t>MK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9"/>
              <c:layout/>
              <c:tx>
                <c:rich>
                  <a:bodyPr/>
                  <a:lstStyle/>
                  <a:p>
                    <a:r>
                      <a:rPr lang="en-US" sz="800"/>
                      <a:t>MT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0"/>
              <c:layout/>
              <c:tx>
                <c:rich>
                  <a:bodyPr/>
                  <a:lstStyle/>
                  <a:p>
                    <a:r>
                      <a:rPr lang="en-US" sz="800"/>
                      <a:t>ME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1"/>
              <c:layout>
                <c:manualLayout>
                  <c:x val="-0.00694444444444444"/>
                  <c:y val="0.0"/>
                </c:manualLayout>
              </c:layout>
              <c:tx>
                <c:rich>
                  <a:bodyPr/>
                  <a:lstStyle/>
                  <a:p>
                    <a:r>
                      <a:rPr lang="en-US" sz="800"/>
                      <a:t>NL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2"/>
              <c:layout>
                <c:manualLayout>
                  <c:x val="-0.023267539870629"/>
                  <c:y val="-0.0339602925809822"/>
                </c:manualLayout>
              </c:layout>
              <c:tx>
                <c:rich>
                  <a:bodyPr/>
                  <a:lstStyle/>
                  <a:p>
                    <a:r>
                      <a:rPr lang="en-US" sz="800"/>
                      <a:t>PL</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3"/>
              <c:layout/>
              <c:tx>
                <c:rich>
                  <a:bodyPr/>
                  <a:lstStyle/>
                  <a:p>
                    <a:r>
                      <a:rPr lang="en-US" sz="800"/>
                      <a:t>PT</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4"/>
              <c:layout/>
              <c:tx>
                <c:rich>
                  <a:bodyPr/>
                  <a:lstStyle/>
                  <a:p>
                    <a:r>
                      <a:rPr lang="en-US" sz="800"/>
                      <a:t>RO</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5"/>
              <c:layout>
                <c:manualLayout>
                  <c:x val="-0.00332391557254446"/>
                  <c:y val="0.00522466039707419"/>
                </c:manualLayout>
              </c:layout>
              <c:tx>
                <c:rich>
                  <a:bodyPr/>
                  <a:lstStyle/>
                  <a:p>
                    <a:r>
                      <a:rPr lang="en-US" sz="800"/>
                      <a:t>RS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6"/>
              <c:layout/>
              <c:tx>
                <c:rich>
                  <a:bodyPr/>
                  <a:lstStyle/>
                  <a:p>
                    <a:r>
                      <a:rPr lang="en-US" sz="800"/>
                      <a:t>SK</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7"/>
              <c:layout/>
              <c:tx>
                <c:rich>
                  <a:bodyPr/>
                  <a:lstStyle/>
                  <a:p>
                    <a:r>
                      <a:rPr lang="en-US" sz="800"/>
                      <a:t>SI</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8"/>
              <c:layout/>
              <c:tx>
                <c:rich>
                  <a:bodyPr/>
                  <a:lstStyle/>
                  <a:p>
                    <a:r>
                      <a:rPr lang="en-US" sz="800"/>
                      <a:t>ES</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9"/>
              <c:layout>
                <c:manualLayout>
                  <c:x val="-0.0115740740740742"/>
                  <c:y val="-0.00727669637984355"/>
                </c:manualLayout>
              </c:layout>
              <c:tx>
                <c:rich>
                  <a:bodyPr/>
                  <a:lstStyle/>
                  <a:p>
                    <a:r>
                      <a:rPr lang="en-US" sz="800"/>
                      <a:t>SE</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0"/>
              <c:layout/>
              <c:tx>
                <c:rich>
                  <a:bodyPr/>
                  <a:lstStyle/>
                  <a:p>
                    <a:r>
                      <a:rPr lang="en-US" sz="800"/>
                      <a:t>TR</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1"/>
              <c:layout/>
              <c:tx>
                <c:rich>
                  <a:bodyPr/>
                  <a:lstStyle/>
                  <a:p>
                    <a:r>
                      <a:rPr lang="en-US" sz="800"/>
                      <a:t>UK</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'Discussion chart'!$G$3:$G$34</c:f>
              <c:numCache>
                <c:formatCode>0</c:formatCode>
                <c:ptCount val="32"/>
                <c:pt idx="0">
                  <c:v>0.2</c:v>
                </c:pt>
                <c:pt idx="1">
                  <c:v>14.6</c:v>
                </c:pt>
                <c:pt idx="2">
                  <c:v>13.9</c:v>
                </c:pt>
                <c:pt idx="3">
                  <c:v>6.9</c:v>
                </c:pt>
                <c:pt idx="4">
                  <c:v>11.3</c:v>
                </c:pt>
                <c:pt idx="5">
                  <c:v>12.9</c:v>
                </c:pt>
                <c:pt idx="6">
                  <c:v>25.0</c:v>
                </c:pt>
                <c:pt idx="7">
                  <c:v>5.199999999999997</c:v>
                </c:pt>
                <c:pt idx="8">
                  <c:v>-3.3</c:v>
                </c:pt>
                <c:pt idx="9">
                  <c:v>10.1</c:v>
                </c:pt>
                <c:pt idx="10">
                  <c:v>9.8</c:v>
                </c:pt>
                <c:pt idx="11">
                  <c:v>21.7</c:v>
                </c:pt>
                <c:pt idx="12">
                  <c:v>15.7</c:v>
                </c:pt>
                <c:pt idx="13">
                  <c:v>25.6</c:v>
                </c:pt>
                <c:pt idx="14">
                  <c:v>6.300000000000001</c:v>
                </c:pt>
                <c:pt idx="15">
                  <c:v>12.3</c:v>
                </c:pt>
                <c:pt idx="16">
                  <c:v>12.2</c:v>
                </c:pt>
                <c:pt idx="17">
                  <c:v>21.8</c:v>
                </c:pt>
                <c:pt idx="18">
                  <c:v>6.4</c:v>
                </c:pt>
                <c:pt idx="19">
                  <c:v>7.700000000000001</c:v>
                </c:pt>
                <c:pt idx="20">
                  <c:v>18.3</c:v>
                </c:pt>
                <c:pt idx="21">
                  <c:v>13.5</c:v>
                </c:pt>
                <c:pt idx="22">
                  <c:v>13.4</c:v>
                </c:pt>
                <c:pt idx="23">
                  <c:v>8.1</c:v>
                </c:pt>
                <c:pt idx="24">
                  <c:v>22.5</c:v>
                </c:pt>
                <c:pt idx="25">
                  <c:v>20.1</c:v>
                </c:pt>
                <c:pt idx="26">
                  <c:v>30.3</c:v>
                </c:pt>
                <c:pt idx="27">
                  <c:v>47.1</c:v>
                </c:pt>
                <c:pt idx="28">
                  <c:v>2.9</c:v>
                </c:pt>
                <c:pt idx="29">
                  <c:v>18.4</c:v>
                </c:pt>
                <c:pt idx="30">
                  <c:v>10.7</c:v>
                </c:pt>
                <c:pt idx="31">
                  <c:v>19.6</c:v>
                </c:pt>
              </c:numCache>
            </c:numRef>
          </c:xVal>
          <c:yVal>
            <c:numRef>
              <c:f>'Discussion chart'!$H$3:$H$34</c:f>
              <c:numCache>
                <c:formatCode>0</c:formatCode>
                <c:ptCount val="32"/>
                <c:pt idx="0">
                  <c:v>1.97668953067487</c:v>
                </c:pt>
                <c:pt idx="1">
                  <c:v>7.10972975792337</c:v>
                </c:pt>
                <c:pt idx="2">
                  <c:v>22.91389697273421</c:v>
                </c:pt>
                <c:pt idx="3">
                  <c:v>8.90743529397069</c:v>
                </c:pt>
                <c:pt idx="4">
                  <c:v>35.24530395251147</c:v>
                </c:pt>
                <c:pt idx="5">
                  <c:v>5.375577416763059</c:v>
                </c:pt>
                <c:pt idx="6">
                  <c:v>2.09557053588926</c:v>
                </c:pt>
                <c:pt idx="7">
                  <c:v>24.65062137350003</c:v>
                </c:pt>
                <c:pt idx="8">
                  <c:v>1.498746574467344</c:v>
                </c:pt>
                <c:pt idx="9">
                  <c:v>8.189212232619786</c:v>
                </c:pt>
                <c:pt idx="10">
                  <c:v>6.214179498750418</c:v>
                </c:pt>
                <c:pt idx="11">
                  <c:v>28.34087963306669</c:v>
                </c:pt>
                <c:pt idx="12">
                  <c:v>15.27964721235591</c:v>
                </c:pt>
                <c:pt idx="13">
                  <c:v>8.8264094987349</c:v>
                </c:pt>
                <c:pt idx="14">
                  <c:v>8.934188580717498</c:v>
                </c:pt>
                <c:pt idx="15">
                  <c:v>19.02913828210454</c:v>
                </c:pt>
                <c:pt idx="16">
                  <c:v>23.28331367351322</c:v>
                </c:pt>
                <c:pt idx="17">
                  <c:v>2.07719680240306</c:v>
                </c:pt>
                <c:pt idx="18">
                  <c:v>13.40317999381175</c:v>
                </c:pt>
                <c:pt idx="19">
                  <c:v>27.0505514592114</c:v>
                </c:pt>
                <c:pt idx="20">
                  <c:v>7.549832679543238</c:v>
                </c:pt>
                <c:pt idx="21">
                  <c:v>2.095054150002181</c:v>
                </c:pt>
                <c:pt idx="22">
                  <c:v>23.87519253962212</c:v>
                </c:pt>
                <c:pt idx="23">
                  <c:v>32.26802448933986</c:v>
                </c:pt>
                <c:pt idx="24">
                  <c:v>18.36323917532678</c:v>
                </c:pt>
                <c:pt idx="25">
                  <c:v>16.85553364163622</c:v>
                </c:pt>
                <c:pt idx="26">
                  <c:v>10.58897114920083</c:v>
                </c:pt>
                <c:pt idx="27">
                  <c:v>2.333478767804689</c:v>
                </c:pt>
                <c:pt idx="28">
                  <c:v>17.27556996234645</c:v>
                </c:pt>
                <c:pt idx="29">
                  <c:v>1.274891560553684</c:v>
                </c:pt>
                <c:pt idx="30">
                  <c:v>42.4759207295115</c:v>
                </c:pt>
                <c:pt idx="31">
                  <c:v>12.03958959550284</c:v>
                </c:pt>
              </c:numCache>
            </c:numRef>
          </c:yVal>
          <c:smooth val="0"/>
        </c:ser>
        <c:dLbls>
          <c:showLegendKey val="0"/>
          <c:showVal val="0"/>
          <c:showCatName val="0"/>
          <c:showSerName val="0"/>
          <c:showPercent val="0"/>
          <c:showBubbleSize val="0"/>
        </c:dLbls>
        <c:axId val="1884673544"/>
        <c:axId val="1884678840"/>
      </c:scatterChart>
      <c:valAx>
        <c:axId val="1884673544"/>
        <c:scaling>
          <c:orientation val="minMax"/>
        </c:scaling>
        <c:delete val="0"/>
        <c:axPos val="b"/>
        <c:title>
          <c:tx>
            <c:rich>
              <a:bodyPr/>
              <a:lstStyle/>
              <a:p>
                <a:pPr>
                  <a:defRPr/>
                </a:pPr>
                <a:r>
                  <a:rPr lang="en-US"/>
                  <a:t>Differences in likely depression (% points)</a:t>
                </a:r>
              </a:p>
            </c:rich>
          </c:tx>
          <c:layout/>
          <c:overlay val="0"/>
        </c:title>
        <c:numFmt formatCode="0" sourceLinked="1"/>
        <c:majorTickMark val="out"/>
        <c:minorTickMark val="none"/>
        <c:tickLblPos val="nextTo"/>
        <c:crossAx val="1884678840"/>
        <c:crosses val="autoZero"/>
        <c:crossBetween val="midCat"/>
      </c:valAx>
      <c:valAx>
        <c:axId val="1884678840"/>
        <c:scaling>
          <c:orientation val="minMax"/>
        </c:scaling>
        <c:delete val="0"/>
        <c:axPos val="l"/>
        <c:majorGridlines/>
        <c:title>
          <c:tx>
            <c:rich>
              <a:bodyPr rot="-5400000" vert="horz"/>
              <a:lstStyle/>
              <a:p>
                <a:pPr>
                  <a:defRPr/>
                </a:pPr>
                <a:r>
                  <a:rPr lang="en-US"/>
                  <a:t>Energy poverty rates (%)</a:t>
                </a:r>
              </a:p>
            </c:rich>
          </c:tx>
          <c:layout/>
          <c:overlay val="0"/>
        </c:title>
        <c:numFmt formatCode="0" sourceLinked="1"/>
        <c:majorTickMark val="out"/>
        <c:minorTickMark val="none"/>
        <c:tickLblPos val="nextTo"/>
        <c:crossAx val="1884673544"/>
        <c:crosses val="autoZero"/>
        <c:crossBetween val="midCat"/>
      </c:valAx>
      <c:spPr>
        <a:noFill/>
      </c:spPr>
    </c:plotArea>
    <c:plotVisOnly val="1"/>
    <c:dispBlanksAs val="gap"/>
    <c:showDLblsOverMax val="0"/>
  </c:chart>
  <c:spPr>
    <a:noFill/>
  </c:spPr>
  <c:txPr>
    <a:bodyPr/>
    <a:lstStyle/>
    <a:p>
      <a:pPr>
        <a:defRPr sz="1000">
          <a:latin typeface="Palatino Linotype"/>
          <a:cs typeface="Palatino Linotype"/>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9B9-A83E-A64A-BBDF-15A36CD8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35472</Words>
  <Characters>202193</Characters>
  <Application>Microsoft Macintosh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237191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Harriet Thomson</dc:creator>
  <cp:keywords/>
  <dc:description/>
  <cp:lastModifiedBy>Carolyn Snell</cp:lastModifiedBy>
  <cp:revision>2</cp:revision>
  <cp:lastPrinted>2017-05-31T02:42:00Z</cp:lastPrinted>
  <dcterms:created xsi:type="dcterms:W3CDTF">2017-05-31T08:02:00Z</dcterms:created>
  <dcterms:modified xsi:type="dcterms:W3CDTF">2017-05-31T08:02:00Z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id="VDzJimjr"/&gt;&lt;style id="http://www.zotero.org/styles/international-journal-of-environmental-research-and-public-health" hasBibliography="1" bibliographyStyleHasBeenSet="1"/&gt;&lt;prefs&gt;&lt;pref name="fi</vt:lpwstr>
  </property>
  <property fmtid="{D5CDD505-2E9C-101B-9397-08002B2CF9AE}" pid="3" name="ZOTERO_PREF_2">
    <vt:lpwstr>eldType" value="Field"/&gt;&lt;pref name="storeReferences" value="true"/&gt;&lt;pref name="automaticJournalAbbreviations" value="true"/&gt;&lt;pref name="noteType" value=""/&gt;&lt;/prefs&gt;&lt;/data&gt;</vt:lpwstr>
  </property>
</Properties>
</file>