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A1CD5" w14:textId="77777777" w:rsidR="008B71C0" w:rsidRDefault="00722844" w:rsidP="005005A8">
      <w:pPr>
        <w:spacing w:line="480" w:lineRule="auto"/>
        <w:rPr>
          <w:b/>
          <w:sz w:val="28"/>
          <w:szCs w:val="28"/>
        </w:rPr>
      </w:pPr>
      <w:r w:rsidRPr="00587C26">
        <w:rPr>
          <w:b/>
          <w:sz w:val="28"/>
          <w:szCs w:val="28"/>
        </w:rPr>
        <w:t>Impacts and mitigation of excess diesel NOx emissions in 11 major vehicle markets</w:t>
      </w:r>
    </w:p>
    <w:p w14:paraId="059E7ACD" w14:textId="03368ABA" w:rsidR="00692BDC" w:rsidRDefault="00400D70" w:rsidP="00692BDC">
      <w:pPr>
        <w:spacing w:line="480" w:lineRule="auto"/>
      </w:pPr>
      <w:r>
        <w:rPr>
          <w:b/>
        </w:rPr>
        <w:t>V</w:t>
      </w:r>
      <w:r w:rsidR="007B61D4" w:rsidRPr="009C596B">
        <w:rPr>
          <w:b/>
        </w:rPr>
        <w:t xml:space="preserve">ehicle emissions </w:t>
      </w:r>
      <w:r w:rsidR="00885288">
        <w:rPr>
          <w:b/>
        </w:rPr>
        <w:t>contribute to fine particulate matter (PM</w:t>
      </w:r>
      <w:r w:rsidR="00885288" w:rsidRPr="00885288">
        <w:rPr>
          <w:b/>
          <w:vertAlign w:val="subscript"/>
        </w:rPr>
        <w:t>2.5</w:t>
      </w:r>
      <w:r w:rsidR="00885288">
        <w:rPr>
          <w:b/>
        </w:rPr>
        <w:t xml:space="preserve">) </w:t>
      </w:r>
      <w:r w:rsidR="003E3F87">
        <w:rPr>
          <w:b/>
        </w:rPr>
        <w:t xml:space="preserve">and tropospheric ozone </w:t>
      </w:r>
      <w:r w:rsidR="00885288">
        <w:rPr>
          <w:b/>
        </w:rPr>
        <w:t xml:space="preserve">air pollution, </w:t>
      </w:r>
      <w:r w:rsidR="00A53C1D">
        <w:rPr>
          <w:b/>
        </w:rPr>
        <w:t>impacting</w:t>
      </w:r>
      <w:r w:rsidR="00885288">
        <w:rPr>
          <w:b/>
        </w:rPr>
        <w:t xml:space="preserve"> human health</w:t>
      </w:r>
      <w:r w:rsidR="00EB6070">
        <w:rPr>
          <w:b/>
          <w:vertAlign w:val="superscript"/>
        </w:rPr>
        <w:t>1-5</w:t>
      </w:r>
      <w:r w:rsidR="007B61D4" w:rsidRPr="009C596B">
        <w:rPr>
          <w:b/>
        </w:rPr>
        <w:t xml:space="preserve">, </w:t>
      </w:r>
      <w:r w:rsidR="00885288">
        <w:rPr>
          <w:b/>
        </w:rPr>
        <w:t>crop yields</w:t>
      </w:r>
      <w:r w:rsidR="00EB6070">
        <w:rPr>
          <w:b/>
          <w:vertAlign w:val="superscript"/>
        </w:rPr>
        <w:t>5-6</w:t>
      </w:r>
      <w:r w:rsidR="007B61D4" w:rsidRPr="009C596B">
        <w:rPr>
          <w:b/>
        </w:rPr>
        <w:t>, and climate worldwide</w:t>
      </w:r>
      <w:r w:rsidR="003B2D5A">
        <w:rPr>
          <w:b/>
        </w:rPr>
        <w:t>.</w:t>
      </w:r>
      <w:r w:rsidR="00EB6070">
        <w:rPr>
          <w:b/>
          <w:vertAlign w:val="superscript"/>
        </w:rPr>
        <w:t>5,</w:t>
      </w:r>
      <w:r w:rsidR="00DE34BD">
        <w:rPr>
          <w:b/>
          <w:vertAlign w:val="superscript"/>
        </w:rPr>
        <w:t>7</w:t>
      </w:r>
      <w:r w:rsidR="007B61D4" w:rsidRPr="009C596B">
        <w:rPr>
          <w:b/>
        </w:rPr>
        <w:t xml:space="preserve"> </w:t>
      </w:r>
      <w:r w:rsidR="005F1EFB">
        <w:rPr>
          <w:b/>
        </w:rPr>
        <w:t>On-road diesel vehicles</w:t>
      </w:r>
      <w:r w:rsidR="00B16EC6" w:rsidRPr="009C596B">
        <w:rPr>
          <w:b/>
        </w:rPr>
        <w:t xml:space="preserve"> </w:t>
      </w:r>
      <w:r w:rsidR="00D138C1">
        <w:rPr>
          <w:b/>
        </w:rPr>
        <w:t>produce</w:t>
      </w:r>
      <w:r w:rsidR="00C61E6B">
        <w:rPr>
          <w:b/>
        </w:rPr>
        <w:t xml:space="preserve"> </w:t>
      </w:r>
      <w:r w:rsidR="00040E2E" w:rsidRPr="00D55E1D">
        <w:rPr>
          <w:b/>
        </w:rPr>
        <w:t>~</w:t>
      </w:r>
      <w:r w:rsidR="00D55E1D" w:rsidRPr="00A31058">
        <w:rPr>
          <w:b/>
        </w:rPr>
        <w:t>20</w:t>
      </w:r>
      <w:r w:rsidR="00040E2E" w:rsidRPr="00D55E1D">
        <w:rPr>
          <w:b/>
        </w:rPr>
        <w:t>%</w:t>
      </w:r>
      <w:r w:rsidR="007B61D4" w:rsidRPr="009C596B">
        <w:rPr>
          <w:b/>
        </w:rPr>
        <w:t xml:space="preserve"> of</w:t>
      </w:r>
      <w:r w:rsidR="00D218F7">
        <w:rPr>
          <w:b/>
        </w:rPr>
        <w:t xml:space="preserve"> global</w:t>
      </w:r>
      <w:r w:rsidR="00040E2E">
        <w:rPr>
          <w:b/>
        </w:rPr>
        <w:t xml:space="preserve"> </w:t>
      </w:r>
      <w:r w:rsidR="00D55E1D">
        <w:rPr>
          <w:b/>
        </w:rPr>
        <w:t>anthropogenic</w:t>
      </w:r>
      <w:r w:rsidR="00D55E1D" w:rsidRPr="009C596B">
        <w:rPr>
          <w:b/>
        </w:rPr>
        <w:t xml:space="preserve"> </w:t>
      </w:r>
      <w:r w:rsidR="007B61D4" w:rsidRPr="009C596B">
        <w:rPr>
          <w:b/>
        </w:rPr>
        <w:t>emissions</w:t>
      </w:r>
      <w:r>
        <w:rPr>
          <w:b/>
        </w:rPr>
        <w:t xml:space="preserve"> of nitrogen oxides (NOx), </w:t>
      </w:r>
      <w:r w:rsidR="00DE4F6C">
        <w:rPr>
          <w:b/>
        </w:rPr>
        <w:t xml:space="preserve">key </w:t>
      </w:r>
      <w:r w:rsidR="00A53C1D" w:rsidRPr="009C596B">
        <w:rPr>
          <w:b/>
        </w:rPr>
        <w:t>PM</w:t>
      </w:r>
      <w:r w:rsidR="00A53C1D" w:rsidRPr="009C596B">
        <w:rPr>
          <w:b/>
          <w:vertAlign w:val="subscript"/>
        </w:rPr>
        <w:t>2.5</w:t>
      </w:r>
      <w:r w:rsidR="00A53C1D">
        <w:rPr>
          <w:b/>
          <w:vertAlign w:val="subscript"/>
        </w:rPr>
        <w:t xml:space="preserve"> </w:t>
      </w:r>
      <w:r w:rsidR="00A53C1D" w:rsidRPr="00583ECD">
        <w:rPr>
          <w:b/>
        </w:rPr>
        <w:t>and ozone</w:t>
      </w:r>
      <w:r w:rsidR="00A53C1D" w:rsidRPr="009C596B">
        <w:rPr>
          <w:b/>
        </w:rPr>
        <w:t xml:space="preserve"> </w:t>
      </w:r>
      <w:r w:rsidR="007B61D4" w:rsidRPr="009C596B">
        <w:rPr>
          <w:b/>
        </w:rPr>
        <w:t>precursor</w:t>
      </w:r>
      <w:r w:rsidR="00FF6645">
        <w:rPr>
          <w:b/>
        </w:rPr>
        <w:t>s</w:t>
      </w:r>
      <w:r w:rsidR="007B61D4" w:rsidRPr="009C596B">
        <w:rPr>
          <w:b/>
        </w:rPr>
        <w:t>.</w:t>
      </w:r>
      <w:r w:rsidR="00CC10FB" w:rsidRPr="00405616">
        <w:rPr>
          <w:b/>
          <w:vertAlign w:val="superscript"/>
        </w:rPr>
        <w:t>8</w:t>
      </w:r>
      <w:r w:rsidR="00DE022C">
        <w:rPr>
          <w:b/>
          <w:vertAlign w:val="superscript"/>
        </w:rPr>
        <w:t>-9</w:t>
      </w:r>
      <w:r w:rsidR="007B61D4" w:rsidRPr="009C596B">
        <w:rPr>
          <w:b/>
        </w:rPr>
        <w:t xml:space="preserve"> Despite progressive tightening of </w:t>
      </w:r>
      <w:r w:rsidR="00B16EC6">
        <w:rPr>
          <w:b/>
        </w:rPr>
        <w:t xml:space="preserve">regulated </w:t>
      </w:r>
      <w:r w:rsidR="003736BA" w:rsidRPr="009C596B">
        <w:rPr>
          <w:b/>
        </w:rPr>
        <w:t xml:space="preserve">NOx </w:t>
      </w:r>
      <w:r w:rsidR="007B61D4" w:rsidRPr="009C596B">
        <w:rPr>
          <w:b/>
        </w:rPr>
        <w:t xml:space="preserve">emission limits in leading markets, </w:t>
      </w:r>
      <w:r w:rsidR="001B1431">
        <w:rPr>
          <w:b/>
        </w:rPr>
        <w:t xml:space="preserve">current </w:t>
      </w:r>
      <w:r w:rsidR="007B61D4" w:rsidRPr="009C596B">
        <w:rPr>
          <w:b/>
        </w:rPr>
        <w:t xml:space="preserve">diesel </w:t>
      </w:r>
      <w:r w:rsidR="00121DE9">
        <w:rPr>
          <w:b/>
        </w:rPr>
        <w:t xml:space="preserve">vehicles </w:t>
      </w:r>
      <w:r w:rsidR="001B1431">
        <w:rPr>
          <w:b/>
        </w:rPr>
        <w:t>emit</w:t>
      </w:r>
      <w:r w:rsidR="00B16EC6">
        <w:rPr>
          <w:b/>
        </w:rPr>
        <w:t xml:space="preserve"> </w:t>
      </w:r>
      <w:r w:rsidR="00121DE9">
        <w:rPr>
          <w:b/>
        </w:rPr>
        <w:t xml:space="preserve">far more NOx </w:t>
      </w:r>
      <w:r w:rsidR="00121DE9" w:rsidRPr="009C596B">
        <w:rPr>
          <w:b/>
        </w:rPr>
        <w:t xml:space="preserve">under </w:t>
      </w:r>
      <w:r w:rsidR="00121DE9">
        <w:rPr>
          <w:b/>
        </w:rPr>
        <w:t>real-world operating conditions than during</w:t>
      </w:r>
      <w:r w:rsidR="007B61D4" w:rsidRPr="009C596B">
        <w:rPr>
          <w:b/>
        </w:rPr>
        <w:t xml:space="preserve"> </w:t>
      </w:r>
      <w:r w:rsidR="00C37BBB" w:rsidRPr="009C596B">
        <w:rPr>
          <w:b/>
        </w:rPr>
        <w:t xml:space="preserve">laboratory </w:t>
      </w:r>
      <w:r w:rsidR="00C37BBB">
        <w:rPr>
          <w:b/>
        </w:rPr>
        <w:t>certification</w:t>
      </w:r>
      <w:r w:rsidR="00CE2CFF" w:rsidRPr="009C596B">
        <w:rPr>
          <w:b/>
        </w:rPr>
        <w:t xml:space="preserve"> </w:t>
      </w:r>
      <w:r w:rsidR="007B61D4" w:rsidRPr="009C596B">
        <w:rPr>
          <w:b/>
        </w:rPr>
        <w:t>te</w:t>
      </w:r>
      <w:r w:rsidR="00853BC1" w:rsidRPr="009C596B">
        <w:rPr>
          <w:b/>
        </w:rPr>
        <w:t>sting</w:t>
      </w:r>
      <w:r w:rsidR="007B61D4" w:rsidRPr="009C596B">
        <w:rPr>
          <w:b/>
        </w:rPr>
        <w:t>.</w:t>
      </w:r>
      <w:r w:rsidR="00DE022C">
        <w:rPr>
          <w:b/>
          <w:vertAlign w:val="superscript"/>
        </w:rPr>
        <w:t>10</w:t>
      </w:r>
      <w:r w:rsidR="003B2D5A" w:rsidRPr="003B2D5A">
        <w:rPr>
          <w:b/>
          <w:vertAlign w:val="superscript"/>
        </w:rPr>
        <w:t>-</w:t>
      </w:r>
      <w:r w:rsidR="003332CA">
        <w:rPr>
          <w:b/>
          <w:vertAlign w:val="superscript"/>
        </w:rPr>
        <w:t>20</w:t>
      </w:r>
      <w:r w:rsidR="007B61D4" w:rsidRPr="009C596B">
        <w:rPr>
          <w:b/>
        </w:rPr>
        <w:t xml:space="preserve"> </w:t>
      </w:r>
      <w:bookmarkStart w:id="0" w:name="OLE_LINK1"/>
      <w:bookmarkStart w:id="1" w:name="OLE_LINK2"/>
      <w:r w:rsidR="0002154B">
        <w:rPr>
          <w:b/>
        </w:rPr>
        <w:t>W</w:t>
      </w:r>
      <w:r w:rsidR="0002154B" w:rsidRPr="009C596B">
        <w:rPr>
          <w:b/>
        </w:rPr>
        <w:t xml:space="preserve">e show that </w:t>
      </w:r>
      <w:r w:rsidR="0002154B">
        <w:rPr>
          <w:b/>
        </w:rPr>
        <w:t>across</w:t>
      </w:r>
      <w:r w:rsidR="0002154B" w:rsidRPr="009C596B">
        <w:rPr>
          <w:b/>
        </w:rPr>
        <w:t xml:space="preserve"> 11 markets representing </w:t>
      </w:r>
      <w:r w:rsidR="0002154B">
        <w:rPr>
          <w:b/>
        </w:rPr>
        <w:t>~</w:t>
      </w:r>
      <w:r w:rsidR="0002154B" w:rsidRPr="009C596B">
        <w:rPr>
          <w:b/>
        </w:rPr>
        <w:t>80% of global diesel vehicle sales</w:t>
      </w:r>
      <w:r w:rsidR="0002154B">
        <w:rPr>
          <w:b/>
        </w:rPr>
        <w:t>,</w:t>
      </w:r>
      <w:r w:rsidR="0002154B" w:rsidRPr="009C596B">
        <w:rPr>
          <w:b/>
        </w:rPr>
        <w:t xml:space="preserve"> </w:t>
      </w:r>
      <w:r w:rsidR="0002154B">
        <w:rPr>
          <w:b/>
        </w:rPr>
        <w:t xml:space="preserve">nearly one-third of on-road heavy-duty diesel vehicle emissions and over half of light-duty diesel vehicle emissions are in excess of certification limits. </w:t>
      </w:r>
      <w:r w:rsidR="00885288">
        <w:rPr>
          <w:b/>
        </w:rPr>
        <w:t>T</w:t>
      </w:r>
      <w:r w:rsidR="00FA3298">
        <w:rPr>
          <w:b/>
        </w:rPr>
        <w:t>h</w:t>
      </w:r>
      <w:r w:rsidR="0002154B">
        <w:rPr>
          <w:b/>
        </w:rPr>
        <w:t>ese</w:t>
      </w:r>
      <w:r w:rsidR="00FA3298">
        <w:rPr>
          <w:b/>
        </w:rPr>
        <w:t xml:space="preserve"> </w:t>
      </w:r>
      <w:r w:rsidR="005270D7">
        <w:rPr>
          <w:b/>
        </w:rPr>
        <w:t>“</w:t>
      </w:r>
      <w:r w:rsidR="00FA3298">
        <w:rPr>
          <w:b/>
        </w:rPr>
        <w:t>excess</w:t>
      </w:r>
      <w:r w:rsidR="005270D7">
        <w:rPr>
          <w:b/>
        </w:rPr>
        <w:t xml:space="preserve"> diesel</w:t>
      </w:r>
      <w:r w:rsidR="00FA3298">
        <w:rPr>
          <w:b/>
        </w:rPr>
        <w:t xml:space="preserve"> NOx</w:t>
      </w:r>
      <w:r w:rsidR="005270D7">
        <w:rPr>
          <w:b/>
        </w:rPr>
        <w:t>”</w:t>
      </w:r>
      <w:r w:rsidR="0002154B">
        <w:rPr>
          <w:b/>
        </w:rPr>
        <w:t xml:space="preserve"> emissions (totaling 4.6 Mt)</w:t>
      </w:r>
      <w:r w:rsidR="00620610">
        <w:rPr>
          <w:b/>
        </w:rPr>
        <w:t xml:space="preserve"> </w:t>
      </w:r>
      <w:r w:rsidR="0002154B">
        <w:rPr>
          <w:b/>
        </w:rPr>
        <w:t>are</w:t>
      </w:r>
      <w:r w:rsidR="00D42BF4">
        <w:rPr>
          <w:b/>
        </w:rPr>
        <w:t xml:space="preserve"> associated</w:t>
      </w:r>
      <w:r w:rsidR="00885288">
        <w:rPr>
          <w:b/>
        </w:rPr>
        <w:t xml:space="preserve"> </w:t>
      </w:r>
      <w:r w:rsidR="00D42BF4">
        <w:rPr>
          <w:b/>
        </w:rPr>
        <w:t xml:space="preserve">with </w:t>
      </w:r>
      <w:r w:rsidR="002F1DA4">
        <w:rPr>
          <w:b/>
        </w:rPr>
        <w:t>~</w:t>
      </w:r>
      <w:r w:rsidR="00730927">
        <w:rPr>
          <w:b/>
        </w:rPr>
        <w:t>38</w:t>
      </w:r>
      <w:r w:rsidR="007B61D4" w:rsidRPr="009C596B">
        <w:rPr>
          <w:b/>
        </w:rPr>
        <w:t xml:space="preserve">,000 </w:t>
      </w:r>
      <w:r w:rsidR="001D121F">
        <w:rPr>
          <w:b/>
        </w:rPr>
        <w:t xml:space="preserve">[95% confidence interval (CI), 23,000-47,000] </w:t>
      </w:r>
      <w:r w:rsidR="001D121F" w:rsidRPr="009C596B">
        <w:rPr>
          <w:b/>
        </w:rPr>
        <w:t>PM</w:t>
      </w:r>
      <w:r w:rsidR="001D121F" w:rsidRPr="009C596B">
        <w:rPr>
          <w:b/>
          <w:vertAlign w:val="subscript"/>
        </w:rPr>
        <w:t>2.5</w:t>
      </w:r>
      <w:r w:rsidR="001D121F">
        <w:rPr>
          <w:b/>
        </w:rPr>
        <w:t>-</w:t>
      </w:r>
      <w:r w:rsidR="001D121F">
        <w:rPr>
          <w:b/>
          <w:vertAlign w:val="subscript"/>
        </w:rPr>
        <w:t xml:space="preserve"> </w:t>
      </w:r>
      <w:r w:rsidR="001D121F" w:rsidRPr="001D121F">
        <w:rPr>
          <w:b/>
        </w:rPr>
        <w:t xml:space="preserve">and </w:t>
      </w:r>
      <w:r w:rsidR="007B61D4" w:rsidRPr="009C596B">
        <w:rPr>
          <w:b/>
        </w:rPr>
        <w:t xml:space="preserve">ozone-related premature deaths globally </w:t>
      </w:r>
      <w:r w:rsidR="00C024BE" w:rsidRPr="009C596B">
        <w:rPr>
          <w:b/>
        </w:rPr>
        <w:t>in 2015</w:t>
      </w:r>
      <w:r w:rsidR="00FA3298">
        <w:rPr>
          <w:b/>
        </w:rPr>
        <w:t>,</w:t>
      </w:r>
      <w:r w:rsidR="00885288">
        <w:rPr>
          <w:b/>
        </w:rPr>
        <w:t xml:space="preserve"> including </w:t>
      </w:r>
      <w:r w:rsidR="00327452">
        <w:rPr>
          <w:b/>
        </w:rPr>
        <w:t>~</w:t>
      </w:r>
      <w:r w:rsidR="00730927">
        <w:rPr>
          <w:b/>
        </w:rPr>
        <w:t>10</w:t>
      </w:r>
      <w:r w:rsidR="009474F3">
        <w:rPr>
          <w:b/>
        </w:rPr>
        <w:t xml:space="preserve">% </w:t>
      </w:r>
      <w:r w:rsidR="00E34B9D">
        <w:rPr>
          <w:b/>
        </w:rPr>
        <w:t>of a</w:t>
      </w:r>
      <w:r w:rsidR="003E3F87">
        <w:rPr>
          <w:b/>
        </w:rPr>
        <w:t>ll</w:t>
      </w:r>
      <w:r w:rsidR="00E34B9D">
        <w:rPr>
          <w:b/>
        </w:rPr>
        <w:t xml:space="preserve"> </w:t>
      </w:r>
      <w:r w:rsidR="00E34B9D" w:rsidRPr="009C596B">
        <w:rPr>
          <w:b/>
        </w:rPr>
        <w:t>ozone</w:t>
      </w:r>
      <w:r w:rsidR="00730927">
        <w:rPr>
          <w:b/>
        </w:rPr>
        <w:t>-</w:t>
      </w:r>
      <w:r w:rsidR="00E34B9D" w:rsidRPr="009C596B">
        <w:rPr>
          <w:b/>
        </w:rPr>
        <w:t>related</w:t>
      </w:r>
      <w:r w:rsidR="00E34B9D">
        <w:rPr>
          <w:b/>
        </w:rPr>
        <w:t xml:space="preserve"> premature deaths</w:t>
      </w:r>
      <w:r w:rsidR="00532F9C">
        <w:rPr>
          <w:b/>
        </w:rPr>
        <w:t xml:space="preserve"> in the 28 European Union Member States (EU-28)</w:t>
      </w:r>
      <w:r w:rsidR="009474F3">
        <w:rPr>
          <w:b/>
        </w:rPr>
        <w:t>.</w:t>
      </w:r>
      <w:bookmarkEnd w:id="0"/>
      <w:bookmarkEnd w:id="1"/>
      <w:r w:rsidR="00D42BF4" w:rsidRPr="00187AC5">
        <w:rPr>
          <w:b/>
        </w:rPr>
        <w:t xml:space="preserve"> </w:t>
      </w:r>
      <w:r w:rsidR="00D42BF4">
        <w:rPr>
          <w:b/>
        </w:rPr>
        <w:t>Heavy-duty vehicles</w:t>
      </w:r>
      <w:r w:rsidR="00D42BF4" w:rsidRPr="00405616">
        <w:rPr>
          <w:b/>
        </w:rPr>
        <w:t xml:space="preserve"> </w:t>
      </w:r>
      <w:r w:rsidR="00692BDC">
        <w:rPr>
          <w:b/>
        </w:rPr>
        <w:t>are the dominant contributor to</w:t>
      </w:r>
      <w:r w:rsidR="00D42BF4" w:rsidRPr="00405616">
        <w:rPr>
          <w:b/>
        </w:rPr>
        <w:t xml:space="preserve"> excess </w:t>
      </w:r>
      <w:r w:rsidR="002E3249">
        <w:rPr>
          <w:b/>
        </w:rPr>
        <w:t xml:space="preserve">diesel </w:t>
      </w:r>
      <w:r w:rsidR="00D42BF4" w:rsidRPr="00405616">
        <w:rPr>
          <w:b/>
        </w:rPr>
        <w:t>NOx</w:t>
      </w:r>
      <w:r w:rsidR="002E3249">
        <w:rPr>
          <w:b/>
        </w:rPr>
        <w:t xml:space="preserve"> emissions and associated</w:t>
      </w:r>
      <w:r w:rsidR="00D42BF4" w:rsidRPr="00405616">
        <w:rPr>
          <w:b/>
        </w:rPr>
        <w:t xml:space="preserve"> he</w:t>
      </w:r>
      <w:r w:rsidR="00692BDC">
        <w:rPr>
          <w:b/>
        </w:rPr>
        <w:t>alth impacts in all regions except</w:t>
      </w:r>
      <w:r w:rsidR="00D42BF4" w:rsidRPr="00405616">
        <w:rPr>
          <w:b/>
        </w:rPr>
        <w:t xml:space="preserve"> </w:t>
      </w:r>
      <w:r w:rsidR="00D42BF4">
        <w:rPr>
          <w:b/>
        </w:rPr>
        <w:t xml:space="preserve">the </w:t>
      </w:r>
      <w:r w:rsidR="00D42BF4" w:rsidRPr="00405616">
        <w:rPr>
          <w:b/>
        </w:rPr>
        <w:t xml:space="preserve">EU-28. </w:t>
      </w:r>
      <w:r w:rsidR="00B038A3">
        <w:rPr>
          <w:b/>
        </w:rPr>
        <w:t xml:space="preserve">Adopting </w:t>
      </w:r>
      <w:r w:rsidR="003B5BAA">
        <w:rPr>
          <w:b/>
        </w:rPr>
        <w:t>and enforcing</w:t>
      </w:r>
      <w:r w:rsidR="00B038A3">
        <w:rPr>
          <w:b/>
        </w:rPr>
        <w:t xml:space="preserve"> n</w:t>
      </w:r>
      <w:r w:rsidR="00383DAD">
        <w:rPr>
          <w:b/>
        </w:rPr>
        <w:t>ext</w:t>
      </w:r>
      <w:r w:rsidR="005B5700">
        <w:rPr>
          <w:b/>
        </w:rPr>
        <w:t>-</w:t>
      </w:r>
      <w:r w:rsidR="00383DAD">
        <w:rPr>
          <w:b/>
        </w:rPr>
        <w:t>generation standards (more stringent than Euro 6/VI) c</w:t>
      </w:r>
      <w:r w:rsidR="003B5BAA">
        <w:rPr>
          <w:b/>
        </w:rPr>
        <w:t>ould</w:t>
      </w:r>
      <w:r w:rsidR="00383DAD">
        <w:rPr>
          <w:b/>
        </w:rPr>
        <w:t xml:space="preserve"> nearly</w:t>
      </w:r>
      <w:r w:rsidR="003D37AA">
        <w:rPr>
          <w:b/>
        </w:rPr>
        <w:t xml:space="preserve"> eliminate</w:t>
      </w:r>
      <w:r w:rsidR="00692BDC" w:rsidRPr="003D37AA">
        <w:rPr>
          <w:b/>
        </w:rPr>
        <w:t xml:space="preserve"> real-world </w:t>
      </w:r>
      <w:r w:rsidR="003D37AA">
        <w:rPr>
          <w:b/>
        </w:rPr>
        <w:t xml:space="preserve">diesel </w:t>
      </w:r>
      <w:r w:rsidR="00692BDC" w:rsidRPr="003D37AA">
        <w:rPr>
          <w:b/>
        </w:rPr>
        <w:t>NOx emissions</w:t>
      </w:r>
      <w:r w:rsidR="00B038A3" w:rsidRPr="00B038A3">
        <w:rPr>
          <w:b/>
        </w:rPr>
        <w:t xml:space="preserve"> </w:t>
      </w:r>
      <w:r w:rsidR="00B038A3">
        <w:rPr>
          <w:b/>
        </w:rPr>
        <w:t>in these markets</w:t>
      </w:r>
      <w:r w:rsidR="003D37AA">
        <w:rPr>
          <w:b/>
        </w:rPr>
        <w:t xml:space="preserve">, avoiding </w:t>
      </w:r>
      <w:r w:rsidR="002F1DA4">
        <w:rPr>
          <w:b/>
        </w:rPr>
        <w:t>~</w:t>
      </w:r>
      <w:r w:rsidR="003D37AA">
        <w:rPr>
          <w:b/>
        </w:rPr>
        <w:t>174,000</w:t>
      </w:r>
      <w:r w:rsidR="001D121F">
        <w:rPr>
          <w:b/>
        </w:rPr>
        <w:t xml:space="preserve"> (95% CI, 94,000-217,000)</w:t>
      </w:r>
      <w:r w:rsidR="003D37AA">
        <w:rPr>
          <w:b/>
        </w:rPr>
        <w:t xml:space="preserve"> </w:t>
      </w:r>
      <w:r w:rsidR="003E3F87">
        <w:rPr>
          <w:b/>
        </w:rPr>
        <w:t xml:space="preserve">global </w:t>
      </w:r>
      <w:r w:rsidR="001D121F" w:rsidRPr="009C596B">
        <w:rPr>
          <w:b/>
        </w:rPr>
        <w:t>PM</w:t>
      </w:r>
      <w:r w:rsidR="001D121F" w:rsidRPr="009C596B">
        <w:rPr>
          <w:b/>
          <w:vertAlign w:val="subscript"/>
        </w:rPr>
        <w:t>2.5</w:t>
      </w:r>
      <w:r w:rsidR="001D121F" w:rsidRPr="009C596B">
        <w:rPr>
          <w:b/>
        </w:rPr>
        <w:t>-</w:t>
      </w:r>
      <w:r w:rsidR="001D121F">
        <w:rPr>
          <w:b/>
        </w:rPr>
        <w:t xml:space="preserve"> and </w:t>
      </w:r>
      <w:r w:rsidR="003D37AA" w:rsidRPr="009C596B">
        <w:rPr>
          <w:b/>
        </w:rPr>
        <w:t xml:space="preserve">ozone-related premature deaths </w:t>
      </w:r>
      <w:r w:rsidR="003E3F87">
        <w:rPr>
          <w:b/>
        </w:rPr>
        <w:t>in 2040</w:t>
      </w:r>
      <w:r w:rsidR="00692BDC" w:rsidRPr="003D37AA">
        <w:rPr>
          <w:b/>
        </w:rPr>
        <w:t xml:space="preserve">. </w:t>
      </w:r>
      <w:r w:rsidR="003426AA">
        <w:rPr>
          <w:b/>
        </w:rPr>
        <w:t>Most of the</w:t>
      </w:r>
      <w:r w:rsidR="00383DAD">
        <w:rPr>
          <w:b/>
        </w:rPr>
        <w:t>se benefits</w:t>
      </w:r>
      <w:r w:rsidR="003426AA">
        <w:rPr>
          <w:b/>
        </w:rPr>
        <w:t xml:space="preserve"> can be achieved by </w:t>
      </w:r>
      <w:r w:rsidR="006F658E">
        <w:rPr>
          <w:b/>
        </w:rPr>
        <w:t>implementing Euro VI standards</w:t>
      </w:r>
      <w:r w:rsidR="00335094">
        <w:rPr>
          <w:b/>
        </w:rPr>
        <w:t xml:space="preserve"> “as is”</w:t>
      </w:r>
      <w:r w:rsidR="006F658E">
        <w:rPr>
          <w:b/>
        </w:rPr>
        <w:t xml:space="preserve"> where not yet adopted for heavy</w:t>
      </w:r>
      <w:r w:rsidR="005B5700">
        <w:rPr>
          <w:b/>
        </w:rPr>
        <w:t>-</w:t>
      </w:r>
      <w:r w:rsidR="006F658E">
        <w:rPr>
          <w:b/>
        </w:rPr>
        <w:t>duty vehicles</w:t>
      </w:r>
      <w:r w:rsidR="00AE5EFE">
        <w:rPr>
          <w:b/>
        </w:rPr>
        <w:t>.</w:t>
      </w:r>
      <w:r w:rsidR="00B038A3">
        <w:rPr>
          <w:b/>
        </w:rPr>
        <w:t xml:space="preserve"> </w:t>
      </w:r>
    </w:p>
    <w:p w14:paraId="69322AEE" w14:textId="75786F94" w:rsidR="00AB33AA" w:rsidRDefault="007B61D4" w:rsidP="005005A8">
      <w:pPr>
        <w:spacing w:line="480" w:lineRule="auto"/>
      </w:pPr>
      <w:r w:rsidRPr="00C024BE">
        <w:t>To reduce the health</w:t>
      </w:r>
      <w:r w:rsidR="00DE34BD">
        <w:t xml:space="preserve"> burden of</w:t>
      </w:r>
      <w:r w:rsidR="005F1BD7">
        <w:t xml:space="preserve"> ambient</w:t>
      </w:r>
      <w:r w:rsidR="00DE34BD">
        <w:t xml:space="preserve"> air pollution (estimated at 4.4 million premature deaths</w:t>
      </w:r>
      <w:r w:rsidR="008D3DC2">
        <w:t xml:space="preserve"> globally</w:t>
      </w:r>
      <w:r w:rsidR="00DE34BD">
        <w:t xml:space="preserve"> in 2015</w:t>
      </w:r>
      <w:r w:rsidR="00DE022C">
        <w:rPr>
          <w:vertAlign w:val="superscript"/>
        </w:rPr>
        <w:t>2</w:t>
      </w:r>
      <w:r w:rsidR="001471A1">
        <w:rPr>
          <w:vertAlign w:val="superscript"/>
        </w:rPr>
        <w:t>1</w:t>
      </w:r>
      <w:r w:rsidR="00DE34BD">
        <w:t>),</w:t>
      </w:r>
      <w:r w:rsidR="005D6E63">
        <w:t xml:space="preserve"> all major vehicle markets </w:t>
      </w:r>
      <w:r w:rsidRPr="00C024BE">
        <w:t xml:space="preserve">have implemented programs </w:t>
      </w:r>
      <w:r w:rsidR="0055441A">
        <w:t>requiring</w:t>
      </w:r>
      <w:r w:rsidR="00125119">
        <w:t xml:space="preserve"> new vehicle models to meet emission limits for </w:t>
      </w:r>
      <w:r w:rsidR="00040E2E">
        <w:t xml:space="preserve">directly emitted </w:t>
      </w:r>
      <w:r w:rsidR="001948CC">
        <w:t>particulate matter (</w:t>
      </w:r>
      <w:r w:rsidR="00040E2E">
        <w:t>PM</w:t>
      </w:r>
      <w:r w:rsidR="001948CC">
        <w:t>)</w:t>
      </w:r>
      <w:r w:rsidR="005D6E63">
        <w:t>,</w:t>
      </w:r>
      <w:r w:rsidR="00040E2E">
        <w:rPr>
          <w:vertAlign w:val="subscript"/>
        </w:rPr>
        <w:t xml:space="preserve"> </w:t>
      </w:r>
      <w:r w:rsidR="00125119">
        <w:t>NOx</w:t>
      </w:r>
      <w:r w:rsidR="005D6E63">
        <w:t>, and other pollutants</w:t>
      </w:r>
      <w:r w:rsidR="00125119">
        <w:t>.</w:t>
      </w:r>
      <w:r w:rsidR="00896426">
        <w:t xml:space="preserve"> </w:t>
      </w:r>
      <w:r w:rsidR="00FB5DEB">
        <w:t>The most stringent current standards, Euro VI and U.S. EPA 2010 for heavy-duty vehicles (HDVs) and Euro 6 and Tier 2 for light-duty vehicles (LDVs),</w:t>
      </w:r>
      <w:r w:rsidR="000E4440" w:rsidRPr="000E4440">
        <w:rPr>
          <w:vertAlign w:val="superscript"/>
        </w:rPr>
        <w:t>22</w:t>
      </w:r>
      <w:r w:rsidR="00FB5DEB">
        <w:t xml:space="preserve"> have dramatically reduced tailpipe PM</w:t>
      </w:r>
      <w:r w:rsidR="00FB5DEB" w:rsidRPr="00405616">
        <w:rPr>
          <w:vertAlign w:val="subscript"/>
        </w:rPr>
        <w:t xml:space="preserve">2.5 </w:t>
      </w:r>
      <w:r w:rsidR="00FB5DEB">
        <w:t>and other pollutant</w:t>
      </w:r>
      <w:r w:rsidR="005905BE">
        <w:t xml:space="preserve"> </w:t>
      </w:r>
      <w:r w:rsidR="005905BE">
        <w:lastRenderedPageBreak/>
        <w:t>emission</w:t>
      </w:r>
      <w:r w:rsidR="00FB5DEB">
        <w:t>s.</w:t>
      </w:r>
      <w:r w:rsidR="00A80606" w:rsidRPr="00A80606">
        <w:rPr>
          <w:vertAlign w:val="superscript"/>
        </w:rPr>
        <w:t>5</w:t>
      </w:r>
      <w:r w:rsidR="00FB5DEB">
        <w:t xml:space="preserve"> </w:t>
      </w:r>
      <w:r w:rsidR="00FB5DEB" w:rsidRPr="009C2FF4">
        <w:t xml:space="preserve">Yet </w:t>
      </w:r>
      <w:r w:rsidR="005C5C42">
        <w:t xml:space="preserve">reducing </w:t>
      </w:r>
      <w:r w:rsidR="00FB5DEB" w:rsidRPr="009C2FF4">
        <w:t xml:space="preserve">NOx has </w:t>
      </w:r>
      <w:r w:rsidR="00FB5DEB">
        <w:t xml:space="preserve">proven </w:t>
      </w:r>
      <w:r w:rsidR="00FB5DEB" w:rsidRPr="009C2FF4">
        <w:t>more challenging for diesel vehicles</w:t>
      </w:r>
      <w:r w:rsidR="001F3D2A">
        <w:t xml:space="preserve">, exemplified by </w:t>
      </w:r>
      <w:r w:rsidR="00C75B53">
        <w:t>a growing</w:t>
      </w:r>
      <w:r w:rsidR="001F3D2A">
        <w:t xml:space="preserve"> gap between real-world NOx emissions and certification limits </w:t>
      </w:r>
      <w:r w:rsidR="00C75B53">
        <w:t>under the tightened emission limits of</w:t>
      </w:r>
      <w:r w:rsidR="001F3D2A" w:rsidRPr="009C2FF4">
        <w:t xml:space="preserve"> </w:t>
      </w:r>
      <w:r w:rsidR="00FB5DEB" w:rsidRPr="009C2FF4">
        <w:t>Euro 4</w:t>
      </w:r>
      <w:r w:rsidR="00F24E3F">
        <w:t xml:space="preserve">/IV </w:t>
      </w:r>
      <w:r w:rsidR="00C75B53">
        <w:t>and</w:t>
      </w:r>
      <w:r w:rsidR="001F3D2A">
        <w:t xml:space="preserve"> </w:t>
      </w:r>
      <w:r w:rsidR="00F24E3F">
        <w:t>Euro 5/V</w:t>
      </w:r>
      <w:r w:rsidR="00163E5E">
        <w:t>.</w:t>
      </w:r>
      <w:r w:rsidR="00DE022C">
        <w:rPr>
          <w:vertAlign w:val="superscript"/>
        </w:rPr>
        <w:t>15</w:t>
      </w:r>
      <w:r w:rsidR="00E9380D">
        <w:rPr>
          <w:vertAlign w:val="superscript"/>
        </w:rPr>
        <w:t>-</w:t>
      </w:r>
      <w:r w:rsidR="00DE022C">
        <w:rPr>
          <w:vertAlign w:val="superscript"/>
        </w:rPr>
        <w:t>17</w:t>
      </w:r>
      <w:r w:rsidR="00FB5DEB">
        <w:t xml:space="preserve"> This</w:t>
      </w:r>
      <w:r w:rsidR="00AE63D5">
        <w:t xml:space="preserve"> </w:t>
      </w:r>
      <w:r w:rsidR="00FB5DEB">
        <w:t xml:space="preserve">“excess diesel </w:t>
      </w:r>
      <w:r w:rsidR="00AE63D5">
        <w:t>NOx</w:t>
      </w:r>
      <w:r w:rsidR="00FB5DEB">
        <w:t>”</w:t>
      </w:r>
      <w:r w:rsidR="00AE63D5">
        <w:t xml:space="preserve"> problem gained public prominence with </w:t>
      </w:r>
      <w:r w:rsidR="00B109EE">
        <w:t>the</w:t>
      </w:r>
      <w:r w:rsidR="003332CA">
        <w:t xml:space="preserve"> discovery that </w:t>
      </w:r>
      <w:r w:rsidR="00053CC2">
        <w:t>~</w:t>
      </w:r>
      <w:r w:rsidR="003332CA">
        <w:t>11 million</w:t>
      </w:r>
      <w:r w:rsidR="00B109EE">
        <w:t xml:space="preserve"> </w:t>
      </w:r>
      <w:r w:rsidR="00AE63D5">
        <w:t xml:space="preserve">Volkswagen </w:t>
      </w:r>
      <w:r w:rsidR="005C5C42">
        <w:t>LDVs</w:t>
      </w:r>
      <w:r w:rsidR="003332CA">
        <w:t xml:space="preserve"> in the U.S., Europe, and elsewhere </w:t>
      </w:r>
      <w:r w:rsidR="00217657">
        <w:t>had a</w:t>
      </w:r>
      <w:r w:rsidR="003332CA">
        <w:t xml:space="preserve"> </w:t>
      </w:r>
      <w:r w:rsidR="00AE63D5">
        <w:t>defeat device</w:t>
      </w:r>
      <w:r w:rsidR="003332CA">
        <w:t xml:space="preserve">, software </w:t>
      </w:r>
      <w:r w:rsidR="005C5C42">
        <w:t>that senses</w:t>
      </w:r>
      <w:r w:rsidR="00217657">
        <w:t xml:space="preserve"> when </w:t>
      </w:r>
      <w:r w:rsidR="003332CA">
        <w:t xml:space="preserve">the car </w:t>
      </w:r>
      <w:r w:rsidR="005C5C42">
        <w:t>is</w:t>
      </w:r>
      <w:r w:rsidR="003332CA">
        <w:t xml:space="preserve"> undergoing emissions testing</w:t>
      </w:r>
      <w:r w:rsidR="00217657">
        <w:t xml:space="preserve"> and activate</w:t>
      </w:r>
      <w:r w:rsidR="005C5C42">
        <w:t>s</w:t>
      </w:r>
      <w:r w:rsidR="00217657">
        <w:t xml:space="preserve"> emission control equipment</w:t>
      </w:r>
      <w:r w:rsidR="003332CA">
        <w:t>.</w:t>
      </w:r>
      <w:r w:rsidR="00217657">
        <w:rPr>
          <w:vertAlign w:val="superscript"/>
        </w:rPr>
        <w:t>10</w:t>
      </w:r>
      <w:r w:rsidR="00FB5DEB">
        <w:t xml:space="preserve"> </w:t>
      </w:r>
      <w:r w:rsidR="003332CA">
        <w:rPr>
          <w:vertAlign w:val="superscript"/>
        </w:rPr>
        <w:t xml:space="preserve"> </w:t>
      </w:r>
      <w:r w:rsidR="003332CA">
        <w:t>It is less widely understood that</w:t>
      </w:r>
      <w:r w:rsidR="001471A1">
        <w:t xml:space="preserve"> excess diesel NOx stems </w:t>
      </w:r>
      <w:r w:rsidR="0066222B">
        <w:t>primarily from deficiencies</w:t>
      </w:r>
      <w:r w:rsidR="001471A1">
        <w:t xml:space="preserve"> in</w:t>
      </w:r>
      <w:r w:rsidR="002F5B40">
        <w:t xml:space="preserve"> </w:t>
      </w:r>
      <w:r w:rsidR="005C5C42">
        <w:t>LDV and HDV</w:t>
      </w:r>
      <w:r w:rsidR="001471A1">
        <w:t xml:space="preserve"> emission certification </w:t>
      </w:r>
      <w:r w:rsidR="0066222B">
        <w:t>procedures</w:t>
      </w:r>
      <w:r w:rsidR="001471A1">
        <w:t xml:space="preserve">, which </w:t>
      </w:r>
      <w:r w:rsidR="0066222B">
        <w:t>legally permit higher vehicle emissions under normal driving conditions and outside of a pre-defined laboratory setting</w:t>
      </w:r>
      <w:r w:rsidR="003E3F87">
        <w:t>.</w:t>
      </w:r>
      <w:r w:rsidR="00D26D1E">
        <w:rPr>
          <w:vertAlign w:val="superscript"/>
        </w:rPr>
        <w:t>1</w:t>
      </w:r>
      <w:r w:rsidR="00DE022C">
        <w:rPr>
          <w:vertAlign w:val="superscript"/>
        </w:rPr>
        <w:t>9</w:t>
      </w:r>
      <w:r w:rsidR="003332CA">
        <w:rPr>
          <w:vertAlign w:val="superscript"/>
        </w:rPr>
        <w:t>-20</w:t>
      </w:r>
      <w:r w:rsidR="0055441A">
        <w:t xml:space="preserve"> </w:t>
      </w:r>
      <w:r w:rsidR="00BF2685">
        <w:t>Recent tests for Euro VI trucks and Euro 6 cars indicate that real-world NOx emissions in line with certification limits are technically achievable.</w:t>
      </w:r>
      <w:r w:rsidR="004E72B6" w:rsidRPr="00693649">
        <w:rPr>
          <w:vertAlign w:val="superscript"/>
        </w:rPr>
        <w:t>1</w:t>
      </w:r>
      <w:r w:rsidR="00DE022C">
        <w:rPr>
          <w:vertAlign w:val="superscript"/>
        </w:rPr>
        <w:t>1</w:t>
      </w:r>
      <w:r w:rsidR="00D26D1E">
        <w:rPr>
          <w:vertAlign w:val="superscript"/>
        </w:rPr>
        <w:t>,1</w:t>
      </w:r>
      <w:r w:rsidR="00DE022C">
        <w:rPr>
          <w:vertAlign w:val="superscript"/>
        </w:rPr>
        <w:t>5</w:t>
      </w:r>
      <w:r w:rsidR="00EB6070">
        <w:rPr>
          <w:vertAlign w:val="superscript"/>
        </w:rPr>
        <w:t xml:space="preserve"> </w:t>
      </w:r>
    </w:p>
    <w:p w14:paraId="7C98EB74" w14:textId="3BC0994A" w:rsidR="00BC4FE5" w:rsidRPr="00B37742" w:rsidRDefault="00AB33AA" w:rsidP="005005A8">
      <w:pPr>
        <w:spacing w:line="480" w:lineRule="auto"/>
      </w:pPr>
      <w:r>
        <w:t>The U.S. and EU are</w:t>
      </w:r>
      <w:r w:rsidR="008D3DC2">
        <w:t xml:space="preserve"> </w:t>
      </w:r>
      <w:r w:rsidR="00FB5DEB">
        <w:t>developing</w:t>
      </w:r>
      <w:r>
        <w:t xml:space="preserve"> more stringent policies to address excess diesel NOx. </w:t>
      </w:r>
      <w:r w:rsidR="005F5E34">
        <w:t xml:space="preserve">The U.S. is phasing in Low Emission Vehicle </w:t>
      </w:r>
      <w:r w:rsidR="005F5E34" w:rsidRPr="00C024BE">
        <w:t>III/Tier</w:t>
      </w:r>
      <w:r w:rsidR="005F5E34">
        <w:t xml:space="preserve"> 3 standards</w:t>
      </w:r>
      <w:r w:rsidR="005F5E34" w:rsidRPr="00C024BE">
        <w:t xml:space="preserve">, significantly stricter than </w:t>
      </w:r>
      <w:r w:rsidR="00D36F22">
        <w:t xml:space="preserve">Euro 6 and Tier 2 for </w:t>
      </w:r>
      <w:r w:rsidR="005F5E34">
        <w:t xml:space="preserve">model year 2017-2025 </w:t>
      </w:r>
      <w:r w:rsidR="00D36F22">
        <w:t>LDVs</w:t>
      </w:r>
      <w:r w:rsidR="005F5E34" w:rsidRPr="00C024BE">
        <w:t>.</w:t>
      </w:r>
      <w:r w:rsidR="00EB6070">
        <w:rPr>
          <w:vertAlign w:val="superscript"/>
        </w:rPr>
        <w:t>2</w:t>
      </w:r>
      <w:r w:rsidR="00DE022C">
        <w:rPr>
          <w:vertAlign w:val="superscript"/>
        </w:rPr>
        <w:t>3</w:t>
      </w:r>
      <w:r w:rsidR="005F5E34" w:rsidRPr="00C024BE">
        <w:t xml:space="preserve"> </w:t>
      </w:r>
      <w:r w:rsidR="005F5E34">
        <w:t xml:space="preserve">California </w:t>
      </w:r>
      <w:r w:rsidR="001F3B26">
        <w:t>surpassed national HDV standards with</w:t>
      </w:r>
      <w:r w:rsidR="005F5E34">
        <w:t xml:space="preserve"> a voluntary low NOx standard beginning with model year 2010</w:t>
      </w:r>
      <w:r w:rsidR="005F5E34" w:rsidRPr="00C024BE">
        <w:t>.</w:t>
      </w:r>
      <w:r w:rsidR="00EB6070">
        <w:rPr>
          <w:vertAlign w:val="superscript"/>
        </w:rPr>
        <w:t>2</w:t>
      </w:r>
      <w:r w:rsidR="00DE022C">
        <w:rPr>
          <w:vertAlign w:val="superscript"/>
        </w:rPr>
        <w:t>4</w:t>
      </w:r>
      <w:r w:rsidR="005F5E34">
        <w:t xml:space="preserve"> </w:t>
      </w:r>
      <w:r w:rsidR="00463C56">
        <w:t>I</w:t>
      </w:r>
      <w:r w:rsidR="00D36F22">
        <w:t xml:space="preserve">n 2017, the EU requires new LDV type approvals </w:t>
      </w:r>
      <w:r w:rsidR="001F3B26">
        <w:t xml:space="preserve">to </w:t>
      </w:r>
      <w:r w:rsidR="00D36F22">
        <w:t>pass a real-driving emissions (RDE) test using portable emissions measurement systems (PEMS</w:t>
      </w:r>
      <w:r w:rsidR="001F3B26">
        <w:t>)</w:t>
      </w:r>
      <w:r w:rsidR="00A93EE3">
        <w:t>.</w:t>
      </w:r>
      <w:r w:rsidR="001976BD">
        <w:rPr>
          <w:vertAlign w:val="superscript"/>
        </w:rPr>
        <w:t>2</w:t>
      </w:r>
      <w:r w:rsidR="00DE022C">
        <w:rPr>
          <w:vertAlign w:val="superscript"/>
        </w:rPr>
        <w:t>5</w:t>
      </w:r>
      <w:r w:rsidR="00D36F22">
        <w:t xml:space="preserve"> </w:t>
      </w:r>
      <w:r w:rsidR="00463C56">
        <w:t xml:space="preserve">With &gt;70% of vehicles sold globally certified to </w:t>
      </w:r>
      <w:r w:rsidR="00532F9C">
        <w:t xml:space="preserve">EU </w:t>
      </w:r>
      <w:r w:rsidR="00463C56">
        <w:t>standards and the remainder primarily to U.S. standards</w:t>
      </w:r>
      <w:r w:rsidR="00225D6F" w:rsidRPr="00225D6F">
        <w:rPr>
          <w:vertAlign w:val="superscript"/>
        </w:rPr>
        <w:t>22</w:t>
      </w:r>
      <w:r w:rsidR="003E3F87">
        <w:t>,</w:t>
      </w:r>
      <w:r w:rsidR="00463C56">
        <w:t xml:space="preserve"> </w:t>
      </w:r>
      <w:r w:rsidR="002F41A8" w:rsidRPr="002F41A8">
        <w:t xml:space="preserve">the </w:t>
      </w:r>
      <w:r w:rsidR="005C5C42">
        <w:t>excess</w:t>
      </w:r>
      <w:r w:rsidR="002F41A8" w:rsidRPr="002F41A8">
        <w:t xml:space="preserve"> </w:t>
      </w:r>
      <w:r w:rsidR="005C5C42">
        <w:t xml:space="preserve">diesel </w:t>
      </w:r>
      <w:r w:rsidR="002F41A8" w:rsidRPr="002F41A8">
        <w:t>NOx problem is widespread with substantial health and environmental damages likely, especially where advanced standards are not yet adopted.</w:t>
      </w:r>
      <w:r w:rsidR="002F41A8">
        <w:t xml:space="preserve"> </w:t>
      </w:r>
      <w:r w:rsidR="009067D3">
        <w:t>While p</w:t>
      </w:r>
      <w:r w:rsidR="007E6784">
        <w:t xml:space="preserve">revious studies </w:t>
      </w:r>
      <w:r w:rsidR="005C5C42">
        <w:t>estimated</w:t>
      </w:r>
      <w:r w:rsidR="00CF3285">
        <w:t xml:space="preserve"> </w:t>
      </w:r>
      <w:r w:rsidR="00643616">
        <w:t>impacts of the Volkswagen scandal for U.S.</w:t>
      </w:r>
      <w:r w:rsidR="009F3C34">
        <w:t xml:space="preserve"> LDVs</w:t>
      </w:r>
      <w:r w:rsidR="001976BD" w:rsidRPr="001976BD">
        <w:rPr>
          <w:vertAlign w:val="superscript"/>
        </w:rPr>
        <w:t>2</w:t>
      </w:r>
      <w:r w:rsidR="00DE022C">
        <w:rPr>
          <w:vertAlign w:val="superscript"/>
        </w:rPr>
        <w:t>6-29</w:t>
      </w:r>
      <w:r w:rsidR="007E6784">
        <w:t xml:space="preserve"> </w:t>
      </w:r>
      <w:r w:rsidR="00CF3285">
        <w:t>and benefits of Euro 6/VI standards in key countries prior to revelations about real-world NOx emissions</w:t>
      </w:r>
      <w:r w:rsidR="009067D3">
        <w:t>,</w:t>
      </w:r>
      <w:r w:rsidR="00CF3285" w:rsidRPr="007E6784">
        <w:rPr>
          <w:vertAlign w:val="superscript"/>
        </w:rPr>
        <w:t>5</w:t>
      </w:r>
      <w:r w:rsidR="00CF3285">
        <w:t xml:space="preserve"> </w:t>
      </w:r>
      <w:r w:rsidR="00D36F22">
        <w:t xml:space="preserve">impacts of </w:t>
      </w:r>
      <w:r w:rsidR="002F41A8">
        <w:t xml:space="preserve">excess </w:t>
      </w:r>
      <w:r w:rsidR="00643616">
        <w:t xml:space="preserve">NOx </w:t>
      </w:r>
      <w:r w:rsidR="002F41A8">
        <w:t>emissions</w:t>
      </w:r>
      <w:r w:rsidR="00011385">
        <w:t xml:space="preserve"> </w:t>
      </w:r>
      <w:r w:rsidR="00CF3285">
        <w:t xml:space="preserve">from both LDVs and HDVs </w:t>
      </w:r>
      <w:r w:rsidR="009067D3">
        <w:t>at the global scale</w:t>
      </w:r>
      <w:r w:rsidR="00CF3285">
        <w:t xml:space="preserve"> are unknown. </w:t>
      </w:r>
    </w:p>
    <w:p w14:paraId="03E4F4C8" w14:textId="3F7B96E4" w:rsidR="006204D2" w:rsidRDefault="004D2E6A" w:rsidP="005005A8">
      <w:pPr>
        <w:spacing w:line="480" w:lineRule="auto"/>
      </w:pPr>
      <w:r>
        <w:t>We</w:t>
      </w:r>
      <w:r w:rsidR="006204D2">
        <w:t xml:space="preserve"> develop the first </w:t>
      </w:r>
      <w:r w:rsidR="00F45614">
        <w:t xml:space="preserve">detailed </w:t>
      </w:r>
      <w:r w:rsidR="006204D2">
        <w:t>inventory of real-world NOx emissions in 2015</w:t>
      </w:r>
      <w:r w:rsidR="00BC4FE5">
        <w:t xml:space="preserve"> from</w:t>
      </w:r>
      <w:r w:rsidR="00D049DA">
        <w:t xml:space="preserve"> diesel</w:t>
      </w:r>
      <w:r w:rsidR="00BC4FE5">
        <w:t xml:space="preserve"> </w:t>
      </w:r>
      <w:r w:rsidR="00D36F22">
        <w:t>LDVs and HDVs</w:t>
      </w:r>
      <w:r w:rsidR="00BC4FE5">
        <w:t xml:space="preserve"> in</w:t>
      </w:r>
      <w:r w:rsidR="006204D2">
        <w:t xml:space="preserve"> 11 major vehicle market</w:t>
      </w:r>
      <w:r w:rsidR="0023632D">
        <w:t>s</w:t>
      </w:r>
      <w:r w:rsidR="00BC4FE5" w:rsidRPr="00B109EE">
        <w:t xml:space="preserve">: </w:t>
      </w:r>
      <w:r w:rsidR="0036752C" w:rsidRPr="00B109EE">
        <w:t xml:space="preserve">Australia, Brazil, Canada, China, </w:t>
      </w:r>
      <w:r w:rsidR="00BC4FE5">
        <w:t>EU-28,</w:t>
      </w:r>
      <w:r w:rsidR="0036752C">
        <w:t xml:space="preserve"> India, Japan, Mexico, Russia, South Korea,</w:t>
      </w:r>
      <w:r w:rsidR="00BC4FE5">
        <w:t xml:space="preserve"> </w:t>
      </w:r>
      <w:r w:rsidR="0036752C">
        <w:t xml:space="preserve">and the </w:t>
      </w:r>
      <w:r w:rsidR="00D36F22">
        <w:t>U.S</w:t>
      </w:r>
      <w:r w:rsidR="006204D2">
        <w:t xml:space="preserve">. </w:t>
      </w:r>
      <w:r w:rsidR="0023632D">
        <w:t xml:space="preserve">These markets cover ~80% of </w:t>
      </w:r>
      <w:r w:rsidR="00D36F22">
        <w:t>new</w:t>
      </w:r>
      <w:r w:rsidR="0023632D">
        <w:t xml:space="preserve"> diesel vehicle sales and</w:t>
      </w:r>
      <w:r>
        <w:t xml:space="preserve"> include those (U.S., EU, </w:t>
      </w:r>
      <w:r>
        <w:lastRenderedPageBreak/>
        <w:t>and Japan) that</w:t>
      </w:r>
      <w:r w:rsidR="0023632D">
        <w:t xml:space="preserve"> set the precedent for new vehicle regulations elsewhere. </w:t>
      </w:r>
      <w:r w:rsidR="00D36F22">
        <w:t xml:space="preserve">We </w:t>
      </w:r>
      <w:r w:rsidR="002F1DA4">
        <w:t>examine</w:t>
      </w:r>
      <w:r w:rsidR="00447AC9">
        <w:t xml:space="preserve"> future </w:t>
      </w:r>
      <w:r w:rsidR="00D36F22">
        <w:t>scenarios project</w:t>
      </w:r>
      <w:r w:rsidR="00447AC9">
        <w:t>ing</w:t>
      </w:r>
      <w:r w:rsidR="00D36F22">
        <w:t xml:space="preserve"> 2040 diesel NOx emissions </w:t>
      </w:r>
      <w:r w:rsidR="00447AC9">
        <w:t>under</w:t>
      </w:r>
      <w:r w:rsidR="00D36F22">
        <w:t xml:space="preserve"> </w:t>
      </w:r>
      <w:r w:rsidR="00447AC9">
        <w:t xml:space="preserve">presently </w:t>
      </w:r>
      <w:r w:rsidR="00D36F22">
        <w:t>adopted policies, expanded implementation of Euro 6/VI standards</w:t>
      </w:r>
      <w:r w:rsidR="00383AAD">
        <w:t xml:space="preserve"> “as is,”</w:t>
      </w:r>
      <w:r w:rsidR="00D36F22">
        <w:t xml:space="preserve"> strengthened RDE programs</w:t>
      </w:r>
      <w:r w:rsidR="00383AAD">
        <w:t xml:space="preserve"> to enhance real-</w:t>
      </w:r>
      <w:r w:rsidR="005C5C42">
        <w:t>world effectiveness of Euro 6</w:t>
      </w:r>
      <w:r w:rsidR="00383AAD">
        <w:t xml:space="preserve"> standards</w:t>
      </w:r>
      <w:r w:rsidR="00D36F22">
        <w:t>, and</w:t>
      </w:r>
      <w:r w:rsidR="00565FD4">
        <w:t xml:space="preserve"> more stringent</w:t>
      </w:r>
      <w:r w:rsidR="00D36F22">
        <w:t xml:space="preserve"> next</w:t>
      </w:r>
      <w:r w:rsidR="00446F7B">
        <w:t>-</w:t>
      </w:r>
      <w:r w:rsidR="00D36F22">
        <w:t>generation</w:t>
      </w:r>
      <w:r w:rsidR="00383AAD">
        <w:t xml:space="preserve"> </w:t>
      </w:r>
      <w:r w:rsidR="00D36F22">
        <w:t xml:space="preserve">standards. </w:t>
      </w:r>
      <w:r w:rsidR="00FC4329">
        <w:t xml:space="preserve">We isolate the influence these policies would have on NOx emissions </w:t>
      </w:r>
      <w:r w:rsidR="003D2DDB">
        <w:t xml:space="preserve">to highlight their effectiveness in closing the gap between certification limits and real-world emissions, a challenge for NOx </w:t>
      </w:r>
      <w:r w:rsidR="001948CC">
        <w:t>that</w:t>
      </w:r>
      <w:r w:rsidR="003D2DDB">
        <w:t xml:space="preserve"> </w:t>
      </w:r>
      <w:r w:rsidR="00E06193">
        <w:t>appears not to exist for PM</w:t>
      </w:r>
      <w:r w:rsidR="003D2DDB">
        <w:t>.</w:t>
      </w:r>
      <w:r w:rsidR="001948CC" w:rsidRPr="001948CC">
        <w:rPr>
          <w:vertAlign w:val="superscript"/>
        </w:rPr>
        <w:t>22</w:t>
      </w:r>
      <w:r w:rsidR="003D2DDB">
        <w:t xml:space="preserve"> </w:t>
      </w:r>
      <w:r w:rsidR="00D36F22">
        <w:t>We combine global chemical transport modeling with health, crop yield, and climate models to estimate damages of diesel NOx emissions and benefits of future regulations.</w:t>
      </w:r>
    </w:p>
    <w:p w14:paraId="0AE38E4D" w14:textId="124A784F" w:rsidR="00047891" w:rsidRDefault="00447AC9" w:rsidP="007750AD">
      <w:pPr>
        <w:spacing w:line="480" w:lineRule="auto"/>
      </w:pPr>
      <w:r>
        <w:t>The</w:t>
      </w:r>
      <w:r w:rsidRPr="003B0973">
        <w:t xml:space="preserve"> baseline</w:t>
      </w:r>
      <w:r>
        <w:t xml:space="preserve"> diesel NOx emission</w:t>
      </w:r>
      <w:r w:rsidR="00565FD4">
        <w:t>s</w:t>
      </w:r>
      <w:r>
        <w:t xml:space="preserve"> inventory</w:t>
      </w:r>
      <w:r w:rsidR="008705A9">
        <w:t>,</w:t>
      </w:r>
      <w:r>
        <w:t xml:space="preserve"> a key innovation of this study</w:t>
      </w:r>
      <w:r w:rsidR="008705A9">
        <w:t>,</w:t>
      </w:r>
      <w:r w:rsidR="00F10B16">
        <w:t xml:space="preserve"> is built from real-world NOx emission factors specific to each region, vehicle type, and emission standard derived from an extensive review of in-use emissions testing results in</w:t>
      </w:r>
      <w:r w:rsidR="00317324">
        <w:t xml:space="preserve"> the U.S., EU, China, and Japan</w:t>
      </w:r>
      <w:r w:rsidR="00F10B16">
        <w:t>.</w:t>
      </w:r>
      <w:r>
        <w:t xml:space="preserve"> </w:t>
      </w:r>
      <w:r w:rsidR="004E72B6">
        <w:t>We estimate that re</w:t>
      </w:r>
      <w:r w:rsidR="0034404A">
        <w:t>al-world NOx emissions are 3.2</w:t>
      </w:r>
      <w:r w:rsidR="005C5C42">
        <w:t>x</w:t>
      </w:r>
      <w:r w:rsidR="0034404A">
        <w:t xml:space="preserve"> and</w:t>
      </w:r>
      <w:r w:rsidR="004E72B6">
        <w:t xml:space="preserve"> 5.7</w:t>
      </w:r>
      <w:r w:rsidR="005C5C42">
        <w:t>x</w:t>
      </w:r>
      <w:r w:rsidR="004E798F">
        <w:t xml:space="preserve"> </w:t>
      </w:r>
      <w:r w:rsidR="00446F7B">
        <w:t xml:space="preserve">the </w:t>
      </w:r>
      <w:r w:rsidR="004E72B6">
        <w:t>emi</w:t>
      </w:r>
      <w:r w:rsidR="0034404A">
        <w:t>ssion limits for Euro 4 and Euro 6</w:t>
      </w:r>
      <w:r w:rsidR="004E72B6">
        <w:t xml:space="preserve"> </w:t>
      </w:r>
      <w:r w:rsidR="00F10B16">
        <w:t xml:space="preserve">vehicles </w:t>
      </w:r>
      <w:r w:rsidR="00261D0F">
        <w:t xml:space="preserve">respectively </w:t>
      </w:r>
      <w:r w:rsidR="0034404A">
        <w:t>(the latter expected to decline to 4</w:t>
      </w:r>
      <w:r w:rsidR="005C5C42">
        <w:t>x</w:t>
      </w:r>
      <w:r w:rsidR="00702953">
        <w:t xml:space="preserve"> </w:t>
      </w:r>
      <w:r w:rsidR="0034404A">
        <w:t>with adopted RDE programs</w:t>
      </w:r>
      <w:r w:rsidR="00446F7B">
        <w:t>;</w:t>
      </w:r>
      <w:r w:rsidR="00DE022C">
        <w:rPr>
          <w:vertAlign w:val="superscript"/>
        </w:rPr>
        <w:t>30</w:t>
      </w:r>
      <w:r w:rsidR="00066DA3">
        <w:t xml:space="preserve"> </w:t>
      </w:r>
      <w:r w:rsidR="0034404A">
        <w:fldChar w:fldCharType="begin"/>
      </w:r>
      <w:r w:rsidR="0034404A">
        <w:instrText xml:space="preserve"> REF _Ref469563278 \h </w:instrText>
      </w:r>
      <w:r w:rsidR="0034404A">
        <w:fldChar w:fldCharType="separate"/>
      </w:r>
      <w:r w:rsidR="00B4223E" w:rsidRPr="00C57365">
        <w:t xml:space="preserve">Figure </w:t>
      </w:r>
      <w:r w:rsidR="00B4223E">
        <w:rPr>
          <w:noProof/>
        </w:rPr>
        <w:t>1</w:t>
      </w:r>
      <w:r w:rsidR="0034404A">
        <w:fldChar w:fldCharType="end"/>
      </w:r>
      <w:r w:rsidR="0034404A">
        <w:t>). U.S. Tier 2 LDVs</w:t>
      </w:r>
      <w:r w:rsidR="001F3B26">
        <w:t xml:space="preserve">, including </w:t>
      </w:r>
      <w:r w:rsidR="00565FD4">
        <w:t xml:space="preserve">but not limited to </w:t>
      </w:r>
      <w:r w:rsidR="001F3B26">
        <w:t>those affected by Volkswagen defeat devices,</w:t>
      </w:r>
      <w:r w:rsidR="0034404A">
        <w:t xml:space="preserve"> are estimated </w:t>
      </w:r>
      <w:r w:rsidR="00066DA3">
        <w:t>at</w:t>
      </w:r>
      <w:r w:rsidR="001F3B26">
        <w:t xml:space="preserve"> </w:t>
      </w:r>
      <w:r w:rsidR="007F7DA5">
        <w:t>5</w:t>
      </w:r>
      <w:r w:rsidR="005C5C42">
        <w:t>x</w:t>
      </w:r>
      <w:r w:rsidR="004D2E6A">
        <w:t xml:space="preserve"> </w:t>
      </w:r>
      <w:r w:rsidR="001F3B26">
        <w:t>emission limits</w:t>
      </w:r>
      <w:r w:rsidR="00047891">
        <w:t xml:space="preserve">. </w:t>
      </w:r>
      <w:r w:rsidR="002F1DA4">
        <w:t>Real-world multipliers of HDV emission limits are highest for buses, which often operate in high-emitting low speed, low load conditions. The worst performing buses are Euro IV and V buses in China (4</w:t>
      </w:r>
      <w:r w:rsidR="005C5C42">
        <w:t>-</w:t>
      </w:r>
      <w:r w:rsidR="002F1DA4">
        <w:t>4.5</w:t>
      </w:r>
      <w:r w:rsidR="005C5C42">
        <w:t>x</w:t>
      </w:r>
      <w:r w:rsidR="002F1DA4">
        <w:t xml:space="preserve"> the limits). </w:t>
      </w:r>
      <w:r w:rsidR="00DC09B9">
        <w:t>Euro VI h</w:t>
      </w:r>
      <w:r w:rsidR="00047891">
        <w:t>eavy-duty trucks</w:t>
      </w:r>
      <w:r w:rsidR="00DC09B9">
        <w:t xml:space="preserve"> and buses</w:t>
      </w:r>
      <w:r w:rsidR="001F3B26">
        <w:t xml:space="preserve"> </w:t>
      </w:r>
      <w:r w:rsidR="007532C6">
        <w:t>emit closer to certification limits</w:t>
      </w:r>
      <w:r w:rsidR="00DC09B9">
        <w:t xml:space="preserve"> </w:t>
      </w:r>
      <w:r w:rsidR="001F3B26">
        <w:t>(1-1.5</w:t>
      </w:r>
      <w:r w:rsidR="005C5C42">
        <w:t>x</w:t>
      </w:r>
      <w:r w:rsidR="004D2E6A">
        <w:t xml:space="preserve"> </w:t>
      </w:r>
      <w:r w:rsidR="001F3B26">
        <w:t xml:space="preserve">emission limits) </w:t>
      </w:r>
      <w:r w:rsidR="00DC09B9">
        <w:t xml:space="preserve">than those certified to </w:t>
      </w:r>
      <w:r w:rsidR="00EF0357">
        <w:t>Euro IV</w:t>
      </w:r>
      <w:r w:rsidR="00447DE7">
        <w:t xml:space="preserve"> (1.3</w:t>
      </w:r>
      <w:r w:rsidR="001F3B26">
        <w:t>-2.2</w:t>
      </w:r>
      <w:r w:rsidR="005C5C42">
        <w:t>x</w:t>
      </w:r>
      <w:r w:rsidR="00447DE7">
        <w:t xml:space="preserve">) and Euro </w:t>
      </w:r>
      <w:r>
        <w:t>V</w:t>
      </w:r>
      <w:r w:rsidR="001F3B26">
        <w:t xml:space="preserve"> (1.9-3.9</w:t>
      </w:r>
      <w:r w:rsidR="005C5C42">
        <w:t>x</w:t>
      </w:r>
      <w:r w:rsidR="00447DE7">
        <w:t>)</w:t>
      </w:r>
      <w:r w:rsidR="00EF0357">
        <w:t xml:space="preserve"> </w:t>
      </w:r>
      <w:r w:rsidR="00447DE7">
        <w:t xml:space="preserve">standards. </w:t>
      </w:r>
    </w:p>
    <w:p w14:paraId="77FACFBB" w14:textId="3B5E4D97" w:rsidR="00917275" w:rsidRDefault="00C73956">
      <w:pPr>
        <w:spacing w:line="480" w:lineRule="auto"/>
      </w:pPr>
      <w:r>
        <w:t>Based on these emission factors, w</w:t>
      </w:r>
      <w:r w:rsidR="00047891" w:rsidRPr="00C425D4">
        <w:t>e estimate that diesel vehicles</w:t>
      </w:r>
      <w:r w:rsidR="005208B6">
        <w:t xml:space="preserve"> in these 11 regions</w:t>
      </w:r>
      <w:r w:rsidR="00047891" w:rsidRPr="00C425D4">
        <w:t xml:space="preserve"> emitted </w:t>
      </w:r>
      <w:r w:rsidR="0002154B">
        <w:t>~</w:t>
      </w:r>
      <w:r w:rsidR="00047891">
        <w:t>4.</w:t>
      </w:r>
      <w:r w:rsidR="00047891" w:rsidRPr="00C425D4">
        <w:t xml:space="preserve">6 </w:t>
      </w:r>
      <w:r w:rsidR="004B21B9">
        <w:t>Mt</w:t>
      </w:r>
      <w:r w:rsidR="00047891" w:rsidRPr="00C425D4">
        <w:t xml:space="preserve"> of NOx in excess of certification limits in 2015</w:t>
      </w:r>
      <w:r w:rsidR="00047891">
        <w:t xml:space="preserve"> (</w:t>
      </w:r>
      <w:r w:rsidR="00447AC9">
        <w:t xml:space="preserve">Baseline minus </w:t>
      </w:r>
      <w:r w:rsidR="00EB605C">
        <w:t xml:space="preserve">Limits scenario; </w:t>
      </w:r>
      <w:r w:rsidR="00047891">
        <w:fldChar w:fldCharType="begin"/>
      </w:r>
      <w:r w:rsidR="00047891">
        <w:instrText xml:space="preserve"> REF _Ref453745109 \h </w:instrText>
      </w:r>
      <w:r w:rsidR="00AA2B7C">
        <w:instrText xml:space="preserve"> \* MERGEFORMAT </w:instrText>
      </w:r>
      <w:r w:rsidR="00047891">
        <w:fldChar w:fldCharType="separate"/>
      </w:r>
      <w:r w:rsidR="00B4223E">
        <w:t xml:space="preserve">Figure </w:t>
      </w:r>
      <w:r w:rsidR="00B4223E">
        <w:rPr>
          <w:noProof/>
        </w:rPr>
        <w:t>2</w:t>
      </w:r>
      <w:r w:rsidR="00047891">
        <w:fldChar w:fldCharType="end"/>
      </w:r>
      <w:r w:rsidR="00047891">
        <w:t>)</w:t>
      </w:r>
      <w:r w:rsidR="0002154B">
        <w:t xml:space="preserve">, constituting </w:t>
      </w:r>
      <w:r w:rsidR="0002154B" w:rsidRPr="0002154B">
        <w:t>31% (27%–33%, range reflecting uncertainty in emissions inventories) and 56% (47%–65%) of fleet-wide on-road HDV and LDV NOx emissions</w:t>
      </w:r>
      <w:r w:rsidR="00002765">
        <w:t xml:space="preserve"> in these regions</w:t>
      </w:r>
      <w:r w:rsidR="00565FD4" w:rsidRPr="0002154B">
        <w:t>.</w:t>
      </w:r>
      <w:r w:rsidR="00565FD4">
        <w:t xml:space="preserve"> This excess diesel NOx</w:t>
      </w:r>
      <w:r w:rsidR="00447AC9">
        <w:t xml:space="preserve"> </w:t>
      </w:r>
      <w:r w:rsidR="00A95B16">
        <w:t>increas</w:t>
      </w:r>
      <w:r w:rsidR="00565FD4">
        <w:t>ed</w:t>
      </w:r>
      <w:r w:rsidR="00A95B16">
        <w:t xml:space="preserve"> PM</w:t>
      </w:r>
      <w:r w:rsidR="00A95B16" w:rsidRPr="00A95B16">
        <w:rPr>
          <w:vertAlign w:val="subscript"/>
        </w:rPr>
        <w:t xml:space="preserve">2.5 </w:t>
      </w:r>
      <w:r w:rsidR="002E253D">
        <w:t xml:space="preserve">concentrations </w:t>
      </w:r>
      <w:r w:rsidR="009F3C34">
        <w:t>primarily i</w:t>
      </w:r>
      <w:r w:rsidR="00A95B16">
        <w:t>n Europe, China</w:t>
      </w:r>
      <w:r w:rsidR="00F10934">
        <w:t>, and India</w:t>
      </w:r>
      <w:r w:rsidR="004E798F">
        <w:t>,</w:t>
      </w:r>
      <w:r w:rsidR="00F10934">
        <w:t xml:space="preserve"> and </w:t>
      </w:r>
      <w:r w:rsidR="00CC64BB">
        <w:t xml:space="preserve">increased </w:t>
      </w:r>
      <w:r w:rsidR="00F10934">
        <w:t>ozone</w:t>
      </w:r>
      <w:r w:rsidR="004E798F">
        <w:t xml:space="preserve"> </w:t>
      </w:r>
      <w:r w:rsidR="00A95B16">
        <w:t>thr</w:t>
      </w:r>
      <w:r w:rsidR="00F10934">
        <w:t>oughout the Northern Hemisphere</w:t>
      </w:r>
      <w:r w:rsidR="00A95B16">
        <w:t xml:space="preserve"> </w:t>
      </w:r>
      <w:r w:rsidR="00F10934">
        <w:t>(</w:t>
      </w:r>
      <w:r w:rsidR="00A95B16">
        <w:fldChar w:fldCharType="begin"/>
      </w:r>
      <w:r w:rsidR="00A95B16">
        <w:instrText xml:space="preserve"> REF _Ref469571366 \h </w:instrText>
      </w:r>
      <w:r w:rsidR="00A95B16">
        <w:fldChar w:fldCharType="separate"/>
      </w:r>
      <w:r w:rsidR="00B4223E">
        <w:t xml:space="preserve">Figure </w:t>
      </w:r>
      <w:r w:rsidR="00B4223E">
        <w:rPr>
          <w:noProof/>
        </w:rPr>
        <w:t>3</w:t>
      </w:r>
      <w:r w:rsidR="00A95B16">
        <w:fldChar w:fldCharType="end"/>
      </w:r>
      <w:r>
        <w:t>), contributing</w:t>
      </w:r>
      <w:r w:rsidR="00C651FF">
        <w:t xml:space="preserve"> </w:t>
      </w:r>
      <w:r w:rsidR="00B37330">
        <w:t xml:space="preserve">38,000 </w:t>
      </w:r>
      <w:r w:rsidR="00002765" w:rsidRPr="00002765">
        <w:t>[95% confidence interval (CI), 23,000-47,000]</w:t>
      </w:r>
      <w:r w:rsidR="00002765">
        <w:rPr>
          <w:b/>
        </w:rPr>
        <w:t xml:space="preserve"> </w:t>
      </w:r>
      <w:r w:rsidR="00C651FF">
        <w:t xml:space="preserve">premature </w:t>
      </w:r>
      <w:r w:rsidR="00C651FF">
        <w:lastRenderedPageBreak/>
        <w:t xml:space="preserve">deaths and 625,000 </w:t>
      </w:r>
      <w:r w:rsidR="00002765">
        <w:t xml:space="preserve">(95% CI, 90,000-780,000) </w:t>
      </w:r>
      <w:r w:rsidR="00C651FF">
        <w:t>years of life lost globally in 2015</w:t>
      </w:r>
      <w:r w:rsidR="00322263">
        <w:t xml:space="preserve"> </w:t>
      </w:r>
      <w:r w:rsidR="00447AC9">
        <w:t>(</w:t>
      </w:r>
      <w:r w:rsidR="00A95B16">
        <w:fldChar w:fldCharType="begin"/>
      </w:r>
      <w:r w:rsidR="00A95B16">
        <w:instrText xml:space="preserve"> REF _Ref453847052 \h  \* MERGEFORMAT </w:instrText>
      </w:r>
      <w:r w:rsidR="00A95B16">
        <w:fldChar w:fldCharType="separate"/>
      </w:r>
      <w:r w:rsidR="00B4223E">
        <w:t xml:space="preserve">Figure </w:t>
      </w:r>
      <w:r w:rsidR="00B4223E">
        <w:rPr>
          <w:noProof/>
        </w:rPr>
        <w:t>4</w:t>
      </w:r>
      <w:r w:rsidR="00A95B16">
        <w:fldChar w:fldCharType="end"/>
      </w:r>
      <w:r w:rsidR="00A95B16">
        <w:t xml:space="preserve"> and </w:t>
      </w:r>
      <w:r w:rsidR="00A95B16">
        <w:fldChar w:fldCharType="begin"/>
      </w:r>
      <w:r w:rsidR="00A95B16">
        <w:instrText xml:space="preserve"> REF _Ref469472849 \h </w:instrText>
      </w:r>
      <w:r w:rsidR="00A95B16">
        <w:fldChar w:fldCharType="separate"/>
      </w:r>
      <w:r w:rsidR="00B4223E">
        <w:t xml:space="preserve">Extended Data Table </w:t>
      </w:r>
      <w:r w:rsidR="00B4223E">
        <w:rPr>
          <w:noProof/>
        </w:rPr>
        <w:t>1</w:t>
      </w:r>
      <w:r w:rsidR="00A95B16">
        <w:fldChar w:fldCharType="end"/>
      </w:r>
      <w:r w:rsidR="00483982">
        <w:t>)</w:t>
      </w:r>
      <w:r w:rsidR="00B37330">
        <w:t>.</w:t>
      </w:r>
      <w:r w:rsidR="00542376">
        <w:t xml:space="preserve"> </w:t>
      </w:r>
      <w:r w:rsidR="00234F10">
        <w:t>In</w:t>
      </w:r>
      <w:r w:rsidR="00542376">
        <w:t xml:space="preserve"> </w:t>
      </w:r>
      <w:r w:rsidR="0007029A">
        <w:t>the EU-28</w:t>
      </w:r>
      <w:r w:rsidR="00542376">
        <w:t>,</w:t>
      </w:r>
      <w:r w:rsidR="00740603">
        <w:t xml:space="preserve"> </w:t>
      </w:r>
      <w:r w:rsidR="00542376">
        <w:t>excess NOx contribute</w:t>
      </w:r>
      <w:r w:rsidR="00FB068A">
        <w:t>d</w:t>
      </w:r>
      <w:r w:rsidR="00542376">
        <w:t xml:space="preserve"> 4% and 10% of </w:t>
      </w:r>
      <w:r w:rsidR="00C05B38">
        <w:t xml:space="preserve">total </w:t>
      </w:r>
      <w:r w:rsidR="00FB068A">
        <w:t xml:space="preserve">2015 </w:t>
      </w:r>
      <w:r w:rsidR="00542376">
        <w:t>PM</w:t>
      </w:r>
      <w:r w:rsidR="00542376" w:rsidRPr="002C73A9">
        <w:rPr>
          <w:vertAlign w:val="subscript"/>
        </w:rPr>
        <w:t>2.5</w:t>
      </w:r>
      <w:r w:rsidR="00542376">
        <w:t xml:space="preserve"> and ozone mortality burdens and exacerbate</w:t>
      </w:r>
      <w:r w:rsidR="00FB068A">
        <w:t>d</w:t>
      </w:r>
      <w:r w:rsidR="00542376">
        <w:t xml:space="preserve"> ozone-related wheat </w:t>
      </w:r>
      <w:r w:rsidR="00542376" w:rsidRPr="00247A83">
        <w:t xml:space="preserve">production loss by 0.2-0.3% (0.19-0.35 </w:t>
      </w:r>
      <w:r w:rsidR="004B21B9">
        <w:t>Mt</w:t>
      </w:r>
      <w:r w:rsidR="00542376" w:rsidRPr="00247A83">
        <w:t xml:space="preserve"> of wheat at year 2000 production levels; </w:t>
      </w:r>
      <w:r w:rsidR="007256C8">
        <w:fldChar w:fldCharType="begin"/>
      </w:r>
      <w:r w:rsidR="007256C8">
        <w:instrText xml:space="preserve"> REF _Ref472064783 \h </w:instrText>
      </w:r>
      <w:r w:rsidR="007256C8">
        <w:fldChar w:fldCharType="separate"/>
      </w:r>
      <w:r w:rsidR="00B4223E">
        <w:t xml:space="preserve">Extended Data Figure </w:t>
      </w:r>
      <w:r w:rsidR="00B4223E">
        <w:rPr>
          <w:noProof/>
        </w:rPr>
        <w:t>1</w:t>
      </w:r>
      <w:r w:rsidR="007256C8">
        <w:fldChar w:fldCharType="end"/>
      </w:r>
      <w:r w:rsidR="00542376" w:rsidRPr="00247A83">
        <w:t xml:space="preserve">). </w:t>
      </w:r>
      <w:r w:rsidR="00B37330">
        <w:t>Most</w:t>
      </w:r>
      <w:r w:rsidR="00EB605C">
        <w:t xml:space="preserve"> </w:t>
      </w:r>
      <w:r w:rsidR="00542376">
        <w:t xml:space="preserve">of the global excess NOx health impacts </w:t>
      </w:r>
      <w:r w:rsidR="00B37330">
        <w:t>(</w:t>
      </w:r>
      <w:r w:rsidR="00917275">
        <w:t>80%</w:t>
      </w:r>
      <w:r w:rsidR="00B37330">
        <w:t>)</w:t>
      </w:r>
      <w:r w:rsidR="00570FB2">
        <w:t xml:space="preserve"> occur</w:t>
      </w:r>
      <w:r w:rsidR="00740603">
        <w:t>red</w:t>
      </w:r>
      <w:r w:rsidR="00570FB2">
        <w:t xml:space="preserve"> in China, India, and </w:t>
      </w:r>
      <w:r w:rsidR="0007029A">
        <w:t>EU-28</w:t>
      </w:r>
      <w:r w:rsidR="00EB605C">
        <w:t>, and 9% occu</w:t>
      </w:r>
      <w:r w:rsidR="00740603">
        <w:t>r</w:t>
      </w:r>
      <w:r w:rsidR="00EB605C">
        <w:t>r</w:t>
      </w:r>
      <w:r w:rsidR="00740603">
        <w:t>ed</w:t>
      </w:r>
      <w:r w:rsidR="00EB605C">
        <w:t xml:space="preserve"> outside the 11 regions due to pollution formed or carried over long distances</w:t>
      </w:r>
      <w:r w:rsidR="00D079B3">
        <w:t xml:space="preserve"> (</w:t>
      </w:r>
      <w:r w:rsidR="00D079B3">
        <w:fldChar w:fldCharType="begin"/>
      </w:r>
      <w:r w:rsidR="00D079B3">
        <w:instrText xml:space="preserve"> REF _Ref469472692 \h </w:instrText>
      </w:r>
      <w:r w:rsidR="00D079B3">
        <w:fldChar w:fldCharType="separate"/>
      </w:r>
      <w:r w:rsidR="00B4223E">
        <w:t xml:space="preserve">Extended Data Table </w:t>
      </w:r>
      <w:r w:rsidR="00B4223E">
        <w:rPr>
          <w:noProof/>
        </w:rPr>
        <w:t>2</w:t>
      </w:r>
      <w:r w:rsidR="00D079B3">
        <w:fldChar w:fldCharType="end"/>
      </w:r>
      <w:r w:rsidR="00D079B3">
        <w:t>)</w:t>
      </w:r>
      <w:r w:rsidR="00570FB2">
        <w:t xml:space="preserve">. </w:t>
      </w:r>
      <w:r w:rsidR="00542376">
        <w:t>Over 80% of the</w:t>
      </w:r>
      <w:r w:rsidR="00740603">
        <w:t xml:space="preserve"> excess NOx</w:t>
      </w:r>
      <w:r w:rsidR="00542376">
        <w:t xml:space="preserve"> health impacts </w:t>
      </w:r>
      <w:r w:rsidR="00740603">
        <w:t>were driven by increases</w:t>
      </w:r>
      <w:r w:rsidR="00542376">
        <w:t xml:space="preserve"> in PM</w:t>
      </w:r>
      <w:r w:rsidR="00542376" w:rsidRPr="0099012E">
        <w:rPr>
          <w:vertAlign w:val="subscript"/>
        </w:rPr>
        <w:t>2.5</w:t>
      </w:r>
      <w:r w:rsidR="00542376">
        <w:t xml:space="preserve">, which has stronger concentration-response relationships than ozone. </w:t>
      </w:r>
      <w:r w:rsidR="00D3264F" w:rsidRPr="00247A83">
        <w:t>The net</w:t>
      </w:r>
      <w:r w:rsidR="00D3264F">
        <w:t xml:space="preserve"> global radiative forcing impact</w:t>
      </w:r>
      <w:r w:rsidR="00917275">
        <w:t xml:space="preserve"> of</w:t>
      </w:r>
      <w:r w:rsidR="00D3264F">
        <w:t xml:space="preserve"> excess</w:t>
      </w:r>
      <w:r w:rsidR="00917275">
        <w:t xml:space="preserve"> NOx-induced changes in </w:t>
      </w:r>
      <w:r w:rsidR="00702953">
        <w:t>nitrate and other aerosols</w:t>
      </w:r>
      <w:r w:rsidR="00917275">
        <w:t xml:space="preserve">, methane, and ozone </w:t>
      </w:r>
      <w:r w:rsidR="00D3264F">
        <w:t>is</w:t>
      </w:r>
      <w:r w:rsidR="00917275">
        <w:t xml:space="preserve"> </w:t>
      </w:r>
      <w:r w:rsidR="00E1052D">
        <w:t>cooling (</w:t>
      </w:r>
      <w:r w:rsidR="00BE2968">
        <w:fldChar w:fldCharType="begin"/>
      </w:r>
      <w:r w:rsidR="00BE2968">
        <w:instrText xml:space="preserve"> REF _Ref472070949 \h </w:instrText>
      </w:r>
      <w:r w:rsidR="00BE2968">
        <w:fldChar w:fldCharType="separate"/>
      </w:r>
      <w:r w:rsidR="00B4223E">
        <w:t xml:space="preserve">Extended Data Figure </w:t>
      </w:r>
      <w:r w:rsidR="00B4223E">
        <w:rPr>
          <w:noProof/>
        </w:rPr>
        <w:t>2</w:t>
      </w:r>
      <w:r w:rsidR="00BE2968">
        <w:fldChar w:fldCharType="end"/>
      </w:r>
      <w:r w:rsidR="00917275">
        <w:t xml:space="preserve">), </w:t>
      </w:r>
      <w:r w:rsidR="00702953">
        <w:t>though</w:t>
      </w:r>
      <w:r w:rsidR="00225D6F">
        <w:t xml:space="preserve"> only -</w:t>
      </w:r>
      <w:r w:rsidR="00225D6F" w:rsidRPr="00405616">
        <w:t>8.69 mW m</w:t>
      </w:r>
      <w:r w:rsidR="00225D6F" w:rsidRPr="00405616">
        <w:rPr>
          <w:vertAlign w:val="superscript"/>
        </w:rPr>
        <w:t>-</w:t>
      </w:r>
      <w:r w:rsidR="00225D6F" w:rsidRPr="00187AC5">
        <w:rPr>
          <w:vertAlign w:val="superscript"/>
        </w:rPr>
        <w:t>2</w:t>
      </w:r>
      <w:r w:rsidR="00702953">
        <w:t xml:space="preserve"> </w:t>
      </w:r>
      <w:r w:rsidR="00917275">
        <w:t>compared to 1,700 mW m</w:t>
      </w:r>
      <w:r w:rsidR="00917275" w:rsidRPr="00C33799">
        <w:rPr>
          <w:vertAlign w:val="superscript"/>
        </w:rPr>
        <w:t>-2</w:t>
      </w:r>
      <w:r w:rsidR="00917275">
        <w:t xml:space="preserve"> for preindustrial to present CO</w:t>
      </w:r>
      <w:r w:rsidR="00917275" w:rsidRPr="00C33799">
        <w:rPr>
          <w:vertAlign w:val="subscript"/>
        </w:rPr>
        <w:t>2</w:t>
      </w:r>
      <w:r w:rsidR="00917275">
        <w:t xml:space="preserve"> levels</w:t>
      </w:r>
      <w:r w:rsidR="00030F33">
        <w:t>.</w:t>
      </w:r>
      <w:r w:rsidR="007933CF">
        <w:rPr>
          <w:vertAlign w:val="superscript"/>
        </w:rPr>
        <w:t>3</w:t>
      </w:r>
      <w:r w:rsidR="00DE022C">
        <w:rPr>
          <w:vertAlign w:val="superscript"/>
        </w:rPr>
        <w:t>1</w:t>
      </w:r>
      <w:r w:rsidR="00140404">
        <w:t xml:space="preserve"> </w:t>
      </w:r>
    </w:p>
    <w:p w14:paraId="1B12E96C" w14:textId="66D7393B" w:rsidR="001E0DB1" w:rsidRDefault="00A5378B" w:rsidP="001E0DB1">
      <w:pPr>
        <w:spacing w:line="480" w:lineRule="auto"/>
      </w:pPr>
      <w:r>
        <w:t>HDVs are the dominant contributor to excess NOx health impacts in all regions except the EU-28</w:t>
      </w:r>
      <w:r w:rsidR="00740603">
        <w:t xml:space="preserve"> (</w:t>
      </w:r>
      <w:r w:rsidR="00740603">
        <w:fldChar w:fldCharType="begin"/>
      </w:r>
      <w:r w:rsidR="00740603">
        <w:instrText xml:space="preserve"> REF _Ref453847052 \h </w:instrText>
      </w:r>
      <w:r w:rsidR="00740603">
        <w:fldChar w:fldCharType="separate"/>
      </w:r>
      <w:r w:rsidR="00B4223E">
        <w:t xml:space="preserve">Figure </w:t>
      </w:r>
      <w:r w:rsidR="00B4223E">
        <w:rPr>
          <w:noProof/>
        </w:rPr>
        <w:t>4</w:t>
      </w:r>
      <w:r w:rsidR="00740603">
        <w:fldChar w:fldCharType="end"/>
      </w:r>
      <w:r w:rsidR="00740603">
        <w:t>)</w:t>
      </w:r>
      <w:r>
        <w:t>. Overall,</w:t>
      </w:r>
      <w:r w:rsidR="00CB3944">
        <w:t xml:space="preserve"> </w:t>
      </w:r>
      <w:r w:rsidR="00702953">
        <w:t xml:space="preserve">fleet-wide </w:t>
      </w:r>
      <w:r w:rsidR="00917275">
        <w:t>HDV</w:t>
      </w:r>
      <w:r w:rsidR="00CB3944">
        <w:t xml:space="preserve"> </w:t>
      </w:r>
      <w:r w:rsidR="001C0E65">
        <w:t xml:space="preserve">NOx </w:t>
      </w:r>
      <w:r w:rsidR="00CB3944">
        <w:t xml:space="preserve">emissions in these 11 regions are 45% higher than </w:t>
      </w:r>
      <w:r w:rsidR="00846837">
        <w:t xml:space="preserve">counterfactual compliance with </w:t>
      </w:r>
      <w:r w:rsidR="00CB3944">
        <w:t>certification limits</w:t>
      </w:r>
      <w:r w:rsidR="00740603">
        <w:t xml:space="preserve"> (</w:t>
      </w:r>
      <w:r w:rsidR="00740603">
        <w:fldChar w:fldCharType="begin"/>
      </w:r>
      <w:r w:rsidR="00740603">
        <w:instrText xml:space="preserve"> REF _Ref469301301 \h </w:instrText>
      </w:r>
      <w:r w:rsidR="00740603">
        <w:fldChar w:fldCharType="separate"/>
      </w:r>
      <w:r w:rsidR="00B4223E">
        <w:t xml:space="preserve">Extended Data Figure </w:t>
      </w:r>
      <w:r w:rsidR="00B4223E">
        <w:rPr>
          <w:noProof/>
        </w:rPr>
        <w:t>3</w:t>
      </w:r>
      <w:r w:rsidR="00740603">
        <w:fldChar w:fldCharType="end"/>
      </w:r>
      <w:r w:rsidR="00740603">
        <w:t>)</w:t>
      </w:r>
      <w:r w:rsidR="005208B6">
        <w:t>. HDVs</w:t>
      </w:r>
      <w:r w:rsidR="00CB3944">
        <w:t xml:space="preserve"> contribute</w:t>
      </w:r>
      <w:r w:rsidR="00917275">
        <w:t xml:space="preserve"> </w:t>
      </w:r>
      <w:r w:rsidR="009F3C34">
        <w:t xml:space="preserve">86% of baseline 2015 </w:t>
      </w:r>
      <w:r w:rsidR="00702953">
        <w:t xml:space="preserve">on-road </w:t>
      </w:r>
      <w:r w:rsidR="009F3C34">
        <w:t xml:space="preserve">diesel emissions and </w:t>
      </w:r>
      <w:r w:rsidR="00917275">
        <w:t xml:space="preserve">&gt;75% of excess </w:t>
      </w:r>
      <w:r w:rsidR="00702953">
        <w:t xml:space="preserve">on-road </w:t>
      </w:r>
      <w:r w:rsidR="00542376">
        <w:t xml:space="preserve">diesel </w:t>
      </w:r>
      <w:r w:rsidR="00917275">
        <w:t xml:space="preserve">NOx in 2015, ~90% of which is </w:t>
      </w:r>
      <w:r w:rsidR="005208B6">
        <w:t>from</w:t>
      </w:r>
      <w:r w:rsidR="001E0DB1">
        <w:t xml:space="preserve"> China,</w:t>
      </w:r>
      <w:r w:rsidR="00917275">
        <w:t xml:space="preserve"> India, </w:t>
      </w:r>
      <w:r w:rsidR="0007029A">
        <w:t>EU-28</w:t>
      </w:r>
      <w:r w:rsidR="00917275">
        <w:t>, Brazil, and the U.S.</w:t>
      </w:r>
      <w:r w:rsidR="00740603">
        <w:t xml:space="preserve"> (</w:t>
      </w:r>
      <w:r w:rsidR="00740603">
        <w:fldChar w:fldCharType="begin"/>
      </w:r>
      <w:r w:rsidR="00740603">
        <w:instrText xml:space="preserve"> REF _Ref453745109 \h </w:instrText>
      </w:r>
      <w:r w:rsidR="00740603">
        <w:fldChar w:fldCharType="separate"/>
      </w:r>
      <w:r w:rsidR="00B4223E">
        <w:t xml:space="preserve">Figure </w:t>
      </w:r>
      <w:r w:rsidR="00B4223E">
        <w:rPr>
          <w:noProof/>
        </w:rPr>
        <w:t>2</w:t>
      </w:r>
      <w:r w:rsidR="00740603">
        <w:fldChar w:fldCharType="end"/>
      </w:r>
      <w:r w:rsidR="00740603">
        <w:t>).</w:t>
      </w:r>
      <w:r w:rsidR="00917275">
        <w:t xml:space="preserve"> </w:t>
      </w:r>
      <w:r w:rsidR="005208B6">
        <w:t xml:space="preserve">Diesel LDV </w:t>
      </w:r>
      <w:r w:rsidR="001E0DB1">
        <w:t xml:space="preserve">NOx emissions are </w:t>
      </w:r>
      <w:r w:rsidR="00846837">
        <w:t>130%</w:t>
      </w:r>
      <w:r w:rsidR="00917275">
        <w:t xml:space="preserve"> higher than </w:t>
      </w:r>
      <w:r w:rsidR="00846837">
        <w:t xml:space="preserve">counterfactual compliance with </w:t>
      </w:r>
      <w:r w:rsidR="00917275">
        <w:t>certification</w:t>
      </w:r>
      <w:r w:rsidR="00740603">
        <w:t xml:space="preserve"> </w:t>
      </w:r>
      <w:r w:rsidR="00917275">
        <w:t>limits,</w:t>
      </w:r>
      <w:r w:rsidR="001E0DB1">
        <w:t xml:space="preserve"> with</w:t>
      </w:r>
      <w:r w:rsidR="00917275">
        <w:t xml:space="preserve"> </w:t>
      </w:r>
      <w:r w:rsidR="001E0DB1">
        <w:t xml:space="preserve">nearly 70% of excess LDV NOx in </w:t>
      </w:r>
      <w:r w:rsidR="0007029A">
        <w:t>the EU-28</w:t>
      </w:r>
      <w:r w:rsidR="001E0DB1">
        <w:t xml:space="preserve">, followed by China (17%) and India (5%). </w:t>
      </w:r>
      <w:r w:rsidR="00463C56">
        <w:t xml:space="preserve">For the U.S., </w:t>
      </w:r>
      <w:r w:rsidR="001E0DB1">
        <w:t>estimated premature deaths from LDV excess NOx are consistent with previous studies</w:t>
      </w:r>
      <w:r w:rsidR="00817222">
        <w:t xml:space="preserve"> (see Supplemental Material)</w:t>
      </w:r>
      <w:r w:rsidR="001976BD">
        <w:rPr>
          <w:vertAlign w:val="superscript"/>
        </w:rPr>
        <w:t>2</w:t>
      </w:r>
      <w:r w:rsidR="00DE022C">
        <w:rPr>
          <w:vertAlign w:val="superscript"/>
        </w:rPr>
        <w:t>6-29</w:t>
      </w:r>
      <w:r w:rsidR="00234F10">
        <w:t xml:space="preserve"> but only one-tenth the</w:t>
      </w:r>
      <w:r w:rsidR="001E0DB1">
        <w:t xml:space="preserve"> </w:t>
      </w:r>
      <w:r w:rsidR="00234F10">
        <w:t>impacts from HDV excess NOx</w:t>
      </w:r>
      <w:r w:rsidR="001E0DB1">
        <w:t>.</w:t>
      </w:r>
    </w:p>
    <w:p w14:paraId="31CE1922" w14:textId="5C0269A9" w:rsidR="00937DB5" w:rsidRDefault="002770D2">
      <w:pPr>
        <w:spacing w:line="480" w:lineRule="auto"/>
      </w:pPr>
      <w:r>
        <w:t xml:space="preserve">Implementing Euro 6/VI standards where not yet </w:t>
      </w:r>
      <w:r w:rsidR="00950DC5">
        <w:t xml:space="preserve">adopted </w:t>
      </w:r>
      <w:r>
        <w:t>(Australia, Brazil, China, Mexico, and Russia; Euro 6/VI scenario) would reduce HDV NOx emissions</w:t>
      </w:r>
      <w:r w:rsidR="001831CF">
        <w:t xml:space="preserve"> by 80–90%</w:t>
      </w:r>
      <w:r>
        <w:t xml:space="preserve"> </w:t>
      </w:r>
      <w:r w:rsidR="001831CF">
        <w:t xml:space="preserve">compared </w:t>
      </w:r>
      <w:r w:rsidR="007010F0">
        <w:t xml:space="preserve">to </w:t>
      </w:r>
      <w:r>
        <w:t>the 2040 baseline</w:t>
      </w:r>
      <w:r w:rsidR="001831CF">
        <w:t xml:space="preserve"> and avert substantial increases in LDV NOx emissions</w:t>
      </w:r>
      <w:r w:rsidR="002662A8">
        <w:t xml:space="preserve"> (</w:t>
      </w:r>
      <w:r w:rsidR="002662A8">
        <w:fldChar w:fldCharType="begin"/>
      </w:r>
      <w:r w:rsidR="002662A8">
        <w:instrText xml:space="preserve"> REF _Ref453745109 \h </w:instrText>
      </w:r>
      <w:r w:rsidR="002662A8">
        <w:fldChar w:fldCharType="separate"/>
      </w:r>
      <w:r w:rsidR="00B4223E">
        <w:t xml:space="preserve">Figure </w:t>
      </w:r>
      <w:r w:rsidR="00B4223E">
        <w:rPr>
          <w:noProof/>
        </w:rPr>
        <w:t>2</w:t>
      </w:r>
      <w:r w:rsidR="002662A8">
        <w:fldChar w:fldCharType="end"/>
      </w:r>
      <w:r w:rsidR="002662A8">
        <w:t>)</w:t>
      </w:r>
      <w:r w:rsidR="00542376">
        <w:t>. These emission changes</w:t>
      </w:r>
      <w:r w:rsidR="003B1D59">
        <w:t xml:space="preserve"> lead to ozone reductions globally and PM</w:t>
      </w:r>
      <w:r w:rsidR="003B1D59" w:rsidRPr="003B1D59">
        <w:rPr>
          <w:vertAlign w:val="subscript"/>
        </w:rPr>
        <w:t xml:space="preserve">2.5 </w:t>
      </w:r>
      <w:r w:rsidR="003B1D59">
        <w:t>reductions in each implementi</w:t>
      </w:r>
      <w:r w:rsidR="00D079B3">
        <w:t xml:space="preserve">ng </w:t>
      </w:r>
      <w:r w:rsidR="00542376">
        <w:t>region</w:t>
      </w:r>
      <w:r w:rsidR="002662A8">
        <w:t xml:space="preserve"> (</w:t>
      </w:r>
      <w:r w:rsidR="002662A8">
        <w:fldChar w:fldCharType="begin"/>
      </w:r>
      <w:r w:rsidR="002662A8">
        <w:instrText xml:space="preserve"> REF _Ref469571366 \h </w:instrText>
      </w:r>
      <w:r w:rsidR="002662A8">
        <w:fldChar w:fldCharType="separate"/>
      </w:r>
      <w:r w:rsidR="00B4223E">
        <w:t xml:space="preserve">Figure </w:t>
      </w:r>
      <w:r w:rsidR="00B4223E">
        <w:rPr>
          <w:noProof/>
        </w:rPr>
        <w:t>3</w:t>
      </w:r>
      <w:r w:rsidR="002662A8">
        <w:fldChar w:fldCharType="end"/>
      </w:r>
      <w:r w:rsidR="002662A8">
        <w:t>)</w:t>
      </w:r>
      <w:r>
        <w:t xml:space="preserve">. </w:t>
      </w:r>
      <w:r w:rsidR="009712A8">
        <w:t>Globally, t</w:t>
      </w:r>
      <w:r>
        <w:t xml:space="preserve">hese NOx reductions </w:t>
      </w:r>
      <w:r w:rsidR="00FC0895">
        <w:t>c</w:t>
      </w:r>
      <w:r w:rsidR="00047891">
        <w:t xml:space="preserve">ould </w:t>
      </w:r>
      <w:r w:rsidR="00A02E87">
        <w:t xml:space="preserve">avoid </w:t>
      </w:r>
      <w:r w:rsidR="00D3264F">
        <w:t>104</w:t>
      </w:r>
      <w:r w:rsidR="00D62377">
        <w:t>,000</w:t>
      </w:r>
      <w:r w:rsidR="00234F10">
        <w:t xml:space="preserve"> </w:t>
      </w:r>
      <w:r w:rsidR="00C00825">
        <w:t xml:space="preserve">(95% CI, 56,000-129,000) </w:t>
      </w:r>
      <w:r w:rsidR="003736BA">
        <w:t>PM</w:t>
      </w:r>
      <w:r w:rsidR="003736BA" w:rsidRPr="003736BA">
        <w:rPr>
          <w:vertAlign w:val="subscript"/>
        </w:rPr>
        <w:t>2.5</w:t>
      </w:r>
      <w:r w:rsidR="003736BA">
        <w:t xml:space="preserve"> and ozone</w:t>
      </w:r>
      <w:r w:rsidR="001B17CD">
        <w:t xml:space="preserve"> </w:t>
      </w:r>
      <w:r w:rsidR="009018E0">
        <w:t xml:space="preserve">premature </w:t>
      </w:r>
      <w:r w:rsidR="00140404">
        <w:t>deaths</w:t>
      </w:r>
      <w:r w:rsidR="001B17CD">
        <w:t xml:space="preserve"> </w:t>
      </w:r>
      <w:r w:rsidR="00234F10">
        <w:t>in 2040</w:t>
      </w:r>
      <w:r w:rsidR="00342894">
        <w:t xml:space="preserve">, </w:t>
      </w:r>
      <w:r w:rsidR="00234F10">
        <w:lastRenderedPageBreak/>
        <w:t>&gt;80%</w:t>
      </w:r>
      <w:r w:rsidR="00342894">
        <w:t xml:space="preserve"> of </w:t>
      </w:r>
      <w:r w:rsidR="002B0639">
        <w:t>which</w:t>
      </w:r>
      <w:r w:rsidR="00342894">
        <w:t xml:space="preserve"> occu</w:t>
      </w:r>
      <w:r w:rsidR="00227E95">
        <w:t>r</w:t>
      </w:r>
      <w:r w:rsidR="00342894">
        <w:t xml:space="preserve"> in China</w:t>
      </w:r>
      <w:r w:rsidR="002662A8">
        <w:t xml:space="preserve"> (</w:t>
      </w:r>
      <w:r w:rsidR="002662A8">
        <w:fldChar w:fldCharType="begin"/>
      </w:r>
      <w:r w:rsidR="002662A8">
        <w:instrText xml:space="preserve"> REF _Ref453847052 \h </w:instrText>
      </w:r>
      <w:r w:rsidR="002662A8">
        <w:fldChar w:fldCharType="separate"/>
      </w:r>
      <w:r w:rsidR="00B4223E">
        <w:t xml:space="preserve">Figure </w:t>
      </w:r>
      <w:r w:rsidR="00B4223E">
        <w:rPr>
          <w:noProof/>
        </w:rPr>
        <w:t>4</w:t>
      </w:r>
      <w:r w:rsidR="002662A8">
        <w:fldChar w:fldCharType="end"/>
      </w:r>
      <w:r w:rsidR="002662A8">
        <w:t xml:space="preserve"> and </w:t>
      </w:r>
      <w:r w:rsidR="002662A8">
        <w:fldChar w:fldCharType="begin"/>
      </w:r>
      <w:r w:rsidR="002662A8">
        <w:instrText xml:space="preserve"> REF _Ref469472692 \h </w:instrText>
      </w:r>
      <w:r w:rsidR="002662A8">
        <w:fldChar w:fldCharType="separate"/>
      </w:r>
      <w:r w:rsidR="00B4223E">
        <w:t xml:space="preserve">Extended Data Table </w:t>
      </w:r>
      <w:r w:rsidR="00B4223E">
        <w:rPr>
          <w:noProof/>
        </w:rPr>
        <w:t>2</w:t>
      </w:r>
      <w:r w:rsidR="002662A8">
        <w:fldChar w:fldCharType="end"/>
      </w:r>
      <w:r w:rsidR="002662A8">
        <w:t>)</w:t>
      </w:r>
      <w:r w:rsidR="00E121DE">
        <w:t xml:space="preserve">. </w:t>
      </w:r>
      <w:r w:rsidR="00833397">
        <w:t>Regional</w:t>
      </w:r>
      <w:r w:rsidR="00227E95">
        <w:t xml:space="preserve"> benefits are substantial</w:t>
      </w:r>
      <w:r w:rsidR="00833397">
        <w:t>,</w:t>
      </w:r>
      <w:r w:rsidR="00227E95">
        <w:t xml:space="preserve"> with</w:t>
      </w:r>
      <w:r w:rsidR="00833397">
        <w:t xml:space="preserve"> </w:t>
      </w:r>
      <w:r w:rsidR="00007A39">
        <w:t>PM</w:t>
      </w:r>
      <w:r w:rsidR="00007A39" w:rsidRPr="0009216D">
        <w:rPr>
          <w:vertAlign w:val="subscript"/>
        </w:rPr>
        <w:t>2.5</w:t>
      </w:r>
      <w:r w:rsidR="00D62377">
        <w:t xml:space="preserve"> and ozone mortality</w:t>
      </w:r>
      <w:r w:rsidR="00EA33EE">
        <w:t xml:space="preserve"> burdens</w:t>
      </w:r>
      <w:r w:rsidR="00833397">
        <w:t xml:space="preserve"> reduced</w:t>
      </w:r>
      <w:r w:rsidR="00D62377">
        <w:t xml:space="preserve"> by 23% and 18</w:t>
      </w:r>
      <w:r w:rsidR="00007A39">
        <w:t>% in Mexico</w:t>
      </w:r>
      <w:r w:rsidR="009018E0">
        <w:t xml:space="preserve">, </w:t>
      </w:r>
      <w:r w:rsidR="00D62377">
        <w:t>8% and 23</w:t>
      </w:r>
      <w:r w:rsidR="004A1BAA">
        <w:t xml:space="preserve">% in Brazil, </w:t>
      </w:r>
      <w:r w:rsidR="00135368">
        <w:t>and 4% and 10</w:t>
      </w:r>
      <w:r w:rsidR="00D62377">
        <w:t>% in China</w:t>
      </w:r>
      <w:r w:rsidR="00AA2B7C">
        <w:t>.</w:t>
      </w:r>
      <w:r w:rsidR="00B9331A">
        <w:t xml:space="preserve"> </w:t>
      </w:r>
      <w:r w:rsidR="00B26EA2">
        <w:t>Though we isolated NOx emissions to compare the real-world effectiveness of Euro 6/VI standards with more stringent NOx emission policies, considering the near elimination of black carbon emissions under Euro 6/VI would add substantially more health benefits and climate cooling</w:t>
      </w:r>
      <w:r w:rsidR="00B9331A">
        <w:t>.</w:t>
      </w:r>
      <w:r w:rsidR="001976BD">
        <w:rPr>
          <w:vertAlign w:val="superscript"/>
        </w:rPr>
        <w:t>5</w:t>
      </w:r>
    </w:p>
    <w:p w14:paraId="7864104F" w14:textId="4DC26574" w:rsidR="00D018E8" w:rsidRDefault="009712A8" w:rsidP="00405616">
      <w:pPr>
        <w:spacing w:line="480" w:lineRule="auto"/>
      </w:pPr>
      <w:r>
        <w:t xml:space="preserve">The </w:t>
      </w:r>
      <w:r w:rsidR="0036746D">
        <w:t xml:space="preserve">Strong </w:t>
      </w:r>
      <w:r>
        <w:t xml:space="preserve">RDE scenario </w:t>
      </w:r>
      <w:r w:rsidR="00695821">
        <w:t>adds</w:t>
      </w:r>
      <w:r>
        <w:t xml:space="preserve"> provisions</w:t>
      </w:r>
      <w:r w:rsidR="00695821">
        <w:t xml:space="preserve"> beyond the EU-28</w:t>
      </w:r>
      <w:r w:rsidR="000D3167">
        <w:t>-</w:t>
      </w:r>
      <w:r w:rsidR="00695821">
        <w:t>adopted RDE program</w:t>
      </w:r>
      <w:r>
        <w:t xml:space="preserve"> that</w:t>
      </w:r>
      <w:r w:rsidR="00B67BB7">
        <w:t xml:space="preserve"> reduce </w:t>
      </w:r>
      <w:r w:rsidR="00234F10">
        <w:t xml:space="preserve">LDV </w:t>
      </w:r>
      <w:r w:rsidR="006E0711">
        <w:t xml:space="preserve">emission factors </w:t>
      </w:r>
      <w:r w:rsidR="00C05B38">
        <w:t xml:space="preserve">from 4x </w:t>
      </w:r>
      <w:r w:rsidR="006E0711">
        <w:t>to 1</w:t>
      </w:r>
      <w:r w:rsidR="00A6799E">
        <w:t>.2x Euro 6 limits</w:t>
      </w:r>
      <w:r w:rsidR="00CD1610">
        <w:t xml:space="preserve"> (i.e. i</w:t>
      </w:r>
      <w:r w:rsidR="00CD1610" w:rsidRPr="006F1810">
        <w:t>n-service vehicle</w:t>
      </w:r>
      <w:r w:rsidR="00CD1610" w:rsidRPr="001B7038">
        <w:t xml:space="preserve"> </w:t>
      </w:r>
      <w:r w:rsidR="00CD1610">
        <w:t>testing</w:t>
      </w:r>
      <w:r w:rsidR="00CD1610" w:rsidRPr="006F1810">
        <w:t>, in-use emissions</w:t>
      </w:r>
      <w:r w:rsidR="00CD1610" w:rsidRPr="001B7038">
        <w:t xml:space="preserve"> </w:t>
      </w:r>
      <w:r w:rsidR="00CD1610" w:rsidRPr="006F1810">
        <w:t>monitor</w:t>
      </w:r>
      <w:r w:rsidR="00CD1610">
        <w:t>ing</w:t>
      </w:r>
      <w:r w:rsidR="00CD1610" w:rsidRPr="006F1810">
        <w:t xml:space="preserve">, </w:t>
      </w:r>
      <w:r w:rsidR="00CD1610">
        <w:t xml:space="preserve">expanded </w:t>
      </w:r>
      <w:r w:rsidR="00CD1610" w:rsidRPr="006F1810">
        <w:t xml:space="preserve">driving conditions, and </w:t>
      </w:r>
      <w:r w:rsidR="00CD1610">
        <w:t>independent verification)</w:t>
      </w:r>
      <w:r w:rsidR="006E0711" w:rsidRPr="00317324">
        <w:t>.</w:t>
      </w:r>
      <w:r w:rsidR="00E972B7" w:rsidRPr="00E972B7">
        <w:rPr>
          <w:vertAlign w:val="superscript"/>
        </w:rPr>
        <w:t>30</w:t>
      </w:r>
      <w:r w:rsidR="006E0711">
        <w:t xml:space="preserve"> </w:t>
      </w:r>
      <w:r w:rsidR="00A6799E">
        <w:t xml:space="preserve">Applied in regions following </w:t>
      </w:r>
      <w:r>
        <w:t>EU regulations</w:t>
      </w:r>
      <w:r w:rsidR="00227E95">
        <w:t>,</w:t>
      </w:r>
      <w:r w:rsidR="003B1D59">
        <w:t xml:space="preserve"> </w:t>
      </w:r>
      <w:r w:rsidR="00A6799E">
        <w:t xml:space="preserve">these </w:t>
      </w:r>
      <w:r>
        <w:t>strengthened</w:t>
      </w:r>
      <w:r w:rsidR="00227E95">
        <w:t xml:space="preserve"> RDE programs</w:t>
      </w:r>
      <w:r w:rsidR="008E17D9">
        <w:t xml:space="preserve"> </w:t>
      </w:r>
      <w:r w:rsidR="00BE5D62">
        <w:t xml:space="preserve">would avoid </w:t>
      </w:r>
      <w:r w:rsidR="00695821">
        <w:t>~</w:t>
      </w:r>
      <w:r w:rsidR="00EA4B29">
        <w:t>31,000</w:t>
      </w:r>
      <w:r w:rsidR="00BD4A34">
        <w:t xml:space="preserve"> global PM</w:t>
      </w:r>
      <w:r w:rsidR="00BD4A34" w:rsidRPr="00D018E8">
        <w:rPr>
          <w:vertAlign w:val="subscript"/>
        </w:rPr>
        <w:t>2.5</w:t>
      </w:r>
      <w:r w:rsidR="00BD4A34">
        <w:t>- and ozone-re</w:t>
      </w:r>
      <w:r w:rsidR="00D079B3">
        <w:t>lated premature deaths in 2040</w:t>
      </w:r>
      <w:r>
        <w:t xml:space="preserve"> b</w:t>
      </w:r>
      <w:r w:rsidR="000442F5">
        <w:t xml:space="preserve">eyond the </w:t>
      </w:r>
      <w:r w:rsidR="002B0639">
        <w:t>Euro 6/VI scenario</w:t>
      </w:r>
      <w:r>
        <w:t xml:space="preserve"> (</w:t>
      </w:r>
      <w:r>
        <w:fldChar w:fldCharType="begin"/>
      </w:r>
      <w:r>
        <w:instrText xml:space="preserve"> REF _Ref469472849 \h </w:instrText>
      </w:r>
      <w:r>
        <w:fldChar w:fldCharType="separate"/>
      </w:r>
      <w:r w:rsidR="00B4223E">
        <w:t xml:space="preserve">Extended Data Table </w:t>
      </w:r>
      <w:r w:rsidR="00B4223E">
        <w:rPr>
          <w:noProof/>
        </w:rPr>
        <w:t>1</w:t>
      </w:r>
      <w:r>
        <w:fldChar w:fldCharType="end"/>
      </w:r>
      <w:r>
        <w:t>)</w:t>
      </w:r>
      <w:r w:rsidR="00BE5D62">
        <w:t xml:space="preserve">. </w:t>
      </w:r>
      <w:r>
        <w:t>The greates</w:t>
      </w:r>
      <w:r w:rsidR="00234F10">
        <w:t>t benefits occur in India</w:t>
      </w:r>
      <w:r w:rsidR="002B0639">
        <w:t xml:space="preserve"> – </w:t>
      </w:r>
      <w:r>
        <w:t xml:space="preserve">which has the </w:t>
      </w:r>
      <w:r w:rsidR="006006D3">
        <w:t>most</w:t>
      </w:r>
      <w:r>
        <w:t xml:space="preserve"> diesel passenger cars outside the EU</w:t>
      </w:r>
      <w:r w:rsidR="002B0639">
        <w:t xml:space="preserve">-28 – </w:t>
      </w:r>
      <w:r w:rsidR="00234F10">
        <w:t>followed by the EU-28 and China</w:t>
      </w:r>
      <w:r w:rsidR="002A3418">
        <w:t xml:space="preserve"> (</w:t>
      </w:r>
      <w:r w:rsidR="002A3418">
        <w:fldChar w:fldCharType="begin"/>
      </w:r>
      <w:r w:rsidR="002A3418">
        <w:instrText xml:space="preserve"> REF _Ref469472692 \h  \* MERGEFORMAT </w:instrText>
      </w:r>
      <w:r w:rsidR="002A3418">
        <w:fldChar w:fldCharType="separate"/>
      </w:r>
      <w:r w:rsidR="002A3418">
        <w:t xml:space="preserve">Extended Data Table </w:t>
      </w:r>
      <w:r w:rsidR="002A3418">
        <w:rPr>
          <w:noProof/>
        </w:rPr>
        <w:t>2</w:t>
      </w:r>
      <w:r w:rsidR="002A3418">
        <w:fldChar w:fldCharType="end"/>
      </w:r>
      <w:r w:rsidR="002A3418">
        <w:t>)</w:t>
      </w:r>
      <w:r>
        <w:t xml:space="preserve">. </w:t>
      </w:r>
      <w:r w:rsidR="003349C5">
        <w:t>In India, a strong RDE program makes the difference between a ~4x LDV NOx emission increase and roughly stabilized emission levels</w:t>
      </w:r>
      <w:r w:rsidR="002A3418">
        <w:t xml:space="preserve"> (</w:t>
      </w:r>
      <w:r w:rsidR="002A3418">
        <w:fldChar w:fldCharType="begin"/>
      </w:r>
      <w:r w:rsidR="002A3418">
        <w:instrText xml:space="preserve"> REF _Ref469301301 \h </w:instrText>
      </w:r>
      <w:r w:rsidR="002A3418">
        <w:fldChar w:fldCharType="separate"/>
      </w:r>
      <w:r w:rsidR="002A3418">
        <w:t xml:space="preserve">Extended Data Figure </w:t>
      </w:r>
      <w:r w:rsidR="002A3418">
        <w:rPr>
          <w:noProof/>
        </w:rPr>
        <w:t>3</w:t>
      </w:r>
      <w:r w:rsidR="002A3418">
        <w:fldChar w:fldCharType="end"/>
      </w:r>
      <w:r w:rsidR="002A3418">
        <w:t>)</w:t>
      </w:r>
      <w:r w:rsidR="00677D10">
        <w:t>.</w:t>
      </w:r>
    </w:p>
    <w:p w14:paraId="05DCC831" w14:textId="5D33E44A" w:rsidR="00937DB5" w:rsidRDefault="00B71920">
      <w:pPr>
        <w:spacing w:line="480" w:lineRule="auto"/>
      </w:pPr>
      <w:r>
        <w:t>Progressing to more stringent n</w:t>
      </w:r>
      <w:r w:rsidRPr="001C4753">
        <w:t>ext</w:t>
      </w:r>
      <w:r w:rsidR="00F7313D">
        <w:t>-</w:t>
      </w:r>
      <w:r w:rsidRPr="001C4753">
        <w:t>generation standards</w:t>
      </w:r>
      <w:r>
        <w:t xml:space="preserve"> in all 11 regions would </w:t>
      </w:r>
      <w:r>
        <w:rPr>
          <w:bCs/>
        </w:rPr>
        <w:t>nearly eliminate</w:t>
      </w:r>
      <w:r>
        <w:t xml:space="preserve"> diesel NOx emissions (NextGen scenario; </w:t>
      </w:r>
      <w:r>
        <w:fldChar w:fldCharType="begin"/>
      </w:r>
      <w:r>
        <w:instrText xml:space="preserve"> REF _Ref453745109 \h  \* MERGEFORMAT </w:instrText>
      </w:r>
      <w:r>
        <w:fldChar w:fldCharType="separate"/>
      </w:r>
      <w:r w:rsidR="00B4223E">
        <w:t xml:space="preserve">Figure </w:t>
      </w:r>
      <w:r w:rsidR="00B4223E">
        <w:rPr>
          <w:noProof/>
        </w:rPr>
        <w:t>2</w:t>
      </w:r>
      <w:r>
        <w:fldChar w:fldCharType="end"/>
      </w:r>
      <w:r>
        <w:t xml:space="preserve">) and </w:t>
      </w:r>
      <w:r w:rsidR="00833397">
        <w:t>avoid</w:t>
      </w:r>
      <w:r w:rsidR="00695821">
        <w:t xml:space="preserve"> ~</w:t>
      </w:r>
      <w:r w:rsidR="00EA4B29">
        <w:t>38,000</w:t>
      </w:r>
      <w:r w:rsidR="00004BEF">
        <w:t xml:space="preserve"> </w:t>
      </w:r>
      <w:r w:rsidR="00E26388">
        <w:t xml:space="preserve">additional </w:t>
      </w:r>
      <w:r w:rsidR="004D2E6A">
        <w:t xml:space="preserve">global </w:t>
      </w:r>
      <w:r w:rsidR="00CD30DB">
        <w:t>PM</w:t>
      </w:r>
      <w:r w:rsidR="00CD30DB" w:rsidRPr="00CD30DB">
        <w:rPr>
          <w:vertAlign w:val="subscript"/>
        </w:rPr>
        <w:t>2.5</w:t>
      </w:r>
      <w:r w:rsidR="00CD30DB">
        <w:t>- and ozone-related premature deaths</w:t>
      </w:r>
      <w:r w:rsidR="004B21B9">
        <w:t xml:space="preserve"> annually</w:t>
      </w:r>
      <w:r w:rsidR="000310BB">
        <w:t xml:space="preserve"> in 2040</w:t>
      </w:r>
      <w:r w:rsidR="00833397">
        <w:t xml:space="preserve"> </w:t>
      </w:r>
      <w:r w:rsidR="00E26388">
        <w:t xml:space="preserve">beyond </w:t>
      </w:r>
      <w:r>
        <w:t xml:space="preserve">the </w:t>
      </w:r>
      <w:r w:rsidR="0036746D">
        <w:t xml:space="preserve">Strong </w:t>
      </w:r>
      <w:r>
        <w:t>RDE scenario.</w:t>
      </w:r>
      <w:r w:rsidR="008F66EF">
        <w:t xml:space="preserve"> Compared to the 2040 baseline, </w:t>
      </w:r>
      <w:r w:rsidR="00E61EFB">
        <w:t xml:space="preserve">NOx emission reductions from </w:t>
      </w:r>
      <w:r w:rsidR="008F66EF">
        <w:t>next</w:t>
      </w:r>
      <w:r w:rsidR="00A64449">
        <w:t>-</w:t>
      </w:r>
      <w:r w:rsidR="008F66EF">
        <w:t xml:space="preserve">generation standards in all 11 regions </w:t>
      </w:r>
      <w:r w:rsidR="00456D74">
        <w:t xml:space="preserve">could </w:t>
      </w:r>
      <w:r w:rsidR="008F66EF">
        <w:t>avoid 2% and 7% of</w:t>
      </w:r>
      <w:r w:rsidR="00140404">
        <w:t xml:space="preserve"> </w:t>
      </w:r>
      <w:r w:rsidR="008F66EF">
        <w:t>PM</w:t>
      </w:r>
      <w:r w:rsidR="008F66EF" w:rsidRPr="008F66EF">
        <w:rPr>
          <w:vertAlign w:val="subscript"/>
        </w:rPr>
        <w:t xml:space="preserve">2.5 </w:t>
      </w:r>
      <w:r w:rsidR="008F66EF">
        <w:t>and ozone premature deaths</w:t>
      </w:r>
      <w:r w:rsidR="006006D3">
        <w:t xml:space="preserve"> </w:t>
      </w:r>
      <w:r w:rsidR="00463C56">
        <w:t xml:space="preserve">globally </w:t>
      </w:r>
      <w:r w:rsidR="00E06193">
        <w:t>[</w:t>
      </w:r>
      <w:r w:rsidR="006006D3">
        <w:t>total 174,000</w:t>
      </w:r>
      <w:r w:rsidR="00E06193">
        <w:t xml:space="preserve"> (95% CI, 95,000-217,000)</w:t>
      </w:r>
      <w:r w:rsidR="006006D3">
        <w:t xml:space="preserve"> premature deaths and </w:t>
      </w:r>
      <w:r w:rsidR="006B6D2F">
        <w:t xml:space="preserve">2.98 </w:t>
      </w:r>
      <w:r w:rsidR="006006D3">
        <w:t>million years of life lost</w:t>
      </w:r>
      <w:r w:rsidR="00E06193">
        <w:t xml:space="preserve"> (95% CI, 1.62-3.68)]</w:t>
      </w:r>
      <w:r w:rsidR="008F66EF">
        <w:t>, 1-2% of</w:t>
      </w:r>
      <w:r w:rsidR="006006D3">
        <w:t xml:space="preserve"> </w:t>
      </w:r>
      <w:r w:rsidR="008F66EF">
        <w:t xml:space="preserve">crop production loss for Chinese wheat </w:t>
      </w:r>
      <w:r w:rsidR="004408D1">
        <w:t xml:space="preserve">(1.7-4.0 </w:t>
      </w:r>
      <w:r w:rsidR="004B21B9">
        <w:t>Mt</w:t>
      </w:r>
      <w:r w:rsidR="004408D1">
        <w:t xml:space="preserve"> at year 2000 production levels) </w:t>
      </w:r>
      <w:r w:rsidR="008F66EF">
        <w:t>and maize</w:t>
      </w:r>
      <w:r w:rsidR="004408D1">
        <w:t xml:space="preserve"> (0.6-2.0 </w:t>
      </w:r>
      <w:r w:rsidR="004B21B9">
        <w:t>Mt</w:t>
      </w:r>
      <w:r w:rsidR="004408D1">
        <w:t>) and Brazilian soy</w:t>
      </w:r>
      <w:r w:rsidR="008F66EF">
        <w:t xml:space="preserve"> (0.4 </w:t>
      </w:r>
      <w:r w:rsidR="004B21B9">
        <w:t>Mt</w:t>
      </w:r>
      <w:r w:rsidR="008F037A">
        <w:t xml:space="preserve">; </w:t>
      </w:r>
      <w:r w:rsidR="006B6D2F">
        <w:fldChar w:fldCharType="begin"/>
      </w:r>
      <w:r w:rsidR="006B6D2F">
        <w:instrText xml:space="preserve"> REF _Ref469472849 \h </w:instrText>
      </w:r>
      <w:r w:rsidR="006B6D2F">
        <w:fldChar w:fldCharType="separate"/>
      </w:r>
      <w:r w:rsidR="00B4223E">
        <w:t xml:space="preserve">Extended Data Table </w:t>
      </w:r>
      <w:r w:rsidR="00B4223E">
        <w:rPr>
          <w:noProof/>
        </w:rPr>
        <w:t>1</w:t>
      </w:r>
      <w:r w:rsidR="006B6D2F">
        <w:fldChar w:fldCharType="end"/>
      </w:r>
      <w:r w:rsidR="006B6D2F">
        <w:t xml:space="preserve"> and</w:t>
      </w:r>
      <w:r w:rsidR="007256C8">
        <w:t xml:space="preserve"> </w:t>
      </w:r>
      <w:r w:rsidR="007256C8">
        <w:fldChar w:fldCharType="begin"/>
      </w:r>
      <w:r w:rsidR="007256C8">
        <w:instrText xml:space="preserve"> REF _Ref472064783 \h </w:instrText>
      </w:r>
      <w:r w:rsidR="007256C8">
        <w:fldChar w:fldCharType="separate"/>
      </w:r>
      <w:r w:rsidR="00B4223E">
        <w:t xml:space="preserve">Extended Data Figure </w:t>
      </w:r>
      <w:r w:rsidR="00B4223E">
        <w:rPr>
          <w:noProof/>
        </w:rPr>
        <w:t>1</w:t>
      </w:r>
      <w:r w:rsidR="007256C8">
        <w:fldChar w:fldCharType="end"/>
      </w:r>
      <w:r w:rsidR="006B6D2F">
        <w:t>)</w:t>
      </w:r>
      <w:r w:rsidR="00140404">
        <w:t>.</w:t>
      </w:r>
      <w:r w:rsidR="004939FC">
        <w:t xml:space="preserve"> </w:t>
      </w:r>
      <w:r w:rsidR="002F1DA4">
        <w:t>NOx-induced c</w:t>
      </w:r>
      <w:r w:rsidR="00274F0F">
        <w:t xml:space="preserve">hanges in aerosols, </w:t>
      </w:r>
      <w:r w:rsidR="008F037A">
        <w:t>methane, and ozone could cause a small climate disbenefit (warming), though this would likely be offset by Euro 6/VI black carbon emission reductions (</w:t>
      </w:r>
      <w:r w:rsidR="00BE2968">
        <w:fldChar w:fldCharType="begin"/>
      </w:r>
      <w:r w:rsidR="00BE2968">
        <w:instrText xml:space="preserve"> REF _Ref472070949 \h </w:instrText>
      </w:r>
      <w:r w:rsidR="00BE2968">
        <w:fldChar w:fldCharType="separate"/>
      </w:r>
      <w:r w:rsidR="00B4223E">
        <w:t xml:space="preserve">Extended Data Figure </w:t>
      </w:r>
      <w:r w:rsidR="00B4223E">
        <w:rPr>
          <w:noProof/>
        </w:rPr>
        <w:t>2</w:t>
      </w:r>
      <w:r w:rsidR="00BE2968">
        <w:fldChar w:fldCharType="end"/>
      </w:r>
      <w:r w:rsidR="008F037A">
        <w:t>).</w:t>
      </w:r>
      <w:r w:rsidR="008F037A" w:rsidRPr="008F037A">
        <w:rPr>
          <w:vertAlign w:val="superscript"/>
        </w:rPr>
        <w:t>5</w:t>
      </w:r>
      <w:r w:rsidR="008F037A">
        <w:t xml:space="preserve"> </w:t>
      </w:r>
    </w:p>
    <w:p w14:paraId="3935034F" w14:textId="2A5E8B19" w:rsidR="004B4A89" w:rsidRDefault="002A3418" w:rsidP="005005A8">
      <w:pPr>
        <w:spacing w:line="480" w:lineRule="auto"/>
      </w:pPr>
      <w:r>
        <w:lastRenderedPageBreak/>
        <w:t xml:space="preserve">We estimate that on-road diesel vehicles contribute 55% of </w:t>
      </w:r>
      <w:r w:rsidR="00A9562A">
        <w:t xml:space="preserve">global </w:t>
      </w:r>
      <w:r>
        <w:t>surface transportation NOx emissions, consistent with other estimates.</w:t>
      </w:r>
      <w:r w:rsidRPr="00EB7AAC">
        <w:rPr>
          <w:vertAlign w:val="superscript"/>
        </w:rPr>
        <w:t>8-</w:t>
      </w:r>
      <w:r w:rsidRPr="007D54C5">
        <w:rPr>
          <w:vertAlign w:val="superscript"/>
        </w:rPr>
        <w:t>9</w:t>
      </w:r>
      <w:r>
        <w:t xml:space="preserve"> </w:t>
      </w:r>
      <w:r w:rsidR="002B0639">
        <w:t xml:space="preserve">We show that in 11 major vehicle markets, </w:t>
      </w:r>
      <w:r w:rsidR="00E972B7">
        <w:t>about one-third</w:t>
      </w:r>
      <w:r w:rsidR="002B0639">
        <w:t xml:space="preserve"> of fleet-wide </w:t>
      </w:r>
      <w:r w:rsidR="002B0639" w:rsidRPr="007D54C5">
        <w:t>on</w:t>
      </w:r>
      <w:r w:rsidR="002B0639">
        <w:t xml:space="preserve">-road diesel NOx emissions are in excess of certification limits. </w:t>
      </w:r>
      <w:r w:rsidR="009A6A4E">
        <w:t>Lowering</w:t>
      </w:r>
      <w:r w:rsidR="00B71920">
        <w:t xml:space="preserve"> emission limits</w:t>
      </w:r>
      <w:r w:rsidR="00B71920" w:rsidRPr="001B7038">
        <w:t xml:space="preserve"> </w:t>
      </w:r>
      <w:r w:rsidR="00B71920">
        <w:t xml:space="preserve">and strengthening compliance and enforcement </w:t>
      </w:r>
      <w:r w:rsidR="00AE23EB">
        <w:t xml:space="preserve">practices </w:t>
      </w:r>
      <w:r w:rsidR="009A6A4E">
        <w:t>are both essential to achieving low real-world diesel NOx emissions</w:t>
      </w:r>
      <w:r w:rsidR="00B71920">
        <w:t xml:space="preserve">. </w:t>
      </w:r>
      <w:r w:rsidR="001B7038">
        <w:t>Brazil,</w:t>
      </w:r>
      <w:r w:rsidR="00F175BC">
        <w:t xml:space="preserve"> China, Mexico, and Russia can achieve most of the health benefits of stringent n</w:t>
      </w:r>
      <w:r w:rsidR="000442F5">
        <w:t>ext generation standards by</w:t>
      </w:r>
      <w:r w:rsidR="00F175BC">
        <w:t xml:space="preserve"> adopting Euro VI standards </w:t>
      </w:r>
      <w:r w:rsidR="00217657">
        <w:t xml:space="preserve">“as is” </w:t>
      </w:r>
      <w:r w:rsidR="00F175BC">
        <w:t>for HDVs.</w:t>
      </w:r>
      <w:r w:rsidR="001B7038">
        <w:t xml:space="preserve"> </w:t>
      </w:r>
      <w:r w:rsidR="000442F5">
        <w:t xml:space="preserve">For </w:t>
      </w:r>
      <w:r w:rsidR="006006D3">
        <w:t>LDVs</w:t>
      </w:r>
      <w:r w:rsidR="000442F5">
        <w:t>, s</w:t>
      </w:r>
      <w:r w:rsidR="00F175BC">
        <w:t xml:space="preserve">trengthened RDE programs that improve the </w:t>
      </w:r>
      <w:r w:rsidR="007D1CB6">
        <w:t xml:space="preserve">real-world </w:t>
      </w:r>
      <w:r w:rsidR="00F175BC">
        <w:t xml:space="preserve">effectiveness of Euro 6 standards achieve </w:t>
      </w:r>
      <w:r w:rsidR="001B7038" w:rsidRPr="0055441A">
        <w:t>most of the health benefits</w:t>
      </w:r>
      <w:r w:rsidR="00F175BC">
        <w:t xml:space="preserve"> of </w:t>
      </w:r>
      <w:r w:rsidR="000442F5">
        <w:t>progressing</w:t>
      </w:r>
      <w:r w:rsidR="00F175BC">
        <w:t xml:space="preserve"> to </w:t>
      </w:r>
      <w:r w:rsidR="001B7038" w:rsidRPr="0055441A">
        <w:t>next</w:t>
      </w:r>
      <w:r w:rsidR="00AE23EB">
        <w:t>-</w:t>
      </w:r>
      <w:r w:rsidR="001B7038" w:rsidRPr="0055441A">
        <w:t>generation</w:t>
      </w:r>
      <w:r w:rsidR="00100B78">
        <w:t xml:space="preserve"> </w:t>
      </w:r>
      <w:r w:rsidR="00F175BC">
        <w:t>standards.</w:t>
      </w:r>
      <w:r w:rsidR="00937DB5">
        <w:t xml:space="preserve"> </w:t>
      </w:r>
      <w:r w:rsidR="002F1DA4">
        <w:t>A</w:t>
      </w:r>
      <w:r w:rsidR="00F175BC">
        <w:t>dditional in-use</w:t>
      </w:r>
      <w:r w:rsidR="002F1DA4">
        <w:t xml:space="preserve"> emission</w:t>
      </w:r>
      <w:r w:rsidR="00F175BC">
        <w:t xml:space="preserve"> testing and n</w:t>
      </w:r>
      <w:r w:rsidR="00937DB5">
        <w:t>ational assessments using</w:t>
      </w:r>
      <w:r w:rsidR="000442F5">
        <w:t xml:space="preserve"> more</w:t>
      </w:r>
      <w:r w:rsidR="00937DB5">
        <w:t xml:space="preserve"> localized data can </w:t>
      </w:r>
      <w:r w:rsidR="00F24E3F">
        <w:t xml:space="preserve">improve </w:t>
      </w:r>
      <w:r w:rsidR="002A2DFD">
        <w:t>impact estimates</w:t>
      </w:r>
      <w:r w:rsidR="003E3F87">
        <w:t xml:space="preserve"> and narrow uncertainties</w:t>
      </w:r>
      <w:r w:rsidR="002A2DFD">
        <w:t>.</w:t>
      </w:r>
    </w:p>
    <w:p w14:paraId="2407B717" w14:textId="41CCC477" w:rsidR="005E1309" w:rsidRDefault="005E1309" w:rsidP="005005A8">
      <w:pPr>
        <w:spacing w:line="480" w:lineRule="auto"/>
        <w:rPr>
          <w:b/>
          <w:sz w:val="28"/>
          <w:szCs w:val="28"/>
        </w:rPr>
      </w:pPr>
      <w:r>
        <w:rPr>
          <w:b/>
          <w:sz w:val="28"/>
          <w:szCs w:val="28"/>
        </w:rPr>
        <w:br w:type="page"/>
      </w:r>
    </w:p>
    <w:p w14:paraId="54E1CCFE" w14:textId="2D11EEED" w:rsidR="00B30518" w:rsidRDefault="00B30518" w:rsidP="005005A8">
      <w:pPr>
        <w:spacing w:line="480" w:lineRule="auto"/>
        <w:rPr>
          <w:b/>
          <w:sz w:val="28"/>
          <w:szCs w:val="28"/>
        </w:rPr>
      </w:pPr>
      <w:r>
        <w:rPr>
          <w:b/>
          <w:sz w:val="28"/>
          <w:szCs w:val="28"/>
        </w:rPr>
        <w:lastRenderedPageBreak/>
        <w:t>Reference</w:t>
      </w:r>
      <w:r w:rsidR="00A53C1D">
        <w:rPr>
          <w:b/>
          <w:sz w:val="28"/>
          <w:szCs w:val="28"/>
        </w:rPr>
        <w:t>s</w:t>
      </w:r>
    </w:p>
    <w:p w14:paraId="18E319DA" w14:textId="77777777" w:rsidR="00DE34BD" w:rsidRPr="00044859" w:rsidRDefault="00DE34BD" w:rsidP="00DE34BD">
      <w:pPr>
        <w:pStyle w:val="ListParagraph"/>
        <w:numPr>
          <w:ilvl w:val="0"/>
          <w:numId w:val="5"/>
        </w:numPr>
        <w:spacing w:line="480" w:lineRule="auto"/>
        <w:rPr>
          <w:rFonts w:ascii="Calibri" w:hAnsi="Calibri"/>
        </w:rPr>
      </w:pPr>
      <w:r w:rsidRPr="00044859">
        <w:rPr>
          <w:rFonts w:ascii="Calibri" w:hAnsi="Calibri"/>
          <w:noProof/>
        </w:rPr>
        <w:t>Chambliss, S.E., Silva</w:t>
      </w:r>
      <w:r>
        <w:rPr>
          <w:rFonts w:ascii="Calibri" w:hAnsi="Calibri"/>
          <w:noProof/>
        </w:rPr>
        <w:t>, R.</w:t>
      </w:r>
      <w:r w:rsidRPr="00044859">
        <w:rPr>
          <w:rFonts w:ascii="Calibri" w:hAnsi="Calibri"/>
          <w:noProof/>
        </w:rPr>
        <w:t>, West</w:t>
      </w:r>
      <w:r>
        <w:rPr>
          <w:rFonts w:ascii="Calibri" w:hAnsi="Calibri"/>
          <w:noProof/>
        </w:rPr>
        <w:t>, J.J.</w:t>
      </w:r>
      <w:r w:rsidRPr="00044859">
        <w:rPr>
          <w:rFonts w:ascii="Calibri" w:hAnsi="Calibri"/>
          <w:noProof/>
        </w:rPr>
        <w:t>, Zeinali</w:t>
      </w:r>
      <w:r>
        <w:rPr>
          <w:rFonts w:ascii="Calibri" w:hAnsi="Calibri"/>
          <w:noProof/>
        </w:rPr>
        <w:t>, M.</w:t>
      </w:r>
      <w:r w:rsidRPr="00044859">
        <w:rPr>
          <w:rFonts w:ascii="Calibri" w:hAnsi="Calibri"/>
          <w:noProof/>
        </w:rPr>
        <w:t>, Minjares</w:t>
      </w:r>
      <w:r>
        <w:rPr>
          <w:rFonts w:ascii="Calibri" w:hAnsi="Calibri"/>
          <w:noProof/>
        </w:rPr>
        <w:t>, R.</w:t>
      </w:r>
      <w:r w:rsidRPr="00044859">
        <w:rPr>
          <w:rFonts w:ascii="Calibri" w:hAnsi="Calibri"/>
          <w:noProof/>
        </w:rPr>
        <w:t xml:space="preserve"> Estimating source-attributable health impacts of ambient fine particulate matter exposure: global premature mortality from surface transportation emissions in 2005. </w:t>
      </w:r>
      <w:r w:rsidRPr="00583ECD">
        <w:rPr>
          <w:rFonts w:ascii="Calibri" w:hAnsi="Calibri"/>
          <w:i/>
          <w:noProof/>
        </w:rPr>
        <w:t>Environmental Research Letters</w:t>
      </w:r>
      <w:r w:rsidRPr="00044859">
        <w:rPr>
          <w:rFonts w:ascii="Calibri" w:hAnsi="Calibri"/>
          <w:noProof/>
        </w:rPr>
        <w:t xml:space="preserve"> </w:t>
      </w:r>
      <w:r w:rsidRPr="00583ECD">
        <w:rPr>
          <w:rFonts w:ascii="Calibri" w:hAnsi="Calibri"/>
          <w:b/>
          <w:noProof/>
        </w:rPr>
        <w:t>9</w:t>
      </w:r>
      <w:r w:rsidRPr="00044859">
        <w:rPr>
          <w:rFonts w:ascii="Calibri" w:hAnsi="Calibri"/>
          <w:noProof/>
        </w:rPr>
        <w:t xml:space="preserve"> 104009</w:t>
      </w:r>
      <w:r>
        <w:rPr>
          <w:rFonts w:ascii="Calibri" w:hAnsi="Calibri"/>
          <w:noProof/>
        </w:rPr>
        <w:t xml:space="preserve"> (2014)</w:t>
      </w:r>
      <w:r w:rsidRPr="00044859">
        <w:rPr>
          <w:rFonts w:ascii="Calibri" w:hAnsi="Calibri"/>
          <w:noProof/>
        </w:rPr>
        <w:t>.</w:t>
      </w:r>
    </w:p>
    <w:p w14:paraId="1D9C914A" w14:textId="77777777" w:rsidR="00DE34BD" w:rsidRPr="00044859" w:rsidRDefault="00DE34BD" w:rsidP="00DE34BD">
      <w:pPr>
        <w:pStyle w:val="ListParagraph"/>
        <w:numPr>
          <w:ilvl w:val="0"/>
          <w:numId w:val="5"/>
        </w:numPr>
        <w:spacing w:line="480" w:lineRule="auto"/>
        <w:rPr>
          <w:rFonts w:ascii="Calibri" w:hAnsi="Calibri"/>
        </w:rPr>
      </w:pPr>
      <w:r w:rsidRPr="00044859">
        <w:rPr>
          <w:rFonts w:ascii="Calibri" w:hAnsi="Calibri"/>
          <w:noProof/>
        </w:rPr>
        <w:t xml:space="preserve">Lelieveld, J., Evans, </w:t>
      </w:r>
      <w:r>
        <w:rPr>
          <w:rFonts w:ascii="Calibri" w:hAnsi="Calibri"/>
          <w:noProof/>
        </w:rPr>
        <w:t xml:space="preserve">J.S., </w:t>
      </w:r>
      <w:r w:rsidRPr="00044859">
        <w:rPr>
          <w:rFonts w:ascii="Calibri" w:hAnsi="Calibri"/>
          <w:noProof/>
        </w:rPr>
        <w:t>Fnais,</w:t>
      </w:r>
      <w:r>
        <w:rPr>
          <w:rFonts w:ascii="Calibri" w:hAnsi="Calibri"/>
          <w:noProof/>
        </w:rPr>
        <w:t xml:space="preserve"> M.,</w:t>
      </w:r>
      <w:r w:rsidRPr="00044859">
        <w:rPr>
          <w:rFonts w:ascii="Calibri" w:hAnsi="Calibri"/>
          <w:noProof/>
        </w:rPr>
        <w:t xml:space="preserve"> Giannadaki, </w:t>
      </w:r>
      <w:r>
        <w:rPr>
          <w:rFonts w:ascii="Calibri" w:hAnsi="Calibri"/>
          <w:noProof/>
        </w:rPr>
        <w:t xml:space="preserve">D., </w:t>
      </w:r>
      <w:r w:rsidRPr="00044859">
        <w:rPr>
          <w:rFonts w:ascii="Calibri" w:hAnsi="Calibri"/>
          <w:noProof/>
        </w:rPr>
        <w:t>Pozzer</w:t>
      </w:r>
      <w:r>
        <w:rPr>
          <w:rFonts w:ascii="Calibri" w:hAnsi="Calibri"/>
          <w:noProof/>
        </w:rPr>
        <w:t>, A.</w:t>
      </w:r>
      <w:r w:rsidRPr="00044859">
        <w:rPr>
          <w:rFonts w:ascii="Calibri" w:hAnsi="Calibri"/>
          <w:noProof/>
        </w:rPr>
        <w:t xml:space="preserve"> The contribution of outdoor air pollution sources to premature mortality on a global scale. </w:t>
      </w:r>
      <w:r w:rsidRPr="00583ECD">
        <w:rPr>
          <w:rFonts w:ascii="Calibri" w:hAnsi="Calibri"/>
          <w:i/>
          <w:noProof/>
        </w:rPr>
        <w:t>Nature</w:t>
      </w:r>
      <w:r w:rsidRPr="00044859">
        <w:rPr>
          <w:rFonts w:ascii="Calibri" w:hAnsi="Calibri"/>
          <w:noProof/>
        </w:rPr>
        <w:t xml:space="preserve"> </w:t>
      </w:r>
      <w:r w:rsidRPr="00583ECD">
        <w:rPr>
          <w:rFonts w:ascii="Calibri" w:hAnsi="Calibri"/>
          <w:b/>
          <w:noProof/>
        </w:rPr>
        <w:t>525</w:t>
      </w:r>
      <w:r w:rsidRPr="00044859">
        <w:rPr>
          <w:rFonts w:ascii="Calibri" w:hAnsi="Calibri"/>
          <w:noProof/>
        </w:rPr>
        <w:t>:367-371</w:t>
      </w:r>
      <w:r>
        <w:rPr>
          <w:rFonts w:ascii="Calibri" w:hAnsi="Calibri"/>
          <w:noProof/>
        </w:rPr>
        <w:t xml:space="preserve"> (2015)</w:t>
      </w:r>
      <w:r w:rsidRPr="00044859">
        <w:rPr>
          <w:rFonts w:ascii="Calibri" w:hAnsi="Calibri"/>
          <w:noProof/>
        </w:rPr>
        <w:t>.</w:t>
      </w:r>
    </w:p>
    <w:p w14:paraId="1A7E8705" w14:textId="563CD002" w:rsidR="00DE34BD" w:rsidRDefault="00DE34BD" w:rsidP="00DE34BD">
      <w:pPr>
        <w:pStyle w:val="ListParagraph"/>
        <w:numPr>
          <w:ilvl w:val="0"/>
          <w:numId w:val="5"/>
        </w:numPr>
        <w:spacing w:line="480" w:lineRule="auto"/>
        <w:rPr>
          <w:rFonts w:ascii="Calibri" w:hAnsi="Calibri"/>
        </w:rPr>
      </w:pPr>
      <w:r w:rsidRPr="00044859">
        <w:rPr>
          <w:rFonts w:ascii="Calibri" w:hAnsi="Calibri"/>
          <w:noProof/>
        </w:rPr>
        <w:t xml:space="preserve">Silva, R., Adelman, </w:t>
      </w:r>
      <w:r>
        <w:rPr>
          <w:rFonts w:ascii="Calibri" w:hAnsi="Calibri"/>
          <w:noProof/>
        </w:rPr>
        <w:t xml:space="preserve">Z, </w:t>
      </w:r>
      <w:r w:rsidRPr="00044859">
        <w:rPr>
          <w:rFonts w:ascii="Calibri" w:hAnsi="Calibri"/>
          <w:noProof/>
        </w:rPr>
        <w:t>Fry</w:t>
      </w:r>
      <w:r>
        <w:rPr>
          <w:rFonts w:ascii="Calibri" w:hAnsi="Calibri"/>
          <w:noProof/>
        </w:rPr>
        <w:t>, M.M.</w:t>
      </w:r>
      <w:r w:rsidRPr="00044859">
        <w:rPr>
          <w:rFonts w:ascii="Calibri" w:hAnsi="Calibri"/>
          <w:noProof/>
        </w:rPr>
        <w:t>, West</w:t>
      </w:r>
      <w:r>
        <w:rPr>
          <w:rFonts w:ascii="Calibri" w:hAnsi="Calibri"/>
          <w:noProof/>
        </w:rPr>
        <w:t>, J.J.</w:t>
      </w:r>
      <w:r w:rsidRPr="00044859">
        <w:rPr>
          <w:rFonts w:ascii="Calibri" w:hAnsi="Calibri"/>
          <w:noProof/>
        </w:rPr>
        <w:t xml:space="preserve"> The impact of individual anthropogenic emissions sectors on the global burden of human mortality due to ambient air pollution. </w:t>
      </w:r>
      <w:r w:rsidRPr="00C61E6B">
        <w:rPr>
          <w:rFonts w:ascii="Calibri" w:hAnsi="Calibri"/>
          <w:i/>
          <w:noProof/>
        </w:rPr>
        <w:t>Environmental Health Perspectives</w:t>
      </w:r>
      <w:r w:rsidR="00225D6F">
        <w:rPr>
          <w:rFonts w:ascii="Calibri" w:hAnsi="Calibri"/>
          <w:noProof/>
        </w:rPr>
        <w:t xml:space="preserve"> </w:t>
      </w:r>
      <w:r w:rsidR="00225D6F">
        <w:rPr>
          <w:rFonts w:ascii="Calibri" w:hAnsi="Calibri"/>
          <w:b/>
          <w:noProof/>
        </w:rPr>
        <w:t>124</w:t>
      </w:r>
      <w:r w:rsidR="00225D6F">
        <w:rPr>
          <w:rFonts w:ascii="Calibri" w:hAnsi="Calibri"/>
          <w:noProof/>
        </w:rPr>
        <w:t>:1776-1784</w:t>
      </w:r>
      <w:r>
        <w:rPr>
          <w:rFonts w:ascii="Calibri" w:hAnsi="Calibri"/>
          <w:noProof/>
        </w:rPr>
        <w:t xml:space="preserve"> (2016)</w:t>
      </w:r>
      <w:r w:rsidRPr="00044859">
        <w:rPr>
          <w:rFonts w:ascii="Calibri" w:hAnsi="Calibri"/>
          <w:noProof/>
        </w:rPr>
        <w:t>.</w:t>
      </w:r>
    </w:p>
    <w:p w14:paraId="02EC2391" w14:textId="30489640" w:rsidR="00DE34BD" w:rsidRPr="00044859" w:rsidRDefault="00DE34BD" w:rsidP="00DE34BD">
      <w:pPr>
        <w:pStyle w:val="ListParagraph"/>
        <w:numPr>
          <w:ilvl w:val="0"/>
          <w:numId w:val="5"/>
        </w:numPr>
        <w:spacing w:line="480" w:lineRule="auto"/>
        <w:rPr>
          <w:rFonts w:ascii="Calibri" w:hAnsi="Calibri"/>
        </w:rPr>
      </w:pPr>
      <w:r w:rsidRPr="00044859">
        <w:rPr>
          <w:rFonts w:ascii="Calibri" w:hAnsi="Calibri"/>
          <w:noProof/>
        </w:rPr>
        <w:t>Global Road Safety Facility, The World Bank; Institute for Health Metrics and Evaluation. Transport for Health: The Global Burden of Disease from Motorized Road Transport. Seattle, WA; Washington, DC: The World Bank, 2014.</w:t>
      </w:r>
      <w:r>
        <w:rPr>
          <w:rFonts w:ascii="Calibri" w:hAnsi="Calibri"/>
          <w:noProof/>
        </w:rPr>
        <w:t xml:space="preserve"> Retrieved from </w:t>
      </w:r>
      <w:hyperlink r:id="rId8" w:history="1">
        <w:r w:rsidRPr="003A3858">
          <w:rPr>
            <w:rStyle w:val="Hyperlink"/>
            <w:rFonts w:ascii="Calibri" w:hAnsi="Calibri"/>
            <w:noProof/>
          </w:rPr>
          <w:t>http://documents.worldbank.org/curated/en/984261468327002120/Transport-for-health-the-global-burden-of-disease-from-motorized-road-transport</w:t>
        </w:r>
      </w:hyperlink>
      <w:r>
        <w:rPr>
          <w:rFonts w:ascii="Calibri" w:hAnsi="Calibri"/>
          <w:noProof/>
        </w:rPr>
        <w:t>, accessed September 14, 2016.</w:t>
      </w:r>
    </w:p>
    <w:p w14:paraId="4FCF4CB1" w14:textId="77777777" w:rsidR="00EB6070" w:rsidRDefault="00EB6070" w:rsidP="00EB6070">
      <w:pPr>
        <w:pStyle w:val="ListParagraph"/>
        <w:numPr>
          <w:ilvl w:val="0"/>
          <w:numId w:val="5"/>
        </w:numPr>
        <w:spacing w:line="480" w:lineRule="auto"/>
        <w:rPr>
          <w:rFonts w:ascii="Calibri" w:hAnsi="Calibri"/>
        </w:rPr>
      </w:pPr>
      <w:r w:rsidRPr="006B6D2F">
        <w:rPr>
          <w:rFonts w:ascii="Calibri" w:hAnsi="Calibri"/>
          <w:lang w:val="de-DE"/>
        </w:rPr>
        <w:t xml:space="preserve">Shindell, D.T. et al. </w:t>
      </w:r>
      <w:r w:rsidRPr="00044859">
        <w:rPr>
          <w:rFonts w:ascii="Calibri" w:hAnsi="Calibri"/>
          <w:noProof/>
        </w:rPr>
        <w:t>Climate, health, agricultural and economic impacts of tighter vehicle-emission standards</w:t>
      </w:r>
      <w:r>
        <w:rPr>
          <w:rFonts w:ascii="Calibri" w:hAnsi="Calibri"/>
          <w:noProof/>
        </w:rPr>
        <w:t>.</w:t>
      </w:r>
      <w:r w:rsidRPr="00044859">
        <w:rPr>
          <w:rFonts w:ascii="Calibri" w:hAnsi="Calibri"/>
          <w:noProof/>
        </w:rPr>
        <w:t xml:space="preserve"> </w:t>
      </w:r>
      <w:r w:rsidRPr="00583ECD">
        <w:rPr>
          <w:rFonts w:ascii="Calibri" w:hAnsi="Calibri"/>
          <w:i/>
          <w:noProof/>
        </w:rPr>
        <w:t>Nature Climate Change</w:t>
      </w:r>
      <w:r w:rsidRPr="00044859">
        <w:rPr>
          <w:rFonts w:ascii="Calibri" w:hAnsi="Calibri"/>
          <w:noProof/>
        </w:rPr>
        <w:t xml:space="preserve"> </w:t>
      </w:r>
      <w:r w:rsidRPr="00583ECD">
        <w:rPr>
          <w:rFonts w:ascii="Calibri" w:hAnsi="Calibri"/>
          <w:b/>
          <w:noProof/>
        </w:rPr>
        <w:t>1</w:t>
      </w:r>
      <w:r w:rsidRPr="00044859">
        <w:rPr>
          <w:rFonts w:ascii="Calibri" w:hAnsi="Calibri"/>
          <w:noProof/>
        </w:rPr>
        <w:t>: 59-66</w:t>
      </w:r>
      <w:r>
        <w:rPr>
          <w:rFonts w:ascii="Calibri" w:hAnsi="Calibri"/>
          <w:noProof/>
        </w:rPr>
        <w:t xml:space="preserve"> (2011)</w:t>
      </w:r>
      <w:r w:rsidRPr="00044859">
        <w:rPr>
          <w:rFonts w:ascii="Calibri" w:hAnsi="Calibri"/>
          <w:noProof/>
        </w:rPr>
        <w:t>.</w:t>
      </w:r>
    </w:p>
    <w:p w14:paraId="58F8A6A1" w14:textId="27C7CFF2" w:rsidR="00DE34BD" w:rsidRPr="005D080A" w:rsidRDefault="00DE34BD" w:rsidP="00DE34BD">
      <w:pPr>
        <w:pStyle w:val="ListParagraph"/>
        <w:numPr>
          <w:ilvl w:val="0"/>
          <w:numId w:val="5"/>
        </w:numPr>
        <w:spacing w:line="480" w:lineRule="auto"/>
        <w:rPr>
          <w:rFonts w:ascii="Calibri" w:hAnsi="Calibri"/>
        </w:rPr>
      </w:pPr>
      <w:r>
        <w:rPr>
          <w:rFonts w:ascii="Calibri" w:hAnsi="Calibri"/>
          <w:noProof/>
        </w:rPr>
        <w:t xml:space="preserve">Lapina, K., Henze, D.K., Milford, J.B., Travis, K. Impacts of foreign, domestic, and state-level emissions on ozone-induced vegetation loss in the United States. </w:t>
      </w:r>
      <w:r>
        <w:rPr>
          <w:rFonts w:ascii="Calibri" w:hAnsi="Calibri"/>
          <w:i/>
          <w:noProof/>
        </w:rPr>
        <w:t>Environ Sci Technol</w:t>
      </w:r>
      <w:r>
        <w:rPr>
          <w:rFonts w:ascii="Calibri" w:hAnsi="Calibri"/>
          <w:noProof/>
        </w:rPr>
        <w:t xml:space="preserve"> </w:t>
      </w:r>
      <w:r>
        <w:rPr>
          <w:rFonts w:ascii="Calibri" w:hAnsi="Calibri"/>
          <w:b/>
          <w:noProof/>
        </w:rPr>
        <w:t>50</w:t>
      </w:r>
      <w:r>
        <w:rPr>
          <w:rFonts w:ascii="Calibri" w:hAnsi="Calibri"/>
          <w:noProof/>
        </w:rPr>
        <w:t>: 806-813 (2016).</w:t>
      </w:r>
    </w:p>
    <w:p w14:paraId="5CBBAA8A" w14:textId="093CD2D3" w:rsidR="00DE34BD" w:rsidRDefault="00DE34BD">
      <w:pPr>
        <w:pStyle w:val="ListParagraph"/>
        <w:numPr>
          <w:ilvl w:val="0"/>
          <w:numId w:val="5"/>
        </w:numPr>
        <w:spacing w:line="480" w:lineRule="auto"/>
        <w:rPr>
          <w:rFonts w:ascii="Calibri" w:hAnsi="Calibri"/>
        </w:rPr>
      </w:pPr>
      <w:r>
        <w:rPr>
          <w:rFonts w:ascii="Calibri" w:hAnsi="Calibri"/>
        </w:rPr>
        <w:t xml:space="preserve">Unger, N. et al. Attribution of climate forcing to economic sectors. </w:t>
      </w:r>
      <w:r>
        <w:rPr>
          <w:rFonts w:ascii="Calibri" w:hAnsi="Calibri"/>
          <w:i/>
        </w:rPr>
        <w:t>Proc Natl Acad Sci</w:t>
      </w:r>
      <w:r>
        <w:rPr>
          <w:rFonts w:ascii="Calibri" w:hAnsi="Calibri"/>
        </w:rPr>
        <w:t xml:space="preserve"> </w:t>
      </w:r>
      <w:r>
        <w:rPr>
          <w:rFonts w:ascii="Calibri" w:hAnsi="Calibri"/>
          <w:b/>
        </w:rPr>
        <w:t>107</w:t>
      </w:r>
      <w:r>
        <w:rPr>
          <w:rFonts w:ascii="Calibri" w:hAnsi="Calibri"/>
        </w:rPr>
        <w:t xml:space="preserve">: 3382-3387 (2010). </w:t>
      </w:r>
    </w:p>
    <w:p w14:paraId="6D404B69" w14:textId="4F4E9426" w:rsidR="00DE022C" w:rsidRDefault="00DE022C">
      <w:pPr>
        <w:pStyle w:val="ListParagraph"/>
        <w:numPr>
          <w:ilvl w:val="0"/>
          <w:numId w:val="5"/>
        </w:numPr>
        <w:spacing w:line="480" w:lineRule="auto"/>
        <w:rPr>
          <w:rFonts w:ascii="Calibri" w:hAnsi="Calibri"/>
        </w:rPr>
      </w:pPr>
      <w:r>
        <w:rPr>
          <w:rFonts w:ascii="Calibri" w:hAnsi="Calibri"/>
        </w:rPr>
        <w:t xml:space="preserve">Stohl, A., et al. Evaluating the climate and air quality impacts of short-lived pollutants. </w:t>
      </w:r>
      <w:r>
        <w:rPr>
          <w:rFonts w:ascii="Calibri" w:hAnsi="Calibri"/>
          <w:i/>
        </w:rPr>
        <w:t>Atmos Chem Phys</w:t>
      </w:r>
      <w:r>
        <w:rPr>
          <w:rFonts w:ascii="Calibri" w:hAnsi="Calibri"/>
        </w:rPr>
        <w:t xml:space="preserve"> </w:t>
      </w:r>
      <w:r w:rsidRPr="00DE022C">
        <w:rPr>
          <w:rFonts w:ascii="Calibri" w:hAnsi="Calibri"/>
          <w:b/>
        </w:rPr>
        <w:t>15</w:t>
      </w:r>
      <w:r>
        <w:rPr>
          <w:rFonts w:ascii="Calibri" w:hAnsi="Calibri"/>
        </w:rPr>
        <w:t>:10529-10566 (2015).</w:t>
      </w:r>
    </w:p>
    <w:p w14:paraId="140A65CE" w14:textId="6BB8D29D" w:rsidR="005F1EFB" w:rsidRDefault="005F1EFB">
      <w:pPr>
        <w:pStyle w:val="ListParagraph"/>
        <w:numPr>
          <w:ilvl w:val="0"/>
          <w:numId w:val="5"/>
        </w:numPr>
        <w:spacing w:line="480" w:lineRule="auto"/>
        <w:rPr>
          <w:rFonts w:ascii="Calibri" w:hAnsi="Calibri"/>
        </w:rPr>
      </w:pPr>
      <w:r>
        <w:rPr>
          <w:rFonts w:ascii="Calibri" w:hAnsi="Calibri"/>
          <w:noProof/>
        </w:rPr>
        <w:lastRenderedPageBreak/>
        <w:t xml:space="preserve">Klimont, Z., et al. </w:t>
      </w:r>
      <w:r w:rsidR="00F15D54">
        <w:rPr>
          <w:rFonts w:ascii="Calibri" w:hAnsi="Calibri"/>
          <w:noProof/>
        </w:rPr>
        <w:t>G</w:t>
      </w:r>
      <w:r w:rsidR="00CC10FB">
        <w:rPr>
          <w:rFonts w:ascii="Calibri" w:hAnsi="Calibri"/>
          <w:noProof/>
        </w:rPr>
        <w:t>lobal scenarios of air pollutants and methane: 1990-2050, in preparation (2016).</w:t>
      </w:r>
      <w:r w:rsidR="00647272" w:rsidRPr="00647272">
        <w:t xml:space="preserve"> </w:t>
      </w:r>
      <w:r w:rsidR="00647272">
        <w:t>(</w:t>
      </w:r>
      <w:r w:rsidR="00DE022C">
        <w:t xml:space="preserve">ECLIPSE emissions inventory </w:t>
      </w:r>
      <w:r w:rsidR="00647272">
        <w:t xml:space="preserve">available at: </w:t>
      </w:r>
      <w:hyperlink r:id="rId9" w:history="1">
        <w:r w:rsidR="00647272" w:rsidRPr="0014210C">
          <w:rPr>
            <w:rStyle w:val="Hyperlink"/>
          </w:rPr>
          <w:t>http://www.iiasa.ac.at/web/home/research/researchPrograms/air/Global_emissions.html</w:t>
        </w:r>
      </w:hyperlink>
      <w:r w:rsidR="00647272">
        <w:t>, accessed June 23, 2016)</w:t>
      </w:r>
    </w:p>
    <w:p w14:paraId="5529BD68" w14:textId="2C74C82C" w:rsidR="00EB6070" w:rsidRPr="00044859" w:rsidRDefault="00EB6070" w:rsidP="00EB6070">
      <w:pPr>
        <w:pStyle w:val="ListParagraph"/>
        <w:numPr>
          <w:ilvl w:val="0"/>
          <w:numId w:val="5"/>
        </w:numPr>
        <w:spacing w:line="480" w:lineRule="auto"/>
        <w:rPr>
          <w:rFonts w:ascii="Calibri" w:hAnsi="Calibri"/>
        </w:rPr>
      </w:pPr>
      <w:r w:rsidRPr="00044859">
        <w:rPr>
          <w:rFonts w:ascii="Calibri" w:hAnsi="Calibri"/>
          <w:noProof/>
        </w:rPr>
        <w:t>U.S. E</w:t>
      </w:r>
      <w:r>
        <w:rPr>
          <w:rFonts w:ascii="Calibri" w:hAnsi="Calibri"/>
          <w:noProof/>
        </w:rPr>
        <w:t xml:space="preserve">nvironmental </w:t>
      </w:r>
      <w:r w:rsidRPr="00044859">
        <w:rPr>
          <w:rFonts w:ascii="Calibri" w:hAnsi="Calibri"/>
          <w:noProof/>
        </w:rPr>
        <w:t>P</w:t>
      </w:r>
      <w:r>
        <w:rPr>
          <w:rFonts w:ascii="Calibri" w:hAnsi="Calibri"/>
          <w:noProof/>
        </w:rPr>
        <w:t xml:space="preserve">rotection </w:t>
      </w:r>
      <w:r w:rsidRPr="00044859">
        <w:rPr>
          <w:rFonts w:ascii="Calibri" w:hAnsi="Calibri"/>
          <w:noProof/>
        </w:rPr>
        <w:t>A</w:t>
      </w:r>
      <w:r>
        <w:rPr>
          <w:rFonts w:ascii="Calibri" w:hAnsi="Calibri"/>
          <w:noProof/>
        </w:rPr>
        <w:t xml:space="preserve">gency (U.S. EPA) </w:t>
      </w:r>
      <w:r w:rsidRPr="00044859">
        <w:rPr>
          <w:rFonts w:ascii="Calibri" w:hAnsi="Calibri"/>
          <w:noProof/>
        </w:rPr>
        <w:t xml:space="preserve">(2015). Notice of Violation (18 September 2015) sent by EPA to Volkswagen Group of America, Inc. </w:t>
      </w:r>
      <w:r>
        <w:rPr>
          <w:rFonts w:ascii="Calibri" w:hAnsi="Calibri"/>
          <w:noProof/>
        </w:rPr>
        <w:t xml:space="preserve">Retrieved from </w:t>
      </w:r>
      <w:hyperlink r:id="rId10" w:history="1">
        <w:r w:rsidRPr="00D27600">
          <w:rPr>
            <w:rStyle w:val="Hyperlink"/>
            <w:rFonts w:ascii="Calibri" w:hAnsi="Calibri"/>
            <w:noProof/>
          </w:rPr>
          <w:t>https://www.epa.gov/sites/production/files/2015-10/documents/vw-nov-caa-09-18-15.pdf</w:t>
        </w:r>
      </w:hyperlink>
      <w:r>
        <w:rPr>
          <w:rFonts w:ascii="Calibri" w:hAnsi="Calibri"/>
          <w:noProof/>
        </w:rPr>
        <w:t>, Accessed September 13, 2016.</w:t>
      </w:r>
    </w:p>
    <w:p w14:paraId="3D541686" w14:textId="173012A2" w:rsidR="00EB6070" w:rsidRPr="00A71F1F" w:rsidRDefault="00EB6070" w:rsidP="00EB6070">
      <w:pPr>
        <w:pStyle w:val="ListParagraph"/>
        <w:numPr>
          <w:ilvl w:val="0"/>
          <w:numId w:val="5"/>
        </w:numPr>
        <w:spacing w:line="480" w:lineRule="auto"/>
        <w:rPr>
          <w:rFonts w:ascii="Calibri" w:hAnsi="Calibri"/>
        </w:rPr>
      </w:pPr>
      <w:r w:rsidRPr="00A71F1F">
        <w:rPr>
          <w:rFonts w:ascii="Calibri" w:hAnsi="Calibri" w:cs="Calibri"/>
          <w:lang w:eastAsia="ja-JP"/>
        </w:rPr>
        <w:t xml:space="preserve">Franco, V., Posada, F., German, J., Mock, P. (2014). Real-world exhaust emissions from modern diesel cars. International Council on Clean Transportation, Washington, DC. Retrieved from </w:t>
      </w:r>
      <w:hyperlink r:id="rId11" w:history="1">
        <w:r w:rsidRPr="00A71F1F">
          <w:rPr>
            <w:rFonts w:ascii="Calibri" w:hAnsi="Calibri"/>
            <w:noProof/>
          </w:rPr>
          <w:t>http://www.theicct.org/sites/default/files/publications/ICCT_PEMS-study_diesel-cars_20141013.pdf</w:t>
        </w:r>
      </w:hyperlink>
      <w:r w:rsidRPr="00A71F1F">
        <w:rPr>
          <w:rFonts w:ascii="Calibri" w:hAnsi="Calibri"/>
          <w:noProof/>
        </w:rPr>
        <w:t>, Accessed June 12, 2016.</w:t>
      </w:r>
    </w:p>
    <w:p w14:paraId="7FB1D336" w14:textId="2A4791BE" w:rsidR="00D26D1E" w:rsidRPr="00044859" w:rsidRDefault="00D26D1E" w:rsidP="00D26D1E">
      <w:pPr>
        <w:pStyle w:val="ListParagraph"/>
        <w:numPr>
          <w:ilvl w:val="0"/>
          <w:numId w:val="5"/>
        </w:numPr>
        <w:spacing w:line="480" w:lineRule="auto"/>
        <w:rPr>
          <w:rFonts w:ascii="Calibri" w:hAnsi="Calibri"/>
        </w:rPr>
      </w:pPr>
      <w:r>
        <w:rPr>
          <w:rFonts w:ascii="Calibri" w:hAnsi="Calibri"/>
        </w:rPr>
        <w:t xml:space="preserve">United Kingdom (UK) Department for Transport (2016) Vehicle Emissions Testing Programme: Moving Britain Ahead. United Kingdom Department for Transportation, London, UK. Retrieved from: </w:t>
      </w:r>
      <w:hyperlink r:id="rId12" w:history="1">
        <w:r w:rsidRPr="003A3858">
          <w:rPr>
            <w:rStyle w:val="Hyperlink"/>
            <w:rFonts w:ascii="Calibri" w:hAnsi="Calibri"/>
          </w:rPr>
          <w:t>https://www.gov.uk/government/uploads/system/uploads/attachment_data/file/518437/vehicle-emissions-testing-programme.pdf</w:t>
        </w:r>
      </w:hyperlink>
      <w:r>
        <w:rPr>
          <w:rFonts w:ascii="Calibri" w:hAnsi="Calibri"/>
        </w:rPr>
        <w:t xml:space="preserve">, </w:t>
      </w:r>
      <w:r w:rsidR="00225D6F">
        <w:rPr>
          <w:rFonts w:ascii="Calibri" w:hAnsi="Calibri"/>
        </w:rPr>
        <w:t>A</w:t>
      </w:r>
      <w:r>
        <w:rPr>
          <w:rFonts w:ascii="Calibri" w:hAnsi="Calibri"/>
          <w:noProof/>
        </w:rPr>
        <w:t>ccessed September 14, 2016.</w:t>
      </w:r>
    </w:p>
    <w:p w14:paraId="7CF6AFC6" w14:textId="16AEE50A" w:rsidR="00EB6070" w:rsidRDefault="00EB6070" w:rsidP="00EB6070">
      <w:pPr>
        <w:pStyle w:val="ListParagraph"/>
        <w:numPr>
          <w:ilvl w:val="0"/>
          <w:numId w:val="5"/>
        </w:numPr>
        <w:spacing w:line="480" w:lineRule="auto"/>
        <w:rPr>
          <w:rFonts w:ascii="Calibri" w:hAnsi="Calibri"/>
        </w:rPr>
      </w:pPr>
      <w:r>
        <w:rPr>
          <w:rFonts w:ascii="Calibri" w:hAnsi="Calibri"/>
        </w:rPr>
        <w:t xml:space="preserve">The Wall Street Journal. Some Japanese car diesel emissions higher on the road than in lab tests. March 4, 2016. Retrieved from: </w:t>
      </w:r>
      <w:hyperlink r:id="rId13" w:history="1">
        <w:r w:rsidRPr="00D27600">
          <w:rPr>
            <w:rStyle w:val="Hyperlink"/>
            <w:rFonts w:ascii="Calibri" w:hAnsi="Calibri"/>
          </w:rPr>
          <w:t>http://www.wsj.com/articles/some-japanese-diesel-cars-on-road-emissions-higher-than-in-lab-tests-1457082484</w:t>
        </w:r>
      </w:hyperlink>
      <w:r>
        <w:rPr>
          <w:rFonts w:ascii="Calibri" w:hAnsi="Calibri"/>
        </w:rPr>
        <w:t>, Accessed September 13, 2016.</w:t>
      </w:r>
    </w:p>
    <w:p w14:paraId="1EC22908" w14:textId="4E958141" w:rsidR="00EB6070" w:rsidRDefault="00EB6070" w:rsidP="00EB6070">
      <w:pPr>
        <w:pStyle w:val="ListParagraph"/>
        <w:numPr>
          <w:ilvl w:val="0"/>
          <w:numId w:val="5"/>
        </w:numPr>
        <w:spacing w:line="480" w:lineRule="auto"/>
        <w:rPr>
          <w:rFonts w:ascii="Calibri" w:hAnsi="Calibri"/>
        </w:rPr>
      </w:pPr>
      <w:r>
        <w:rPr>
          <w:rFonts w:ascii="Calibri" w:hAnsi="Calibri"/>
        </w:rPr>
        <w:t xml:space="preserve">International Council on Clean Transportation (ICCT) (2016) Deficiencies in the Brazilian Proconve P-7 and the case for P-8 standards. International Council for Clean Transportation, Washington, DC. Retrieved from: </w:t>
      </w:r>
      <w:hyperlink r:id="rId14" w:history="1">
        <w:r w:rsidRPr="00597F6D">
          <w:rPr>
            <w:rStyle w:val="Hyperlink"/>
            <w:rFonts w:ascii="Calibri" w:hAnsi="Calibri"/>
          </w:rPr>
          <w:t>http://www.theicct.org/sites/default/files/publications/Brazil%20P-7%20Briefing%20Paper%20Final_revised.pdf</w:t>
        </w:r>
      </w:hyperlink>
      <w:r>
        <w:rPr>
          <w:rFonts w:ascii="Calibri" w:hAnsi="Calibri"/>
          <w:noProof/>
        </w:rPr>
        <w:t xml:space="preserve">, </w:t>
      </w:r>
      <w:r w:rsidR="00225D6F">
        <w:rPr>
          <w:rFonts w:ascii="Calibri" w:hAnsi="Calibri"/>
          <w:noProof/>
        </w:rPr>
        <w:t>A</w:t>
      </w:r>
      <w:r>
        <w:rPr>
          <w:rFonts w:ascii="Calibri" w:hAnsi="Calibri"/>
          <w:noProof/>
        </w:rPr>
        <w:t>ccessed September 14, 2016.</w:t>
      </w:r>
    </w:p>
    <w:p w14:paraId="5DFB51ED" w14:textId="6E807A1A" w:rsidR="00EB6070" w:rsidRPr="00044859" w:rsidRDefault="00EB6070" w:rsidP="00EB6070">
      <w:pPr>
        <w:pStyle w:val="ListParagraph"/>
        <w:numPr>
          <w:ilvl w:val="0"/>
          <w:numId w:val="5"/>
        </w:numPr>
        <w:spacing w:line="480" w:lineRule="auto"/>
        <w:rPr>
          <w:rFonts w:ascii="Calibri" w:hAnsi="Calibri"/>
        </w:rPr>
      </w:pPr>
      <w:r w:rsidRPr="00044859">
        <w:rPr>
          <w:rFonts w:ascii="Calibri" w:eastAsia="Times New Roman" w:hAnsi="Calibri" w:cs="Arial"/>
          <w:color w:val="000000"/>
          <w:shd w:val="clear" w:color="auto" w:fill="FFFFFF"/>
        </w:rPr>
        <w:t xml:space="preserve">Muncrief, R. (2015). </w:t>
      </w:r>
      <w:r w:rsidRPr="000E4440">
        <w:rPr>
          <w:rFonts w:ascii="Calibri" w:eastAsia="Times New Roman" w:hAnsi="Calibri" w:cs="Arial"/>
          <w:color w:val="000000"/>
          <w:shd w:val="clear" w:color="auto" w:fill="FFFFFF"/>
        </w:rPr>
        <w:t>Comparing real-world off-cycle NOx emissions control in Euro IV, V, and VI.</w:t>
      </w:r>
      <w:r w:rsidRPr="00044859">
        <w:rPr>
          <w:rFonts w:ascii="Calibri" w:eastAsia="Times New Roman" w:hAnsi="Calibri" w:cs="Arial"/>
          <w:color w:val="000000"/>
          <w:shd w:val="clear" w:color="auto" w:fill="FFFFFF"/>
        </w:rPr>
        <w:t xml:space="preserve"> Retrieved from </w:t>
      </w:r>
      <w:hyperlink r:id="rId15" w:history="1">
        <w:r w:rsidR="000E4440" w:rsidRPr="00EC12EC">
          <w:rPr>
            <w:rStyle w:val="Hyperlink"/>
            <w:rFonts w:ascii="Calibri" w:eastAsia="Times New Roman" w:hAnsi="Calibri" w:cs="Arial"/>
            <w:shd w:val="clear" w:color="auto" w:fill="FFFFFF"/>
          </w:rPr>
          <w:t>http://www.theicct.org/comparing-real-world-nox-euro-iv-v-vi-mar2015</w:t>
        </w:r>
      </w:hyperlink>
      <w:r w:rsidR="000E4440">
        <w:rPr>
          <w:rFonts w:ascii="Calibri" w:eastAsia="Times New Roman" w:hAnsi="Calibri" w:cs="Arial"/>
          <w:color w:val="000000"/>
          <w:shd w:val="clear" w:color="auto" w:fill="FFFFFF"/>
        </w:rPr>
        <w:t>, Accessed January 13, 2017.</w:t>
      </w:r>
    </w:p>
    <w:p w14:paraId="0D82CDF0" w14:textId="21EBBA54" w:rsidR="00EB6070" w:rsidRPr="00405616" w:rsidRDefault="0081621F" w:rsidP="00EB6070">
      <w:pPr>
        <w:pStyle w:val="ListParagraph"/>
        <w:numPr>
          <w:ilvl w:val="0"/>
          <w:numId w:val="5"/>
        </w:numPr>
        <w:spacing w:line="480" w:lineRule="auto"/>
        <w:rPr>
          <w:rFonts w:ascii="Calibri" w:hAnsi="Calibri"/>
        </w:rPr>
      </w:pPr>
      <w:hyperlink r:id="rId16" w:history="1">
        <w:r w:rsidR="00EB6070" w:rsidRPr="00044859">
          <w:rPr>
            <w:rFonts w:ascii="Calibri" w:hAnsi="Calibri"/>
          </w:rPr>
          <w:t>Lowell</w:t>
        </w:r>
        <w:r w:rsidR="00EB6070">
          <w:rPr>
            <w:rFonts w:ascii="Calibri" w:hAnsi="Calibri"/>
          </w:rPr>
          <w:t>, D.,</w:t>
        </w:r>
        <w:r w:rsidR="00EB6070" w:rsidRPr="00044859">
          <w:rPr>
            <w:rFonts w:ascii="Calibri" w:hAnsi="Calibri"/>
          </w:rPr>
          <w:t xml:space="preserve"> and Kamakaté</w:t>
        </w:r>
        <w:r w:rsidR="00EB6070">
          <w:rPr>
            <w:rFonts w:ascii="Calibri" w:hAnsi="Calibri"/>
          </w:rPr>
          <w:t>, F.</w:t>
        </w:r>
        <w:r w:rsidR="00EB6070" w:rsidRPr="00044859">
          <w:rPr>
            <w:rFonts w:ascii="Calibri" w:hAnsi="Calibri"/>
          </w:rPr>
          <w:t xml:space="preserve"> </w:t>
        </w:r>
        <w:r w:rsidR="00EB6070">
          <w:rPr>
            <w:rFonts w:ascii="Calibri" w:hAnsi="Calibri"/>
          </w:rPr>
          <w:t>(</w:t>
        </w:r>
        <w:r w:rsidR="00EB6070" w:rsidRPr="00044859">
          <w:rPr>
            <w:rFonts w:ascii="Calibri" w:hAnsi="Calibri"/>
          </w:rPr>
          <w:t>2012</w:t>
        </w:r>
      </w:hyperlink>
      <w:r w:rsidR="00EB6070">
        <w:rPr>
          <w:rFonts w:ascii="Calibri" w:hAnsi="Calibri"/>
        </w:rPr>
        <w:t>)</w:t>
      </w:r>
      <w:r w:rsidR="00EB6070" w:rsidRPr="00044859">
        <w:rPr>
          <w:rFonts w:ascii="Calibri" w:hAnsi="Calibri"/>
        </w:rPr>
        <w:t>. Urban off-cycle NOx emissions from Euro IV/V trucks and buses: Problems and solutions for European countries. International Council on Clean Transportation, Washington, DC.</w:t>
      </w:r>
      <w:r w:rsidR="00EB6070">
        <w:rPr>
          <w:rFonts w:ascii="Calibri" w:hAnsi="Calibri"/>
        </w:rPr>
        <w:t xml:space="preserve"> Retrieved from </w:t>
      </w:r>
      <w:hyperlink r:id="rId17" w:history="1">
        <w:r w:rsidR="00EB6070" w:rsidRPr="00A009F3">
          <w:rPr>
            <w:rStyle w:val="Hyperlink"/>
            <w:rFonts w:ascii="Calibri" w:hAnsi="Calibri"/>
          </w:rPr>
          <w:t>http://www.theicct.org/urban-cycle-nox-emissions-euro-ivv-trucks-and-buses</w:t>
        </w:r>
      </w:hyperlink>
      <w:r w:rsidR="00225D6F">
        <w:rPr>
          <w:rStyle w:val="Hyperlink"/>
          <w:rFonts w:ascii="Calibri" w:hAnsi="Calibri"/>
          <w:color w:val="auto"/>
          <w:u w:val="none"/>
        </w:rPr>
        <w:t>, Accessed January 13, 2017.</w:t>
      </w:r>
    </w:p>
    <w:p w14:paraId="0956870B" w14:textId="3CEC9E42" w:rsidR="00D26D1E" w:rsidRDefault="00D26D1E" w:rsidP="00D26D1E">
      <w:pPr>
        <w:pStyle w:val="ListParagraph"/>
        <w:numPr>
          <w:ilvl w:val="0"/>
          <w:numId w:val="5"/>
        </w:numPr>
        <w:spacing w:line="480" w:lineRule="auto"/>
        <w:rPr>
          <w:rFonts w:ascii="Calibri" w:hAnsi="Calibri"/>
        </w:rPr>
      </w:pPr>
      <w:r>
        <w:rPr>
          <w:rFonts w:ascii="Calibri" w:hAnsi="Calibri"/>
        </w:rPr>
        <w:t>Carslaw, D.C., Beevers, S.D., Tate, J.E., Westmoreland, E.J., Williams, M.L. Recent evidence concerning higher NOx emissions from passenger cars and light duty vehicles</w:t>
      </w:r>
      <w:r w:rsidR="00225D6F">
        <w:rPr>
          <w:rFonts w:ascii="Calibri" w:hAnsi="Calibri"/>
        </w:rPr>
        <w:t xml:space="preserve">. </w:t>
      </w:r>
      <w:r w:rsidR="00225D6F">
        <w:rPr>
          <w:rFonts w:ascii="Calibri" w:hAnsi="Calibri"/>
          <w:i/>
        </w:rPr>
        <w:t>Atmos Environ</w:t>
      </w:r>
      <w:r>
        <w:rPr>
          <w:rFonts w:ascii="Calibri" w:hAnsi="Calibri"/>
        </w:rPr>
        <w:t xml:space="preserve"> </w:t>
      </w:r>
      <w:r>
        <w:rPr>
          <w:rFonts w:ascii="Calibri" w:hAnsi="Calibri"/>
          <w:b/>
        </w:rPr>
        <w:t>45</w:t>
      </w:r>
      <w:r>
        <w:rPr>
          <w:rFonts w:ascii="Calibri" w:hAnsi="Calibri"/>
        </w:rPr>
        <w:t>:7053-7063 (2011).</w:t>
      </w:r>
    </w:p>
    <w:p w14:paraId="0F440C8E" w14:textId="6D24C3E7" w:rsidR="00E9380D" w:rsidRDefault="00E9380D" w:rsidP="00D26D1E">
      <w:pPr>
        <w:pStyle w:val="ListParagraph"/>
        <w:numPr>
          <w:ilvl w:val="0"/>
          <w:numId w:val="5"/>
        </w:numPr>
        <w:spacing w:line="480" w:lineRule="auto"/>
        <w:rPr>
          <w:rFonts w:ascii="Calibri" w:hAnsi="Calibri"/>
        </w:rPr>
      </w:pPr>
      <w:r>
        <w:t xml:space="preserve">Chen, Y.C., and Borken-Kleefeld, J. NOx </w:t>
      </w:r>
      <w:r w:rsidR="001471A1">
        <w:t xml:space="preserve">emissions </w:t>
      </w:r>
      <w:r>
        <w:t xml:space="preserve">from </w:t>
      </w:r>
      <w:r w:rsidR="001471A1">
        <w:t xml:space="preserve">diesel passenger cars worsen </w:t>
      </w:r>
      <w:r>
        <w:t xml:space="preserve">with </w:t>
      </w:r>
      <w:r w:rsidR="001471A1">
        <w:t>age</w:t>
      </w:r>
      <w:r w:rsidR="000E4440">
        <w:t>.</w:t>
      </w:r>
      <w:r>
        <w:t xml:space="preserve"> </w:t>
      </w:r>
      <w:r w:rsidRPr="00E9380D">
        <w:rPr>
          <w:i/>
        </w:rPr>
        <w:t>Environ Sci Technol</w:t>
      </w:r>
      <w:r>
        <w:t xml:space="preserve"> </w:t>
      </w:r>
      <w:r w:rsidRPr="00E9380D">
        <w:rPr>
          <w:b/>
        </w:rPr>
        <w:t>50</w:t>
      </w:r>
      <w:r>
        <w:t>: 3327-3332 (2016).</w:t>
      </w:r>
      <w:r>
        <w:rPr>
          <w:rFonts w:ascii="Calibri" w:hAnsi="Calibri"/>
        </w:rPr>
        <w:t xml:space="preserve"> </w:t>
      </w:r>
    </w:p>
    <w:p w14:paraId="553E1469" w14:textId="31746D4C" w:rsidR="00E9380D" w:rsidRDefault="00E9380D" w:rsidP="00EB6070">
      <w:pPr>
        <w:pStyle w:val="ListParagraph"/>
        <w:numPr>
          <w:ilvl w:val="0"/>
          <w:numId w:val="5"/>
        </w:numPr>
        <w:spacing w:line="480" w:lineRule="auto"/>
        <w:rPr>
          <w:rFonts w:ascii="Calibri" w:hAnsi="Calibri"/>
        </w:rPr>
      </w:pPr>
      <w:r>
        <w:t xml:space="preserve">Bishop, G.A., and Stedman, D.H. Reactive </w:t>
      </w:r>
      <w:r w:rsidR="001471A1">
        <w:t>n</w:t>
      </w:r>
      <w:r>
        <w:t xml:space="preserve">itrogen </w:t>
      </w:r>
      <w:r w:rsidR="001471A1">
        <w:t>s</w:t>
      </w:r>
      <w:r>
        <w:t xml:space="preserve">pecies </w:t>
      </w:r>
      <w:r w:rsidR="001471A1">
        <w:t>e</w:t>
      </w:r>
      <w:r>
        <w:t xml:space="preserve">mission </w:t>
      </w:r>
      <w:r w:rsidR="001471A1">
        <w:t>t</w:t>
      </w:r>
      <w:r>
        <w:t xml:space="preserve">rends in </w:t>
      </w:r>
      <w:r w:rsidR="001471A1">
        <w:t>t</w:t>
      </w:r>
      <w:r>
        <w:t xml:space="preserve">hree </w:t>
      </w:r>
      <w:r w:rsidR="001471A1">
        <w:t>l</w:t>
      </w:r>
      <w:r>
        <w:t>ight-/</w:t>
      </w:r>
      <w:r w:rsidR="001471A1">
        <w:t>m</w:t>
      </w:r>
      <w:r>
        <w:t>edium-</w:t>
      </w:r>
      <w:r w:rsidR="001471A1">
        <w:t>d</w:t>
      </w:r>
      <w:r>
        <w:t xml:space="preserve">uty United States </w:t>
      </w:r>
      <w:r w:rsidR="001471A1">
        <w:t>f</w:t>
      </w:r>
      <w:r>
        <w:t xml:space="preserve">leets, </w:t>
      </w:r>
      <w:r w:rsidRPr="00E9380D">
        <w:rPr>
          <w:i/>
        </w:rPr>
        <w:t>Environ Sci Technol</w:t>
      </w:r>
      <w:r>
        <w:t xml:space="preserve"> </w:t>
      </w:r>
      <w:r w:rsidRPr="00E9380D">
        <w:rPr>
          <w:b/>
        </w:rPr>
        <w:t>49</w:t>
      </w:r>
      <w:r>
        <w:t>: 11234-11240 (2015).</w:t>
      </w:r>
      <w:r w:rsidRPr="00C86E5C">
        <w:rPr>
          <w:rFonts w:ascii="Calibri" w:hAnsi="Calibri"/>
          <w:noProof/>
        </w:rPr>
        <w:t xml:space="preserve"> </w:t>
      </w:r>
    </w:p>
    <w:p w14:paraId="569B3FB8" w14:textId="5C5CF389" w:rsidR="001471A1" w:rsidRDefault="001471A1" w:rsidP="001471A1">
      <w:pPr>
        <w:pStyle w:val="ListParagraph"/>
        <w:numPr>
          <w:ilvl w:val="0"/>
          <w:numId w:val="5"/>
        </w:numPr>
        <w:spacing w:line="480" w:lineRule="auto"/>
        <w:rPr>
          <w:rFonts w:ascii="Calibri" w:hAnsi="Calibri"/>
        </w:rPr>
      </w:pPr>
      <w:r>
        <w:rPr>
          <w:rFonts w:ascii="Calibri" w:hAnsi="Calibri"/>
          <w:noProof/>
        </w:rPr>
        <w:t xml:space="preserve">Mock, P., and German, J. The future of vehicle emissions testing and compliance: How to align regulatory requirements, customer expectations, and environmental performance in the European Union. International Council on Clean Transportation, Washington, DC. Retrieved from </w:t>
      </w:r>
      <w:r w:rsidRPr="001471A1">
        <w:rPr>
          <w:rFonts w:ascii="Calibri" w:hAnsi="Calibri"/>
          <w:noProof/>
        </w:rPr>
        <w:t>http://www.theicct.org/sites/default/files/publications/ICCT_future-vehicle-testing_20151123.pdf</w:t>
      </w:r>
    </w:p>
    <w:p w14:paraId="78DED8E9" w14:textId="58522DC0" w:rsidR="00EB6070" w:rsidRPr="00203378" w:rsidRDefault="00EB6070" w:rsidP="00EB6070">
      <w:pPr>
        <w:pStyle w:val="ListParagraph"/>
        <w:numPr>
          <w:ilvl w:val="0"/>
          <w:numId w:val="5"/>
        </w:numPr>
        <w:spacing w:line="480" w:lineRule="auto"/>
        <w:rPr>
          <w:rFonts w:ascii="Calibri" w:hAnsi="Calibri"/>
        </w:rPr>
      </w:pPr>
      <w:r w:rsidRPr="00C86E5C">
        <w:rPr>
          <w:rFonts w:ascii="Calibri" w:hAnsi="Calibri"/>
          <w:noProof/>
        </w:rPr>
        <w:t>Forouzanfar, M.H.</w:t>
      </w:r>
      <w:r>
        <w:rPr>
          <w:rFonts w:ascii="Calibri" w:hAnsi="Calibri"/>
          <w:noProof/>
        </w:rPr>
        <w:t>,</w:t>
      </w:r>
      <w:r w:rsidRPr="00C86E5C">
        <w:rPr>
          <w:rFonts w:ascii="Calibri" w:hAnsi="Calibri"/>
          <w:noProof/>
        </w:rPr>
        <w:t xml:space="preserve"> et al. Global, regional, and national comparative risk assessment of 79 behavioural, environmental and occupational, and metabolic risks or clusters of risks</w:t>
      </w:r>
      <w:r>
        <w:rPr>
          <w:rFonts w:ascii="Calibri" w:hAnsi="Calibri"/>
          <w:noProof/>
        </w:rPr>
        <w:t>, 1990–</w:t>
      </w:r>
      <w:r>
        <w:rPr>
          <w:rFonts w:ascii="Calibri" w:hAnsi="Calibri"/>
          <w:noProof/>
        </w:rPr>
        <w:lastRenderedPageBreak/>
        <w:t>2015</w:t>
      </w:r>
      <w:r w:rsidRPr="00C86E5C">
        <w:rPr>
          <w:rFonts w:ascii="Calibri" w:hAnsi="Calibri"/>
          <w:noProof/>
        </w:rPr>
        <w:t>: a systematic analysis for the Glo</w:t>
      </w:r>
      <w:r>
        <w:rPr>
          <w:rFonts w:ascii="Calibri" w:hAnsi="Calibri"/>
          <w:noProof/>
        </w:rPr>
        <w:t>bal Burden of Disease Study 2015</w:t>
      </w:r>
      <w:r w:rsidRPr="00C86E5C">
        <w:rPr>
          <w:rFonts w:ascii="Calibri" w:hAnsi="Calibri"/>
          <w:noProof/>
        </w:rPr>
        <w:t xml:space="preserve">. </w:t>
      </w:r>
      <w:r w:rsidRPr="00583ECD">
        <w:rPr>
          <w:rFonts w:ascii="Calibri" w:hAnsi="Calibri"/>
          <w:i/>
          <w:noProof/>
        </w:rPr>
        <w:t>The Lancet</w:t>
      </w:r>
      <w:r w:rsidRPr="00C86E5C">
        <w:rPr>
          <w:rFonts w:ascii="Calibri" w:hAnsi="Calibri"/>
          <w:noProof/>
        </w:rPr>
        <w:t xml:space="preserve"> </w:t>
      </w:r>
      <w:r>
        <w:rPr>
          <w:rFonts w:ascii="Calibri" w:hAnsi="Calibri"/>
          <w:b/>
          <w:noProof/>
        </w:rPr>
        <w:t>388</w:t>
      </w:r>
      <w:r w:rsidRPr="00C86E5C">
        <w:rPr>
          <w:rFonts w:ascii="Calibri" w:hAnsi="Calibri"/>
          <w:noProof/>
        </w:rPr>
        <w:t xml:space="preserve">, </w:t>
      </w:r>
      <w:r>
        <w:rPr>
          <w:rFonts w:ascii="Calibri" w:hAnsi="Calibri"/>
          <w:noProof/>
        </w:rPr>
        <w:t>1659</w:t>
      </w:r>
      <w:r w:rsidR="0005582C">
        <w:rPr>
          <w:rFonts w:ascii="Calibri" w:hAnsi="Calibri"/>
          <w:noProof/>
        </w:rPr>
        <w:t>-1724 (2016</w:t>
      </w:r>
      <w:r>
        <w:rPr>
          <w:rFonts w:ascii="Calibri" w:hAnsi="Calibri"/>
          <w:noProof/>
        </w:rPr>
        <w:t>)</w:t>
      </w:r>
      <w:r w:rsidRPr="00C86E5C">
        <w:rPr>
          <w:rFonts w:ascii="Calibri" w:hAnsi="Calibri"/>
          <w:noProof/>
        </w:rPr>
        <w:t>.</w:t>
      </w:r>
    </w:p>
    <w:p w14:paraId="1692AFAC" w14:textId="2FB1715E" w:rsidR="00363988" w:rsidRPr="00EB6070" w:rsidRDefault="00363988" w:rsidP="00363988">
      <w:pPr>
        <w:pStyle w:val="ListParagraph"/>
        <w:numPr>
          <w:ilvl w:val="0"/>
          <w:numId w:val="5"/>
        </w:numPr>
        <w:spacing w:line="480" w:lineRule="auto"/>
        <w:rPr>
          <w:rFonts w:ascii="Calibri" w:hAnsi="Calibri"/>
        </w:rPr>
      </w:pPr>
      <w:r w:rsidRPr="00EA0FFB">
        <w:rPr>
          <w:rFonts w:ascii="Calibri" w:hAnsi="Calibri" w:cs="Helvetica"/>
          <w:lang w:eastAsia="ja-JP"/>
        </w:rPr>
        <w:t>Kodjak, D. (2015</w:t>
      </w:r>
      <w:r w:rsidRPr="00E174F4">
        <w:rPr>
          <w:rFonts w:ascii="Calibri" w:hAnsi="Calibri" w:cs="Helvetica"/>
          <w:lang w:eastAsia="ja-JP"/>
        </w:rPr>
        <w:t>).</w:t>
      </w:r>
      <w:r>
        <w:rPr>
          <w:rFonts w:ascii="Calibri" w:hAnsi="Calibri" w:cs="Helvetica"/>
          <w:lang w:eastAsia="ja-JP"/>
        </w:rPr>
        <w:t xml:space="preserve"> </w:t>
      </w:r>
      <w:r w:rsidRPr="00EA0FFB">
        <w:rPr>
          <w:rFonts w:ascii="Calibri" w:hAnsi="Calibri" w:cs="Helvetica"/>
          <w:i/>
          <w:lang w:eastAsia="ja-JP"/>
        </w:rPr>
        <w:t>Policies to reduce fuel consumption, air pollution, and carbon emissions from vehicles in G20 nations</w:t>
      </w:r>
      <w:r>
        <w:rPr>
          <w:rFonts w:ascii="Calibri" w:hAnsi="Calibri" w:cs="Helvetica"/>
          <w:lang w:eastAsia="ja-JP"/>
        </w:rPr>
        <w:t xml:space="preserve">. </w:t>
      </w:r>
      <w:r w:rsidRPr="00044859">
        <w:rPr>
          <w:rFonts w:ascii="Calibri" w:hAnsi="Calibri"/>
        </w:rPr>
        <w:t>International Council on Clean Transportation, Washington, DC.</w:t>
      </w:r>
      <w:r>
        <w:rPr>
          <w:rFonts w:ascii="Calibri" w:hAnsi="Calibri"/>
        </w:rPr>
        <w:t xml:space="preserve"> </w:t>
      </w:r>
      <w:r w:rsidRPr="00044859">
        <w:rPr>
          <w:rFonts w:ascii="Calibri" w:hAnsi="Calibri" w:cs="Calibri"/>
          <w:lang w:eastAsia="ja-JP"/>
        </w:rPr>
        <w:t xml:space="preserve">Retrieved from </w:t>
      </w:r>
      <w:hyperlink r:id="rId18" w:history="1">
        <w:r w:rsidR="00EB6070" w:rsidRPr="003E0B09">
          <w:rPr>
            <w:rStyle w:val="Hyperlink"/>
            <w:rFonts w:ascii="Calibri" w:hAnsi="Calibri" w:cs="Helvetica"/>
            <w:lang w:eastAsia="ja-JP"/>
          </w:rPr>
          <w:t>http://www.theicct.org/policies-reduce-fuel-consumption-air-pollution-and-carbon-emissions-vehicles-g20-nations</w:t>
        </w:r>
      </w:hyperlink>
      <w:r w:rsidR="00CC4343">
        <w:rPr>
          <w:rStyle w:val="Hyperlink"/>
          <w:rFonts w:ascii="Calibri" w:hAnsi="Calibri" w:cs="Helvetica"/>
          <w:u w:val="none"/>
          <w:lang w:eastAsia="ja-JP"/>
        </w:rPr>
        <w:t xml:space="preserve">, </w:t>
      </w:r>
      <w:r w:rsidR="00CC4343" w:rsidRPr="00CC4343">
        <w:rPr>
          <w:rStyle w:val="Hyperlink"/>
          <w:rFonts w:ascii="Calibri" w:hAnsi="Calibri" w:cs="Helvetica"/>
          <w:color w:val="auto"/>
          <w:u w:val="none"/>
          <w:lang w:eastAsia="ja-JP"/>
        </w:rPr>
        <w:t>Accessed January 14, 2017.</w:t>
      </w:r>
    </w:p>
    <w:p w14:paraId="6BAA8830" w14:textId="1F1B363A" w:rsidR="00EB6070" w:rsidRPr="00405616" w:rsidRDefault="00EB6070" w:rsidP="00EB6070">
      <w:pPr>
        <w:pStyle w:val="ListParagraph"/>
        <w:numPr>
          <w:ilvl w:val="0"/>
          <w:numId w:val="5"/>
        </w:numPr>
        <w:spacing w:line="480" w:lineRule="auto"/>
        <w:rPr>
          <w:rStyle w:val="Hyperlink"/>
          <w:rFonts w:ascii="Calibri" w:hAnsi="Calibri"/>
          <w:color w:val="auto"/>
          <w:u w:val="none"/>
        </w:rPr>
      </w:pPr>
      <w:r>
        <w:rPr>
          <w:rFonts w:ascii="Calibri" w:hAnsi="Calibri"/>
        </w:rPr>
        <w:t xml:space="preserve">German, J. (2014). </w:t>
      </w:r>
      <w:r w:rsidRPr="00EA0FFB">
        <w:rPr>
          <w:rFonts w:ascii="Calibri" w:hAnsi="Calibri"/>
          <w:i/>
        </w:rPr>
        <w:t>U.S. Tier 3 vehicle emissions and fuel quality standards, final rule</w:t>
      </w:r>
      <w:r>
        <w:rPr>
          <w:rFonts w:ascii="Calibri" w:hAnsi="Calibri"/>
        </w:rPr>
        <w:t xml:space="preserve">. </w:t>
      </w:r>
      <w:r w:rsidRPr="00044859">
        <w:rPr>
          <w:rFonts w:ascii="Calibri" w:hAnsi="Calibri"/>
        </w:rPr>
        <w:t>International Council on Clean Transportation, Washington, DC.</w:t>
      </w:r>
      <w:r>
        <w:rPr>
          <w:rFonts w:ascii="Calibri" w:hAnsi="Calibri"/>
        </w:rPr>
        <w:t xml:space="preserve"> Retrieved from </w:t>
      </w:r>
      <w:hyperlink r:id="rId19" w:history="1">
        <w:r w:rsidRPr="000D66B2">
          <w:rPr>
            <w:rStyle w:val="Hyperlink"/>
          </w:rPr>
          <w:t>http://www.theicct.org/us-tier-3-vehicle-emissions-and-fuel-quality-standards-final-rule</w:t>
        </w:r>
      </w:hyperlink>
      <w:r w:rsidR="00CC4343">
        <w:rPr>
          <w:rStyle w:val="Hyperlink"/>
          <w:u w:val="none"/>
        </w:rPr>
        <w:t xml:space="preserve">, </w:t>
      </w:r>
      <w:r w:rsidR="00CC4343" w:rsidRPr="00CC4343">
        <w:rPr>
          <w:rStyle w:val="Hyperlink"/>
          <w:color w:val="auto"/>
          <w:u w:val="none"/>
        </w:rPr>
        <w:t>Accessed January 14, 2017.</w:t>
      </w:r>
    </w:p>
    <w:p w14:paraId="08378710" w14:textId="76409A95" w:rsidR="00EB6070" w:rsidRPr="00405616" w:rsidRDefault="00EB6070" w:rsidP="00EB6070">
      <w:pPr>
        <w:pStyle w:val="ListParagraph"/>
        <w:numPr>
          <w:ilvl w:val="0"/>
          <w:numId w:val="5"/>
        </w:numPr>
        <w:spacing w:line="480" w:lineRule="auto"/>
        <w:rPr>
          <w:rFonts w:ascii="Calibri" w:hAnsi="Calibri"/>
        </w:rPr>
      </w:pPr>
      <w:r>
        <w:t xml:space="preserve">California Air Resources Board (CARB) (2014). </w:t>
      </w:r>
      <w:r w:rsidRPr="00766759">
        <w:rPr>
          <w:i/>
        </w:rPr>
        <w:t>Optional Reduced NOx Emission Standards for On-Road Heavy-duty Engines</w:t>
      </w:r>
      <w:r>
        <w:t>.</w:t>
      </w:r>
      <w:r w:rsidRPr="00766759">
        <w:t xml:space="preserve"> </w:t>
      </w:r>
      <w:r>
        <w:t xml:space="preserve">Retrieved from </w:t>
      </w:r>
      <w:hyperlink r:id="rId20" w:history="1">
        <w:r w:rsidRPr="00EE3166">
          <w:rPr>
            <w:rStyle w:val="Hyperlink"/>
          </w:rPr>
          <w:t>http://www.arb.ca.gov/msprog/onroad/optionnox/optionnox.htm</w:t>
        </w:r>
      </w:hyperlink>
      <w:r w:rsidR="00CC4343">
        <w:rPr>
          <w:rStyle w:val="Hyperlink"/>
          <w:color w:val="auto"/>
          <w:u w:val="none"/>
        </w:rPr>
        <w:t>, Accessed January 14, 2017.</w:t>
      </w:r>
    </w:p>
    <w:p w14:paraId="55451A66" w14:textId="47ECABBF" w:rsidR="00EB6070" w:rsidRPr="001976BD" w:rsidRDefault="00D577DA" w:rsidP="00D577DA">
      <w:pPr>
        <w:pStyle w:val="ListParagraph"/>
        <w:numPr>
          <w:ilvl w:val="0"/>
          <w:numId w:val="5"/>
        </w:numPr>
        <w:spacing w:line="480" w:lineRule="auto"/>
        <w:rPr>
          <w:rFonts w:ascii="Calibri" w:hAnsi="Calibri"/>
        </w:rPr>
      </w:pPr>
      <w:r w:rsidRPr="001976BD">
        <w:t>European Commission. Commission Regulation (EU)</w:t>
      </w:r>
      <w:r w:rsidR="00EB6070" w:rsidRPr="001976BD">
        <w:t xml:space="preserve"> </w:t>
      </w:r>
      <w:r w:rsidRPr="001976BD">
        <w:t xml:space="preserve">EU 2016/646 of 20 April 2016 amending Regulation (EC) No 692/2008 as regards emissions from light passenger and commercial vehicles (Euro 6) (Text with EEA relevance) (2016). Available at: </w:t>
      </w:r>
      <w:hyperlink r:id="rId21" w:history="1">
        <w:r w:rsidR="00CC4343" w:rsidRPr="00BB7F4E">
          <w:rPr>
            <w:rStyle w:val="Hyperlink"/>
          </w:rPr>
          <w:t>http://eur-lex.europa.eu/legal-content/EN/TXT/?uri=uriserv:OJ.L_.2016.109.01.0001.01.ENG</w:t>
        </w:r>
      </w:hyperlink>
      <w:r w:rsidR="00CC4343">
        <w:t>, Accessed January 14, 2017</w:t>
      </w:r>
      <w:r w:rsidRPr="001976BD">
        <w:t>.</w:t>
      </w:r>
    </w:p>
    <w:p w14:paraId="21D0E965" w14:textId="77777777" w:rsidR="001976BD" w:rsidRPr="00241519" w:rsidRDefault="001976BD" w:rsidP="001976BD">
      <w:pPr>
        <w:pStyle w:val="ListParagraph"/>
        <w:numPr>
          <w:ilvl w:val="0"/>
          <w:numId w:val="5"/>
        </w:numPr>
        <w:spacing w:line="480" w:lineRule="auto"/>
        <w:rPr>
          <w:b/>
          <w:sz w:val="28"/>
          <w:szCs w:val="28"/>
        </w:rPr>
      </w:pPr>
      <w:r>
        <w:rPr>
          <w:rFonts w:ascii="Calibri" w:hAnsi="Calibri"/>
        </w:rPr>
        <w:t xml:space="preserve">Barrett, S.R.H., Speth, R.L., Eastham, S.D., Dedoussi, I.C., Ashok, A., Malina, R., Keith, D.W. Impact of the Volkswagen emissions control defeat device on US public health. </w:t>
      </w:r>
      <w:r>
        <w:rPr>
          <w:rFonts w:ascii="Calibri" w:hAnsi="Calibri"/>
          <w:i/>
        </w:rPr>
        <w:t>Environ Res Lett</w:t>
      </w:r>
      <w:r>
        <w:rPr>
          <w:rFonts w:ascii="Calibri" w:hAnsi="Calibri"/>
        </w:rPr>
        <w:t xml:space="preserve"> </w:t>
      </w:r>
      <w:r>
        <w:rPr>
          <w:rFonts w:ascii="Calibri" w:hAnsi="Calibri"/>
          <w:b/>
        </w:rPr>
        <w:t>10</w:t>
      </w:r>
      <w:r>
        <w:rPr>
          <w:rFonts w:ascii="Calibri" w:hAnsi="Calibri"/>
        </w:rPr>
        <w:t>:114005 (2015).</w:t>
      </w:r>
    </w:p>
    <w:p w14:paraId="66968BF3" w14:textId="77777777" w:rsidR="001976BD" w:rsidRPr="00241519" w:rsidRDefault="001976BD" w:rsidP="001976BD">
      <w:pPr>
        <w:pStyle w:val="ListParagraph"/>
        <w:numPr>
          <w:ilvl w:val="0"/>
          <w:numId w:val="5"/>
        </w:numPr>
        <w:spacing w:line="480" w:lineRule="auto"/>
        <w:rPr>
          <w:b/>
          <w:sz w:val="28"/>
          <w:szCs w:val="28"/>
        </w:rPr>
      </w:pPr>
      <w:r>
        <w:rPr>
          <w:rFonts w:ascii="Calibri" w:hAnsi="Calibri"/>
        </w:rPr>
        <w:t xml:space="preserve">Holland, S.P., Mansur, E.T., Muller, N.Z., Yates, A.J. Damages and expected deaths due to excess NOx emissions from 2009 to 2015 Volkswagen diesel vehicles. </w:t>
      </w:r>
      <w:r>
        <w:rPr>
          <w:rFonts w:ascii="Calibri" w:hAnsi="Calibri"/>
          <w:i/>
        </w:rPr>
        <w:t>Environ Sci Technol</w:t>
      </w:r>
      <w:r>
        <w:rPr>
          <w:rFonts w:ascii="Calibri" w:hAnsi="Calibri"/>
        </w:rPr>
        <w:t xml:space="preserve"> </w:t>
      </w:r>
      <w:r>
        <w:rPr>
          <w:rFonts w:ascii="Calibri" w:hAnsi="Calibri"/>
          <w:b/>
        </w:rPr>
        <w:t>50</w:t>
      </w:r>
      <w:r>
        <w:rPr>
          <w:rFonts w:ascii="Calibri" w:hAnsi="Calibri"/>
        </w:rPr>
        <w:t>:1111-1117 (2015).</w:t>
      </w:r>
    </w:p>
    <w:p w14:paraId="3883D553" w14:textId="77777777" w:rsidR="001976BD" w:rsidRPr="001C5642" w:rsidRDefault="001976BD" w:rsidP="001976BD">
      <w:pPr>
        <w:pStyle w:val="ListParagraph"/>
        <w:numPr>
          <w:ilvl w:val="0"/>
          <w:numId w:val="5"/>
        </w:numPr>
        <w:spacing w:line="480" w:lineRule="auto"/>
        <w:rPr>
          <w:b/>
          <w:sz w:val="28"/>
          <w:szCs w:val="28"/>
        </w:rPr>
      </w:pPr>
      <w:r>
        <w:rPr>
          <w:rFonts w:ascii="Calibri" w:hAnsi="Calibri"/>
        </w:rPr>
        <w:lastRenderedPageBreak/>
        <w:t xml:space="preserve">Oldenkamp, R., van Zelm, R., Huijbregts, M.A.J. Valuing the human health damage caused by the fraud of Volkswagen. </w:t>
      </w:r>
      <w:r>
        <w:rPr>
          <w:rFonts w:ascii="Calibri" w:hAnsi="Calibri"/>
          <w:i/>
        </w:rPr>
        <w:t>Environmental Pollution</w:t>
      </w:r>
      <w:r>
        <w:rPr>
          <w:rFonts w:ascii="Calibri" w:hAnsi="Calibri"/>
        </w:rPr>
        <w:t xml:space="preserve"> </w:t>
      </w:r>
      <w:r>
        <w:rPr>
          <w:rFonts w:ascii="Calibri" w:hAnsi="Calibri"/>
          <w:b/>
        </w:rPr>
        <w:t>212</w:t>
      </w:r>
      <w:r>
        <w:rPr>
          <w:rFonts w:ascii="Calibri" w:hAnsi="Calibri"/>
        </w:rPr>
        <w:t>:121-127 (2016).</w:t>
      </w:r>
    </w:p>
    <w:p w14:paraId="626159DD" w14:textId="6ADA4630" w:rsidR="001976BD" w:rsidRDefault="001976BD" w:rsidP="001976BD">
      <w:pPr>
        <w:pStyle w:val="ListParagraph"/>
        <w:numPr>
          <w:ilvl w:val="0"/>
          <w:numId w:val="5"/>
        </w:numPr>
        <w:spacing w:line="480" w:lineRule="auto"/>
        <w:rPr>
          <w:rFonts w:ascii="Calibri" w:hAnsi="Calibri"/>
        </w:rPr>
      </w:pPr>
      <w:r>
        <w:rPr>
          <w:rFonts w:ascii="Calibri" w:hAnsi="Calibri"/>
        </w:rPr>
        <w:t xml:space="preserve">Hou, L., Zhang, K., Luthin, M.A., Baccarelli, A. Public health impact and economic costs of Volkswagen’s lack of compliance with the United States’ Emission Standards. </w:t>
      </w:r>
      <w:r>
        <w:rPr>
          <w:rFonts w:ascii="Calibri" w:hAnsi="Calibri"/>
          <w:i/>
        </w:rPr>
        <w:t>Int J Environ Res Public Health</w:t>
      </w:r>
      <w:r>
        <w:rPr>
          <w:rFonts w:ascii="Calibri" w:hAnsi="Calibri"/>
        </w:rPr>
        <w:t xml:space="preserve"> </w:t>
      </w:r>
      <w:r>
        <w:rPr>
          <w:rFonts w:ascii="Calibri" w:hAnsi="Calibri"/>
          <w:b/>
        </w:rPr>
        <w:t>13</w:t>
      </w:r>
      <w:r>
        <w:rPr>
          <w:rFonts w:ascii="Calibri" w:hAnsi="Calibri"/>
        </w:rPr>
        <w:t>:891 (2016).</w:t>
      </w:r>
    </w:p>
    <w:p w14:paraId="637ADD8E" w14:textId="12D48B11" w:rsidR="004678B6" w:rsidRPr="004678B6" w:rsidRDefault="00305E2B" w:rsidP="00225D6F">
      <w:pPr>
        <w:pStyle w:val="ListParagraph"/>
        <w:numPr>
          <w:ilvl w:val="0"/>
          <w:numId w:val="5"/>
        </w:numPr>
        <w:spacing w:line="480" w:lineRule="auto"/>
        <w:rPr>
          <w:rFonts w:ascii="Calibri" w:hAnsi="Calibri"/>
        </w:rPr>
      </w:pPr>
      <w:r>
        <w:rPr>
          <w:rFonts w:ascii="Calibri" w:hAnsi="Calibri"/>
        </w:rPr>
        <w:t xml:space="preserve">Miller, J. and Franco, V. </w:t>
      </w:r>
      <w:r w:rsidR="004678B6" w:rsidRPr="0081621F">
        <w:rPr>
          <w:rFonts w:ascii="Calibri" w:hAnsi="Calibri"/>
          <w:i/>
        </w:rPr>
        <w:t xml:space="preserve">Beyond RDE: Impact of improved regulation on real-world </w:t>
      </w:r>
      <w:r w:rsidR="00225D6F" w:rsidRPr="0081621F">
        <w:rPr>
          <w:rFonts w:ascii="Calibri" w:hAnsi="Calibri"/>
          <w:i/>
        </w:rPr>
        <w:t xml:space="preserve">NOx </w:t>
      </w:r>
      <w:r w:rsidR="004678B6" w:rsidRPr="0081621F">
        <w:rPr>
          <w:rFonts w:ascii="Calibri" w:hAnsi="Calibri"/>
          <w:i/>
        </w:rPr>
        <w:t>emissions from diesel passenger cars in the EU, 2015-2030</w:t>
      </w:r>
      <w:r w:rsidR="004678B6" w:rsidRPr="004678B6">
        <w:rPr>
          <w:rFonts w:ascii="Calibri" w:hAnsi="Calibri"/>
        </w:rPr>
        <w:t>. International Council on Clean Transportation</w:t>
      </w:r>
      <w:r>
        <w:rPr>
          <w:rFonts w:ascii="Calibri" w:hAnsi="Calibri"/>
        </w:rPr>
        <w:t xml:space="preserve"> (2016)</w:t>
      </w:r>
      <w:r w:rsidR="004678B6" w:rsidRPr="004678B6">
        <w:rPr>
          <w:rFonts w:ascii="Calibri" w:hAnsi="Calibri"/>
        </w:rPr>
        <w:t>.</w:t>
      </w:r>
      <w:r w:rsidR="00225D6F">
        <w:rPr>
          <w:rFonts w:ascii="Calibri" w:hAnsi="Calibri"/>
        </w:rPr>
        <w:t xml:space="preserve"> Retrieved from</w:t>
      </w:r>
      <w:r w:rsidR="00225D6F">
        <w:t xml:space="preserve">: </w:t>
      </w:r>
      <w:hyperlink r:id="rId22" w:history="1">
        <w:r w:rsidR="00225D6F" w:rsidRPr="00D02A78">
          <w:rPr>
            <w:rStyle w:val="Hyperlink"/>
          </w:rPr>
          <w:t>http://www.theicct.org/sites/default/files/publications/ICCT_real-world-NOX-RDE-2015-2030_dec2016.pdf</w:t>
        </w:r>
      </w:hyperlink>
      <w:r w:rsidR="00225D6F">
        <w:t>, Accessed January 13, 2017.</w:t>
      </w:r>
    </w:p>
    <w:p w14:paraId="70CE57A3" w14:textId="77777777" w:rsidR="001976BD" w:rsidRPr="00405616" w:rsidRDefault="001976BD" w:rsidP="001976BD">
      <w:pPr>
        <w:pStyle w:val="ListParagraph"/>
        <w:numPr>
          <w:ilvl w:val="0"/>
          <w:numId w:val="5"/>
        </w:numPr>
        <w:spacing w:line="480" w:lineRule="auto"/>
        <w:rPr>
          <w:b/>
          <w:sz w:val="28"/>
          <w:szCs w:val="28"/>
        </w:rPr>
      </w:pPr>
      <w:r w:rsidRPr="00044859">
        <w:rPr>
          <w:rFonts w:ascii="Calibri" w:hAnsi="Calibri"/>
        </w:rPr>
        <w:t>Myhre</w:t>
      </w:r>
      <w:r>
        <w:rPr>
          <w:rFonts w:ascii="Calibri" w:hAnsi="Calibri"/>
        </w:rPr>
        <w:t>, G.,</w:t>
      </w:r>
      <w:r w:rsidRPr="00044859">
        <w:rPr>
          <w:rFonts w:ascii="Calibri" w:hAnsi="Calibri"/>
        </w:rPr>
        <w:t xml:space="preserve"> et al. 2013. Anthropogenic and natural radiative forcing. In: Climate Change 2013: The Physical Science Basis. Contribution of Working Group I to the Fifth Assessment Report of the Intergovernmental Panel on Climate Change [Stocker, T.F., et al. (eds)] Cambridge University Press, Cambridge, United Kingdom and New York, NY, USA.</w:t>
      </w:r>
    </w:p>
    <w:p w14:paraId="28AE4C83" w14:textId="77777777" w:rsidR="004B4A89" w:rsidRDefault="004B4A89" w:rsidP="005005A8">
      <w:pPr>
        <w:spacing w:line="480" w:lineRule="auto"/>
        <w:rPr>
          <w:b/>
          <w:sz w:val="28"/>
          <w:szCs w:val="28"/>
        </w:rPr>
      </w:pPr>
    </w:p>
    <w:p w14:paraId="173A2355" w14:textId="28DAF7BC" w:rsidR="00B30518" w:rsidRDefault="00B30518" w:rsidP="005005A8">
      <w:pPr>
        <w:spacing w:line="480" w:lineRule="auto"/>
        <w:rPr>
          <w:b/>
          <w:sz w:val="28"/>
          <w:szCs w:val="28"/>
        </w:rPr>
      </w:pPr>
      <w:r>
        <w:rPr>
          <w:b/>
          <w:sz w:val="28"/>
          <w:szCs w:val="28"/>
        </w:rPr>
        <w:t xml:space="preserve">Methods </w:t>
      </w:r>
    </w:p>
    <w:p w14:paraId="2C6A300C" w14:textId="77777777" w:rsidR="0058515E" w:rsidRPr="0058515E" w:rsidRDefault="0058515E" w:rsidP="005005A8">
      <w:pPr>
        <w:spacing w:line="480" w:lineRule="auto"/>
        <w:rPr>
          <w:b/>
        </w:rPr>
      </w:pPr>
      <w:r w:rsidRPr="0058515E">
        <w:rPr>
          <w:b/>
        </w:rPr>
        <w:t>Emission scenarios</w:t>
      </w:r>
    </w:p>
    <w:p w14:paraId="438B0608" w14:textId="38D9991C" w:rsidR="00D20160" w:rsidRPr="008E2A74" w:rsidRDefault="00D20160" w:rsidP="00D20160">
      <w:pPr>
        <w:spacing w:line="480" w:lineRule="auto"/>
        <w:rPr>
          <w:rFonts w:eastAsia="Times New Roman" w:cs="Times New Roman"/>
        </w:rPr>
      </w:pPr>
      <w:r>
        <w:t>Emission scenarios for years 2015</w:t>
      </w:r>
      <w:r w:rsidR="00452158">
        <w:t>–</w:t>
      </w:r>
      <w:r>
        <w:t xml:space="preserve">2040 address light-duty vehicles (LDVs; passenger cars and light commercial vehicles) and heavy-duty vehicles (HDVs; buses and light, medium, and heavy heavy-duty trucks) </w:t>
      </w:r>
      <w:r w:rsidR="00B96363">
        <w:t xml:space="preserve">and </w:t>
      </w:r>
      <w:r>
        <w:t xml:space="preserve">are driven by assumptions of when individual countries/regions will adopt more stringent emission </w:t>
      </w:r>
      <w:r w:rsidR="00452158">
        <w:t>regulations</w:t>
      </w:r>
      <w:r>
        <w:t>. They exclude vehicles powered by gasoline or other non-diesel fuels and non-road diesel engines (e.g</w:t>
      </w:r>
      <w:r w:rsidR="00B96363">
        <w:t>.</w:t>
      </w:r>
      <w:r>
        <w:t xml:space="preserve"> locomotive, marine, and off-road equipment including diesel generators, </w:t>
      </w:r>
      <w:r>
        <w:lastRenderedPageBreak/>
        <w:t>construction, and agricultural equipment).</w:t>
      </w:r>
      <w:r w:rsidR="00D1154A">
        <w:t xml:space="preserve"> The emission scenarios with analysis year for h</w:t>
      </w:r>
      <w:r>
        <w:t>ealth, climate, and agricultural impacts are</w:t>
      </w:r>
      <w:r w:rsidR="00B96363">
        <w:rPr>
          <w:rFonts w:eastAsia="Times New Roman" w:cs="Times New Roman"/>
        </w:rPr>
        <w:t>:</w:t>
      </w:r>
    </w:p>
    <w:p w14:paraId="47732949" w14:textId="3D629645" w:rsidR="00D20160" w:rsidRPr="00DB529B" w:rsidRDefault="00D20160" w:rsidP="00D20160">
      <w:pPr>
        <w:pStyle w:val="ListParagraph"/>
        <w:numPr>
          <w:ilvl w:val="0"/>
          <w:numId w:val="4"/>
        </w:numPr>
        <w:spacing w:after="0" w:line="480" w:lineRule="auto"/>
      </w:pPr>
      <w:r w:rsidRPr="00DB529B">
        <w:rPr>
          <w:b/>
        </w:rPr>
        <w:t>Emission Limits</w:t>
      </w:r>
      <w:r>
        <w:rPr>
          <w:b/>
        </w:rPr>
        <w:t xml:space="preserve"> (Limits)</w:t>
      </w:r>
      <w:r w:rsidR="00305E2B">
        <w:rPr>
          <w:b/>
        </w:rPr>
        <w:t xml:space="preserve"> – 2015 and 2040</w:t>
      </w:r>
      <w:r w:rsidRPr="00DB529B">
        <w:rPr>
          <w:b/>
        </w:rPr>
        <w:t>:</w:t>
      </w:r>
      <w:r w:rsidRPr="00DB529B">
        <w:t xml:space="preserve"> </w:t>
      </w:r>
      <w:r w:rsidRPr="00AC2D23">
        <w:t>Counterfactual where real-world NOx emissions are equivalent to certification limits</w:t>
      </w:r>
      <w:r>
        <w:t>, reflecting</w:t>
      </w:r>
      <w:r w:rsidRPr="00AC2D23">
        <w:t xml:space="preserve"> what diesel NOx emissions would be</w:t>
      </w:r>
      <w:r w:rsidR="00B62224">
        <w:t xml:space="preserve"> without an</w:t>
      </w:r>
      <w:r w:rsidRPr="00AC2D23">
        <w:t xml:space="preserve"> “excess NOx” problem.</w:t>
      </w:r>
    </w:p>
    <w:p w14:paraId="2803C131" w14:textId="5C0AAC41" w:rsidR="00D20160" w:rsidRPr="00DB529B" w:rsidRDefault="00D20160" w:rsidP="00D20160">
      <w:pPr>
        <w:pStyle w:val="ListParagraph"/>
        <w:numPr>
          <w:ilvl w:val="0"/>
          <w:numId w:val="4"/>
        </w:numPr>
        <w:spacing w:after="0" w:line="480" w:lineRule="auto"/>
      </w:pPr>
      <w:r w:rsidRPr="00DB529B">
        <w:rPr>
          <w:b/>
        </w:rPr>
        <w:t>Baseline</w:t>
      </w:r>
      <w:r>
        <w:rPr>
          <w:b/>
        </w:rPr>
        <w:t xml:space="preserve"> – 2015 and 2040</w:t>
      </w:r>
      <w:r w:rsidRPr="00DB529B">
        <w:rPr>
          <w:b/>
        </w:rPr>
        <w:t>:</w:t>
      </w:r>
      <w:r w:rsidRPr="00DB529B">
        <w:t xml:space="preserve"> </w:t>
      </w:r>
      <w:r w:rsidRPr="00AC2D23">
        <w:t xml:space="preserve">Best estimate of how </w:t>
      </w:r>
      <w:r w:rsidR="004B21B9">
        <w:t xml:space="preserve">currently </w:t>
      </w:r>
      <w:r w:rsidRPr="00AC2D23">
        <w:t>adopted NOx emission standards perform</w:t>
      </w:r>
      <w:r>
        <w:t xml:space="preserve"> in the real world. Comparison</w:t>
      </w:r>
      <w:r w:rsidRPr="00AC2D23">
        <w:t xml:space="preserve"> with the Limits scenario allows the estimation of “excess NOx” emissions and associated impacts. </w:t>
      </w:r>
    </w:p>
    <w:p w14:paraId="33174F51" w14:textId="4B7A629B" w:rsidR="00D20160" w:rsidRPr="00DB529B" w:rsidRDefault="00D20160" w:rsidP="00D20160">
      <w:pPr>
        <w:pStyle w:val="ListParagraph"/>
        <w:numPr>
          <w:ilvl w:val="0"/>
          <w:numId w:val="4"/>
        </w:numPr>
        <w:spacing w:after="0" w:line="480" w:lineRule="auto"/>
      </w:pPr>
      <w:r w:rsidRPr="00DB529B">
        <w:rPr>
          <w:b/>
        </w:rPr>
        <w:t>Euro 6/VI</w:t>
      </w:r>
      <w:r>
        <w:rPr>
          <w:b/>
        </w:rPr>
        <w:t xml:space="preserve"> – 2040</w:t>
      </w:r>
      <w:r w:rsidRPr="00DB529B">
        <w:rPr>
          <w:b/>
        </w:rPr>
        <w:t>:</w:t>
      </w:r>
      <w:r w:rsidRPr="00DB529B">
        <w:t xml:space="preserve"> </w:t>
      </w:r>
      <w:r>
        <w:t xml:space="preserve">Adds to the Baseline scenario </w:t>
      </w:r>
      <w:r w:rsidRPr="00DB529B">
        <w:t>emissions standards</w:t>
      </w:r>
      <w:r>
        <w:t xml:space="preserve"> for LDVs and HDVs</w:t>
      </w:r>
      <w:r w:rsidRPr="00DB529B">
        <w:t xml:space="preserve"> equivalent to Euro 6/VI </w:t>
      </w:r>
      <w:r>
        <w:t xml:space="preserve">“as is” </w:t>
      </w:r>
      <w:r w:rsidRPr="00AC2D23">
        <w:t>(without modifications to existing type approval and compliance and enforcement provisions)</w:t>
      </w:r>
      <w:r>
        <w:t xml:space="preserve"> in regions where these are not yet adopted (Australia, Brazil, China, Mexico, Russia)</w:t>
      </w:r>
      <w:r w:rsidRPr="00DB529B">
        <w:t>.</w:t>
      </w:r>
      <w:r>
        <w:t xml:space="preserve"> </w:t>
      </w:r>
    </w:p>
    <w:p w14:paraId="204A9A17" w14:textId="33C27A94" w:rsidR="00D20160" w:rsidRPr="00DB529B" w:rsidRDefault="0036746D" w:rsidP="00D20160">
      <w:pPr>
        <w:pStyle w:val="ListParagraph"/>
        <w:numPr>
          <w:ilvl w:val="0"/>
          <w:numId w:val="4"/>
        </w:numPr>
        <w:spacing w:after="0" w:line="480" w:lineRule="auto"/>
      </w:pPr>
      <w:r>
        <w:rPr>
          <w:b/>
        </w:rPr>
        <w:t xml:space="preserve">Strong </w:t>
      </w:r>
      <w:r w:rsidR="00D20160">
        <w:rPr>
          <w:b/>
        </w:rPr>
        <w:t>Real-Driving Emissions</w:t>
      </w:r>
      <w:r>
        <w:rPr>
          <w:b/>
        </w:rPr>
        <w:t xml:space="preserve"> program</w:t>
      </w:r>
      <w:r w:rsidR="00D20160">
        <w:rPr>
          <w:b/>
        </w:rPr>
        <w:t xml:space="preserve"> for LDVs – 2040 (</w:t>
      </w:r>
      <w:r>
        <w:rPr>
          <w:b/>
        </w:rPr>
        <w:t xml:space="preserve">Strong </w:t>
      </w:r>
      <w:r w:rsidR="00D20160">
        <w:rPr>
          <w:b/>
        </w:rPr>
        <w:t>RDE)</w:t>
      </w:r>
      <w:r w:rsidR="00D20160" w:rsidRPr="00DB529B">
        <w:rPr>
          <w:b/>
        </w:rPr>
        <w:t>:</w:t>
      </w:r>
      <w:r w:rsidR="00D20160" w:rsidRPr="00DB529B">
        <w:t xml:space="preserve"> </w:t>
      </w:r>
      <w:r w:rsidR="00D20160">
        <w:t>Adds to the Euro 6/VI scenario strong</w:t>
      </w:r>
      <w:r w:rsidR="00D20160" w:rsidRPr="00DB529B">
        <w:t xml:space="preserve"> </w:t>
      </w:r>
      <w:r w:rsidR="00D20160">
        <w:t xml:space="preserve">diesel LDV </w:t>
      </w:r>
      <w:r w:rsidR="00D20160" w:rsidRPr="00DB529B">
        <w:t>RDE program</w:t>
      </w:r>
      <w:r w:rsidR="00D20160">
        <w:t xml:space="preserve">s, modeled after the EU-28’s adopted RDE regulation plus the inclusion of cold-start emissions, </w:t>
      </w:r>
      <w:r w:rsidR="00D20160" w:rsidRPr="00143EA2">
        <w:t>in-use compliance testing</w:t>
      </w:r>
      <w:r w:rsidR="00D20160">
        <w:t>,</w:t>
      </w:r>
      <w:r w:rsidR="00D20160" w:rsidRPr="00143EA2">
        <w:t xml:space="preserve"> and expand</w:t>
      </w:r>
      <w:r w:rsidR="00D20160">
        <w:t>ed</w:t>
      </w:r>
      <w:r w:rsidR="00D20160" w:rsidRPr="00143EA2">
        <w:t xml:space="preserve"> test procedure boundaries </w:t>
      </w:r>
      <w:r w:rsidR="00D20160">
        <w:t>covering</w:t>
      </w:r>
      <w:r w:rsidR="00D20160" w:rsidRPr="00143EA2">
        <w:t xml:space="preserve"> a wider range of ambient temperatures, altitudes and driving styles</w:t>
      </w:r>
      <w:r w:rsidR="00D20160" w:rsidRPr="00DB529B">
        <w:t xml:space="preserve">. </w:t>
      </w:r>
    </w:p>
    <w:p w14:paraId="690618A7" w14:textId="6421DBF4" w:rsidR="00D20160" w:rsidRPr="008E2A74" w:rsidRDefault="00D20160" w:rsidP="00D20160">
      <w:pPr>
        <w:numPr>
          <w:ilvl w:val="0"/>
          <w:numId w:val="4"/>
        </w:numPr>
        <w:spacing w:before="100" w:beforeAutospacing="1" w:after="100" w:afterAutospacing="1" w:line="480" w:lineRule="auto"/>
        <w:rPr>
          <w:rFonts w:eastAsia="Times New Roman" w:cs="Times New Roman"/>
        </w:rPr>
      </w:pPr>
      <w:r w:rsidRPr="00DB529B">
        <w:rPr>
          <w:b/>
        </w:rPr>
        <w:t>Next Gen</w:t>
      </w:r>
      <w:r>
        <w:rPr>
          <w:b/>
        </w:rPr>
        <w:t>eration – 2040 (NextGen)</w:t>
      </w:r>
      <w:r w:rsidRPr="00DB529B">
        <w:rPr>
          <w:b/>
        </w:rPr>
        <w:t>:</w:t>
      </w:r>
      <w:r w:rsidRPr="00DB529B">
        <w:t xml:space="preserve"> </w:t>
      </w:r>
      <w:r>
        <w:t>Adds to the</w:t>
      </w:r>
      <w:r w:rsidR="0036746D">
        <w:t xml:space="preserve"> Strong</w:t>
      </w:r>
      <w:r>
        <w:t xml:space="preserve"> RDE scenario </w:t>
      </w:r>
      <w:r w:rsidRPr="00DB529B">
        <w:t xml:space="preserve">progressive implementation of next-generation emissions standards </w:t>
      </w:r>
      <w:r>
        <w:t xml:space="preserve">(more stringent than Euro 6/VI) </w:t>
      </w:r>
      <w:r w:rsidRPr="00DB529B">
        <w:t xml:space="preserve">based on </w:t>
      </w:r>
      <w:r>
        <w:t>the U.S. Tier 3 standard for LDVs</w:t>
      </w:r>
      <w:r w:rsidRPr="00DB529B">
        <w:t xml:space="preserve"> and California’s voluntary NOx rule for HDVs.</w:t>
      </w:r>
      <w:r>
        <w:t xml:space="preserve"> </w:t>
      </w:r>
    </w:p>
    <w:p w14:paraId="29ECB6A1" w14:textId="66DB6AE3" w:rsidR="00D20160" w:rsidRDefault="00D20160" w:rsidP="00D20160">
      <w:pPr>
        <w:spacing w:line="480" w:lineRule="auto"/>
      </w:pPr>
      <w:r>
        <w:t xml:space="preserve">We generate emission inventories </w:t>
      </w:r>
      <w:r w:rsidR="006B6D2F">
        <w:t xml:space="preserve">for 11 major vehicle markets </w:t>
      </w:r>
      <w:r>
        <w:t xml:space="preserve">by combining NOx emission factors with dates of implemented vehicle regulations, extensive historical data on diesel vehicle activity, sales and population, and vehicle activity projections through 2040. We adapt an established global </w:t>
      </w:r>
      <w:r>
        <w:lastRenderedPageBreak/>
        <w:t>transportation emission inventory model that since 2012 has been applied in numer</w:t>
      </w:r>
      <w:r w:rsidR="00A80606">
        <w:t>ous global and regional studies</w:t>
      </w:r>
      <w:r>
        <w:t xml:space="preserve"> and validated against </w:t>
      </w:r>
      <w:r w:rsidR="00A80606">
        <w:t xml:space="preserve">other </w:t>
      </w:r>
      <w:r>
        <w:t>leading models</w:t>
      </w:r>
      <w:r w:rsidR="00926A25">
        <w:t>.</w:t>
      </w:r>
      <w:r w:rsidR="007933CF">
        <w:rPr>
          <w:vertAlign w:val="superscript"/>
        </w:rPr>
        <w:t>3</w:t>
      </w:r>
      <w:r w:rsidR="00DE022C">
        <w:rPr>
          <w:vertAlign w:val="superscript"/>
        </w:rPr>
        <w:t>2</w:t>
      </w:r>
      <w:r>
        <w:t xml:space="preserve"> Most diesel vehicle activity is concentrated in the five largest markets (</w:t>
      </w:r>
      <w:r w:rsidRPr="004B4B32">
        <w:t>EU-28</w:t>
      </w:r>
      <w:r>
        <w:t>,</w:t>
      </w:r>
      <w:r w:rsidRPr="00970CEE">
        <w:t xml:space="preserve"> </w:t>
      </w:r>
      <w:r w:rsidRPr="004B4B32">
        <w:t>China, India, U.S.</w:t>
      </w:r>
      <w:r>
        <w:t xml:space="preserve"> and Brazil), and this share is projected to </w:t>
      </w:r>
      <w:r w:rsidR="00F63DA7">
        <w:t>grow</w:t>
      </w:r>
      <w:r>
        <w:t xml:space="preserve"> from 2015–2040 (81–88% for HDVs and 93–96</w:t>
      </w:r>
      <w:r w:rsidRPr="004B4B32">
        <w:t xml:space="preserve">% </w:t>
      </w:r>
      <w:r>
        <w:t xml:space="preserve">for LDVs; </w:t>
      </w:r>
      <w:r>
        <w:fldChar w:fldCharType="begin"/>
      </w:r>
      <w:r>
        <w:instrText xml:space="preserve"> REF _Ref469309691 \h </w:instrText>
      </w:r>
      <w:r>
        <w:fldChar w:fldCharType="separate"/>
      </w:r>
      <w:r w:rsidR="00B4223E">
        <w:t xml:space="preserve">Extended Data Figure </w:t>
      </w:r>
      <w:r w:rsidR="00B4223E">
        <w:rPr>
          <w:noProof/>
        </w:rPr>
        <w:t>4</w:t>
      </w:r>
      <w:r>
        <w:fldChar w:fldCharType="end"/>
      </w:r>
      <w:r w:rsidR="00F63DA7">
        <w:t xml:space="preserve">), </w:t>
      </w:r>
      <w:r>
        <w:t>driven by increasing car ownership in China and India and growing demand for road freight with increases in economic output.</w:t>
      </w:r>
      <w:r w:rsidR="00255D79">
        <w:t xml:space="preserve"> </w:t>
      </w:r>
    </w:p>
    <w:p w14:paraId="792710E8" w14:textId="3B294882" w:rsidR="00D20160" w:rsidRDefault="00D20160" w:rsidP="00D20160">
      <w:pPr>
        <w:spacing w:line="480" w:lineRule="auto"/>
      </w:pPr>
      <w:r>
        <w:t xml:space="preserve">Baseline emission factors for each vehicle type and region are </w:t>
      </w:r>
      <w:r w:rsidRPr="009F5769">
        <w:t>based on</w:t>
      </w:r>
      <w:r>
        <w:t xml:space="preserve"> a review of &gt;30 studies of </w:t>
      </w:r>
      <w:r w:rsidR="0005075F">
        <w:t xml:space="preserve">emission factor modeling and </w:t>
      </w:r>
      <w:r>
        <w:t>in-use emissions testing using PEMS, chassis testing, and remote sensing covering thousands of vehicles</w:t>
      </w:r>
      <w:r w:rsidRPr="009F5769">
        <w:t xml:space="preserve"> conducted </w:t>
      </w:r>
      <w:r w:rsidR="00F63DA7">
        <w:t>mainly</w:t>
      </w:r>
      <w:r>
        <w:t xml:space="preserve"> in the U.S., Europe, </w:t>
      </w:r>
      <w:r w:rsidR="00677D10">
        <w:t xml:space="preserve">China and </w:t>
      </w:r>
      <w:r>
        <w:t xml:space="preserve">Japan. Studies were identified by requests to experts and government contacts, supplemented by searching combinations of key words </w:t>
      </w:r>
      <w:r w:rsidR="00F63DA7">
        <w:t xml:space="preserve">(i.e. NOx, diesel, vehicles, road transport, PEMS, remote sensing) </w:t>
      </w:r>
      <w:r>
        <w:t xml:space="preserve">in academic </w:t>
      </w:r>
      <w:r w:rsidR="00F63DA7">
        <w:t xml:space="preserve">literature </w:t>
      </w:r>
      <w:r>
        <w:t xml:space="preserve">databases. Increased weight </w:t>
      </w:r>
      <w:r w:rsidR="00F63DA7">
        <w:t>is</w:t>
      </w:r>
      <w:r>
        <w:t xml:space="preserve"> given to studies conducted within the past 5 years.</w:t>
      </w:r>
      <w:r w:rsidR="00320D81">
        <w:t xml:space="preserve"> EU real-world emission factors are applied to markets following EU regulations (Australia, Brazil, India, Russia, and South Korea</w:t>
      </w:r>
      <w:r w:rsidR="0005075F">
        <w:t>)</w:t>
      </w:r>
      <w:r w:rsidR="00926A25">
        <w:t>.</w:t>
      </w:r>
      <w:r w:rsidR="0005075F">
        <w:t xml:space="preserve"> </w:t>
      </w:r>
      <w:r w:rsidR="00422BD2">
        <w:t>Since Japan’s LDV regulatory program has progressed similarly to EU standards, the same LDV factors were applied to the EU and Japa</w:t>
      </w:r>
      <w:r w:rsidR="00D72669">
        <w:t>n except Euro 6, for which Japan’s sales mix has led to slightly lower emissions</w:t>
      </w:r>
      <w:r w:rsidR="00422BD2">
        <w:t xml:space="preserve">. </w:t>
      </w:r>
      <w:r w:rsidR="00D72669">
        <w:t xml:space="preserve">The same HDV factors were applied to the EU and Japan with the exception of Japan’s 2009 and 2016 standards, for which </w:t>
      </w:r>
      <w:r w:rsidR="00422BD2">
        <w:t>EU real-world multipliers were applied to Japan-specific emission limits.</w:t>
      </w:r>
      <w:r w:rsidR="0005075F">
        <w:t xml:space="preserve"> </w:t>
      </w:r>
      <w:r w:rsidR="00926A25">
        <w:t xml:space="preserve">U.S. emission factors were applied to Mexico and Canada. </w:t>
      </w:r>
      <w:r w:rsidR="0005075F">
        <w:t>China HDV factors were derived from local studies, whereas LDV factors were based on EU real-world multipliers.</w:t>
      </w:r>
      <w:r w:rsidR="00ED693E">
        <w:t xml:space="preserve"> </w:t>
      </w:r>
    </w:p>
    <w:p w14:paraId="6AC08CFD" w14:textId="77777777" w:rsidR="00D20160" w:rsidRPr="00B42BFB" w:rsidRDefault="00D20160" w:rsidP="00D20160">
      <w:pPr>
        <w:spacing w:line="480" w:lineRule="auto"/>
      </w:pPr>
    </w:p>
    <w:p w14:paraId="77EDB7B9" w14:textId="77777777" w:rsidR="00D20160" w:rsidRPr="00BA27AA" w:rsidRDefault="00D20160" w:rsidP="00D20160">
      <w:pPr>
        <w:spacing w:line="480" w:lineRule="auto"/>
        <w:rPr>
          <w:b/>
        </w:rPr>
      </w:pPr>
      <w:r w:rsidRPr="00BA27AA">
        <w:rPr>
          <w:b/>
        </w:rPr>
        <w:t>Heavy-duty vehicle emission factors</w:t>
      </w:r>
    </w:p>
    <w:p w14:paraId="75AE3109" w14:textId="68CEC85B" w:rsidR="00D20160" w:rsidRDefault="00320D81" w:rsidP="00D20160">
      <w:pPr>
        <w:spacing w:after="0" w:line="480" w:lineRule="auto"/>
      </w:pPr>
      <w:r>
        <w:t>W</w:t>
      </w:r>
      <w:r w:rsidR="00D20160">
        <w:t>e first convert HDV emission limits (which are based on engine work, e.g. grams per kWh), to distance-based limits in grams per vehicle-km (</w:t>
      </w:r>
      <w:r w:rsidR="00D20160">
        <w:fldChar w:fldCharType="begin"/>
      </w:r>
      <w:r w:rsidR="00D20160">
        <w:instrText xml:space="preserve"> REF _Ref469563474 \h </w:instrText>
      </w:r>
      <w:r w:rsidR="00D20160">
        <w:fldChar w:fldCharType="separate"/>
      </w:r>
      <w:r w:rsidR="00B4223E">
        <w:t xml:space="preserve">Extended Data Figure </w:t>
      </w:r>
      <w:r w:rsidR="00B4223E">
        <w:rPr>
          <w:noProof/>
        </w:rPr>
        <w:t>5</w:t>
      </w:r>
      <w:r w:rsidR="00D20160">
        <w:fldChar w:fldCharType="end"/>
      </w:r>
      <w:r w:rsidR="00D20160">
        <w:t xml:space="preserve">) using estimates of brake specific fuel </w:t>
      </w:r>
      <w:r w:rsidR="00D20160">
        <w:lastRenderedPageBreak/>
        <w:t xml:space="preserve">consumption (a measure of engine efficiency over the test cycle) and in-use fuel consumption (a measure of vehicle efficiency that reflects region-specific driving conditions). We then develop real-world emission factors for each region and vehicle type using a combination of established models and results from our literature review. For most </w:t>
      </w:r>
      <w:r w:rsidR="00926A25">
        <w:t>HDV</w:t>
      </w:r>
      <w:r w:rsidR="00D20160">
        <w:t xml:space="preserve"> emission factors, we assume a 25% margin of error to account for variability in emission measurements a</w:t>
      </w:r>
      <w:r w:rsidR="007768CF">
        <w:t>nd traffic composition</w:t>
      </w:r>
      <w:r w:rsidR="00D20160">
        <w:t>.</w:t>
      </w:r>
      <w:r w:rsidR="007768CF" w:rsidRPr="007768CF">
        <w:rPr>
          <w:vertAlign w:val="superscript"/>
        </w:rPr>
        <w:t>3</w:t>
      </w:r>
      <w:r w:rsidR="00DE022C">
        <w:rPr>
          <w:vertAlign w:val="superscript"/>
        </w:rPr>
        <w:t>3</w:t>
      </w:r>
    </w:p>
    <w:p w14:paraId="369C17C9" w14:textId="74DB8230" w:rsidR="00D20160" w:rsidRDefault="00D20160" w:rsidP="00D20160">
      <w:pPr>
        <w:spacing w:after="0" w:line="480" w:lineRule="auto"/>
      </w:pPr>
      <w:r>
        <w:t>For the EU-28 and U.S., we start with established modeled estimates and update these with published in-use emissions testing results where substantially different. Central estimates of emission factors for Euro III, IV, and V vehicles are from Em</w:t>
      </w:r>
      <w:r w:rsidR="007768CF">
        <w:t>isia’s Sibyl model</w:t>
      </w:r>
      <w:r w:rsidR="007768CF" w:rsidRPr="007768CF">
        <w:rPr>
          <w:vertAlign w:val="superscript"/>
        </w:rPr>
        <w:t>3</w:t>
      </w:r>
      <w:r w:rsidR="00DE022C">
        <w:rPr>
          <w:vertAlign w:val="superscript"/>
        </w:rPr>
        <w:t>4</w:t>
      </w:r>
      <w:r>
        <w:t xml:space="preserve">, which draws its emission factors from the </w:t>
      </w:r>
      <w:r w:rsidRPr="00A70378">
        <w:t>European Environment Agency</w:t>
      </w:r>
      <w:r>
        <w:t xml:space="preserve"> and </w:t>
      </w:r>
      <w:r w:rsidR="006F43B2">
        <w:t>Europea</w:t>
      </w:r>
      <w:r w:rsidR="00C563B1">
        <w:t>n</w:t>
      </w:r>
      <w:r w:rsidR="006F43B2">
        <w:t xml:space="preserve"> Commission</w:t>
      </w:r>
      <w:r w:rsidR="002838E0">
        <w:t xml:space="preserve">-supported </w:t>
      </w:r>
      <w:r>
        <w:t>COPERT software. These emission factors are consistent with remote sensing measurements</w:t>
      </w:r>
      <w:r w:rsidR="00A80606">
        <w:rPr>
          <w:vertAlign w:val="superscript"/>
        </w:rPr>
        <w:t>17</w:t>
      </w:r>
      <w:r w:rsidR="007768CF" w:rsidRPr="007768CF">
        <w:rPr>
          <w:vertAlign w:val="superscript"/>
        </w:rPr>
        <w:t>,3</w:t>
      </w:r>
      <w:r w:rsidR="00DE022C">
        <w:rPr>
          <w:vertAlign w:val="superscript"/>
        </w:rPr>
        <w:t>5</w:t>
      </w:r>
      <w:r>
        <w:t xml:space="preserve"> and other EU real-world NO</w:t>
      </w:r>
      <w:r w:rsidRPr="00761BAE">
        <w:rPr>
          <w:vertAlign w:val="subscript"/>
        </w:rPr>
        <w:t>X</w:t>
      </w:r>
      <w:r>
        <w:t xml:space="preserve"> emissions studies</w:t>
      </w:r>
      <w:r w:rsidR="007768CF" w:rsidRPr="007768CF">
        <w:rPr>
          <w:vertAlign w:val="superscript"/>
        </w:rPr>
        <w:t>1</w:t>
      </w:r>
      <w:r w:rsidR="00DE022C">
        <w:rPr>
          <w:vertAlign w:val="superscript"/>
        </w:rPr>
        <w:t>6</w:t>
      </w:r>
      <w:r w:rsidR="007768CF" w:rsidRPr="007768CF">
        <w:rPr>
          <w:vertAlign w:val="superscript"/>
        </w:rPr>
        <w:t>,</w:t>
      </w:r>
      <w:r w:rsidR="007768CF">
        <w:rPr>
          <w:vertAlign w:val="superscript"/>
        </w:rPr>
        <w:t>3</w:t>
      </w:r>
      <w:r w:rsidR="00DE022C">
        <w:rPr>
          <w:vertAlign w:val="superscript"/>
        </w:rPr>
        <w:t>3</w:t>
      </w:r>
      <w:r>
        <w:t xml:space="preserve"> showing that real-world emissions have not declined to the same extent as regulated emission limits (</w:t>
      </w:r>
      <w:r w:rsidR="00195F35">
        <w:fldChar w:fldCharType="begin"/>
      </w:r>
      <w:r w:rsidR="00195F35">
        <w:instrText xml:space="preserve"> REF _Ref469575443 \h </w:instrText>
      </w:r>
      <w:r w:rsidR="00195F35">
        <w:fldChar w:fldCharType="separate"/>
      </w:r>
      <w:r w:rsidR="00B4223E">
        <w:t xml:space="preserve">Extended Data Figure </w:t>
      </w:r>
      <w:r w:rsidR="00B4223E">
        <w:rPr>
          <w:noProof/>
        </w:rPr>
        <w:t>6</w:t>
      </w:r>
      <w:r w:rsidR="00195F35">
        <w:fldChar w:fldCharType="end"/>
      </w:r>
      <w:r w:rsidR="00195F35">
        <w:t>)</w:t>
      </w:r>
      <w:r w:rsidR="00926A25">
        <w:t>.</w:t>
      </w:r>
      <w:r w:rsidRPr="009F0A0B">
        <w:t xml:space="preserve"> </w:t>
      </w:r>
      <w:r w:rsidR="00320D81">
        <w:t xml:space="preserve">For Euro VI vehicles, as </w:t>
      </w:r>
      <w:r w:rsidR="005A5C83">
        <w:t xml:space="preserve">average </w:t>
      </w:r>
      <w:r w:rsidR="00320D81" w:rsidRPr="005116A1">
        <w:t>chassis dynamometer</w:t>
      </w:r>
      <w:r w:rsidR="005A5C83">
        <w:t xml:space="preserve"> test results i</w:t>
      </w:r>
      <w:r w:rsidR="00320D81">
        <w:t>ndicate better performance than is indicated by Sibyl</w:t>
      </w:r>
      <w:r>
        <w:t xml:space="preserve"> </w:t>
      </w:r>
      <w:r w:rsidR="00320D81">
        <w:t>(</w:t>
      </w:r>
      <w:r>
        <w:t>80% reduction</w:t>
      </w:r>
      <w:r w:rsidR="00320D81">
        <w:t>,</w:t>
      </w:r>
      <w:r>
        <w:t xml:space="preserve"> </w:t>
      </w:r>
      <w:r w:rsidR="00320D81">
        <w:t>consistent with</w:t>
      </w:r>
      <w:r>
        <w:t xml:space="preserve"> regulated </w:t>
      </w:r>
      <w:r w:rsidR="00320D81">
        <w:t>emission limits</w:t>
      </w:r>
      <w:r w:rsidR="007768CF">
        <w:t>)</w:t>
      </w:r>
      <w:r w:rsidR="00A67328" w:rsidRPr="007768CF">
        <w:rPr>
          <w:vertAlign w:val="superscript"/>
        </w:rPr>
        <w:t>1</w:t>
      </w:r>
      <w:r w:rsidR="00A67328">
        <w:rPr>
          <w:vertAlign w:val="superscript"/>
        </w:rPr>
        <w:t>5</w:t>
      </w:r>
      <w:r w:rsidR="00320D81">
        <w:t>, w</w:t>
      </w:r>
      <w:r>
        <w:t xml:space="preserve">e develop new emission factors between the </w:t>
      </w:r>
      <w:r w:rsidR="005A5C83">
        <w:t>two estimates</w:t>
      </w:r>
      <w:r>
        <w:t xml:space="preserve"> (see Supplemental Material Section 1.3). Heavy heavy-duty truck and bus emission factors decline from 7.8 to 0.54 g/km and 10 to 0.61 g/km from Euro III to VI (</w:t>
      </w:r>
      <w:r>
        <w:fldChar w:fldCharType="begin"/>
      </w:r>
      <w:r>
        <w:instrText xml:space="preserve"> REF _Ref455998387 \h </w:instrText>
      </w:r>
      <w:r>
        <w:fldChar w:fldCharType="separate"/>
      </w:r>
      <w:r w:rsidR="00B4223E">
        <w:t xml:space="preserve">Extended Data Table </w:t>
      </w:r>
      <w:r w:rsidR="00B4223E">
        <w:rPr>
          <w:bCs/>
          <w:noProof/>
        </w:rPr>
        <w:t>3</w:t>
      </w:r>
      <w:r>
        <w:fldChar w:fldCharType="end"/>
      </w:r>
      <w:r>
        <w:t>).</w:t>
      </w:r>
      <w:r w:rsidR="004B6356">
        <w:t xml:space="preserve"> </w:t>
      </w:r>
    </w:p>
    <w:p w14:paraId="1D495B0E" w14:textId="3884A520" w:rsidR="00D20160" w:rsidRDefault="00D20160" w:rsidP="00D20160">
      <w:pPr>
        <w:spacing w:before="240" w:line="480" w:lineRule="auto"/>
      </w:pPr>
      <w:r>
        <w:t>For China, we develop new HDV emission factors from five in-use emissions testing studies</w:t>
      </w:r>
      <w:r w:rsidR="00666E5A">
        <w:t>,</w:t>
      </w:r>
      <w:r>
        <w:t xml:space="preserve"> which had consistent conclusions for Euro III, IV, and V equivalent standards (</w:t>
      </w:r>
      <w:r>
        <w:fldChar w:fldCharType="begin"/>
      </w:r>
      <w:r>
        <w:instrText xml:space="preserve"> REF _Ref469575443 \h </w:instrText>
      </w:r>
      <w:r>
        <w:fldChar w:fldCharType="separate"/>
      </w:r>
      <w:r w:rsidR="00B4223E">
        <w:t xml:space="preserve">Extended Data Figure </w:t>
      </w:r>
      <w:r w:rsidR="00B4223E">
        <w:rPr>
          <w:noProof/>
        </w:rPr>
        <w:t>6</w:t>
      </w:r>
      <w:r>
        <w:fldChar w:fldCharType="end"/>
      </w:r>
      <w:r>
        <w:t xml:space="preserve">). Euro III and IV emission factors are from Yao </w:t>
      </w:r>
      <w:r w:rsidRPr="00195F35">
        <w:t>et al</w:t>
      </w:r>
      <w:r w:rsidRPr="00656BAC">
        <w:rPr>
          <w:i/>
        </w:rPr>
        <w:t>.</w:t>
      </w:r>
      <w:r w:rsidR="007768CF" w:rsidRPr="007768CF">
        <w:rPr>
          <w:vertAlign w:val="superscript"/>
        </w:rPr>
        <w:t>3</w:t>
      </w:r>
      <w:r w:rsidR="00DE022C">
        <w:rPr>
          <w:vertAlign w:val="superscript"/>
        </w:rPr>
        <w:t>6</w:t>
      </w:r>
      <w:r w:rsidR="007768CF">
        <w:t xml:space="preserve"> </w:t>
      </w:r>
      <w:r>
        <w:t xml:space="preserve">for heavy trucks and Wu </w:t>
      </w:r>
      <w:r w:rsidRPr="00926A25">
        <w:t>et al.</w:t>
      </w:r>
      <w:r w:rsidR="007768CF" w:rsidRPr="007768CF">
        <w:rPr>
          <w:vertAlign w:val="superscript"/>
        </w:rPr>
        <w:t>3</w:t>
      </w:r>
      <w:r w:rsidR="00DE022C">
        <w:rPr>
          <w:vertAlign w:val="superscript"/>
        </w:rPr>
        <w:t>7</w:t>
      </w:r>
      <w:r>
        <w:t xml:space="preserve"> for buses. Emission factors for Euro V buses are from Zhang </w:t>
      </w:r>
      <w:r w:rsidRPr="00195F35">
        <w:t>et al.</w:t>
      </w:r>
      <w:r w:rsidR="007768CF" w:rsidRPr="007768CF">
        <w:rPr>
          <w:vertAlign w:val="superscript"/>
        </w:rPr>
        <w:t>3</w:t>
      </w:r>
      <w:r w:rsidR="00DE022C">
        <w:rPr>
          <w:vertAlign w:val="superscript"/>
        </w:rPr>
        <w:t>8</w:t>
      </w:r>
      <w:r>
        <w:t>. Emission factors for Euro V medium and heavy trucks are estimated using the percent reduction in real-world NO</w:t>
      </w:r>
      <w:r w:rsidRPr="003713C9">
        <w:rPr>
          <w:vertAlign w:val="subscript"/>
        </w:rPr>
        <w:t>X</w:t>
      </w:r>
      <w:r>
        <w:t xml:space="preserve"> in the EU applied to the China-specific emission factor for the previous standard</w:t>
      </w:r>
      <w:r w:rsidR="003A40F4">
        <w:t xml:space="preserve">. </w:t>
      </w:r>
      <w:r>
        <w:t>Heavy heavy-duty truck and bus emission factors decline from 9.4 to 0.54 g/km and 12.5 to 0.61 g/km from Euro III to VI</w:t>
      </w:r>
      <w:r w:rsidR="003A40F4">
        <w:t xml:space="preserve">, assuming </w:t>
      </w:r>
      <w:r w:rsidR="00F12D84">
        <w:t xml:space="preserve">similar performance of </w:t>
      </w:r>
      <w:r w:rsidR="003A40F4">
        <w:t>Euro VI HDVs in</w:t>
      </w:r>
      <w:r w:rsidR="00F12D84">
        <w:t xml:space="preserve"> EU and China</w:t>
      </w:r>
      <w:r>
        <w:t xml:space="preserve"> (</w:t>
      </w:r>
      <w:r>
        <w:fldChar w:fldCharType="begin"/>
      </w:r>
      <w:r>
        <w:instrText xml:space="preserve"> REF _Ref455998387 \h </w:instrText>
      </w:r>
      <w:r>
        <w:fldChar w:fldCharType="separate"/>
      </w:r>
      <w:r w:rsidR="00B4223E">
        <w:t xml:space="preserve">Extended Data Table </w:t>
      </w:r>
      <w:r w:rsidR="00B4223E">
        <w:rPr>
          <w:bCs/>
          <w:noProof/>
        </w:rPr>
        <w:t>3</w:t>
      </w:r>
      <w:r>
        <w:fldChar w:fldCharType="end"/>
      </w:r>
      <w:r>
        <w:t>).</w:t>
      </w:r>
    </w:p>
    <w:p w14:paraId="2236E42E" w14:textId="373C5DE1" w:rsidR="00D20160" w:rsidRDefault="00D20160" w:rsidP="00D20160">
      <w:pPr>
        <w:spacing w:line="480" w:lineRule="auto"/>
      </w:pPr>
      <w:r>
        <w:lastRenderedPageBreak/>
        <w:t>For U.S. HDVs, central emission factor estimates ar</w:t>
      </w:r>
      <w:r w:rsidR="007768CF">
        <w:t xml:space="preserve">e based on the U.S. EPA’s </w:t>
      </w:r>
      <w:r w:rsidR="00926A25">
        <w:t>MOter Vehicle Emissions Simulator (</w:t>
      </w:r>
      <w:r w:rsidR="007768CF">
        <w:t>MOVES</w:t>
      </w:r>
      <w:r w:rsidR="00926A25">
        <w:t>)</w:t>
      </w:r>
      <w:r w:rsidR="007768CF" w:rsidRPr="007768CF">
        <w:rPr>
          <w:vertAlign w:val="superscript"/>
        </w:rPr>
        <w:t>3</w:t>
      </w:r>
      <w:r w:rsidR="00DE022C">
        <w:rPr>
          <w:vertAlign w:val="superscript"/>
        </w:rPr>
        <w:t>9</w:t>
      </w:r>
      <w:r w:rsidR="007768CF">
        <w:t xml:space="preserve"> </w:t>
      </w:r>
      <w:r>
        <w:t xml:space="preserve">and validated against </w:t>
      </w:r>
      <w:r w:rsidRPr="00F234C2">
        <w:t xml:space="preserve">remote sensing measurements of exhaust emissions from in-use trucks in </w:t>
      </w:r>
      <w:r w:rsidR="007768CF">
        <w:t>California</w:t>
      </w:r>
      <w:r w:rsidR="00DE022C">
        <w:rPr>
          <w:vertAlign w:val="superscript"/>
        </w:rPr>
        <w:t>40</w:t>
      </w:r>
      <w:r w:rsidR="007768CF">
        <w:t>, as well as PEMS testing</w:t>
      </w:r>
      <w:r w:rsidR="007933CF">
        <w:rPr>
          <w:vertAlign w:val="superscript"/>
        </w:rPr>
        <w:t>4</w:t>
      </w:r>
      <w:r w:rsidR="00DE022C">
        <w:rPr>
          <w:vertAlign w:val="superscript"/>
        </w:rPr>
        <w:t>1</w:t>
      </w:r>
      <w:r w:rsidRPr="00F234C2">
        <w:t xml:space="preserve">. </w:t>
      </w:r>
      <w:r>
        <w:t>For buses certified to</w:t>
      </w:r>
      <w:r w:rsidRPr="00730A00">
        <w:t xml:space="preserve"> </w:t>
      </w:r>
      <w:r>
        <w:t xml:space="preserve">U.S. EPA 1998, 2004, and 2007 standards, average </w:t>
      </w:r>
      <w:r w:rsidRPr="00C41817">
        <w:t xml:space="preserve">emission factors </w:t>
      </w:r>
      <w:r>
        <w:t>by certification level are from the</w:t>
      </w:r>
      <w:r w:rsidRPr="00C41817">
        <w:t xml:space="preserve"> Integrated Bus Information System (IBIS), </w:t>
      </w:r>
      <w:r>
        <w:t>which includes</w:t>
      </w:r>
      <w:r w:rsidRPr="00C41817">
        <w:t xml:space="preserve"> NO</w:t>
      </w:r>
      <w:r w:rsidRPr="00C41817">
        <w:rPr>
          <w:vertAlign w:val="subscript"/>
        </w:rPr>
        <w:t>X</w:t>
      </w:r>
      <w:r w:rsidRPr="00C41817">
        <w:t xml:space="preserve"> </w:t>
      </w:r>
      <w:r>
        <w:t xml:space="preserve">PEMS </w:t>
      </w:r>
      <w:r w:rsidRPr="00C41817">
        <w:t xml:space="preserve">measurements </w:t>
      </w:r>
      <w:r>
        <w:t>of &gt;</w:t>
      </w:r>
      <w:r w:rsidRPr="00C41817">
        <w:t xml:space="preserve">3,000 buses throughout the </w:t>
      </w:r>
      <w:r>
        <w:t>U.S.</w:t>
      </w:r>
      <w:r w:rsidR="007933CF">
        <w:rPr>
          <w:vertAlign w:val="superscript"/>
        </w:rPr>
        <w:t>4</w:t>
      </w:r>
      <w:r w:rsidR="008E0E7E">
        <w:rPr>
          <w:vertAlign w:val="superscript"/>
        </w:rPr>
        <w:t>1</w:t>
      </w:r>
      <w:r>
        <w:t xml:space="preserve"> We apply the same difference between IBIS and MOVES for EPA 2007 buses (a factor of 1.8) to EPA 2010 buses since they were not in the IBIS database. For heavy-duty trucks, remote sensing measurements indicate that fuel-specific NO</w:t>
      </w:r>
      <w:r w:rsidRPr="002B1A71">
        <w:rPr>
          <w:vertAlign w:val="subscript"/>
        </w:rPr>
        <w:t>X</w:t>
      </w:r>
      <w:r>
        <w:t xml:space="preserve"> emissions decreased by 83% from </w:t>
      </w:r>
      <w:r w:rsidR="004B6356">
        <w:t>model years 2004 to</w:t>
      </w:r>
      <w:r w:rsidR="007768CF">
        <w:t xml:space="preserve"> </w:t>
      </w:r>
      <w:r w:rsidR="00A67328">
        <w:t>2012</w:t>
      </w:r>
      <w:r w:rsidR="00A67328">
        <w:rPr>
          <w:vertAlign w:val="superscript"/>
        </w:rPr>
        <w:t>19</w:t>
      </w:r>
      <w:r w:rsidR="00A67328">
        <w:t xml:space="preserve"> </w:t>
      </w:r>
      <w:r>
        <w:t xml:space="preserve">while MOVES estimates a ~90% reduction. </w:t>
      </w:r>
      <w:r w:rsidR="00D2750D">
        <w:t>Limited evidence suggests that EPA 2010 HDVs</w:t>
      </w:r>
      <w:r w:rsidR="006A216C">
        <w:rPr>
          <w:vertAlign w:val="superscript"/>
        </w:rPr>
        <w:t>42,43</w:t>
      </w:r>
      <w:r w:rsidR="00D2750D">
        <w:t xml:space="preserve"> may emit more excess NOx in urban driving conditions than equivalent Euro VI vehicles in </w:t>
      </w:r>
      <w:r w:rsidR="006A216C">
        <w:t xml:space="preserve">the </w:t>
      </w:r>
      <w:r w:rsidR="00D2750D">
        <w:t>EU</w:t>
      </w:r>
      <w:r w:rsidR="006A216C">
        <w:rPr>
          <w:vertAlign w:val="superscript"/>
        </w:rPr>
        <w:t>44</w:t>
      </w:r>
      <w:r w:rsidR="00D2750D">
        <w:t xml:space="preserve">, potentially owing to U.S. emissions tests excluding emissions below 30% maximum engine power (EU tests are more inclusive). </w:t>
      </w:r>
      <w:r>
        <w:t>Since additional PEMS testing (</w:t>
      </w:r>
      <w:r w:rsidRPr="00ED693E">
        <w:t>i.e.</w:t>
      </w:r>
      <w:r>
        <w:t xml:space="preserve"> from in-service conformity testing) is needed to establish a robust alternative estimate, we apply the MOVES estimates for EPA 2010 trucks. Lower and upper bound estimates for EPA 1998 to EPA 2007 buses are based on 95% confidence intervals estimated from the IBIS dataset. Heavy heavy-duty truck and bus emission factors decline from 11.6 to 0.72 g/km and 12.8 to 0.93 g/km from U.S. EPA 1998 to U.S. EPA 2010 (</w:t>
      </w:r>
      <w:r>
        <w:fldChar w:fldCharType="begin"/>
      </w:r>
      <w:r>
        <w:instrText xml:space="preserve"> REF _Ref455998387 \h </w:instrText>
      </w:r>
      <w:r>
        <w:fldChar w:fldCharType="separate"/>
      </w:r>
      <w:r w:rsidR="00B4223E">
        <w:t xml:space="preserve">Extended Data Table </w:t>
      </w:r>
      <w:r w:rsidR="00B4223E">
        <w:rPr>
          <w:bCs/>
          <w:noProof/>
        </w:rPr>
        <w:t>3</w:t>
      </w:r>
      <w:r>
        <w:fldChar w:fldCharType="end"/>
      </w:r>
      <w:r>
        <w:t>).</w:t>
      </w:r>
    </w:p>
    <w:p w14:paraId="2EDC861D" w14:textId="77777777" w:rsidR="00D20160" w:rsidRPr="00B408AC" w:rsidRDefault="00D20160" w:rsidP="00D20160">
      <w:pPr>
        <w:spacing w:line="480" w:lineRule="auto"/>
      </w:pPr>
    </w:p>
    <w:p w14:paraId="5D11D25C" w14:textId="77777777" w:rsidR="00D20160" w:rsidRDefault="00D20160" w:rsidP="00D20160">
      <w:pPr>
        <w:spacing w:line="480" w:lineRule="auto"/>
        <w:rPr>
          <w:b/>
        </w:rPr>
      </w:pPr>
      <w:r w:rsidRPr="00405616">
        <w:rPr>
          <w:b/>
        </w:rPr>
        <w:t>Light-duty vehicle emission factors</w:t>
      </w:r>
    </w:p>
    <w:p w14:paraId="0FC00CBC" w14:textId="47D04400" w:rsidR="00D20160" w:rsidRDefault="00D20160" w:rsidP="00D20160">
      <w:pPr>
        <w:spacing w:line="480" w:lineRule="auto"/>
      </w:pPr>
      <w:r>
        <w:t>Passenger cars in Europe are among the most studied with respect to real-world NO</w:t>
      </w:r>
      <w:r w:rsidRPr="00A01E0C">
        <w:rPr>
          <w:vertAlign w:val="subscript"/>
        </w:rPr>
        <w:t>X</w:t>
      </w:r>
      <w:r>
        <w:t xml:space="preserve"> emissions. Emission </w:t>
      </w:r>
      <w:r w:rsidRPr="00E97E6E">
        <w:t xml:space="preserve">factor estimates for Euro 1 to Euro 5 passenger cars are </w:t>
      </w:r>
      <w:r>
        <w:t xml:space="preserve">based </w:t>
      </w:r>
      <w:r w:rsidR="00666E5A">
        <w:t>on</w:t>
      </w:r>
      <w:r>
        <w:t xml:space="preserve"> emission factor models supplemented with in-use emissions testing studies using</w:t>
      </w:r>
      <w:r w:rsidRPr="00E97E6E">
        <w:t xml:space="preserve"> PEMS, remote sensing,</w:t>
      </w:r>
      <w:r>
        <w:t xml:space="preserve"> and</w:t>
      </w:r>
      <w:r w:rsidRPr="00E97E6E">
        <w:t xml:space="preserve"> laboratory measurements</w:t>
      </w:r>
      <w:r w:rsidR="00C10FBC">
        <w:t xml:space="preserve"> (</w:t>
      </w:r>
      <w:r w:rsidR="00C22108">
        <w:fldChar w:fldCharType="begin"/>
      </w:r>
      <w:r w:rsidR="00C22108">
        <w:instrText xml:space="preserve"> REF _Ref469575443 \h </w:instrText>
      </w:r>
      <w:r w:rsidR="00C22108">
        <w:fldChar w:fldCharType="separate"/>
      </w:r>
      <w:r w:rsidR="00B4223E">
        <w:t xml:space="preserve">Extended Data Figure </w:t>
      </w:r>
      <w:r w:rsidR="00B4223E">
        <w:rPr>
          <w:noProof/>
        </w:rPr>
        <w:t>6</w:t>
      </w:r>
      <w:r w:rsidR="00C22108">
        <w:fldChar w:fldCharType="end"/>
      </w:r>
      <w:r w:rsidR="00C10FBC">
        <w:t>)</w:t>
      </w:r>
      <w:r w:rsidRPr="00E97E6E">
        <w:t xml:space="preserve">. </w:t>
      </w:r>
      <w:r w:rsidR="00463C56" w:rsidRPr="00AD6CA1">
        <w:t xml:space="preserve">Emission factors for Euro 6 diesel cars </w:t>
      </w:r>
      <w:r w:rsidR="00463C56">
        <w:t>a</w:t>
      </w:r>
      <w:r w:rsidR="00463C56" w:rsidRPr="00AD6CA1">
        <w:t xml:space="preserve">re estimated using </w:t>
      </w:r>
      <w:r w:rsidR="00463C56">
        <w:t>the International Council on Clean Transportation’s</w:t>
      </w:r>
      <w:r w:rsidR="00463C56" w:rsidRPr="00AD6CA1">
        <w:t xml:space="preserve"> diesel PEMS database</w:t>
      </w:r>
      <w:r w:rsidR="00463C56">
        <w:t xml:space="preserve"> covering 32 cars over 180 hours </w:t>
      </w:r>
      <w:r w:rsidR="00463C56">
        <w:lastRenderedPageBreak/>
        <w:t>and 8,000 km of driving</w:t>
      </w:r>
      <w:r w:rsidR="00926A25">
        <w:t>.</w:t>
      </w:r>
      <w:r w:rsidR="00463C56" w:rsidRPr="007768CF">
        <w:rPr>
          <w:vertAlign w:val="superscript"/>
        </w:rPr>
        <w:t>1</w:t>
      </w:r>
      <w:r w:rsidR="00DE022C">
        <w:rPr>
          <w:vertAlign w:val="superscript"/>
        </w:rPr>
        <w:t>1</w:t>
      </w:r>
      <w:r w:rsidR="00463C56">
        <w:t xml:space="preserve"> </w:t>
      </w:r>
      <w:r>
        <w:t>Light commercial vehicles (LCVs), though less studied,</w:t>
      </w:r>
      <w:r w:rsidRPr="00E97E6E">
        <w:t xml:space="preserve"> </w:t>
      </w:r>
      <w:r>
        <w:t>are shown</w:t>
      </w:r>
      <w:r w:rsidRPr="00E97E6E">
        <w:t xml:space="preserve"> to emit </w:t>
      </w:r>
      <w:r>
        <w:t>&gt;</w:t>
      </w:r>
      <w:r w:rsidRPr="00E97E6E">
        <w:t>1.5</w:t>
      </w:r>
      <w:r>
        <w:t>x</w:t>
      </w:r>
      <w:r w:rsidRPr="00E97E6E">
        <w:t xml:space="preserve"> the leve</w:t>
      </w:r>
      <w:r w:rsidR="007768CF">
        <w:t>ls observed for passenger cars</w:t>
      </w:r>
      <w:r w:rsidR="007768CF" w:rsidRPr="00FD5D65">
        <w:rPr>
          <w:vertAlign w:val="superscript"/>
        </w:rPr>
        <w:t>4</w:t>
      </w:r>
      <w:r w:rsidR="00FD5D65" w:rsidRPr="00FD5D65">
        <w:rPr>
          <w:vertAlign w:val="superscript"/>
        </w:rPr>
        <w:t>5</w:t>
      </w:r>
      <w:r>
        <w:t>,</w:t>
      </w:r>
      <w:r w:rsidRPr="00E97E6E">
        <w:t xml:space="preserve"> generally correspond</w:t>
      </w:r>
      <w:r>
        <w:t>ing</w:t>
      </w:r>
      <w:r w:rsidRPr="00E97E6E">
        <w:t xml:space="preserve"> to the </w:t>
      </w:r>
      <w:r w:rsidR="004B6356">
        <w:t>difference between</w:t>
      </w:r>
      <w:r w:rsidRPr="00E97E6E">
        <w:t xml:space="preserve"> emission limits for heavier LCV</w:t>
      </w:r>
      <w:r>
        <w:t xml:space="preserve"> classes versus passenger cars. Starting with Euro 4 vehicles, we therefore use average LCV emission factors of 1.5x the level estimated for passenger cars. For Euro 3 and earlier, passenger car and LCV emission factors are aligned with Sibyl, which already reflects earlier emissions testing results. Passenger car emission factors decline from 0.82 to 0.45 g/km without the RDE program and to 0.32 g/km with the </w:t>
      </w:r>
      <w:r w:rsidR="008A47E5">
        <w:t xml:space="preserve">Baseline </w:t>
      </w:r>
      <w:r>
        <w:t>RDE program (</w:t>
      </w:r>
      <w:r>
        <w:fldChar w:fldCharType="begin"/>
      </w:r>
      <w:r>
        <w:instrText xml:space="preserve"> REF _Ref455998387 \h </w:instrText>
      </w:r>
      <w:r>
        <w:fldChar w:fldCharType="separate"/>
      </w:r>
      <w:r w:rsidR="00B4223E">
        <w:t xml:space="preserve">Extended Data Table </w:t>
      </w:r>
      <w:r w:rsidR="00B4223E">
        <w:rPr>
          <w:bCs/>
          <w:noProof/>
        </w:rPr>
        <w:t>3</w:t>
      </w:r>
      <w:r>
        <w:fldChar w:fldCharType="end"/>
      </w:r>
      <w:r>
        <w:t>).</w:t>
      </w:r>
      <w:r w:rsidR="004B6356">
        <w:t xml:space="preserve"> </w:t>
      </w:r>
    </w:p>
    <w:p w14:paraId="55B53EB2" w14:textId="04E44CAC" w:rsidR="00D20160" w:rsidRDefault="00D20160" w:rsidP="00D20160">
      <w:pPr>
        <w:spacing w:line="480" w:lineRule="auto"/>
      </w:pPr>
      <w:r>
        <w:t>For LDVs certified to U.S. Tier 2 standards (2.5 million vehicles from 2004-2015</w:t>
      </w:r>
      <w:r w:rsidR="00463C56" w:rsidRPr="00463C56">
        <w:rPr>
          <w:vertAlign w:val="superscript"/>
        </w:rPr>
        <w:t>4</w:t>
      </w:r>
      <w:r w:rsidR="00FD5D65">
        <w:rPr>
          <w:vertAlign w:val="superscript"/>
        </w:rPr>
        <w:t>6</w:t>
      </w:r>
      <w:r>
        <w:t>), we compute a sales-weighted average of real-world emissions over the Tier 2 bin 5 emission limit (equivalent to 43 mg/km, mean adjustment factor=5) in three vehicle categories: Volkswagen vehicles with 2.0 (~482,000 vehicles, mean adjustment factor=20) and 3.0 (~85,000, mean adjustment factor=5) liter engines, and passenger cars and light trucks unaffected by the Volkswagen scandal but which may nonetheless emit NOx over regulatory emission limits (1.9 million, mean adjustment factor=1.3). Adjustment factors for Volkswagen vehicles with 2.0 and 3.0 liter engines are generally c</w:t>
      </w:r>
      <w:r w:rsidR="007768CF">
        <w:t>onsistent with previous studies</w:t>
      </w:r>
      <w:r w:rsidR="00DE022C">
        <w:rPr>
          <w:vertAlign w:val="superscript"/>
        </w:rPr>
        <w:t>10</w:t>
      </w:r>
      <w:r w:rsidR="00791739">
        <w:rPr>
          <w:vertAlign w:val="superscript"/>
        </w:rPr>
        <w:t>,4</w:t>
      </w:r>
      <w:r w:rsidR="00FD5D65">
        <w:rPr>
          <w:vertAlign w:val="superscript"/>
        </w:rPr>
        <w:t>7</w:t>
      </w:r>
      <w:r w:rsidR="00791739">
        <w:rPr>
          <w:vertAlign w:val="superscript"/>
        </w:rPr>
        <w:t xml:space="preserve"> </w:t>
      </w:r>
      <w:r>
        <w:t xml:space="preserve">and those used </w:t>
      </w:r>
      <w:r w:rsidR="001E1E09">
        <w:t>to estimate</w:t>
      </w:r>
      <w:r>
        <w:t xml:space="preserve"> health impact of the Volkswagen scandal in the U.S.</w:t>
      </w:r>
      <w:r w:rsidR="007768CF" w:rsidRPr="007768CF">
        <w:rPr>
          <w:vertAlign w:val="superscript"/>
        </w:rPr>
        <w:t>2</w:t>
      </w:r>
      <w:r w:rsidR="00DE022C">
        <w:rPr>
          <w:vertAlign w:val="superscript"/>
        </w:rPr>
        <w:t>6</w:t>
      </w:r>
      <w:r w:rsidR="007768CF" w:rsidRPr="007768CF">
        <w:rPr>
          <w:vertAlign w:val="superscript"/>
        </w:rPr>
        <w:t>-2</w:t>
      </w:r>
      <w:r w:rsidR="00DE022C">
        <w:rPr>
          <w:vertAlign w:val="superscript"/>
        </w:rPr>
        <w:t>8</w:t>
      </w:r>
      <w:r>
        <w:t xml:space="preserve">. The central estimate for unaffected vehicles is based on </w:t>
      </w:r>
      <w:r w:rsidR="00F75888">
        <w:t>Vehicle C (a</w:t>
      </w:r>
      <w:r>
        <w:t xml:space="preserve"> </w:t>
      </w:r>
      <w:r w:rsidR="007768CF">
        <w:t>BMW X5</w:t>
      </w:r>
      <w:r w:rsidR="00F75888">
        <w:t>)</w:t>
      </w:r>
      <w:r w:rsidR="007768CF">
        <w:t xml:space="preserve"> in Thompson et al.</w:t>
      </w:r>
      <w:r w:rsidR="00791739">
        <w:rPr>
          <w:vertAlign w:val="superscript"/>
        </w:rPr>
        <w:t>4</w:t>
      </w:r>
      <w:r w:rsidR="00FD5D65">
        <w:rPr>
          <w:vertAlign w:val="superscript"/>
        </w:rPr>
        <w:t>8</w:t>
      </w:r>
      <w:r>
        <w:t xml:space="preserve">, with a range varying from perfect compliance (i.e. factor of 1) to ~2x the regulated limit (accounting for the rural-uphill/downhill cycle </w:t>
      </w:r>
      <w:r w:rsidR="007768CF">
        <w:t xml:space="preserve">tested, </w:t>
      </w:r>
      <w:r>
        <w:t>i.e. 10x the limit applied to about 5-10% of vehicle-km traveled). For Tier 1 vehicles, we assume the same average emission factor as Volkswagen vehicles with 2.0 liter engines, since remote sensing measurements indicate that fuel-specific NOx emissions of diesel passenger cars have remained statistically unchanged since the progression from Tier 1 to Tier 2, and 95% of tested Tier 2 vehicles were Volkswag</w:t>
      </w:r>
      <w:r w:rsidR="007768CF">
        <w:t xml:space="preserve">en </w:t>
      </w:r>
      <w:r w:rsidR="00F75888">
        <w:t xml:space="preserve">or </w:t>
      </w:r>
      <w:r w:rsidR="007768CF">
        <w:t>Audi</w:t>
      </w:r>
      <w:r w:rsidR="00FD5D65">
        <w:rPr>
          <w:vertAlign w:val="superscript"/>
        </w:rPr>
        <w:t>19</w:t>
      </w:r>
      <w:r>
        <w:t xml:space="preserve">. This assumption results in a central estimate of 1.1x (range 0.8-1.4x) </w:t>
      </w:r>
      <w:r w:rsidR="00F75888">
        <w:t>for</w:t>
      </w:r>
      <w:r>
        <w:t xml:space="preserve"> the Tier 1 emission limit for “useful life” (equivalent to 780 mg/km after 10 years/100,000 miles). </w:t>
      </w:r>
    </w:p>
    <w:p w14:paraId="2533078F" w14:textId="259E22C2" w:rsidR="00D20160" w:rsidRDefault="00D20160" w:rsidP="00D20160">
      <w:pPr>
        <w:spacing w:line="480" w:lineRule="auto"/>
      </w:pPr>
      <w:r>
        <w:lastRenderedPageBreak/>
        <w:t>Baseline U.S. LDV 2040 emissions are determined primarily by vehicles certified to Tier 3 standards phasing in 2017-2025</w:t>
      </w:r>
      <w:r w:rsidR="00320D81">
        <w:t xml:space="preserve">, which </w:t>
      </w:r>
      <w:r>
        <w:t xml:space="preserve">are expected to more closely match emission limits, owing partly to the California Air Resources Board’s new defeat device screening </w:t>
      </w:r>
      <w:r w:rsidR="007768CF" w:rsidRPr="00F82697">
        <w:t>methods</w:t>
      </w:r>
      <w:r w:rsidR="000B28D4">
        <w:t>.</w:t>
      </w:r>
      <w:r w:rsidR="007768CF" w:rsidRPr="00F82697">
        <w:rPr>
          <w:vertAlign w:val="superscript"/>
        </w:rPr>
        <w:t>4</w:t>
      </w:r>
      <w:r w:rsidR="002D60AD">
        <w:rPr>
          <w:vertAlign w:val="superscript"/>
        </w:rPr>
        <w:t>9</w:t>
      </w:r>
      <w:r>
        <w:t xml:space="preserve"> Average future Tier 3 vehicle NOx emission factors are estimated to be within 30% of the certificatio</w:t>
      </w:r>
      <w:r w:rsidR="00BB55E4">
        <w:t>n limit</w:t>
      </w:r>
      <w:r>
        <w:t>, based on the real-world multiplier of 1.27 for a Tier 2 diesel vehic</w:t>
      </w:r>
      <w:r w:rsidR="007768CF">
        <w:t xml:space="preserve">le with good </w:t>
      </w:r>
      <w:r w:rsidR="007768CF" w:rsidRPr="00F82697">
        <w:t>performance</w:t>
      </w:r>
      <w:r w:rsidR="000B28D4">
        <w:t>.</w:t>
      </w:r>
      <w:r w:rsidR="007768CF" w:rsidRPr="00F82697">
        <w:rPr>
          <w:vertAlign w:val="superscript"/>
        </w:rPr>
        <w:t>4</w:t>
      </w:r>
      <w:r w:rsidR="002D60AD">
        <w:rPr>
          <w:vertAlign w:val="superscript"/>
        </w:rPr>
        <w:t>8</w:t>
      </w:r>
      <w:r>
        <w:t xml:space="preserve"> We assume a range </w:t>
      </w:r>
      <w:r w:rsidR="001E1E09">
        <w:t>of 1</w:t>
      </w:r>
      <w:r>
        <w:t xml:space="preserve">-2x the Tier 3 limit, similar to Tier 2 vehicles unaffected by the Volkswagen emissions scandal. The central estimate for Tier 2 vehicles (including those affected by the Volkswagen scandal) represents a 74% reduction from Tier 1 levels, reflecting that most of the U.S. diesel LDV fleet was </w:t>
      </w:r>
      <w:r w:rsidR="00BB55E4">
        <w:t>un</w:t>
      </w:r>
      <w:r>
        <w:t>affected by the Volkswagen emission scandal. Overall, U.S. LDV emission factors decline from 0.85 to 0.01 g/km from Tier 1 to Tier 3 (</w:t>
      </w:r>
      <w:r>
        <w:fldChar w:fldCharType="begin"/>
      </w:r>
      <w:r>
        <w:instrText xml:space="preserve"> REF _Ref455998387 \h </w:instrText>
      </w:r>
      <w:r>
        <w:fldChar w:fldCharType="separate"/>
      </w:r>
      <w:r w:rsidR="00B4223E">
        <w:t xml:space="preserve">Extended Data Table </w:t>
      </w:r>
      <w:r w:rsidR="00B4223E">
        <w:rPr>
          <w:bCs/>
          <w:noProof/>
        </w:rPr>
        <w:t>3</w:t>
      </w:r>
      <w:r>
        <w:fldChar w:fldCharType="end"/>
      </w:r>
      <w:r>
        <w:t>).</w:t>
      </w:r>
    </w:p>
    <w:p w14:paraId="0DA931F0" w14:textId="77777777" w:rsidR="000E7593" w:rsidRDefault="000E7593" w:rsidP="005005A8">
      <w:pPr>
        <w:spacing w:line="480" w:lineRule="auto"/>
        <w:rPr>
          <w:b/>
        </w:rPr>
      </w:pPr>
    </w:p>
    <w:p w14:paraId="2C9A2245" w14:textId="679D03D7" w:rsidR="0058515E" w:rsidRPr="00963C3C" w:rsidRDefault="00931EFF" w:rsidP="005005A8">
      <w:pPr>
        <w:spacing w:line="480" w:lineRule="auto"/>
        <w:rPr>
          <w:b/>
        </w:rPr>
      </w:pPr>
      <w:r>
        <w:rPr>
          <w:b/>
        </w:rPr>
        <w:t>PM</w:t>
      </w:r>
      <w:r w:rsidRPr="00931EFF">
        <w:rPr>
          <w:b/>
          <w:vertAlign w:val="subscript"/>
        </w:rPr>
        <w:t>2.5</w:t>
      </w:r>
      <w:r>
        <w:rPr>
          <w:b/>
        </w:rPr>
        <w:t xml:space="preserve"> and ozone concentrations</w:t>
      </w:r>
    </w:p>
    <w:p w14:paraId="5BA4C8EB" w14:textId="7FEB9C80" w:rsidR="001E1E09" w:rsidRPr="008D02E4" w:rsidRDefault="002770D2" w:rsidP="001E1E09">
      <w:pPr>
        <w:spacing w:line="480" w:lineRule="auto"/>
      </w:pPr>
      <w:r>
        <w:t>Country-level diesel vehicle NOx emissions</w:t>
      </w:r>
      <w:r w:rsidR="006B6D2F">
        <w:t xml:space="preserve"> in the 11 regions</w:t>
      </w:r>
      <w:r>
        <w:t xml:space="preserve"> are gridded based on population and vehicle miles traveled</w:t>
      </w:r>
      <w:r w:rsidR="006B6D2F">
        <w:t xml:space="preserve"> </w:t>
      </w:r>
      <w:r>
        <w:t xml:space="preserve">(see Supplemental Material). </w:t>
      </w:r>
      <w:r w:rsidR="001E1E09">
        <w:t>For the baseline scenario, all emissions evolve from 2015 to 2040,</w:t>
      </w:r>
      <w:r w:rsidR="001E1E09" w:rsidRPr="00EB7AAC">
        <w:t xml:space="preserve"> </w:t>
      </w:r>
      <w:r w:rsidR="001E1E09">
        <w:t>using our real-world on-road diesel NOx emissions in the 11 markets combined with the ECLIPSE v5 emissions inventory</w:t>
      </w:r>
      <w:r w:rsidR="001E1E09" w:rsidRPr="00647272">
        <w:rPr>
          <w:vertAlign w:val="superscript"/>
        </w:rPr>
        <w:t>8</w:t>
      </w:r>
      <w:r w:rsidR="001E1E09">
        <w:rPr>
          <w:vertAlign w:val="superscript"/>
        </w:rPr>
        <w:t>-9</w:t>
      </w:r>
      <w:r w:rsidR="001E1E09">
        <w:t xml:space="preserve"> for all other emissions. For the limits and policy scenarios, all emissions are held constant at 2015 (in the case of the limits scenario) or 2040 (policy scenarios) baseline levels,</w:t>
      </w:r>
      <w:r w:rsidR="001E1E09" w:rsidRPr="00EB7AAC">
        <w:t xml:space="preserve"> </w:t>
      </w:r>
      <w:r w:rsidR="001E1E09">
        <w:t>except NOx emissions in the 11 markets</w:t>
      </w:r>
      <w:r w:rsidR="001E1E09" w:rsidRPr="00A92517">
        <w:t xml:space="preserve">. </w:t>
      </w:r>
      <w:r w:rsidR="001E1E09">
        <w:t>Except for Euro 6/VI standards</w:t>
      </w:r>
      <w:r w:rsidR="001E1E09">
        <w:rPr>
          <w:rFonts w:ascii="Arial" w:hAnsi="Arial" w:cs="Arial"/>
          <w:color w:val="545454"/>
          <w:shd w:val="clear" w:color="auto" w:fill="FFFFFF"/>
        </w:rPr>
        <w:t>—</w:t>
      </w:r>
      <w:r w:rsidR="001E1E09">
        <w:t>which reduce primary PM</w:t>
      </w:r>
      <w:r w:rsidR="001E1E09" w:rsidRPr="00583ECD">
        <w:rPr>
          <w:vertAlign w:val="subscript"/>
        </w:rPr>
        <w:t>2.5</w:t>
      </w:r>
      <w:r w:rsidR="001E1E09">
        <w:rPr>
          <w:rFonts w:ascii="Arial" w:hAnsi="Arial" w:cs="Arial"/>
          <w:color w:val="545454"/>
          <w:shd w:val="clear" w:color="auto" w:fill="FFFFFF"/>
        </w:rPr>
        <w:t>—</w:t>
      </w:r>
      <w:r w:rsidR="001E1E09">
        <w:t>the policies examined are not expected to substantially impact emissions other than NOx.</w:t>
      </w:r>
      <w:r w:rsidR="001E1E09" w:rsidRPr="00A92517">
        <w:t xml:space="preserve"> </w:t>
      </w:r>
    </w:p>
    <w:p w14:paraId="0D35387E" w14:textId="5D94763F" w:rsidR="00800D94" w:rsidRDefault="006E3960" w:rsidP="005005A8">
      <w:pPr>
        <w:spacing w:line="480" w:lineRule="auto"/>
      </w:pPr>
      <w:r>
        <w:t>We</w:t>
      </w:r>
      <w:r w:rsidR="00FD10C7" w:rsidRPr="00963C3C">
        <w:t xml:space="preserve"> simulate NOx e</w:t>
      </w:r>
      <w:r w:rsidR="00FD10C7">
        <w:t>mission impacts on PM</w:t>
      </w:r>
      <w:r w:rsidR="00FD10C7" w:rsidRPr="00FD10C7">
        <w:rPr>
          <w:vertAlign w:val="subscript"/>
        </w:rPr>
        <w:t>2.5</w:t>
      </w:r>
      <w:r w:rsidR="00FD10C7">
        <w:t xml:space="preserve"> and ozone concentrations</w:t>
      </w:r>
      <w:r>
        <w:t xml:space="preserve"> using </w:t>
      </w:r>
      <w:r w:rsidR="007A38EB">
        <w:t>the GEOS-Chem chemical transport model</w:t>
      </w:r>
      <w:r w:rsidR="002D60AD">
        <w:rPr>
          <w:vertAlign w:val="superscript"/>
        </w:rPr>
        <w:t>50</w:t>
      </w:r>
      <w:r w:rsidR="001C5642">
        <w:rPr>
          <w:vertAlign w:val="superscript"/>
        </w:rPr>
        <w:t xml:space="preserve"> </w:t>
      </w:r>
      <w:r w:rsidR="001C5642">
        <w:t>(version of forward model contained within v35 of the model adjoint</w:t>
      </w:r>
      <w:r w:rsidR="002D60AD">
        <w:rPr>
          <w:vertAlign w:val="superscript"/>
        </w:rPr>
        <w:t>51</w:t>
      </w:r>
      <w:r w:rsidR="001C5642">
        <w:t>)</w:t>
      </w:r>
      <w:r w:rsidR="007A38EB">
        <w:t xml:space="preserve">, driven by GEOS-5 assimilated meteorology </w:t>
      </w:r>
      <w:r w:rsidR="001C5642">
        <w:t xml:space="preserve">for 2015 </w:t>
      </w:r>
      <w:r w:rsidR="007A38EB">
        <w:t>from the Global Modelin</w:t>
      </w:r>
      <w:r w:rsidR="00FD10C7">
        <w:t>g and Assimilation Office</w:t>
      </w:r>
      <w:r w:rsidR="001C5642">
        <w:t xml:space="preserve"> </w:t>
      </w:r>
      <w:r w:rsidR="007A38EB">
        <w:t xml:space="preserve">at </w:t>
      </w:r>
      <w:r w:rsidR="007A38EB" w:rsidRPr="0054104E">
        <w:t>2° x 2.5°</w:t>
      </w:r>
      <w:r w:rsidR="00FD10C7">
        <w:t xml:space="preserve"> </w:t>
      </w:r>
      <w:r w:rsidR="00FD10C7">
        <w:lastRenderedPageBreak/>
        <w:t>resolution</w:t>
      </w:r>
      <w:r w:rsidR="00931EFF">
        <w:t xml:space="preserve"> with 47 vertical layers. </w:t>
      </w:r>
      <w:r w:rsidR="007A38EB">
        <w:t>Simulated PM</w:t>
      </w:r>
      <w:r w:rsidR="007A38EB" w:rsidRPr="00E17F16">
        <w:rPr>
          <w:vertAlign w:val="subscript"/>
        </w:rPr>
        <w:t>2.5</w:t>
      </w:r>
      <w:r w:rsidR="007A38EB">
        <w:t xml:space="preserve"> concentrations </w:t>
      </w:r>
      <w:r w:rsidR="007A38EB" w:rsidRPr="0054104E">
        <w:t>are downscaled</w:t>
      </w:r>
      <w:r w:rsidR="007A38EB">
        <w:t xml:space="preserve"> </w:t>
      </w:r>
      <w:r w:rsidR="00FD10C7">
        <w:t>t</w:t>
      </w:r>
      <w:r w:rsidR="007A38EB" w:rsidRPr="0054104E">
        <w:t xml:space="preserve">o 0.1° x 0.1° resolution using </w:t>
      </w:r>
      <w:r w:rsidR="007A38EB">
        <w:t>PM</w:t>
      </w:r>
      <w:r w:rsidR="007A38EB" w:rsidRPr="00C33799">
        <w:rPr>
          <w:vertAlign w:val="subscript"/>
        </w:rPr>
        <w:t>2.5</w:t>
      </w:r>
      <w:r w:rsidR="007A38EB">
        <w:t xml:space="preserve"> concentrations derived from </w:t>
      </w:r>
      <w:r w:rsidR="007A38EB" w:rsidRPr="0054104E">
        <w:t xml:space="preserve">remote sensing </w:t>
      </w:r>
      <w:r w:rsidR="00FD10C7" w:rsidRPr="0054104E">
        <w:t xml:space="preserve">aerosol optical depth </w:t>
      </w:r>
      <w:r w:rsidR="00FD10C7">
        <w:t>observations</w:t>
      </w:r>
      <w:r w:rsidR="007A38EB" w:rsidRPr="0054104E">
        <w:t>.</w:t>
      </w:r>
      <w:r w:rsidR="002D60AD">
        <w:rPr>
          <w:vertAlign w:val="superscript"/>
        </w:rPr>
        <w:t>52</w:t>
      </w:r>
      <w:r>
        <w:t xml:space="preserve"> For health impact calculations</w:t>
      </w:r>
      <w:r w:rsidR="003F1B7A">
        <w:t>, s</w:t>
      </w:r>
      <w:r w:rsidR="00FD10C7">
        <w:t>imulated o</w:t>
      </w:r>
      <w:r w:rsidR="007A38EB">
        <w:t>zone concentration</w:t>
      </w:r>
      <w:r w:rsidR="00FD10C7">
        <w:t>s</w:t>
      </w:r>
      <w:r w:rsidR="007A38EB">
        <w:t xml:space="preserve"> are simply regridded to the finer resolution</w:t>
      </w:r>
      <w:r w:rsidR="00D06C98">
        <w:t>, as the impacts of model resolution are much less significant than for PM</w:t>
      </w:r>
      <w:r w:rsidR="00D06C98" w:rsidRPr="0025594B">
        <w:rPr>
          <w:vertAlign w:val="subscript"/>
        </w:rPr>
        <w:t>2.5</w:t>
      </w:r>
      <w:r w:rsidR="007A38EB">
        <w:t>.</w:t>
      </w:r>
      <w:r w:rsidR="007933CF">
        <w:rPr>
          <w:vertAlign w:val="superscript"/>
        </w:rPr>
        <w:t>5</w:t>
      </w:r>
      <w:r w:rsidR="002D60AD">
        <w:rPr>
          <w:vertAlign w:val="superscript"/>
        </w:rPr>
        <w:t>3</w:t>
      </w:r>
      <w:r w:rsidR="00FD10C7">
        <w:t xml:space="preserve"> </w:t>
      </w:r>
      <w:r w:rsidR="001E1E09">
        <w:t>For each scenario, we conduct four GEOS-Chem simulations: including all emissions and individually zeroing out LDV, heavy-duty bus, and heavy-duty truck NOx emissions.</w:t>
      </w:r>
    </w:p>
    <w:p w14:paraId="5E2B9978" w14:textId="77777777" w:rsidR="0058515E" w:rsidRDefault="0058515E" w:rsidP="005005A8">
      <w:pPr>
        <w:spacing w:line="480" w:lineRule="auto"/>
      </w:pPr>
    </w:p>
    <w:p w14:paraId="49AB8242" w14:textId="08B6BD5C" w:rsidR="0058515E" w:rsidRPr="0058515E" w:rsidRDefault="0058515E" w:rsidP="005005A8">
      <w:pPr>
        <w:spacing w:line="480" w:lineRule="auto"/>
        <w:rPr>
          <w:b/>
        </w:rPr>
      </w:pPr>
      <w:r w:rsidRPr="0058515E">
        <w:rPr>
          <w:b/>
        </w:rPr>
        <w:t xml:space="preserve">Health, climate, and </w:t>
      </w:r>
      <w:r w:rsidR="003F1B7A">
        <w:rPr>
          <w:b/>
        </w:rPr>
        <w:t>arable agriculture</w:t>
      </w:r>
      <w:r w:rsidRPr="0058515E">
        <w:rPr>
          <w:b/>
        </w:rPr>
        <w:t xml:space="preserve"> impacts</w:t>
      </w:r>
    </w:p>
    <w:p w14:paraId="7AA9F0ED" w14:textId="1373E401" w:rsidR="00AD6985" w:rsidRPr="003E6602" w:rsidRDefault="0058515E" w:rsidP="00AD6985">
      <w:pPr>
        <w:spacing w:line="480" w:lineRule="auto"/>
      </w:pPr>
      <w:r>
        <w:t>We use epidemiologically</w:t>
      </w:r>
      <w:r w:rsidR="00302179">
        <w:t>-</w:t>
      </w:r>
      <w:r>
        <w:t>derived health impact functions to estimate premature PM</w:t>
      </w:r>
      <w:r w:rsidRPr="00193D15">
        <w:rPr>
          <w:vertAlign w:val="subscript"/>
        </w:rPr>
        <w:t>2.5</w:t>
      </w:r>
      <w:r w:rsidR="000B28D4" w:rsidRPr="000B28D4">
        <w:t>-</w:t>
      </w:r>
      <w:r>
        <w:t xml:space="preserve"> and ozone-related mortality</w:t>
      </w:r>
      <w:r w:rsidR="00DD1C6C">
        <w:t xml:space="preserve"> changes</w:t>
      </w:r>
      <w:r>
        <w:t xml:space="preserve"> between the </w:t>
      </w:r>
      <w:r w:rsidR="0086266D">
        <w:t>Baseline</w:t>
      </w:r>
      <w:r w:rsidR="00931EFF">
        <w:t xml:space="preserve"> and L</w:t>
      </w:r>
      <w:r>
        <w:t>imits scenarios</w:t>
      </w:r>
      <w:r w:rsidR="000C0C85">
        <w:t xml:space="preserve"> in 2015</w:t>
      </w:r>
      <w:r w:rsidR="001F004A">
        <w:t xml:space="preserve"> (using 2015 population and</w:t>
      </w:r>
      <w:r w:rsidR="00CE6FED">
        <w:t xml:space="preserve"> baseline mortality rates)</w:t>
      </w:r>
      <w:r>
        <w:t xml:space="preserve"> and between the </w:t>
      </w:r>
      <w:r w:rsidR="0086266D">
        <w:t xml:space="preserve">Baseline </w:t>
      </w:r>
      <w:r>
        <w:t>and policy scenario</w:t>
      </w:r>
      <w:r w:rsidR="001E1E09">
        <w:t>s</w:t>
      </w:r>
      <w:r>
        <w:t xml:space="preserve"> </w:t>
      </w:r>
      <w:r w:rsidR="000C0C85">
        <w:t xml:space="preserve">in 2040 </w:t>
      </w:r>
      <w:r w:rsidR="00CE6FED">
        <w:t>(using</w:t>
      </w:r>
      <w:r>
        <w:t xml:space="preserve"> 2040 population and baseline mortality rates</w:t>
      </w:r>
      <w:r w:rsidR="00CE6FED">
        <w:t>)</w:t>
      </w:r>
      <w:r>
        <w:t>.</w:t>
      </w:r>
      <w:r w:rsidR="00AD6985">
        <w:t xml:space="preserve"> Global 2015 and 2040 PM</w:t>
      </w:r>
      <w:r w:rsidR="00AD6985" w:rsidRPr="00E17F16">
        <w:rPr>
          <w:vertAlign w:val="subscript"/>
        </w:rPr>
        <w:t>2.5</w:t>
      </w:r>
      <w:r w:rsidR="00AD6985">
        <w:t xml:space="preserve"> and ozone mortality burdens are within the range of other published estimates (see Supplemental Material). </w:t>
      </w:r>
    </w:p>
    <w:p w14:paraId="4A479A42" w14:textId="1CCE3365" w:rsidR="0058515E" w:rsidRDefault="0058515E" w:rsidP="005005A8">
      <w:pPr>
        <w:spacing w:line="480" w:lineRule="auto"/>
      </w:pPr>
      <w:r>
        <w:t>We estimate PM</w:t>
      </w:r>
      <w:r w:rsidRPr="00375968">
        <w:rPr>
          <w:vertAlign w:val="subscript"/>
        </w:rPr>
        <w:t>2.5</w:t>
      </w:r>
      <w:r>
        <w:t xml:space="preserve">-related health impacts </w:t>
      </w:r>
      <w:r w:rsidRPr="00A92517">
        <w:t>using</w:t>
      </w:r>
      <w:r w:rsidR="004F6D03">
        <w:t xml:space="preserve"> </w:t>
      </w:r>
      <w:r w:rsidRPr="00A92517">
        <w:t xml:space="preserve">Integrated Exposure Response </w:t>
      </w:r>
      <w:r>
        <w:t xml:space="preserve">(IER) </w:t>
      </w:r>
      <w:r w:rsidRPr="00A92517">
        <w:t>curves</w:t>
      </w:r>
      <w:r>
        <w:t xml:space="preserve"> for five health endpoints: adult (</w:t>
      </w:r>
      <w:r>
        <w:rPr>
          <w:rFonts w:eastAsia="Times New Roman" w:cs="Times New Roman"/>
        </w:rPr>
        <w:t>≥</w:t>
      </w:r>
      <w:r w:rsidRPr="008330BF">
        <w:rPr>
          <w:rFonts w:eastAsia="Times New Roman" w:cs="Times New Roman"/>
        </w:rPr>
        <w:t>25</w:t>
      </w:r>
      <w:r>
        <w:rPr>
          <w:rFonts w:eastAsia="Times New Roman" w:cs="Times New Roman"/>
        </w:rPr>
        <w:t xml:space="preserve"> years) </w:t>
      </w:r>
      <w:r>
        <w:t xml:space="preserve">ischemic heart disease (IHD), stroke, chronic obstructive pulmonary </w:t>
      </w:r>
      <w:r w:rsidR="000C0C85">
        <w:t xml:space="preserve">disease </w:t>
      </w:r>
      <w:r>
        <w:t>(COPD), lung cancer; and</w:t>
      </w:r>
      <w:r w:rsidR="0086266D">
        <w:t xml:space="preserve"> child (&lt;5 years)</w:t>
      </w:r>
      <w:r>
        <w:t xml:space="preserve"> acute lower respiratory infection </w:t>
      </w:r>
      <w:r w:rsidR="0086266D">
        <w:t>(ALRI)</w:t>
      </w:r>
      <w:r w:rsidR="00494D51">
        <w:t xml:space="preserve">, following </w:t>
      </w:r>
      <w:r w:rsidR="0005582C">
        <w:t>recent studies</w:t>
      </w:r>
      <w:r>
        <w:t>.</w:t>
      </w:r>
      <w:r w:rsidR="00F16194">
        <w:rPr>
          <w:vertAlign w:val="superscript"/>
        </w:rPr>
        <w:t>21</w:t>
      </w:r>
      <w:r w:rsidR="00647272" w:rsidRPr="00647272">
        <w:rPr>
          <w:vertAlign w:val="superscript"/>
        </w:rPr>
        <w:t>,</w:t>
      </w:r>
      <w:r w:rsidR="00791739">
        <w:rPr>
          <w:vertAlign w:val="superscript"/>
        </w:rPr>
        <w:t>5</w:t>
      </w:r>
      <w:r w:rsidR="002D60AD">
        <w:rPr>
          <w:vertAlign w:val="superscript"/>
        </w:rPr>
        <w:t>4</w:t>
      </w:r>
      <w:r w:rsidR="00A2659B">
        <w:t xml:space="preserve"> </w:t>
      </w:r>
      <w:r w:rsidR="00577069">
        <w:t xml:space="preserve">For IHD and stroke, we use the age-specific IERs for each 5-year age band. </w:t>
      </w:r>
      <w:r w:rsidR="00A2659B">
        <w:t>We use the IER dataset that was publicly available at the time of the analysis</w:t>
      </w:r>
      <w:r w:rsidR="00647272" w:rsidRPr="00647272">
        <w:rPr>
          <w:vertAlign w:val="superscript"/>
        </w:rPr>
        <w:t>5</w:t>
      </w:r>
      <w:r w:rsidR="002D60AD">
        <w:rPr>
          <w:vertAlign w:val="superscript"/>
        </w:rPr>
        <w:t>5</w:t>
      </w:r>
      <w:r w:rsidR="002843AB">
        <w:t>,</w:t>
      </w:r>
      <w:r w:rsidR="00A2659B">
        <w:t xml:space="preserve"> used for the Global Burden of Disease 2010 Study</w:t>
      </w:r>
      <w:r w:rsidR="00647272" w:rsidRPr="00647272">
        <w:rPr>
          <w:vertAlign w:val="superscript"/>
        </w:rPr>
        <w:t>5</w:t>
      </w:r>
      <w:r w:rsidR="002D60AD">
        <w:rPr>
          <w:vertAlign w:val="superscript"/>
        </w:rPr>
        <w:t>6</w:t>
      </w:r>
      <w:r w:rsidR="00A2659B">
        <w:t>. The IERs</w:t>
      </w:r>
      <w:r>
        <w:t xml:space="preserve"> take the form:</w:t>
      </w:r>
    </w:p>
    <w:p w14:paraId="37F5A840" w14:textId="77777777" w:rsidR="0058515E" w:rsidRPr="00A35727" w:rsidRDefault="0081621F" w:rsidP="005005A8">
      <w:pPr>
        <w:spacing w:line="480" w:lineRule="auto"/>
        <w:rPr>
          <w:rFonts w:eastAsiaTheme="minorEastAsia"/>
        </w:rPr>
      </w:pPr>
      <m:oMathPara>
        <m:oMath>
          <m:sSub>
            <m:sSubPr>
              <m:ctrlPr>
                <w:rPr>
                  <w:rFonts w:ascii="Cambria Math" w:hAnsi="Cambria Math"/>
                  <w:i/>
                </w:rPr>
              </m:ctrlPr>
            </m:sSubPr>
            <m:e>
              <m:r>
                <w:rPr>
                  <w:rFonts w:ascii="Cambria Math" w:hAnsi="Cambria Math"/>
                </w:rPr>
                <m:t>RR</m:t>
              </m:r>
            </m:e>
            <m:sub>
              <m:r>
                <w:rPr>
                  <w:rFonts w:ascii="Cambria Math" w:hAnsi="Cambria Math"/>
                </w:rPr>
                <m:t>i,h</m:t>
              </m:r>
            </m:sub>
          </m:sSub>
          <m:r>
            <w:rPr>
              <w:rFonts w:ascii="Cambria Math" w:hAnsi="Cambria Math"/>
            </w:rPr>
            <m:t xml:space="preserve">=1+ </m:t>
          </m:r>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exp</m:t>
                  </m:r>
                </m:fName>
                <m:e>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h</m:t>
                      </m:r>
                    </m:sub>
                  </m:sSub>
                  <m:r>
                    <w:rPr>
                      <w:rFonts w:ascii="Cambria Math" w:hAnsi="Cambria Math"/>
                    </w:rPr>
                    <m:t xml:space="preserve"> </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cf</m:t>
                          </m:r>
                        </m:sub>
                      </m:sSub>
                      <m:r>
                        <w:rPr>
                          <w:rFonts w:ascii="Cambria Math" w:hAnsi="Cambria Math"/>
                        </w:rPr>
                        <m:t>)</m:t>
                      </m:r>
                    </m:e>
                    <m:sup>
                      <m:sSub>
                        <m:sSubPr>
                          <m:ctrlPr>
                            <w:rPr>
                              <w:rFonts w:ascii="Cambria Math" w:hAnsi="Cambria Math"/>
                              <w:i/>
                            </w:rPr>
                          </m:ctrlPr>
                        </m:sSubPr>
                        <m:e>
                          <m:r>
                            <w:rPr>
                              <w:rFonts w:ascii="Cambria Math" w:hAnsi="Cambria Math"/>
                            </w:rPr>
                            <m:t>δ</m:t>
                          </m:r>
                        </m:e>
                        <m:sub>
                          <m:r>
                            <w:rPr>
                              <w:rFonts w:ascii="Cambria Math" w:hAnsi="Cambria Math"/>
                            </w:rPr>
                            <m:t>h</m:t>
                          </m:r>
                        </m:sub>
                      </m:sSub>
                    </m:sup>
                  </m:sSup>
                </m:e>
              </m:func>
            </m:e>
          </m:d>
        </m:oMath>
      </m:oMathPara>
    </w:p>
    <w:p w14:paraId="664463A8" w14:textId="72ABBA27" w:rsidR="0058515E" w:rsidRDefault="001F004A" w:rsidP="005005A8">
      <w:pPr>
        <w:spacing w:line="480" w:lineRule="auto"/>
      </w:pPr>
      <w:r>
        <w:rPr>
          <w:rFonts w:eastAsiaTheme="minorEastAsia"/>
        </w:rPr>
        <w:t>w</w:t>
      </w:r>
      <w:r w:rsidR="0058515E">
        <w:rPr>
          <w:rFonts w:eastAsiaTheme="minorEastAsia"/>
        </w:rPr>
        <w:t>here RR is relative risk in gridcell i for health endpoint h, z is the PM</w:t>
      </w:r>
      <w:r w:rsidR="0058515E" w:rsidRPr="00375968">
        <w:rPr>
          <w:rFonts w:eastAsiaTheme="minorEastAsia"/>
          <w:vertAlign w:val="subscript"/>
        </w:rPr>
        <w:t xml:space="preserve">2.5 </w:t>
      </w:r>
      <w:r w:rsidR="0058515E">
        <w:rPr>
          <w:rFonts w:eastAsiaTheme="minorEastAsia"/>
        </w:rPr>
        <w:t>concentration in gridcell i, z</w:t>
      </w:r>
      <w:r w:rsidR="0058515E">
        <w:rPr>
          <w:rFonts w:eastAsiaTheme="minorEastAsia"/>
          <w:vertAlign w:val="subscript"/>
        </w:rPr>
        <w:t>cf</w:t>
      </w:r>
      <w:r w:rsidR="0058515E">
        <w:rPr>
          <w:rFonts w:eastAsiaTheme="minorEastAsia"/>
        </w:rPr>
        <w:t xml:space="preserve"> is the counterfactual PM</w:t>
      </w:r>
      <w:r w:rsidR="0058515E" w:rsidRPr="00375968">
        <w:rPr>
          <w:rFonts w:eastAsiaTheme="minorEastAsia"/>
          <w:vertAlign w:val="subscript"/>
        </w:rPr>
        <w:t>2.5</w:t>
      </w:r>
      <w:r w:rsidR="0058515E">
        <w:rPr>
          <w:rFonts w:eastAsiaTheme="minorEastAsia"/>
        </w:rPr>
        <w:t xml:space="preserve"> concentration below which we assume no additional risk, and α, γ, and δ are </w:t>
      </w:r>
      <w:r w:rsidR="0058515E">
        <w:rPr>
          <w:rFonts w:eastAsiaTheme="minorEastAsia"/>
        </w:rPr>
        <w:lastRenderedPageBreak/>
        <w:t>model parameters for health endpoint h.</w:t>
      </w:r>
      <w:r w:rsidR="0058515E">
        <w:t xml:space="preserve"> </w:t>
      </w:r>
      <w:r w:rsidR="00AD6985">
        <w:t xml:space="preserve">Sensitivity results using </w:t>
      </w:r>
      <w:r>
        <w:t>Global Burden of Disease 2015 Study</w:t>
      </w:r>
      <w:r w:rsidR="002843AB">
        <w:t xml:space="preserve"> </w:t>
      </w:r>
      <w:r w:rsidR="00F16194">
        <w:t>IERs</w:t>
      </w:r>
      <w:r w:rsidR="00F16194">
        <w:rPr>
          <w:vertAlign w:val="superscript"/>
        </w:rPr>
        <w:t>21</w:t>
      </w:r>
      <w:r>
        <w:t xml:space="preserve"> </w:t>
      </w:r>
      <w:r w:rsidR="002843AB">
        <w:t xml:space="preserve">are </w:t>
      </w:r>
      <w:r>
        <w:t xml:space="preserve">in the Supplemental Material. </w:t>
      </w:r>
    </w:p>
    <w:p w14:paraId="68B01E03" w14:textId="509DDDB1" w:rsidR="0058515E" w:rsidRDefault="002843AB" w:rsidP="005005A8">
      <w:pPr>
        <w:spacing w:line="480" w:lineRule="auto"/>
      </w:pPr>
      <w:r>
        <w:t>Ozone</w:t>
      </w:r>
      <w:r w:rsidR="0058515E">
        <w:t xml:space="preserve"> relative risk </w:t>
      </w:r>
      <w:r>
        <w:t xml:space="preserve">of </w:t>
      </w:r>
      <w:r w:rsidR="00882C47">
        <w:t>chronic</w:t>
      </w:r>
      <w:r w:rsidR="0058515E">
        <w:t xml:space="preserve"> respiratory diseas</w:t>
      </w:r>
      <w:r w:rsidR="00F369BF">
        <w:t xml:space="preserve">e </w:t>
      </w:r>
      <w:r>
        <w:t>is from</w:t>
      </w:r>
      <w:r w:rsidR="00F369BF">
        <w:t xml:space="preserve"> Jerrett et al.</w:t>
      </w:r>
      <w:r w:rsidR="00647272">
        <w:rPr>
          <w:vertAlign w:val="superscript"/>
        </w:rPr>
        <w:t>5</w:t>
      </w:r>
      <w:r w:rsidR="002D60AD">
        <w:rPr>
          <w:vertAlign w:val="superscript"/>
        </w:rPr>
        <w:t>7</w:t>
      </w:r>
      <w:r w:rsidR="006067F0">
        <w:t xml:space="preserve"> </w:t>
      </w:r>
      <w:r w:rsidR="003E5228">
        <w:t>To consider ozone independently from PM</w:t>
      </w:r>
      <w:r w:rsidR="003E5228" w:rsidRPr="00571F15">
        <w:rPr>
          <w:vertAlign w:val="subscript"/>
        </w:rPr>
        <w:t>2.5</w:t>
      </w:r>
      <w:r w:rsidR="003E5228">
        <w:rPr>
          <w:rFonts w:ascii="Georgia" w:hAnsi="Georgia"/>
          <w:color w:val="222222"/>
          <w:sz w:val="23"/>
          <w:szCs w:val="23"/>
          <w:shd w:val="clear" w:color="auto" w:fill="FFFFFF"/>
        </w:rPr>
        <w:t>—</w:t>
      </w:r>
      <w:r w:rsidR="003E5228">
        <w:t>f</w:t>
      </w:r>
      <w:r w:rsidR="00494D51">
        <w:t>ollowing several other studies</w:t>
      </w:r>
      <w:r w:rsidR="006067F0">
        <w:rPr>
          <w:vertAlign w:val="superscript"/>
        </w:rPr>
        <w:t xml:space="preserve">e.g. </w:t>
      </w:r>
      <w:r w:rsidR="00647272">
        <w:rPr>
          <w:vertAlign w:val="superscript"/>
        </w:rPr>
        <w:t>5</w:t>
      </w:r>
      <w:r w:rsidR="002D60AD">
        <w:rPr>
          <w:vertAlign w:val="superscript"/>
        </w:rPr>
        <w:t>8-61</w:t>
      </w:r>
      <w:r w:rsidR="003E5228">
        <w:rPr>
          <w:rFonts w:ascii="Georgia" w:hAnsi="Georgia"/>
          <w:color w:val="222222"/>
          <w:sz w:val="23"/>
          <w:szCs w:val="23"/>
          <w:shd w:val="clear" w:color="auto" w:fill="FFFFFF"/>
        </w:rPr>
        <w:t>—</w:t>
      </w:r>
      <w:r w:rsidR="00571F15">
        <w:t>we use</w:t>
      </w:r>
      <w:r w:rsidR="0058515E">
        <w:t xml:space="preserve"> the two-pollutant model</w:t>
      </w:r>
      <w:r w:rsidR="00FD10C7">
        <w:t xml:space="preserve"> </w:t>
      </w:r>
      <w:r w:rsidR="00571F15">
        <w:t>controlling for</w:t>
      </w:r>
      <w:r w:rsidR="0058515E">
        <w:t xml:space="preserve"> PM</w:t>
      </w:r>
      <w:r w:rsidR="0058515E" w:rsidRPr="00375968">
        <w:rPr>
          <w:vertAlign w:val="subscript"/>
        </w:rPr>
        <w:t>2.5</w:t>
      </w:r>
      <w:r w:rsidR="00571F15">
        <w:t xml:space="preserve">, which </w:t>
      </w:r>
      <w:r>
        <w:t>associated</w:t>
      </w:r>
      <w:r w:rsidR="0058515E">
        <w:t xml:space="preserve"> a 10 ppb increase in the April-September average daily 1-hr maximum ozone concentration (range 33.3-104.0 ppb) with a 4% [95% confidence interval (CI), 1.3-6.7%] increase in</w:t>
      </w:r>
      <w:r w:rsidR="0051482C">
        <w:t xml:space="preserve"> chronic respiratory disease</w:t>
      </w:r>
      <w:r w:rsidRPr="002843AB">
        <w:t xml:space="preserve"> </w:t>
      </w:r>
      <w:r>
        <w:t>RR</w:t>
      </w:r>
      <w:r w:rsidR="0051482C">
        <w:t xml:space="preserve">. </w:t>
      </w:r>
      <w:r w:rsidR="0058515E">
        <w:t xml:space="preserve">The </w:t>
      </w:r>
      <w:r w:rsidR="00FD10C7">
        <w:t>ozone-response</w:t>
      </w:r>
      <w:r w:rsidR="003E5228">
        <w:t xml:space="preserve"> </w:t>
      </w:r>
      <w:r w:rsidR="00FD10C7">
        <w:t xml:space="preserve">relationship </w:t>
      </w:r>
      <w:r w:rsidR="003F4AA2">
        <w:t>is</w:t>
      </w:r>
      <w:r w:rsidR="0058515E">
        <w:t>:</w:t>
      </w:r>
    </w:p>
    <w:p w14:paraId="477C4E34" w14:textId="77777777" w:rsidR="0058515E" w:rsidRPr="00A35727" w:rsidRDefault="0081621F" w:rsidP="005005A8">
      <w:pPr>
        <w:spacing w:line="480" w:lineRule="auto"/>
        <w:rPr>
          <w:rFonts w:eastAsiaTheme="minorEastAsia"/>
        </w:rPr>
      </w:pPr>
      <m:oMathPara>
        <m:oMath>
          <m:sSub>
            <m:sSubPr>
              <m:ctrlPr>
                <w:rPr>
                  <w:rFonts w:ascii="Cambria Math" w:hAnsi="Cambria Math"/>
                  <w:i/>
                </w:rPr>
              </m:ctrlPr>
            </m:sSubPr>
            <m:e>
              <m:r>
                <w:rPr>
                  <w:rFonts w:ascii="Cambria Math" w:hAnsi="Cambria Math"/>
                </w:rPr>
                <m:t>RR</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exp</m:t>
              </m:r>
            </m:e>
            <m:sup>
              <m:r>
                <w:rPr>
                  <w:rFonts w:ascii="Cambria Math" w:hAnsi="Cambria Math"/>
                </w:rPr>
                <m:t xml:space="preserve">(β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up>
          </m:sSup>
        </m:oMath>
      </m:oMathPara>
    </w:p>
    <w:p w14:paraId="06D0F710" w14:textId="64D42DAB" w:rsidR="0058515E" w:rsidRDefault="002843AB" w:rsidP="005005A8">
      <w:pPr>
        <w:spacing w:line="480" w:lineRule="auto"/>
        <w:rPr>
          <w:rFonts w:eastAsiaTheme="minorEastAsia"/>
        </w:rPr>
      </w:pPr>
      <w:r>
        <w:rPr>
          <w:rFonts w:eastAsiaTheme="minorEastAsia"/>
        </w:rPr>
        <w:t>w</w:t>
      </w:r>
      <w:r w:rsidR="0058515E">
        <w:rPr>
          <w:rFonts w:eastAsiaTheme="minorEastAsia"/>
        </w:rPr>
        <w:t>here RR is relative risk in gridcell i, β is the model parameterized slope of the log-linear relationship between concentration and mortality, and X is the</w:t>
      </w:r>
      <w:r w:rsidR="00577069">
        <w:rPr>
          <w:rFonts w:eastAsiaTheme="minorEastAsia"/>
        </w:rPr>
        <w:t xml:space="preserve"> maximum six-month average of the 1-hr daily maximum</w:t>
      </w:r>
      <w:r w:rsidR="0058515E">
        <w:rPr>
          <w:rFonts w:eastAsiaTheme="minorEastAsia"/>
        </w:rPr>
        <w:t xml:space="preserve"> ozone concentration in gridcell i. </w:t>
      </w:r>
      <w:r w:rsidR="00913C2B">
        <w:rPr>
          <w:rFonts w:eastAsiaTheme="minorEastAsia"/>
        </w:rPr>
        <w:t>We use a low-concentration threshold of 33</w:t>
      </w:r>
      <w:r w:rsidR="001F004A">
        <w:rPr>
          <w:rFonts w:eastAsiaTheme="minorEastAsia"/>
        </w:rPr>
        <w:t>.3</w:t>
      </w:r>
      <w:r w:rsidR="00913C2B">
        <w:rPr>
          <w:rFonts w:eastAsiaTheme="minorEastAsia"/>
        </w:rPr>
        <w:t xml:space="preserve"> ppb</w:t>
      </w:r>
      <w:r w:rsidR="00F369BF">
        <w:rPr>
          <w:rFonts w:eastAsiaTheme="minorEastAsia"/>
        </w:rPr>
        <w:t xml:space="preserve"> (</w:t>
      </w:r>
      <w:r w:rsidR="00494D51">
        <w:rPr>
          <w:rFonts w:eastAsiaTheme="minorEastAsia"/>
        </w:rPr>
        <w:t>the lowest measure</w:t>
      </w:r>
      <w:r w:rsidR="00F369BF">
        <w:rPr>
          <w:rFonts w:eastAsiaTheme="minorEastAsia"/>
        </w:rPr>
        <w:t>d level by Jerrett et al.</w:t>
      </w:r>
      <w:r w:rsidR="00647272">
        <w:rPr>
          <w:rFonts w:eastAsiaTheme="minorEastAsia"/>
          <w:vertAlign w:val="superscript"/>
        </w:rPr>
        <w:t>5</w:t>
      </w:r>
      <w:r w:rsidR="002D60AD">
        <w:rPr>
          <w:rFonts w:eastAsiaTheme="minorEastAsia"/>
          <w:vertAlign w:val="superscript"/>
        </w:rPr>
        <w:t>7</w:t>
      </w:r>
      <w:r w:rsidR="00F369BF">
        <w:rPr>
          <w:rFonts w:eastAsiaTheme="minorEastAsia"/>
        </w:rPr>
        <w:t>)</w:t>
      </w:r>
      <w:r w:rsidR="00913C2B">
        <w:rPr>
          <w:rFonts w:eastAsiaTheme="minorEastAsia"/>
        </w:rPr>
        <w:t xml:space="preserve">, below which </w:t>
      </w:r>
      <w:r w:rsidR="00494D51">
        <w:rPr>
          <w:rFonts w:eastAsiaTheme="minorEastAsia"/>
        </w:rPr>
        <w:t>no health impacts are calculated</w:t>
      </w:r>
      <w:r w:rsidR="00414C73">
        <w:rPr>
          <w:rFonts w:eastAsiaTheme="minorEastAsia"/>
        </w:rPr>
        <w:t>, and examine a</w:t>
      </w:r>
      <w:r w:rsidR="001F004A">
        <w:rPr>
          <w:rFonts w:eastAsiaTheme="minorEastAsia"/>
        </w:rPr>
        <w:t xml:space="preserve"> 41.9 ppb</w:t>
      </w:r>
      <w:r w:rsidR="003F4AA2">
        <w:rPr>
          <w:rFonts w:eastAsiaTheme="minorEastAsia"/>
        </w:rPr>
        <w:t xml:space="preserve"> threshold</w:t>
      </w:r>
      <w:r w:rsidR="00414C73">
        <w:rPr>
          <w:rFonts w:eastAsiaTheme="minorEastAsia"/>
        </w:rPr>
        <w:t xml:space="preserve"> (</w:t>
      </w:r>
      <w:r w:rsidR="001F004A">
        <w:rPr>
          <w:rFonts w:eastAsiaTheme="minorEastAsia"/>
        </w:rPr>
        <w:t>5</w:t>
      </w:r>
      <w:r w:rsidR="001F004A" w:rsidRPr="001F004A">
        <w:rPr>
          <w:rFonts w:eastAsiaTheme="minorEastAsia"/>
          <w:vertAlign w:val="superscript"/>
        </w:rPr>
        <w:t>th</w:t>
      </w:r>
      <w:r w:rsidR="001F004A">
        <w:rPr>
          <w:rFonts w:eastAsiaTheme="minorEastAsia"/>
        </w:rPr>
        <w:t xml:space="preserve"> percentile</w:t>
      </w:r>
      <w:r w:rsidR="00414C73">
        <w:rPr>
          <w:rFonts w:eastAsiaTheme="minorEastAsia"/>
        </w:rPr>
        <w:t>)</w:t>
      </w:r>
      <w:r w:rsidR="001F004A">
        <w:rPr>
          <w:rFonts w:eastAsiaTheme="minorEastAsia"/>
        </w:rPr>
        <w:t xml:space="preserve"> in the Supplemental Material. </w:t>
      </w:r>
    </w:p>
    <w:p w14:paraId="06A9DF52" w14:textId="4030E2E1" w:rsidR="0058515E" w:rsidRDefault="006D6A8C" w:rsidP="005005A8">
      <w:pPr>
        <w:spacing w:line="480" w:lineRule="auto"/>
        <w:rPr>
          <w:rFonts w:eastAsiaTheme="minorEastAsia"/>
        </w:rPr>
      </w:pPr>
      <w:r>
        <w:rPr>
          <w:rFonts w:eastAsiaTheme="minorEastAsia"/>
        </w:rPr>
        <w:t>W</w:t>
      </w:r>
      <w:r w:rsidR="0058515E">
        <w:rPr>
          <w:rFonts w:eastAsiaTheme="minorEastAsia"/>
        </w:rPr>
        <w:t xml:space="preserve">e calculate the </w:t>
      </w:r>
      <w:r w:rsidR="00C64476">
        <w:rPr>
          <w:rFonts w:eastAsiaTheme="minorEastAsia"/>
        </w:rPr>
        <w:t>P</w:t>
      </w:r>
      <w:r w:rsidR="0058515E">
        <w:rPr>
          <w:rFonts w:eastAsiaTheme="minorEastAsia"/>
        </w:rPr>
        <w:t>M</w:t>
      </w:r>
      <w:r w:rsidR="0058515E" w:rsidRPr="007A0375">
        <w:rPr>
          <w:rFonts w:eastAsiaTheme="minorEastAsia"/>
          <w:vertAlign w:val="subscript"/>
        </w:rPr>
        <w:t>2.5</w:t>
      </w:r>
      <w:r w:rsidR="00C64476">
        <w:rPr>
          <w:rFonts w:eastAsiaTheme="minorEastAsia"/>
        </w:rPr>
        <w:t xml:space="preserve">- </w:t>
      </w:r>
      <w:r w:rsidR="0058515E">
        <w:rPr>
          <w:rFonts w:eastAsiaTheme="minorEastAsia"/>
        </w:rPr>
        <w:t>and ozone</w:t>
      </w:r>
      <w:r w:rsidR="00C64476">
        <w:rPr>
          <w:rFonts w:eastAsiaTheme="minorEastAsia"/>
        </w:rPr>
        <w:t xml:space="preserve">-attributable disease burden </w:t>
      </w:r>
      <w:r w:rsidR="0058515E">
        <w:rPr>
          <w:rFonts w:eastAsiaTheme="minorEastAsia"/>
        </w:rPr>
        <w:t xml:space="preserve">within each 0.1° x 0.1° gridcell using the </w:t>
      </w:r>
      <w:r w:rsidR="00414C73">
        <w:t>common population attributable fraction (PAF) method</w:t>
      </w:r>
      <w:r w:rsidR="0058515E">
        <w:rPr>
          <w:rFonts w:eastAsiaTheme="minorEastAsia"/>
        </w:rPr>
        <w:t>:</w:t>
      </w:r>
    </w:p>
    <w:p w14:paraId="3DE90549" w14:textId="2DF5922D" w:rsidR="0058515E" w:rsidRDefault="0081621F" w:rsidP="005005A8">
      <w:pPr>
        <w:spacing w:line="48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i,h</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Pop</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Popfrac</m:t>
              </m:r>
            </m:e>
            <m:sub>
              <m:r>
                <w:rPr>
                  <w:rFonts w:ascii="Cambria Math" w:eastAsiaTheme="minorEastAsia" w:hAnsi="Cambria Math"/>
                </w:rPr>
                <m:t>c,h</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c,h</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RR</m:t>
                  </m:r>
                </m:e>
                <m:sub>
                  <m:r>
                    <w:rPr>
                      <w:rFonts w:ascii="Cambria Math" w:hAnsi="Cambria Math"/>
                    </w:rPr>
                    <m:t>i,h</m:t>
                  </m:r>
                </m:sub>
              </m:sSub>
              <m:r>
                <w:rPr>
                  <w:rFonts w:ascii="Cambria Math" w:hAnsi="Cambria Math"/>
                </w:rPr>
                <m:t>-1</m:t>
              </m:r>
            </m:num>
            <m:den>
              <m:sSub>
                <m:sSubPr>
                  <m:ctrlPr>
                    <w:rPr>
                      <w:rFonts w:ascii="Cambria Math" w:hAnsi="Cambria Math"/>
                      <w:i/>
                    </w:rPr>
                  </m:ctrlPr>
                </m:sSubPr>
                <m:e>
                  <m:r>
                    <w:rPr>
                      <w:rFonts w:ascii="Cambria Math" w:hAnsi="Cambria Math"/>
                    </w:rPr>
                    <m:t>RR</m:t>
                  </m:r>
                </m:e>
                <m:sub>
                  <m:r>
                    <w:rPr>
                      <w:rFonts w:ascii="Cambria Math" w:hAnsi="Cambria Math"/>
                    </w:rPr>
                    <m:t>i,h</m:t>
                  </m:r>
                </m:sub>
              </m:sSub>
            </m:den>
          </m:f>
        </m:oMath>
      </m:oMathPara>
    </w:p>
    <w:p w14:paraId="2F7C99B6" w14:textId="68E5AD64" w:rsidR="0058515E" w:rsidRDefault="00C64476" w:rsidP="005005A8">
      <w:pPr>
        <w:spacing w:line="480" w:lineRule="auto"/>
        <w:rPr>
          <w:rFonts w:eastAsiaTheme="minorEastAsia"/>
        </w:rPr>
      </w:pPr>
      <w:r>
        <w:rPr>
          <w:rFonts w:eastAsiaTheme="minorEastAsia"/>
        </w:rPr>
        <w:t>w</w:t>
      </w:r>
      <w:r w:rsidR="0058515E">
        <w:rPr>
          <w:rFonts w:eastAsiaTheme="minorEastAsia"/>
        </w:rPr>
        <w:t xml:space="preserve">here M is the disease burden in gridcell i for health endpoint h, Pop is the population in gridcell i, popfrac is the population fraction in country c for health endpoint h, Y </w:t>
      </w:r>
      <w:r>
        <w:rPr>
          <w:rFonts w:eastAsiaTheme="minorEastAsia"/>
        </w:rPr>
        <w:t xml:space="preserve">is the </w:t>
      </w:r>
      <w:r w:rsidR="0058515E">
        <w:rPr>
          <w:rFonts w:eastAsiaTheme="minorEastAsia"/>
        </w:rPr>
        <w:t xml:space="preserve">baseline incidence rate in </w:t>
      </w:r>
      <w:r w:rsidR="00414C73">
        <w:rPr>
          <w:rFonts w:eastAsiaTheme="minorEastAsia"/>
        </w:rPr>
        <w:t>country c for health endpoint h</w:t>
      </w:r>
      <w:r w:rsidR="0058515E">
        <w:rPr>
          <w:rFonts w:eastAsiaTheme="minorEastAsia"/>
        </w:rPr>
        <w:t xml:space="preserve">. </w:t>
      </w:r>
      <w:r w:rsidR="00414C73">
        <w:rPr>
          <w:rFonts w:eastAsiaTheme="minorEastAsia"/>
        </w:rPr>
        <w:t>H</w:t>
      </w:r>
      <w:r w:rsidR="0058515E">
        <w:rPr>
          <w:rFonts w:eastAsiaTheme="minorEastAsia"/>
        </w:rPr>
        <w:t xml:space="preserve">ealth damages or benefits </w:t>
      </w:r>
      <w:r w:rsidR="00414C73">
        <w:rPr>
          <w:rFonts w:eastAsiaTheme="minorEastAsia"/>
        </w:rPr>
        <w:t>are estimated by</w:t>
      </w:r>
      <w:r w:rsidR="0058515E">
        <w:rPr>
          <w:rFonts w:eastAsiaTheme="minorEastAsia"/>
        </w:rPr>
        <w:t xml:space="preserve"> subtract</w:t>
      </w:r>
      <w:r w:rsidR="00414C73">
        <w:rPr>
          <w:rFonts w:eastAsiaTheme="minorEastAsia"/>
        </w:rPr>
        <w:t>ing</w:t>
      </w:r>
      <w:r w:rsidR="0058515E">
        <w:rPr>
          <w:rFonts w:eastAsiaTheme="minorEastAsia"/>
        </w:rPr>
        <w:t xml:space="preserve"> gridcell-level disease burdens between</w:t>
      </w:r>
      <w:r w:rsidR="00414C73">
        <w:rPr>
          <w:rFonts w:eastAsiaTheme="minorEastAsia"/>
        </w:rPr>
        <w:t xml:space="preserve"> two</w:t>
      </w:r>
      <w:r w:rsidR="0058515E">
        <w:rPr>
          <w:rFonts w:eastAsiaTheme="minorEastAsia"/>
        </w:rPr>
        <w:t xml:space="preserve"> scenarios. </w:t>
      </w:r>
      <w:r w:rsidR="001C6853">
        <w:rPr>
          <w:rFonts w:eastAsiaTheme="minorEastAsia"/>
        </w:rPr>
        <w:t>To ascertain HDV and LDV contributions to health impacts, we use the “proportional approach”</w:t>
      </w:r>
      <w:r w:rsidR="008E0E7E" w:rsidRPr="008E0E7E">
        <w:rPr>
          <w:rFonts w:eastAsiaTheme="minorEastAsia"/>
          <w:vertAlign w:val="superscript"/>
        </w:rPr>
        <w:t>1</w:t>
      </w:r>
      <w:r w:rsidR="001C6853">
        <w:rPr>
          <w:rFonts w:eastAsiaTheme="minorEastAsia"/>
        </w:rPr>
        <w:t xml:space="preserve"> wherein we scale the HDV+LDV change in disease burden by the fraction of HDV+LDV concentration change affected by HDVs and LDVs </w:t>
      </w:r>
      <w:r w:rsidR="00AD6985">
        <w:rPr>
          <w:rFonts w:eastAsiaTheme="minorEastAsia"/>
        </w:rPr>
        <w:t>individually</w:t>
      </w:r>
      <w:r w:rsidR="001C6853">
        <w:rPr>
          <w:rFonts w:eastAsiaTheme="minorEastAsia"/>
        </w:rPr>
        <w:t xml:space="preserve">. This method allows </w:t>
      </w:r>
      <w:r w:rsidR="001C6853">
        <w:rPr>
          <w:rFonts w:eastAsiaTheme="minorEastAsia"/>
        </w:rPr>
        <w:lastRenderedPageBreak/>
        <w:t>us to consider HDV and LDV emissions simultaneously,</w:t>
      </w:r>
      <w:r w:rsidR="00317324">
        <w:rPr>
          <w:rFonts w:eastAsiaTheme="minorEastAsia"/>
        </w:rPr>
        <w:t xml:space="preserve"> since removing each from the model separately </w:t>
      </w:r>
      <w:r w:rsidR="001C6853">
        <w:rPr>
          <w:rFonts w:eastAsiaTheme="minorEastAsia"/>
        </w:rPr>
        <w:t xml:space="preserve">would lead to </w:t>
      </w:r>
      <w:r w:rsidR="00317324">
        <w:rPr>
          <w:rFonts w:eastAsiaTheme="minorEastAsia"/>
        </w:rPr>
        <w:t>lower health impact results for the quantity removed first (and thus on the flatter portion of the non-linear exposure response curve) and higher results for the quantity removed second (steeper portion)</w:t>
      </w:r>
      <w:r w:rsidR="001C6853">
        <w:rPr>
          <w:rFonts w:eastAsiaTheme="minorEastAsia"/>
        </w:rPr>
        <w:t xml:space="preserve">. </w:t>
      </w:r>
      <w:r w:rsidR="00414C73">
        <w:rPr>
          <w:rFonts w:eastAsiaTheme="minorEastAsia"/>
        </w:rPr>
        <w:t>Uncertainty bounds for health impacts are based only on uncertainty in these concentration-response function</w:t>
      </w:r>
      <w:r w:rsidR="008A755E">
        <w:rPr>
          <w:rFonts w:eastAsiaTheme="minorEastAsia"/>
        </w:rPr>
        <w:t>s</w:t>
      </w:r>
      <w:r w:rsidR="00414C73">
        <w:rPr>
          <w:rFonts w:eastAsiaTheme="minorEastAsia"/>
        </w:rPr>
        <w:t>.</w:t>
      </w:r>
      <w:r w:rsidR="008A755E">
        <w:rPr>
          <w:rFonts w:eastAsiaTheme="minorEastAsia"/>
        </w:rPr>
        <w:t xml:space="preserve"> Uncertainty between two scenarios is calculated by differencing gridded scenario burden estimates using the same relative risks for each (i.e. for PM</w:t>
      </w:r>
      <w:r w:rsidR="008A755E" w:rsidRPr="008A755E">
        <w:rPr>
          <w:rFonts w:eastAsiaTheme="minorEastAsia"/>
          <w:vertAlign w:val="subscript"/>
        </w:rPr>
        <w:t>2.5</w:t>
      </w:r>
      <w:r w:rsidR="008A755E">
        <w:rPr>
          <w:rFonts w:eastAsiaTheme="minorEastAsia"/>
        </w:rPr>
        <w:t>, using the mean, 2.5 percentile, or 97.5 percentiles of the 1000 RR estimates).</w:t>
      </w:r>
    </w:p>
    <w:p w14:paraId="5A21ACF0" w14:textId="06EFE502" w:rsidR="0058515E" w:rsidRDefault="001F004A" w:rsidP="005005A8">
      <w:pPr>
        <w:spacing w:after="0" w:line="480" w:lineRule="auto"/>
        <w:rPr>
          <w:rFonts w:eastAsia="Times New Roman" w:cs="Times New Roman"/>
        </w:rPr>
      </w:pPr>
      <w:r>
        <w:rPr>
          <w:rFonts w:eastAsia="Times New Roman" w:cs="Times New Roman"/>
        </w:rPr>
        <w:t>Present-day (2015</w:t>
      </w:r>
      <w:r w:rsidR="0058515E">
        <w:rPr>
          <w:rFonts w:eastAsia="Times New Roman" w:cs="Times New Roman"/>
        </w:rPr>
        <w:t xml:space="preserve">) baseline incidence rates </w:t>
      </w:r>
      <w:r w:rsidR="00F369BF">
        <w:rPr>
          <w:rFonts w:eastAsia="Times New Roman" w:cs="Times New Roman"/>
        </w:rPr>
        <w:t>are from</w:t>
      </w:r>
      <w:r w:rsidR="003F4AA2">
        <w:rPr>
          <w:rFonts w:eastAsia="Times New Roman" w:cs="Times New Roman"/>
        </w:rPr>
        <w:t xml:space="preserve"> the</w:t>
      </w:r>
      <w:r w:rsidR="00F369BF">
        <w:rPr>
          <w:rFonts w:eastAsia="Times New Roman" w:cs="Times New Roman"/>
        </w:rPr>
        <w:t xml:space="preserve"> Institute for Health Metrics and Evaluation (IHME)</w:t>
      </w:r>
      <w:r w:rsidR="0058515E">
        <w:rPr>
          <w:rFonts w:eastAsia="Times New Roman" w:cs="Times New Roman"/>
        </w:rPr>
        <w:t xml:space="preserve"> </w:t>
      </w:r>
      <w:r w:rsidR="00F369BF">
        <w:rPr>
          <w:rFonts w:eastAsia="Times New Roman" w:cs="Times New Roman"/>
        </w:rPr>
        <w:t>Global Burden of Disease</w:t>
      </w:r>
      <w:r>
        <w:rPr>
          <w:rFonts w:eastAsia="Times New Roman" w:cs="Times New Roman"/>
        </w:rPr>
        <w:t xml:space="preserve"> 2015</w:t>
      </w:r>
      <w:r w:rsidR="003F4AA2">
        <w:rPr>
          <w:rFonts w:eastAsia="Times New Roman" w:cs="Times New Roman"/>
        </w:rPr>
        <w:t xml:space="preserve"> Study</w:t>
      </w:r>
      <w:r w:rsidR="0058515E">
        <w:rPr>
          <w:rFonts w:eastAsia="Times New Roman" w:cs="Times New Roman"/>
        </w:rPr>
        <w:t xml:space="preserve"> </w:t>
      </w:r>
      <w:r w:rsidR="0058515E" w:rsidRPr="008330BF">
        <w:rPr>
          <w:rFonts w:eastAsia="Times New Roman" w:cs="Times New Roman"/>
        </w:rPr>
        <w:t>(</w:t>
      </w:r>
      <w:hyperlink r:id="rId23" w:history="1">
        <w:r w:rsidRPr="003D689F">
          <w:rPr>
            <w:rStyle w:val="Hyperlink"/>
          </w:rPr>
          <w:t>http://ghdx.healthdata.org/gbd-results-tool</w:t>
        </w:r>
      </w:hyperlink>
      <w:r w:rsidR="0058515E" w:rsidRPr="008330BF">
        <w:rPr>
          <w:rFonts w:eastAsia="Times New Roman" w:cs="Times New Roman"/>
        </w:rPr>
        <w:t xml:space="preserve">, accessed </w:t>
      </w:r>
      <w:r>
        <w:rPr>
          <w:rFonts w:eastAsia="Times New Roman" w:cs="Times New Roman"/>
        </w:rPr>
        <w:t>November 1</w:t>
      </w:r>
      <w:r w:rsidR="0058515E" w:rsidRPr="008330BF">
        <w:rPr>
          <w:rFonts w:eastAsia="Times New Roman" w:cs="Times New Roman"/>
        </w:rPr>
        <w:t xml:space="preserve">, 2016). </w:t>
      </w:r>
      <w:r w:rsidR="00C92B53">
        <w:rPr>
          <w:rFonts w:eastAsia="Times New Roman" w:cs="Times New Roman"/>
        </w:rPr>
        <w:t>W</w:t>
      </w:r>
      <w:r w:rsidR="00A02FB4">
        <w:rPr>
          <w:rFonts w:eastAsia="Times New Roman" w:cs="Times New Roman"/>
        </w:rPr>
        <w:t xml:space="preserve">e use </w:t>
      </w:r>
      <w:r w:rsidR="00C92B53">
        <w:rPr>
          <w:rFonts w:eastAsia="Times New Roman" w:cs="Times New Roman"/>
        </w:rPr>
        <w:t xml:space="preserve">country- and </w:t>
      </w:r>
      <w:r w:rsidR="0058515E" w:rsidRPr="008330BF">
        <w:rPr>
          <w:rFonts w:eastAsia="Times New Roman" w:cs="Times New Roman"/>
        </w:rPr>
        <w:t>cause-specific rates for age</w:t>
      </w:r>
      <w:r w:rsidR="00C92B53">
        <w:rPr>
          <w:rFonts w:eastAsia="Times New Roman" w:cs="Times New Roman"/>
        </w:rPr>
        <w:t>s</w:t>
      </w:r>
      <w:r w:rsidR="0058515E" w:rsidRPr="008330BF">
        <w:rPr>
          <w:rFonts w:eastAsia="Times New Roman" w:cs="Times New Roman"/>
        </w:rPr>
        <w:t xml:space="preserve"> </w:t>
      </w:r>
      <w:r w:rsidR="0058515E">
        <w:rPr>
          <w:rFonts w:eastAsia="Times New Roman" w:cs="Times New Roman"/>
        </w:rPr>
        <w:t>≥</w:t>
      </w:r>
      <w:r w:rsidR="0058515E" w:rsidRPr="008330BF">
        <w:rPr>
          <w:rFonts w:eastAsia="Times New Roman" w:cs="Times New Roman"/>
        </w:rPr>
        <w:t>25 years</w:t>
      </w:r>
      <w:r w:rsidR="00C92B53">
        <w:rPr>
          <w:rFonts w:eastAsia="Times New Roman" w:cs="Times New Roman"/>
        </w:rPr>
        <w:t xml:space="preserve"> i</w:t>
      </w:r>
      <w:r w:rsidR="00A02FB4">
        <w:rPr>
          <w:rFonts w:eastAsia="Times New Roman" w:cs="Times New Roman"/>
        </w:rPr>
        <w:t>n 5-year age groups</w:t>
      </w:r>
      <w:r w:rsidR="0058515E" w:rsidRPr="008330BF">
        <w:rPr>
          <w:rFonts w:eastAsia="Times New Roman" w:cs="Times New Roman"/>
        </w:rPr>
        <w:t xml:space="preserve"> </w:t>
      </w:r>
      <w:r w:rsidR="0058515E">
        <w:rPr>
          <w:rFonts w:eastAsia="Times New Roman" w:cs="Times New Roman"/>
        </w:rPr>
        <w:t>(IHD, stroke, COPD, lung cancer</w:t>
      </w:r>
      <w:r w:rsidR="00882C47">
        <w:rPr>
          <w:rFonts w:eastAsia="Times New Roman" w:cs="Times New Roman"/>
        </w:rPr>
        <w:t xml:space="preserve"> for PM</w:t>
      </w:r>
      <w:r w:rsidR="00882C47" w:rsidRPr="00882C47">
        <w:rPr>
          <w:rFonts w:eastAsia="Times New Roman" w:cs="Times New Roman"/>
          <w:vertAlign w:val="subscript"/>
        </w:rPr>
        <w:t xml:space="preserve">2.5 </w:t>
      </w:r>
      <w:r w:rsidR="00882C47">
        <w:rPr>
          <w:rFonts w:eastAsia="Times New Roman" w:cs="Times New Roman"/>
        </w:rPr>
        <w:t>mortality, and chronic respiratory disease for ozone mortality</w:t>
      </w:r>
      <w:r w:rsidR="0058515E">
        <w:rPr>
          <w:rFonts w:eastAsia="Times New Roman" w:cs="Times New Roman"/>
        </w:rPr>
        <w:t>) and &lt;5 years (for ALRI), usin</w:t>
      </w:r>
      <w:r w:rsidR="00C7312F">
        <w:rPr>
          <w:rFonts w:eastAsia="Times New Roman" w:cs="Times New Roman"/>
        </w:rPr>
        <w:t>g regional rates where country rates</w:t>
      </w:r>
      <w:r w:rsidR="0058515E">
        <w:rPr>
          <w:rFonts w:eastAsia="Times New Roman" w:cs="Times New Roman"/>
        </w:rPr>
        <w:t xml:space="preserve"> were </w:t>
      </w:r>
      <w:r w:rsidR="00DD1C6C">
        <w:rPr>
          <w:rFonts w:eastAsia="Times New Roman" w:cs="Times New Roman"/>
        </w:rPr>
        <w:t>un</w:t>
      </w:r>
      <w:r w:rsidR="003F4AA2">
        <w:rPr>
          <w:rFonts w:eastAsia="Times New Roman" w:cs="Times New Roman"/>
        </w:rPr>
        <w:t>available</w:t>
      </w:r>
      <w:r w:rsidR="0058515E">
        <w:rPr>
          <w:rFonts w:eastAsia="Times New Roman" w:cs="Times New Roman"/>
        </w:rPr>
        <w:t xml:space="preserve">. </w:t>
      </w:r>
      <w:r w:rsidR="00C64476">
        <w:rPr>
          <w:rFonts w:eastAsia="Times New Roman" w:cs="Times New Roman"/>
        </w:rPr>
        <w:t>W</w:t>
      </w:r>
      <w:r w:rsidR="0058515E">
        <w:rPr>
          <w:rFonts w:eastAsia="Times New Roman" w:cs="Times New Roman"/>
        </w:rPr>
        <w:t xml:space="preserve">e </w:t>
      </w:r>
      <w:r w:rsidR="007E41F4">
        <w:rPr>
          <w:rFonts w:eastAsia="Times New Roman" w:cs="Times New Roman"/>
        </w:rPr>
        <w:t>scale</w:t>
      </w:r>
      <w:r w:rsidR="0058515E">
        <w:rPr>
          <w:rFonts w:eastAsia="Times New Roman" w:cs="Times New Roman"/>
        </w:rPr>
        <w:t xml:space="preserve"> </w:t>
      </w:r>
      <w:r w:rsidR="00C92B53">
        <w:rPr>
          <w:rFonts w:eastAsia="Times New Roman" w:cs="Times New Roman"/>
        </w:rPr>
        <w:t xml:space="preserve">chronic disease </w:t>
      </w:r>
      <w:r w:rsidR="0058515E">
        <w:rPr>
          <w:rFonts w:eastAsia="Times New Roman" w:cs="Times New Roman"/>
        </w:rPr>
        <w:t xml:space="preserve">mortality rates to 2040 using </w:t>
      </w:r>
      <w:r w:rsidR="00D62C99">
        <w:rPr>
          <w:rFonts w:eastAsia="Times New Roman" w:cs="Times New Roman"/>
        </w:rPr>
        <w:t>International Futures model</w:t>
      </w:r>
      <w:r w:rsidR="00DD1C6C" w:rsidRPr="00DD1C6C">
        <w:rPr>
          <w:rFonts w:eastAsia="Times New Roman" w:cs="Times New Roman"/>
        </w:rPr>
        <w:t xml:space="preserve"> </w:t>
      </w:r>
      <w:r w:rsidR="00DD1C6C">
        <w:rPr>
          <w:rFonts w:eastAsia="Times New Roman" w:cs="Times New Roman"/>
        </w:rPr>
        <w:t>projections</w:t>
      </w:r>
      <w:r w:rsidR="00C64476">
        <w:rPr>
          <w:rFonts w:eastAsia="Times New Roman" w:cs="Times New Roman"/>
        </w:rPr>
        <w:t>,</w:t>
      </w:r>
      <w:r w:rsidR="003F4AA2">
        <w:rPr>
          <w:rFonts w:eastAsia="Times New Roman" w:cs="Times New Roman"/>
        </w:rPr>
        <w:t xml:space="preserve"> </w:t>
      </w:r>
      <w:r w:rsidR="00C64476">
        <w:rPr>
          <w:rFonts w:eastAsia="Times New Roman" w:cs="Times New Roman"/>
        </w:rPr>
        <w:t>following other studies</w:t>
      </w:r>
      <w:r w:rsidR="002D60AD">
        <w:rPr>
          <w:rFonts w:eastAsia="Times New Roman" w:cs="Times New Roman"/>
          <w:vertAlign w:val="superscript"/>
        </w:rPr>
        <w:t>60-61</w:t>
      </w:r>
      <w:r w:rsidR="00C64476">
        <w:rPr>
          <w:rFonts w:eastAsia="Times New Roman" w:cs="Times New Roman"/>
        </w:rPr>
        <w:t xml:space="preserve"> </w:t>
      </w:r>
      <w:r w:rsidR="003F4AA2">
        <w:rPr>
          <w:rFonts w:eastAsia="Times New Roman" w:cs="Times New Roman"/>
        </w:rPr>
        <w:t>(see Supplemental Material)</w:t>
      </w:r>
      <w:r w:rsidR="00D62C99">
        <w:rPr>
          <w:rFonts w:eastAsia="Times New Roman" w:cs="Times New Roman"/>
        </w:rPr>
        <w:t>.</w:t>
      </w:r>
    </w:p>
    <w:p w14:paraId="3D6E261A" w14:textId="6FE2EBD6" w:rsidR="005557FA" w:rsidRDefault="00DD1C6C" w:rsidP="005005A8">
      <w:pPr>
        <w:spacing w:after="0" w:line="480" w:lineRule="auto"/>
        <w:rPr>
          <w:rFonts w:eastAsia="Times New Roman" w:cs="Times New Roman"/>
        </w:rPr>
      </w:pPr>
      <w:r>
        <w:rPr>
          <w:rFonts w:eastAsia="Times New Roman" w:cs="Times New Roman"/>
        </w:rPr>
        <w:t>G</w:t>
      </w:r>
      <w:r w:rsidR="0058515E" w:rsidRPr="008330BF">
        <w:rPr>
          <w:rFonts w:eastAsia="Times New Roman" w:cs="Times New Roman"/>
        </w:rPr>
        <w:t xml:space="preserve">ridded </w:t>
      </w:r>
      <w:r w:rsidR="0058515E">
        <w:rPr>
          <w:rFonts w:eastAsia="Times New Roman" w:cs="Times New Roman"/>
        </w:rPr>
        <w:t xml:space="preserve">2015 </w:t>
      </w:r>
      <w:r w:rsidR="0058515E" w:rsidRPr="008330BF">
        <w:rPr>
          <w:rFonts w:eastAsia="Times New Roman" w:cs="Times New Roman"/>
        </w:rPr>
        <w:t>population</w:t>
      </w:r>
      <w:r w:rsidR="00CE6FED">
        <w:rPr>
          <w:rFonts w:eastAsia="Times New Roman" w:cs="Times New Roman"/>
        </w:rPr>
        <w:t xml:space="preserve"> (total 6.83 billion)</w:t>
      </w:r>
      <w:r w:rsidR="0058515E" w:rsidRPr="008330BF">
        <w:rPr>
          <w:rFonts w:eastAsia="Times New Roman" w:cs="Times New Roman"/>
        </w:rPr>
        <w:t xml:space="preserve"> </w:t>
      </w:r>
      <w:r>
        <w:rPr>
          <w:rFonts w:eastAsia="Times New Roman" w:cs="Times New Roman"/>
        </w:rPr>
        <w:t xml:space="preserve">is </w:t>
      </w:r>
      <w:r w:rsidR="0058515E">
        <w:rPr>
          <w:rFonts w:eastAsia="Times New Roman" w:cs="Times New Roman"/>
        </w:rPr>
        <w:t>f</w:t>
      </w:r>
      <w:r w:rsidR="0058515E" w:rsidRPr="008330BF">
        <w:rPr>
          <w:rFonts w:eastAsia="Times New Roman" w:cs="Times New Roman"/>
        </w:rPr>
        <w:t xml:space="preserve">rom </w:t>
      </w:r>
      <w:r w:rsidR="0058515E">
        <w:rPr>
          <w:rFonts w:eastAsia="Times New Roman" w:cs="Times New Roman"/>
        </w:rPr>
        <w:t>Columbia University’s Center for International Ear</w:t>
      </w:r>
      <w:r w:rsidR="00A05CEF">
        <w:rPr>
          <w:rFonts w:eastAsia="Times New Roman" w:cs="Times New Roman"/>
        </w:rPr>
        <w:t>th Science Information Network</w:t>
      </w:r>
      <w:r w:rsidR="00D62C99">
        <w:rPr>
          <w:rFonts w:eastAsia="Times New Roman" w:cs="Times New Roman"/>
        </w:rPr>
        <w:t xml:space="preserve"> and project</w:t>
      </w:r>
      <w:r>
        <w:rPr>
          <w:rFonts w:eastAsia="Times New Roman" w:cs="Times New Roman"/>
        </w:rPr>
        <w:t>ed</w:t>
      </w:r>
      <w:r w:rsidR="0058515E" w:rsidRPr="008330BF">
        <w:rPr>
          <w:rFonts w:eastAsia="Times New Roman" w:cs="Times New Roman"/>
        </w:rPr>
        <w:t xml:space="preserve"> to </w:t>
      </w:r>
      <w:r w:rsidR="0058515E">
        <w:rPr>
          <w:rFonts w:eastAsia="Times New Roman" w:cs="Times New Roman"/>
        </w:rPr>
        <w:t>2040</w:t>
      </w:r>
      <w:r w:rsidR="00CE6FED">
        <w:rPr>
          <w:rFonts w:eastAsia="Times New Roman" w:cs="Times New Roman"/>
        </w:rPr>
        <w:t xml:space="preserve"> </w:t>
      </w:r>
      <w:r w:rsidR="003018F2">
        <w:rPr>
          <w:rFonts w:eastAsia="Times New Roman" w:cs="Times New Roman"/>
        </w:rPr>
        <w:t xml:space="preserve">using United Nations country projections </w:t>
      </w:r>
      <w:r w:rsidR="00CE6FED">
        <w:rPr>
          <w:rFonts w:eastAsia="Times New Roman" w:cs="Times New Roman"/>
        </w:rPr>
        <w:t>(total 8.79 billion</w:t>
      </w:r>
      <w:r w:rsidR="003018F2">
        <w:rPr>
          <w:rFonts w:eastAsia="Times New Roman" w:cs="Times New Roman"/>
        </w:rPr>
        <w:t xml:space="preserve">; </w:t>
      </w:r>
      <w:r w:rsidR="0058515E">
        <w:rPr>
          <w:rFonts w:eastAsia="Times New Roman" w:cs="Times New Roman"/>
        </w:rPr>
        <w:t xml:space="preserve">see Supplemental Material). </w:t>
      </w:r>
      <w:r w:rsidR="00C64476">
        <w:rPr>
          <w:rFonts w:eastAsia="Times New Roman" w:cs="Times New Roman"/>
        </w:rPr>
        <w:t>Age specific population fractions for each country are calculated</w:t>
      </w:r>
      <w:r w:rsidR="0058515E" w:rsidRPr="008330BF">
        <w:rPr>
          <w:rFonts w:eastAsia="Times New Roman" w:cs="Times New Roman"/>
        </w:rPr>
        <w:t xml:space="preserve"> from the IHME </w:t>
      </w:r>
      <w:r w:rsidR="0058515E">
        <w:rPr>
          <w:rFonts w:eastAsia="Times New Roman" w:cs="Times New Roman"/>
        </w:rPr>
        <w:t>data on number of cases and incidence rate</w:t>
      </w:r>
      <w:r w:rsidR="00C64476">
        <w:rPr>
          <w:rFonts w:eastAsia="Times New Roman" w:cs="Times New Roman"/>
        </w:rPr>
        <w:t>s</w:t>
      </w:r>
      <w:r w:rsidR="0058515E" w:rsidRPr="008330BF">
        <w:rPr>
          <w:rFonts w:eastAsia="Times New Roman" w:cs="Times New Roman"/>
        </w:rPr>
        <w:t>.</w:t>
      </w:r>
      <w:r w:rsidR="0058515E">
        <w:rPr>
          <w:rFonts w:eastAsia="Times New Roman" w:cs="Times New Roman"/>
        </w:rPr>
        <w:t xml:space="preserve"> </w:t>
      </w:r>
    </w:p>
    <w:p w14:paraId="118D993D" w14:textId="37CDC799" w:rsidR="0058515E" w:rsidRDefault="00A946D1" w:rsidP="005557FA">
      <w:pPr>
        <w:spacing w:before="240" w:after="240" w:line="480" w:lineRule="auto"/>
        <w:rPr>
          <w:rFonts w:eastAsia="Times New Roman" w:cs="Times New Roman"/>
        </w:rPr>
      </w:pPr>
      <w:r>
        <w:rPr>
          <w:rFonts w:eastAsia="Times New Roman" w:cs="Times New Roman"/>
        </w:rPr>
        <w:t>W</w:t>
      </w:r>
      <w:r w:rsidR="00532021">
        <w:rPr>
          <w:rFonts w:eastAsia="Times New Roman" w:cs="Times New Roman"/>
        </w:rPr>
        <w:t xml:space="preserve">e estimate </w:t>
      </w:r>
      <w:r>
        <w:rPr>
          <w:rFonts w:eastAsia="Times New Roman" w:cs="Times New Roman"/>
        </w:rPr>
        <w:t xml:space="preserve">ozone-related </w:t>
      </w:r>
      <w:r w:rsidR="00532021">
        <w:rPr>
          <w:rFonts w:eastAsia="Times New Roman" w:cs="Times New Roman"/>
        </w:rPr>
        <w:t>crop production loss for maize, wheat, and soy follow</w:t>
      </w:r>
      <w:r w:rsidR="00F369BF">
        <w:rPr>
          <w:rFonts w:eastAsia="Times New Roman" w:cs="Times New Roman"/>
        </w:rPr>
        <w:t>ing van Dingenen et al.</w:t>
      </w:r>
      <w:r w:rsidR="002D60AD">
        <w:rPr>
          <w:rFonts w:eastAsia="Times New Roman" w:cs="Times New Roman"/>
          <w:vertAlign w:val="superscript"/>
        </w:rPr>
        <w:t>62</w:t>
      </w:r>
      <w:r w:rsidR="005557FA">
        <w:rPr>
          <w:rFonts w:eastAsia="Times New Roman" w:cs="Times New Roman"/>
          <w:vertAlign w:val="superscript"/>
        </w:rPr>
        <w:t xml:space="preserve"> </w:t>
      </w:r>
      <w:r w:rsidR="006D6A8C">
        <w:rPr>
          <w:rFonts w:eastAsia="Times New Roman" w:cs="Times New Roman"/>
        </w:rPr>
        <w:t xml:space="preserve">(see Supplemental Material). </w:t>
      </w:r>
      <w:r w:rsidR="007E41F4">
        <w:rPr>
          <w:rFonts w:eastAsia="Times New Roman" w:cs="Times New Roman"/>
        </w:rPr>
        <w:t>We calculate g</w:t>
      </w:r>
      <w:r w:rsidR="007A38EB">
        <w:rPr>
          <w:rFonts w:eastAsia="Times New Roman" w:cs="Times New Roman"/>
        </w:rPr>
        <w:t xml:space="preserve">lobal radiative forcing </w:t>
      </w:r>
      <w:r w:rsidR="007E41F4">
        <w:rPr>
          <w:rFonts w:eastAsia="Times New Roman" w:cs="Times New Roman"/>
        </w:rPr>
        <w:t xml:space="preserve">(RF) </w:t>
      </w:r>
      <w:r w:rsidR="007A38EB">
        <w:rPr>
          <w:rFonts w:eastAsia="Times New Roman" w:cs="Times New Roman"/>
        </w:rPr>
        <w:t xml:space="preserve">of </w:t>
      </w:r>
      <w:r w:rsidR="007E41F4">
        <w:rPr>
          <w:rFonts w:eastAsia="Times New Roman" w:cs="Times New Roman"/>
        </w:rPr>
        <w:t xml:space="preserve">methane and ozone </w:t>
      </w:r>
      <w:r w:rsidR="007A38EB">
        <w:rPr>
          <w:rFonts w:eastAsia="Times New Roman" w:cs="Times New Roman"/>
        </w:rPr>
        <w:t xml:space="preserve">using regional </w:t>
      </w:r>
      <w:r w:rsidR="00C7312F">
        <w:rPr>
          <w:rFonts w:eastAsia="Times New Roman" w:cs="Times New Roman"/>
        </w:rPr>
        <w:t>radiative forcing</w:t>
      </w:r>
      <w:r w:rsidR="007E41F4">
        <w:rPr>
          <w:rFonts w:eastAsia="Times New Roman" w:cs="Times New Roman"/>
        </w:rPr>
        <w:t xml:space="preserve"> </w:t>
      </w:r>
      <w:r w:rsidR="00C7312F">
        <w:rPr>
          <w:rFonts w:eastAsia="Times New Roman" w:cs="Times New Roman"/>
        </w:rPr>
        <w:t xml:space="preserve">(RF) </w:t>
      </w:r>
      <w:r w:rsidR="007A38EB">
        <w:rPr>
          <w:rFonts w:eastAsia="Times New Roman" w:cs="Times New Roman"/>
        </w:rPr>
        <w:t>efficiencies (mWm</w:t>
      </w:r>
      <w:r w:rsidR="007A38EB" w:rsidRPr="00C33799">
        <w:rPr>
          <w:rFonts w:eastAsia="Times New Roman" w:cs="Times New Roman"/>
          <w:vertAlign w:val="superscript"/>
        </w:rPr>
        <w:t>-2</w:t>
      </w:r>
      <w:r w:rsidR="007A38EB">
        <w:rPr>
          <w:rFonts w:eastAsia="Times New Roman" w:cs="Times New Roman"/>
        </w:rPr>
        <w:t xml:space="preserve"> per Tg of emission) from </w:t>
      </w:r>
      <w:r w:rsidR="00F369BF">
        <w:rPr>
          <w:rFonts w:eastAsia="Times New Roman" w:cs="Times New Roman"/>
        </w:rPr>
        <w:t>Fry et al.</w:t>
      </w:r>
      <w:r w:rsidR="007933CF">
        <w:rPr>
          <w:rFonts w:eastAsia="Times New Roman" w:cs="Times New Roman"/>
          <w:vertAlign w:val="superscript"/>
        </w:rPr>
        <w:t>6</w:t>
      </w:r>
      <w:r w:rsidR="002D60AD">
        <w:rPr>
          <w:rFonts w:eastAsia="Times New Roman" w:cs="Times New Roman"/>
          <w:vertAlign w:val="superscript"/>
        </w:rPr>
        <w:t>3</w:t>
      </w:r>
      <w:r w:rsidR="007A38EB">
        <w:rPr>
          <w:rFonts w:eastAsia="Times New Roman" w:cs="Times New Roman"/>
        </w:rPr>
        <w:t xml:space="preserve"> </w:t>
      </w:r>
      <w:r w:rsidR="00DB21F9">
        <w:rPr>
          <w:rFonts w:eastAsia="Times New Roman" w:cs="Times New Roman"/>
        </w:rPr>
        <w:t>We calculate a</w:t>
      </w:r>
      <w:r w:rsidR="007A38EB">
        <w:rPr>
          <w:rFonts w:eastAsia="Times New Roman" w:cs="Times New Roman"/>
        </w:rPr>
        <w:t xml:space="preserve">erosol </w:t>
      </w:r>
      <w:r w:rsidR="005E3051">
        <w:rPr>
          <w:rFonts w:eastAsia="Times New Roman" w:cs="Times New Roman"/>
        </w:rPr>
        <w:t>(nitrate</w:t>
      </w:r>
      <w:r w:rsidR="007E6DFC">
        <w:rPr>
          <w:rFonts w:eastAsia="Times New Roman" w:cs="Times New Roman"/>
        </w:rPr>
        <w:t>, sulfate, and ammonia</w:t>
      </w:r>
      <w:r w:rsidR="005E3051">
        <w:rPr>
          <w:rFonts w:eastAsia="Times New Roman" w:cs="Times New Roman"/>
        </w:rPr>
        <w:t xml:space="preserve">) </w:t>
      </w:r>
      <w:r w:rsidR="00DB21F9">
        <w:rPr>
          <w:rFonts w:eastAsia="Times New Roman" w:cs="Times New Roman"/>
        </w:rPr>
        <w:t xml:space="preserve">RF </w:t>
      </w:r>
      <w:r w:rsidR="007A38EB">
        <w:rPr>
          <w:rFonts w:eastAsia="Times New Roman" w:cs="Times New Roman"/>
        </w:rPr>
        <w:t>from NO</w:t>
      </w:r>
      <w:r w:rsidR="007A38EB" w:rsidRPr="00C33799">
        <w:rPr>
          <w:rFonts w:eastAsia="Times New Roman" w:cs="Times New Roman"/>
          <w:vertAlign w:val="subscript"/>
        </w:rPr>
        <w:t>X</w:t>
      </w:r>
      <w:r w:rsidR="007A38EB">
        <w:rPr>
          <w:rFonts w:eastAsia="Times New Roman" w:cs="Times New Roman"/>
          <w:vertAlign w:val="subscript"/>
        </w:rPr>
        <w:t xml:space="preserve"> </w:t>
      </w:r>
      <w:r w:rsidR="007A38EB">
        <w:rPr>
          <w:rFonts w:eastAsia="Times New Roman" w:cs="Times New Roman"/>
        </w:rPr>
        <w:t>emission</w:t>
      </w:r>
      <w:r w:rsidR="00C64476">
        <w:rPr>
          <w:rFonts w:eastAsia="Times New Roman" w:cs="Times New Roman"/>
        </w:rPr>
        <w:t xml:space="preserve"> changes</w:t>
      </w:r>
      <w:r w:rsidR="007A38EB">
        <w:rPr>
          <w:rFonts w:eastAsia="Times New Roman" w:cs="Times New Roman"/>
        </w:rPr>
        <w:t xml:space="preserve"> using GEOS-Chem </w:t>
      </w:r>
      <w:r w:rsidR="00C64476">
        <w:rPr>
          <w:rFonts w:eastAsia="Times New Roman" w:cs="Times New Roman"/>
        </w:rPr>
        <w:t xml:space="preserve">with </w:t>
      </w:r>
      <w:r w:rsidR="007A38EB">
        <w:rPr>
          <w:rFonts w:eastAsia="Times New Roman" w:cs="Times New Roman"/>
        </w:rPr>
        <w:t>offline Mie theory calculations of aerosol optical properties and the LIDORT radiative transfer model.</w:t>
      </w:r>
      <w:r w:rsidR="007933CF">
        <w:rPr>
          <w:rFonts w:eastAsia="Times New Roman" w:cs="Times New Roman"/>
          <w:vertAlign w:val="superscript"/>
        </w:rPr>
        <w:t>6</w:t>
      </w:r>
      <w:r w:rsidR="002D60AD">
        <w:rPr>
          <w:rFonts w:eastAsia="Times New Roman" w:cs="Times New Roman"/>
          <w:vertAlign w:val="superscript"/>
        </w:rPr>
        <w:t>4</w:t>
      </w:r>
      <w:r w:rsidR="007933CF">
        <w:rPr>
          <w:rFonts w:eastAsia="Times New Roman" w:cs="Times New Roman"/>
          <w:vertAlign w:val="superscript"/>
        </w:rPr>
        <w:t>-6</w:t>
      </w:r>
      <w:r w:rsidR="002D60AD">
        <w:rPr>
          <w:rFonts w:eastAsia="Times New Roman" w:cs="Times New Roman"/>
          <w:vertAlign w:val="superscript"/>
        </w:rPr>
        <w:t>6</w:t>
      </w:r>
      <w:r w:rsidR="007A38EB">
        <w:rPr>
          <w:rFonts w:eastAsia="Times New Roman" w:cs="Times New Roman"/>
        </w:rPr>
        <w:t xml:space="preserve"> </w:t>
      </w:r>
      <w:r w:rsidR="00C64476">
        <w:rPr>
          <w:rFonts w:eastAsia="Times New Roman" w:cs="Times New Roman"/>
        </w:rPr>
        <w:lastRenderedPageBreak/>
        <w:t>C</w:t>
      </w:r>
      <w:r w:rsidR="007A38EB">
        <w:rPr>
          <w:rFonts w:eastAsia="Times New Roman" w:cs="Times New Roman"/>
        </w:rPr>
        <w:t>entral estimates</w:t>
      </w:r>
      <w:r w:rsidR="00C64476">
        <w:rPr>
          <w:rFonts w:eastAsia="Times New Roman" w:cs="Times New Roman"/>
        </w:rPr>
        <w:t xml:space="preserve"> and</w:t>
      </w:r>
      <w:r w:rsidR="007A38EB">
        <w:rPr>
          <w:rFonts w:eastAsia="Times New Roman" w:cs="Times New Roman"/>
        </w:rPr>
        <w:t xml:space="preserve"> lower and upper bounds of direct aerosol </w:t>
      </w:r>
      <w:r w:rsidR="00DB21F9">
        <w:rPr>
          <w:rFonts w:eastAsia="Times New Roman" w:cs="Times New Roman"/>
        </w:rPr>
        <w:t xml:space="preserve">RF </w:t>
      </w:r>
      <w:r w:rsidR="007A38EB">
        <w:rPr>
          <w:rFonts w:eastAsia="Times New Roman" w:cs="Times New Roman"/>
        </w:rPr>
        <w:t xml:space="preserve">are scaled based on model comparison to the model </w:t>
      </w:r>
      <w:r w:rsidR="00C64476">
        <w:rPr>
          <w:rFonts w:eastAsia="Times New Roman" w:cs="Times New Roman"/>
        </w:rPr>
        <w:t xml:space="preserve">ensemble </w:t>
      </w:r>
      <w:r w:rsidR="00DB21F9">
        <w:rPr>
          <w:rFonts w:eastAsia="Times New Roman" w:cs="Times New Roman"/>
        </w:rPr>
        <w:t xml:space="preserve">RF </w:t>
      </w:r>
      <w:r w:rsidR="007A38EB">
        <w:rPr>
          <w:rFonts w:eastAsia="Times New Roman" w:cs="Times New Roman"/>
        </w:rPr>
        <w:t>in Myhre et al.</w:t>
      </w:r>
      <w:r w:rsidR="007933CF">
        <w:rPr>
          <w:rFonts w:eastAsia="Times New Roman" w:cs="Times New Roman"/>
          <w:vertAlign w:val="superscript"/>
        </w:rPr>
        <w:t>3</w:t>
      </w:r>
      <w:r w:rsidR="00DE022C">
        <w:rPr>
          <w:rFonts w:eastAsia="Times New Roman" w:cs="Times New Roman"/>
          <w:vertAlign w:val="superscript"/>
        </w:rPr>
        <w:t>1</w:t>
      </w:r>
      <w:r w:rsidR="007A38EB">
        <w:rPr>
          <w:rFonts w:eastAsia="Times New Roman" w:cs="Times New Roman"/>
        </w:rPr>
        <w:t xml:space="preserve"> </w:t>
      </w:r>
      <w:r>
        <w:rPr>
          <w:rFonts w:eastAsia="Times New Roman" w:cs="Times New Roman"/>
        </w:rPr>
        <w:t xml:space="preserve">We include </w:t>
      </w:r>
      <w:r w:rsidR="007A38EB">
        <w:rPr>
          <w:rFonts w:eastAsia="Times New Roman" w:cs="Times New Roman"/>
        </w:rPr>
        <w:t xml:space="preserve">aerosol cloud interactions </w:t>
      </w:r>
      <w:r w:rsidR="003B3D38">
        <w:rPr>
          <w:rFonts w:eastAsia="Times New Roman" w:cs="Times New Roman"/>
        </w:rPr>
        <w:t xml:space="preserve">by scaling the direct RF to the net effective RF </w:t>
      </w:r>
      <w:r w:rsidR="007A38EB">
        <w:rPr>
          <w:rFonts w:eastAsia="Times New Roman" w:cs="Times New Roman"/>
        </w:rPr>
        <w:t>following UNEP</w:t>
      </w:r>
      <w:r w:rsidR="00A05CEF">
        <w:rPr>
          <w:rFonts w:eastAsia="Times New Roman" w:cs="Times New Roman"/>
        </w:rPr>
        <w:t>/WMO</w:t>
      </w:r>
      <w:r w:rsidR="00791739">
        <w:rPr>
          <w:rFonts w:eastAsia="Times New Roman" w:cs="Times New Roman"/>
          <w:vertAlign w:val="superscript"/>
        </w:rPr>
        <w:t>6</w:t>
      </w:r>
      <w:r w:rsidR="002D60AD">
        <w:rPr>
          <w:rFonts w:eastAsia="Times New Roman" w:cs="Times New Roman"/>
          <w:vertAlign w:val="superscript"/>
        </w:rPr>
        <w:t>7</w:t>
      </w:r>
      <w:r w:rsidR="003B3D38">
        <w:rPr>
          <w:rFonts w:eastAsia="Times New Roman" w:cs="Times New Roman"/>
        </w:rPr>
        <w:t>.</w:t>
      </w:r>
      <w:r w:rsidR="007A38EB">
        <w:rPr>
          <w:rFonts w:eastAsia="Times New Roman" w:cs="Times New Roman"/>
        </w:rPr>
        <w:t xml:space="preserve"> </w:t>
      </w:r>
    </w:p>
    <w:p w14:paraId="7A8C6EF9" w14:textId="77777777" w:rsidR="007A38EB" w:rsidRDefault="007A38EB" w:rsidP="005005A8">
      <w:pPr>
        <w:spacing w:line="480" w:lineRule="auto"/>
        <w:rPr>
          <w:rFonts w:eastAsia="Times New Roman" w:cs="Times New Roman"/>
          <w:b/>
        </w:rPr>
      </w:pPr>
    </w:p>
    <w:p w14:paraId="44E3243C" w14:textId="6198195F" w:rsidR="003736BA" w:rsidRPr="003736BA" w:rsidRDefault="006D6A8C" w:rsidP="005005A8">
      <w:pPr>
        <w:spacing w:line="480" w:lineRule="auto"/>
        <w:rPr>
          <w:rFonts w:eastAsia="Times New Roman" w:cs="Times New Roman"/>
          <w:b/>
        </w:rPr>
      </w:pPr>
      <w:r>
        <w:rPr>
          <w:rFonts w:eastAsia="Times New Roman" w:cs="Times New Roman"/>
          <w:b/>
        </w:rPr>
        <w:t>Sensitivity analysi</w:t>
      </w:r>
      <w:r w:rsidR="00A914FF">
        <w:rPr>
          <w:rFonts w:eastAsia="Times New Roman" w:cs="Times New Roman"/>
          <w:b/>
        </w:rPr>
        <w:t>s, limitations, and uncertainties</w:t>
      </w:r>
    </w:p>
    <w:p w14:paraId="1B95AA85" w14:textId="2165B4EC" w:rsidR="00D62C99" w:rsidRDefault="00A946D1" w:rsidP="005005A8">
      <w:pPr>
        <w:spacing w:line="480" w:lineRule="auto"/>
      </w:pPr>
      <w:r>
        <w:t>Our scenario modeling methods</w:t>
      </w:r>
      <w:r w:rsidR="00A914FF">
        <w:t xml:space="preserve"> assume that diesel NOx emissions are controlled before other air pollution controls </w:t>
      </w:r>
      <w:r w:rsidR="001A4276">
        <w:t xml:space="preserve">are introduced, which </w:t>
      </w:r>
      <w:r w:rsidR="00577069" w:rsidRPr="006B6D2F">
        <w:t>might realistically be implemented concurrently</w:t>
      </w:r>
      <w:r w:rsidR="008E3316">
        <w:t>. H</w:t>
      </w:r>
      <w:r w:rsidR="00A914FF">
        <w:t>ealth benefits of PM</w:t>
      </w:r>
      <w:r w:rsidR="00A914FF" w:rsidRPr="008E3316">
        <w:rPr>
          <w:vertAlign w:val="subscript"/>
        </w:rPr>
        <w:t xml:space="preserve">2.5 </w:t>
      </w:r>
      <w:r w:rsidR="00A914FF">
        <w:t xml:space="preserve">reductions </w:t>
      </w:r>
      <w:r w:rsidR="008E3316">
        <w:t>are therefore calculated</w:t>
      </w:r>
      <w:r w:rsidR="00A914FF">
        <w:t xml:space="preserve"> at the exposure-response curve</w:t>
      </w:r>
      <w:r w:rsidR="003B3D38">
        <w:t>’s</w:t>
      </w:r>
      <w:r w:rsidR="003B3D38" w:rsidRPr="003B3D38">
        <w:t xml:space="preserve"> </w:t>
      </w:r>
      <w:r w:rsidR="003B3D38">
        <w:t>flatter end</w:t>
      </w:r>
      <w:r w:rsidR="00A914FF">
        <w:t>.</w:t>
      </w:r>
      <w:r w:rsidR="002F5B40">
        <w:t xml:space="preserve"> Here we examine health benefits of the future policy scenarios using instead </w:t>
      </w:r>
      <w:r>
        <w:t>the “proportional approach</w:t>
      </w:r>
      <w:r w:rsidR="002F5B40">
        <w:t>,”</w:t>
      </w:r>
      <w:r w:rsidR="002F5B40" w:rsidRPr="002F5B40">
        <w:t xml:space="preserve"> </w:t>
      </w:r>
      <w:r w:rsidR="002F5B40">
        <w:t>as was used to separate HDV versus LDV impacts in the core results. To implement the proportional approach, we scale</w:t>
      </w:r>
      <w:r w:rsidR="00315699">
        <w:t>d</w:t>
      </w:r>
      <w:r w:rsidR="002F5B40">
        <w:t xml:space="preserve"> </w:t>
      </w:r>
      <w:r w:rsidR="008E3316">
        <w:t>gridded</w:t>
      </w:r>
      <w:r w:rsidR="00A914FF">
        <w:t xml:space="preserve"> </w:t>
      </w:r>
      <w:r w:rsidR="005C3D4D">
        <w:t xml:space="preserve">baseline </w:t>
      </w:r>
      <w:r w:rsidR="00A914FF">
        <w:t>2040</w:t>
      </w:r>
      <w:r w:rsidR="008E3316">
        <w:t xml:space="preserve"> PM</w:t>
      </w:r>
      <w:r w:rsidR="008E3316" w:rsidRPr="008E3316">
        <w:rPr>
          <w:vertAlign w:val="subscript"/>
        </w:rPr>
        <w:t xml:space="preserve">2.5 </w:t>
      </w:r>
      <w:r w:rsidR="00A914FF">
        <w:t>mortality burden</w:t>
      </w:r>
      <w:r w:rsidR="005C3D4D">
        <w:t>s</w:t>
      </w:r>
      <w:r w:rsidR="003B3D38">
        <w:t xml:space="preserve"> </w:t>
      </w:r>
      <w:r w:rsidR="00A914FF">
        <w:t>by the</w:t>
      </w:r>
      <w:r w:rsidR="00227EB4">
        <w:t xml:space="preserve"> gridded fraction of the b</w:t>
      </w:r>
      <w:r w:rsidR="008E3316">
        <w:t>aseline 2040</w:t>
      </w:r>
      <w:r w:rsidR="00A914FF">
        <w:t xml:space="preserve"> PM</w:t>
      </w:r>
      <w:r w:rsidR="00A914FF" w:rsidRPr="008E3316">
        <w:rPr>
          <w:vertAlign w:val="subscript"/>
        </w:rPr>
        <w:t xml:space="preserve">2.5 </w:t>
      </w:r>
      <w:r w:rsidR="00A914FF">
        <w:t xml:space="preserve">concentration </w:t>
      </w:r>
      <w:r w:rsidR="008E3316">
        <w:t>reduced</w:t>
      </w:r>
      <w:r w:rsidR="002F5B40">
        <w:t xml:space="preserve"> for each policy scenario</w:t>
      </w:r>
      <w:r w:rsidR="008E0E7E">
        <w:t>.</w:t>
      </w:r>
      <w:r w:rsidR="002F5B40">
        <w:t xml:space="preserve"> </w:t>
      </w:r>
      <w:r w:rsidR="00A1351E">
        <w:t xml:space="preserve">Using this approach </w:t>
      </w:r>
      <w:r>
        <w:t>result</w:t>
      </w:r>
      <w:r w:rsidRPr="00F64750">
        <w:t xml:space="preserve">s in </w:t>
      </w:r>
      <w:r w:rsidR="00F64750">
        <w:t>~40</w:t>
      </w:r>
      <w:r w:rsidR="00A914FF" w:rsidRPr="00F64750">
        <w:t>%</w:t>
      </w:r>
      <w:r w:rsidR="00A914FF">
        <w:t xml:space="preserve"> more PM</w:t>
      </w:r>
      <w:r w:rsidR="00A914FF" w:rsidRPr="008E3316">
        <w:rPr>
          <w:vertAlign w:val="subscript"/>
        </w:rPr>
        <w:t>2.5</w:t>
      </w:r>
      <w:r w:rsidR="00A914FF">
        <w:t xml:space="preserve">-related </w:t>
      </w:r>
      <w:r w:rsidR="00227EB4">
        <w:t>health benefits</w:t>
      </w:r>
      <w:r w:rsidR="00C7312F">
        <w:t xml:space="preserve"> for each policy scenario relative to the baseline</w:t>
      </w:r>
      <w:r w:rsidR="008E3316">
        <w:t>.</w:t>
      </w:r>
      <w:r w:rsidR="00A914FF">
        <w:t xml:space="preserve"> </w:t>
      </w:r>
    </w:p>
    <w:p w14:paraId="2E215791" w14:textId="1E675E16" w:rsidR="00D018E8" w:rsidRPr="007B18E6" w:rsidRDefault="00002B56" w:rsidP="005005A8">
      <w:pPr>
        <w:spacing w:line="480" w:lineRule="auto"/>
      </w:pPr>
      <w:r>
        <w:t xml:space="preserve">Benefits of implementing Euro 6/VI are undercounted because the near elimination of black carbon emissions </w:t>
      </w:r>
      <w:r w:rsidR="00227EB4">
        <w:t>would yield</w:t>
      </w:r>
      <w:r>
        <w:t xml:space="preserve"> </w:t>
      </w:r>
      <w:r w:rsidR="00577069">
        <w:t xml:space="preserve">additional </w:t>
      </w:r>
      <w:r w:rsidR="00A1351E">
        <w:t xml:space="preserve">substantial health and climate </w:t>
      </w:r>
      <w:r>
        <w:t>benefits</w:t>
      </w:r>
      <w:r w:rsidR="008E0E7E">
        <w:t>.</w:t>
      </w:r>
      <w:r w:rsidRPr="00002B56">
        <w:rPr>
          <w:vertAlign w:val="superscript"/>
        </w:rPr>
        <w:t>5</w:t>
      </w:r>
      <w:r>
        <w:t xml:space="preserve"> </w:t>
      </w:r>
      <w:r w:rsidR="00227EB4">
        <w:t>H</w:t>
      </w:r>
      <w:r>
        <w:t xml:space="preserve">ealth impacts </w:t>
      </w:r>
      <w:r w:rsidR="00227EB4">
        <w:t xml:space="preserve">of all scenarios </w:t>
      </w:r>
      <w:r>
        <w:t xml:space="preserve">could </w:t>
      </w:r>
      <w:r w:rsidR="008E3316">
        <w:t>be underestimate</w:t>
      </w:r>
      <w:r>
        <w:t>d</w:t>
      </w:r>
      <w:r w:rsidR="00A914FF">
        <w:t xml:space="preserve"> because w</w:t>
      </w:r>
      <w:r w:rsidR="00F837D0">
        <w:t>e exclude</w:t>
      </w:r>
      <w:r w:rsidR="008E3316">
        <w:t>d</w:t>
      </w:r>
      <w:r w:rsidR="00937DB5">
        <w:t xml:space="preserve"> direct health effects from NOx ex</w:t>
      </w:r>
      <w:r w:rsidR="00F837D0">
        <w:t>posure</w:t>
      </w:r>
      <w:r w:rsidR="00647272">
        <w:rPr>
          <w:vertAlign w:val="superscript"/>
        </w:rPr>
        <w:t>6</w:t>
      </w:r>
      <w:r w:rsidR="002D60AD">
        <w:rPr>
          <w:vertAlign w:val="superscript"/>
        </w:rPr>
        <w:t>8</w:t>
      </w:r>
      <w:r w:rsidR="00F837D0">
        <w:t xml:space="preserve">, </w:t>
      </w:r>
      <w:r w:rsidR="00937DB5">
        <w:t>morbidity impacts (e.g. asthma attacks, hospital visits</w:t>
      </w:r>
      <w:r w:rsidR="00E17B11">
        <w:t>)</w:t>
      </w:r>
      <w:r w:rsidR="00F837D0">
        <w:t xml:space="preserve">, and </w:t>
      </w:r>
      <w:r w:rsidR="00937DB5">
        <w:t xml:space="preserve">health impacts for </w:t>
      </w:r>
      <w:r w:rsidR="00937DB5">
        <w:rPr>
          <w:rFonts w:eastAsia="Times New Roman" w:cs="Times New Roman"/>
        </w:rPr>
        <w:t>population</w:t>
      </w:r>
      <w:r w:rsidR="003B3D38">
        <w:rPr>
          <w:rFonts w:eastAsia="Times New Roman" w:cs="Times New Roman"/>
        </w:rPr>
        <w:t>s</w:t>
      </w:r>
      <w:r w:rsidR="00937DB5">
        <w:rPr>
          <w:rFonts w:eastAsia="Times New Roman" w:cs="Times New Roman"/>
        </w:rPr>
        <w:t xml:space="preserve"> age</w:t>
      </w:r>
      <w:r w:rsidR="00B96D6C">
        <w:rPr>
          <w:rFonts w:eastAsia="Times New Roman" w:cs="Times New Roman"/>
        </w:rPr>
        <w:t>d</w:t>
      </w:r>
      <w:r w:rsidR="00937DB5">
        <w:rPr>
          <w:rFonts w:eastAsia="Times New Roman" w:cs="Times New Roman"/>
        </w:rPr>
        <w:t xml:space="preserve"> 5-24 years. </w:t>
      </w:r>
      <w:r w:rsidR="002534E1">
        <w:rPr>
          <w:rFonts w:eastAsia="Times New Roman" w:cs="Times New Roman"/>
        </w:rPr>
        <w:t>O</w:t>
      </w:r>
      <w:r w:rsidR="002534E1">
        <w:t>zone-related mortality could be underestimated b</w:t>
      </w:r>
      <w:r>
        <w:t xml:space="preserve">ecause recent studies indicate </w:t>
      </w:r>
      <w:r w:rsidR="002534E1">
        <w:t xml:space="preserve">larger </w:t>
      </w:r>
      <w:r w:rsidR="00FF2BF8">
        <w:t>associations of ozone with respiratory and</w:t>
      </w:r>
      <w:r w:rsidR="002534E1">
        <w:t xml:space="preserve"> cardiovascular disease</w:t>
      </w:r>
      <w:r w:rsidR="002534E1">
        <w:rPr>
          <w:rFonts w:eastAsiaTheme="minorEastAsia"/>
        </w:rPr>
        <w:t>.</w:t>
      </w:r>
      <w:r w:rsidR="00791739" w:rsidRPr="00791739">
        <w:rPr>
          <w:rFonts w:eastAsiaTheme="minorEastAsia"/>
          <w:vertAlign w:val="superscript"/>
        </w:rPr>
        <w:t>6</w:t>
      </w:r>
      <w:r w:rsidR="002D60AD">
        <w:rPr>
          <w:rFonts w:eastAsiaTheme="minorEastAsia"/>
          <w:vertAlign w:val="superscript"/>
        </w:rPr>
        <w:t>9</w:t>
      </w:r>
      <w:r w:rsidR="002534E1">
        <w:rPr>
          <w:rFonts w:eastAsiaTheme="minorEastAsia"/>
        </w:rPr>
        <w:t xml:space="preserve"> </w:t>
      </w:r>
      <w:r w:rsidR="00BD006B">
        <w:rPr>
          <w:rFonts w:eastAsia="Times New Roman" w:cs="Times New Roman"/>
        </w:rPr>
        <w:t>Our inclusion of</w:t>
      </w:r>
      <w:r w:rsidR="00937DB5">
        <w:rPr>
          <w:rFonts w:eastAsia="Times New Roman" w:cs="Times New Roman"/>
        </w:rPr>
        <w:t xml:space="preserve"> only </w:t>
      </w:r>
      <w:r w:rsidR="001D4A8B">
        <w:rPr>
          <w:rFonts w:eastAsia="Times New Roman" w:cs="Times New Roman"/>
        </w:rPr>
        <w:t>three</w:t>
      </w:r>
      <w:r w:rsidR="00937DB5">
        <w:rPr>
          <w:rFonts w:eastAsia="Times New Roman" w:cs="Times New Roman"/>
        </w:rPr>
        <w:t xml:space="preserve"> major crops </w:t>
      </w:r>
      <w:r w:rsidR="00BD006B">
        <w:rPr>
          <w:rFonts w:eastAsia="Times New Roman" w:cs="Times New Roman"/>
        </w:rPr>
        <w:t>and</w:t>
      </w:r>
      <w:r w:rsidR="00B721A3" w:rsidDel="00B721A3">
        <w:rPr>
          <w:rFonts w:eastAsia="Times New Roman" w:cs="Times New Roman"/>
        </w:rPr>
        <w:t xml:space="preserve"> </w:t>
      </w:r>
      <w:r w:rsidR="00BD006B">
        <w:rPr>
          <w:rFonts w:eastAsia="Times New Roman" w:cs="Times New Roman"/>
        </w:rPr>
        <w:t>exclusion of impacts on productive grasslands also underestimate</w:t>
      </w:r>
      <w:r w:rsidR="00C7312F">
        <w:rPr>
          <w:rFonts w:eastAsia="Times New Roman" w:cs="Times New Roman"/>
        </w:rPr>
        <w:t>s</w:t>
      </w:r>
      <w:r w:rsidR="00BD006B">
        <w:rPr>
          <w:rFonts w:eastAsia="Times New Roman" w:cs="Times New Roman"/>
        </w:rPr>
        <w:t xml:space="preserve"> agricultur</w:t>
      </w:r>
      <w:r w:rsidR="00C7312F">
        <w:rPr>
          <w:rFonts w:eastAsia="Times New Roman" w:cs="Times New Roman"/>
        </w:rPr>
        <w:t>al impacts</w:t>
      </w:r>
      <w:r w:rsidR="002D60AD">
        <w:rPr>
          <w:rFonts w:eastAsia="Times New Roman" w:cs="Times New Roman"/>
          <w:vertAlign w:val="superscript"/>
        </w:rPr>
        <w:t>e.g. 70</w:t>
      </w:r>
      <w:r w:rsidR="001335C3">
        <w:rPr>
          <w:rFonts w:eastAsia="Times New Roman" w:cs="Times New Roman"/>
        </w:rPr>
        <w:t>.</w:t>
      </w:r>
    </w:p>
    <w:p w14:paraId="73454C86" w14:textId="0EC8DDEC" w:rsidR="00937DB5" w:rsidRDefault="00E34DF4" w:rsidP="005005A8">
      <w:pPr>
        <w:spacing w:line="480" w:lineRule="auto"/>
      </w:pPr>
      <w:r>
        <w:t>We</w:t>
      </w:r>
      <w:r w:rsidR="00002B56">
        <w:t xml:space="preserve"> excluded uncertainty</w:t>
      </w:r>
      <w:r w:rsidR="00A946D1">
        <w:t xml:space="preserve"> in simulated concentrations (for PM</w:t>
      </w:r>
      <w:r w:rsidR="00A946D1" w:rsidRPr="00E6213C">
        <w:rPr>
          <w:vertAlign w:val="subscript"/>
        </w:rPr>
        <w:t>2.5</w:t>
      </w:r>
      <w:r w:rsidR="00A946D1">
        <w:t xml:space="preserve"> </w:t>
      </w:r>
      <w:r w:rsidR="00937DB5">
        <w:t>we</w:t>
      </w:r>
      <w:r w:rsidR="00AD6985">
        <w:t xml:space="preserve"> attempt</w:t>
      </w:r>
      <w:r w:rsidR="00C7312F">
        <w:t>ed</w:t>
      </w:r>
      <w:r w:rsidR="006D6A8C">
        <w:t xml:space="preserve"> to address this by</w:t>
      </w:r>
      <w:r w:rsidR="00937DB5">
        <w:t xml:space="preserve"> assimilat</w:t>
      </w:r>
      <w:r w:rsidR="006D6A8C">
        <w:t>ing</w:t>
      </w:r>
      <w:r w:rsidR="00937DB5">
        <w:t xml:space="preserve"> with satellite observations</w:t>
      </w:r>
      <w:r w:rsidR="00A946D1">
        <w:t>), p</w:t>
      </w:r>
      <w:r w:rsidR="003F4AA2">
        <w:t xml:space="preserve">resent and future </w:t>
      </w:r>
      <w:r w:rsidR="003B3D38">
        <w:t xml:space="preserve">disease </w:t>
      </w:r>
      <w:r w:rsidR="003F4AA2">
        <w:t>incidence rates</w:t>
      </w:r>
      <w:r w:rsidR="00A946D1">
        <w:t>,</w:t>
      </w:r>
      <w:r w:rsidR="003F4AA2">
        <w:t xml:space="preserve"> and</w:t>
      </w:r>
      <w:r w:rsidR="00937DB5">
        <w:t xml:space="preserve"> population</w:t>
      </w:r>
      <w:r w:rsidR="00A946D1">
        <w:t xml:space="preserve"> </w:t>
      </w:r>
      <w:r w:rsidR="00A946D1">
        <w:lastRenderedPageBreak/>
        <w:t>growth</w:t>
      </w:r>
      <w:r w:rsidR="00937DB5">
        <w:t xml:space="preserve">. </w:t>
      </w:r>
      <w:r w:rsidR="00227EB4">
        <w:t xml:space="preserve">Though we estimated both, we did not combine uncertainties in emissions and concentration-response functions. </w:t>
      </w:r>
      <w:r w:rsidR="00937DB5">
        <w:t xml:space="preserve">We </w:t>
      </w:r>
      <w:r w:rsidR="0086266D">
        <w:t>exclude</w:t>
      </w:r>
      <w:r w:rsidR="00C7312F">
        <w:t>d</w:t>
      </w:r>
      <w:r w:rsidR="00937DB5">
        <w:t xml:space="preserve"> </w:t>
      </w:r>
      <w:r w:rsidR="003B3D38">
        <w:t xml:space="preserve">potentially important </w:t>
      </w:r>
      <w:r w:rsidR="00937DB5">
        <w:t>s</w:t>
      </w:r>
      <w:r w:rsidR="00937DB5" w:rsidRPr="003D14A0">
        <w:t>ubnational variat</w:t>
      </w:r>
      <w:r w:rsidR="003F4AA2">
        <w:t>ion in baseline incidence rates and</w:t>
      </w:r>
      <w:r w:rsidR="00937DB5" w:rsidRPr="003D14A0">
        <w:t xml:space="preserve"> age stratification</w:t>
      </w:r>
      <w:r w:rsidR="00937DB5">
        <w:t>.</w:t>
      </w:r>
      <w:r w:rsidR="002D60AD">
        <w:rPr>
          <w:vertAlign w:val="superscript"/>
        </w:rPr>
        <w:t>71</w:t>
      </w:r>
      <w:r w:rsidR="00937DB5">
        <w:t xml:space="preserve"> </w:t>
      </w:r>
      <w:r w:rsidR="00480E50">
        <w:t>We assume</w:t>
      </w:r>
      <w:r w:rsidR="00C7312F">
        <w:t>d</w:t>
      </w:r>
      <w:r w:rsidR="00480E50">
        <w:t xml:space="preserve"> that nitrate, the main </w:t>
      </w:r>
      <w:r w:rsidR="003B3D38">
        <w:t>PM</w:t>
      </w:r>
      <w:r w:rsidR="003B3D38" w:rsidRPr="00480E50">
        <w:rPr>
          <w:vertAlign w:val="subscript"/>
        </w:rPr>
        <w:t>2.5</w:t>
      </w:r>
      <w:r w:rsidR="003B3D38">
        <w:t xml:space="preserve"> </w:t>
      </w:r>
      <w:r w:rsidR="00480E50">
        <w:t>component affected by NOx, is equally toxic as other PM</w:t>
      </w:r>
      <w:r w:rsidR="00480E50" w:rsidRPr="00480E50">
        <w:rPr>
          <w:vertAlign w:val="subscript"/>
        </w:rPr>
        <w:t>2.5</w:t>
      </w:r>
      <w:r w:rsidR="00480E50">
        <w:t xml:space="preserve"> components and mixtures. </w:t>
      </w:r>
      <w:r w:rsidR="00937DB5">
        <w:t xml:space="preserve">For crop impacts, </w:t>
      </w:r>
      <w:r w:rsidR="00532021">
        <w:t>we exclude</w:t>
      </w:r>
      <w:r w:rsidR="00C7312F">
        <w:t>d</w:t>
      </w:r>
      <w:r w:rsidR="00532021">
        <w:t xml:space="preserve"> uncertainty about crop spatial extent and growing season and assume</w:t>
      </w:r>
      <w:r w:rsidR="00D62C99">
        <w:t>d</w:t>
      </w:r>
      <w:r w:rsidR="00532021">
        <w:t xml:space="preserve"> ozone concentration metrics are reasonable predictors of crop impacts. The direction in which these uncertainties and assumptions </w:t>
      </w:r>
      <w:r w:rsidR="00AD6985">
        <w:t>may</w:t>
      </w:r>
      <w:r w:rsidR="00532021">
        <w:t xml:space="preserve"> influence results is unknown.</w:t>
      </w:r>
    </w:p>
    <w:p w14:paraId="28E98442" w14:textId="77777777" w:rsidR="003C48F4" w:rsidRDefault="003C48F4">
      <w:pPr>
        <w:rPr>
          <w:b/>
          <w:sz w:val="28"/>
          <w:szCs w:val="28"/>
        </w:rPr>
      </w:pPr>
      <w:r>
        <w:rPr>
          <w:b/>
          <w:sz w:val="28"/>
          <w:szCs w:val="28"/>
        </w:rPr>
        <w:br w:type="page"/>
      </w:r>
    </w:p>
    <w:p w14:paraId="3A0C49C0" w14:textId="5731B494" w:rsidR="00B30518" w:rsidRDefault="00B30518" w:rsidP="005005A8">
      <w:pPr>
        <w:spacing w:line="480" w:lineRule="auto"/>
        <w:rPr>
          <w:b/>
          <w:sz w:val="28"/>
          <w:szCs w:val="28"/>
        </w:rPr>
      </w:pPr>
      <w:r>
        <w:rPr>
          <w:b/>
          <w:sz w:val="28"/>
          <w:szCs w:val="28"/>
        </w:rPr>
        <w:lastRenderedPageBreak/>
        <w:t>Methods references</w:t>
      </w:r>
    </w:p>
    <w:p w14:paraId="5D08D882" w14:textId="33207B36" w:rsidR="00615FEC" w:rsidRPr="008A2DCB" w:rsidRDefault="007768CF" w:rsidP="00615FEC">
      <w:pPr>
        <w:pStyle w:val="ListParagraph"/>
        <w:numPr>
          <w:ilvl w:val="0"/>
          <w:numId w:val="5"/>
        </w:numPr>
        <w:spacing w:line="480" w:lineRule="auto"/>
        <w:rPr>
          <w:rFonts w:ascii="Calibri" w:hAnsi="Calibri" w:cs="Calibri"/>
        </w:rPr>
      </w:pPr>
      <w:r>
        <w:t>International Council on Clean Transportation</w:t>
      </w:r>
      <w:r w:rsidR="00425F04">
        <w:t xml:space="preserve"> (2016). Global Transportation Roadmap Model version 2-0. Public version and documentation available from </w:t>
      </w:r>
      <w:hyperlink r:id="rId24" w:history="1">
        <w:r w:rsidR="00B4223E" w:rsidRPr="00625159">
          <w:rPr>
            <w:rStyle w:val="Hyperlink"/>
          </w:rPr>
          <w:t>http://www.theicct.org/global-transportation-roadmap-model</w:t>
        </w:r>
      </w:hyperlink>
      <w:r w:rsidR="00B4223E">
        <w:t>, Accessed January 13, 2017.</w:t>
      </w:r>
      <w:r w:rsidR="00425F04">
        <w:rPr>
          <w:rFonts w:ascii="Calibri" w:hAnsi="Calibri"/>
        </w:rPr>
        <w:t xml:space="preserve"> </w:t>
      </w:r>
    </w:p>
    <w:p w14:paraId="4ABB746E" w14:textId="367E28CF" w:rsidR="00615FEC" w:rsidRPr="008A2DCB" w:rsidRDefault="00615FEC" w:rsidP="00615FEC">
      <w:pPr>
        <w:pStyle w:val="ListParagraph"/>
        <w:numPr>
          <w:ilvl w:val="0"/>
          <w:numId w:val="5"/>
        </w:numPr>
        <w:spacing w:line="480" w:lineRule="auto"/>
        <w:rPr>
          <w:rFonts w:ascii="Calibri" w:hAnsi="Calibri" w:cs="Calibri"/>
        </w:rPr>
      </w:pPr>
      <w:r w:rsidRPr="006B6D2F">
        <w:rPr>
          <w:rFonts w:ascii="Calibri" w:hAnsi="Calibri"/>
          <w:color w:val="000000"/>
          <w:lang w:val="de-DE"/>
        </w:rPr>
        <w:t>Velders, G., Geile</w:t>
      </w:r>
      <w:r w:rsidR="005C42F9">
        <w:rPr>
          <w:rFonts w:ascii="Calibri" w:hAnsi="Calibri"/>
          <w:color w:val="000000"/>
          <w:lang w:val="de-DE"/>
        </w:rPr>
        <w:t>nkirchen, G., de Lange, R</w:t>
      </w:r>
      <w:r w:rsidRPr="006B6D2F">
        <w:rPr>
          <w:rFonts w:ascii="Calibri" w:hAnsi="Calibri"/>
          <w:color w:val="000000"/>
          <w:lang w:val="de-DE"/>
        </w:rPr>
        <w:t xml:space="preserve">. </w:t>
      </w:r>
      <w:r w:rsidRPr="008A2DCB">
        <w:rPr>
          <w:rFonts w:ascii="Calibri" w:eastAsia="Times New Roman" w:hAnsi="Calibri" w:cs="Calibri"/>
          <w:color w:val="000000"/>
        </w:rPr>
        <w:t>Higher than expected NOx emission from trucks may affect attainability of NO</w:t>
      </w:r>
      <w:r w:rsidRPr="00741B4D">
        <w:rPr>
          <w:rFonts w:ascii="Calibri" w:eastAsia="Times New Roman" w:hAnsi="Calibri" w:cs="Calibri"/>
          <w:color w:val="000000"/>
          <w:vertAlign w:val="subscript"/>
        </w:rPr>
        <w:t>2</w:t>
      </w:r>
      <w:r w:rsidRPr="008A2DCB">
        <w:rPr>
          <w:rFonts w:ascii="Calibri" w:eastAsia="Times New Roman" w:hAnsi="Calibri" w:cs="Calibri"/>
          <w:color w:val="000000"/>
        </w:rPr>
        <w:t xml:space="preserve"> limit values in the Netherlands. </w:t>
      </w:r>
      <w:r w:rsidRPr="00741B4D">
        <w:rPr>
          <w:rFonts w:ascii="Calibri" w:eastAsia="Times New Roman" w:hAnsi="Calibri" w:cs="Calibri"/>
          <w:i/>
          <w:color w:val="000000"/>
        </w:rPr>
        <w:t>Atmospheric Environment</w:t>
      </w:r>
      <w:r w:rsidR="00741B4D">
        <w:rPr>
          <w:rFonts w:ascii="Calibri" w:eastAsia="Times New Roman" w:hAnsi="Calibri" w:cs="Calibri"/>
          <w:color w:val="000000"/>
        </w:rPr>
        <w:t xml:space="preserve"> </w:t>
      </w:r>
      <w:r w:rsidR="00741B4D" w:rsidRPr="00741B4D">
        <w:rPr>
          <w:rFonts w:ascii="Calibri" w:eastAsia="Times New Roman" w:hAnsi="Calibri" w:cs="Calibri"/>
          <w:b/>
          <w:color w:val="000000"/>
        </w:rPr>
        <w:t>45</w:t>
      </w:r>
      <w:r w:rsidR="00741B4D">
        <w:rPr>
          <w:rFonts w:ascii="Calibri" w:eastAsia="Times New Roman" w:hAnsi="Calibri" w:cs="Calibri"/>
          <w:color w:val="000000"/>
        </w:rPr>
        <w:t>: 3025-3033</w:t>
      </w:r>
      <w:r w:rsidR="005C42F9">
        <w:rPr>
          <w:rFonts w:ascii="Calibri" w:eastAsia="Times New Roman" w:hAnsi="Calibri" w:cs="Calibri"/>
          <w:color w:val="000000"/>
        </w:rPr>
        <w:t xml:space="preserve"> (2011)</w:t>
      </w:r>
      <w:r w:rsidRPr="008A2DCB">
        <w:rPr>
          <w:rFonts w:ascii="Calibri" w:eastAsia="Times New Roman" w:hAnsi="Calibri" w:cs="Calibri"/>
          <w:color w:val="000000"/>
        </w:rPr>
        <w:t>.</w:t>
      </w:r>
    </w:p>
    <w:p w14:paraId="14F2E594" w14:textId="78D9CF25" w:rsidR="00615FEC" w:rsidRPr="008A2DCB" w:rsidRDefault="00615FEC" w:rsidP="005005A8">
      <w:pPr>
        <w:pStyle w:val="ListParagraph"/>
        <w:numPr>
          <w:ilvl w:val="0"/>
          <w:numId w:val="5"/>
        </w:numPr>
        <w:spacing w:line="480" w:lineRule="auto"/>
        <w:rPr>
          <w:rFonts w:ascii="Calibri" w:hAnsi="Calibri" w:cs="Calibri"/>
        </w:rPr>
      </w:pPr>
      <w:r w:rsidRPr="008A2DCB">
        <w:rPr>
          <w:rFonts w:ascii="Calibri" w:eastAsia="Times New Roman" w:hAnsi="Calibri" w:cs="Calibri"/>
          <w:color w:val="000000"/>
        </w:rPr>
        <w:t xml:space="preserve">Emisia (July, 2016). Sibyl version 4.1 (modified). Copyright 2008-2014. Documentation available at </w:t>
      </w:r>
      <w:hyperlink r:id="rId25" w:history="1">
        <w:r w:rsidRPr="008A2DCB">
          <w:rPr>
            <w:rStyle w:val="Hyperlink"/>
            <w:rFonts w:ascii="Calibri" w:eastAsia="Times New Roman" w:hAnsi="Calibri" w:cs="Calibri"/>
          </w:rPr>
          <w:t>http://emisia.com/products/sibyl</w:t>
        </w:r>
      </w:hyperlink>
      <w:r w:rsidR="00B4223E">
        <w:rPr>
          <w:rFonts w:ascii="Calibri" w:eastAsia="Times New Roman" w:hAnsi="Calibri" w:cs="Calibri"/>
          <w:color w:val="000000"/>
        </w:rPr>
        <w:t>, Accessed January 13, 2017.</w:t>
      </w:r>
    </w:p>
    <w:p w14:paraId="0AC669F4" w14:textId="165BF834" w:rsidR="00615FEC" w:rsidRPr="008A2DCB" w:rsidRDefault="00E55A62" w:rsidP="005005A8">
      <w:pPr>
        <w:pStyle w:val="ListParagraph"/>
        <w:numPr>
          <w:ilvl w:val="0"/>
          <w:numId w:val="5"/>
        </w:numPr>
        <w:spacing w:line="480" w:lineRule="auto"/>
        <w:rPr>
          <w:rFonts w:ascii="Calibri" w:hAnsi="Calibri" w:cs="Calibri"/>
        </w:rPr>
      </w:pPr>
      <w:r>
        <w:rPr>
          <w:rFonts w:ascii="Calibri" w:eastAsia="Times New Roman" w:hAnsi="Calibri" w:cs="Calibri"/>
          <w:color w:val="000000"/>
        </w:rPr>
        <w:t>Carslaw, D.</w:t>
      </w:r>
      <w:r w:rsidR="00615FEC" w:rsidRPr="008A2DCB">
        <w:rPr>
          <w:rFonts w:ascii="Calibri" w:eastAsia="Times New Roman" w:hAnsi="Calibri" w:cs="Calibri"/>
          <w:color w:val="000000"/>
        </w:rPr>
        <w:t xml:space="preserve">C., </w:t>
      </w:r>
      <w:r>
        <w:rPr>
          <w:rFonts w:ascii="Calibri" w:eastAsia="Times New Roman" w:hAnsi="Calibri" w:cs="Calibri"/>
          <w:color w:val="000000"/>
        </w:rPr>
        <w:t>and Rhys-Tyler, G.</w:t>
      </w:r>
      <w:r w:rsidR="00615FEC" w:rsidRPr="008A2DCB">
        <w:rPr>
          <w:rFonts w:ascii="Calibri" w:eastAsia="Times New Roman" w:hAnsi="Calibri" w:cs="Calibri"/>
          <w:color w:val="000000"/>
        </w:rPr>
        <w:t xml:space="preserve"> New insights from comprehensive on-road measurements of NOx, NO2 and NH3 from vehicle emission remote sensi</w:t>
      </w:r>
      <w:r>
        <w:rPr>
          <w:rFonts w:ascii="Calibri" w:eastAsia="Times New Roman" w:hAnsi="Calibri" w:cs="Calibri"/>
          <w:color w:val="000000"/>
        </w:rPr>
        <w:t>ng in London, UK</w:t>
      </w:r>
      <w:r w:rsidR="00B4223E">
        <w:rPr>
          <w:rFonts w:ascii="Calibri" w:eastAsia="Times New Roman" w:hAnsi="Calibri" w:cs="Calibri"/>
          <w:color w:val="000000"/>
        </w:rPr>
        <w:t>.</w:t>
      </w:r>
      <w:r>
        <w:rPr>
          <w:rFonts w:ascii="Calibri" w:eastAsia="Times New Roman" w:hAnsi="Calibri" w:cs="Calibri"/>
          <w:color w:val="000000"/>
        </w:rPr>
        <w:t xml:space="preserve"> </w:t>
      </w:r>
      <w:r w:rsidRPr="00E55A62">
        <w:rPr>
          <w:rFonts w:ascii="Calibri" w:eastAsia="Times New Roman" w:hAnsi="Calibri" w:cs="Calibri"/>
          <w:i/>
          <w:color w:val="000000"/>
        </w:rPr>
        <w:t>Atmos Environ</w:t>
      </w:r>
      <w:r w:rsidR="00615FEC" w:rsidRPr="008A2DCB">
        <w:rPr>
          <w:rFonts w:ascii="Calibri" w:eastAsia="Times New Roman" w:hAnsi="Calibri" w:cs="Calibri"/>
          <w:color w:val="000000"/>
        </w:rPr>
        <w:t xml:space="preserve"> </w:t>
      </w:r>
      <w:r w:rsidR="00615FEC" w:rsidRPr="00E55A62">
        <w:rPr>
          <w:rFonts w:ascii="Calibri" w:eastAsia="Times New Roman" w:hAnsi="Calibri" w:cs="Calibri"/>
          <w:b/>
          <w:color w:val="000000"/>
        </w:rPr>
        <w:t>81</w:t>
      </w:r>
      <w:r>
        <w:rPr>
          <w:rFonts w:ascii="Calibri" w:eastAsia="Times New Roman" w:hAnsi="Calibri" w:cs="Calibri"/>
          <w:b/>
          <w:color w:val="000000"/>
        </w:rPr>
        <w:t>:</w:t>
      </w:r>
      <w:r w:rsidR="00615FEC" w:rsidRPr="008A2DCB">
        <w:rPr>
          <w:rFonts w:ascii="Calibri" w:eastAsia="Times New Roman" w:hAnsi="Calibri" w:cs="Calibri"/>
          <w:color w:val="000000"/>
        </w:rPr>
        <w:t xml:space="preserve"> 339-347</w:t>
      </w:r>
      <w:r>
        <w:rPr>
          <w:rFonts w:ascii="Calibri" w:eastAsia="Times New Roman" w:hAnsi="Calibri" w:cs="Calibri"/>
          <w:color w:val="000000"/>
        </w:rPr>
        <w:t xml:space="preserve"> (2013).</w:t>
      </w:r>
    </w:p>
    <w:p w14:paraId="49C3CE00" w14:textId="1E6D9FE0" w:rsidR="00615FEC" w:rsidRPr="008A2DCB" w:rsidRDefault="00E55A62" w:rsidP="005005A8">
      <w:pPr>
        <w:pStyle w:val="ListParagraph"/>
        <w:numPr>
          <w:ilvl w:val="0"/>
          <w:numId w:val="5"/>
        </w:numPr>
        <w:spacing w:line="480" w:lineRule="auto"/>
        <w:rPr>
          <w:rFonts w:ascii="Calibri" w:hAnsi="Calibri" w:cs="Calibri"/>
        </w:rPr>
      </w:pPr>
      <w:r>
        <w:rPr>
          <w:rFonts w:ascii="Calibri" w:eastAsia="Times New Roman" w:hAnsi="Calibri" w:cs="Calibri"/>
          <w:color w:val="000000"/>
        </w:rPr>
        <w:t>Yao, Z.</w:t>
      </w:r>
      <w:r w:rsidR="00615FEC" w:rsidRPr="008A2DCB">
        <w:rPr>
          <w:rFonts w:ascii="Calibri" w:eastAsia="Times New Roman" w:hAnsi="Calibri" w:cs="Calibri"/>
          <w:color w:val="000000"/>
        </w:rPr>
        <w:t>L., Wu,</w:t>
      </w:r>
      <w:r>
        <w:rPr>
          <w:rFonts w:ascii="Calibri" w:eastAsia="Times New Roman" w:hAnsi="Calibri" w:cs="Calibri"/>
          <w:color w:val="000000"/>
        </w:rPr>
        <w:t xml:space="preserve"> B.B.,</w:t>
      </w:r>
      <w:r w:rsidR="00615FEC" w:rsidRPr="008A2DCB">
        <w:rPr>
          <w:rFonts w:ascii="Calibri" w:eastAsia="Times New Roman" w:hAnsi="Calibri" w:cs="Calibri"/>
          <w:color w:val="000000"/>
        </w:rPr>
        <w:t xml:space="preserve"> Wu,</w:t>
      </w:r>
      <w:r>
        <w:rPr>
          <w:rFonts w:ascii="Calibri" w:eastAsia="Times New Roman" w:hAnsi="Calibri" w:cs="Calibri"/>
          <w:color w:val="000000"/>
        </w:rPr>
        <w:t xml:space="preserve"> Y.N.,</w:t>
      </w:r>
      <w:r w:rsidR="00615FEC" w:rsidRPr="008A2DCB">
        <w:rPr>
          <w:rFonts w:ascii="Calibri" w:eastAsia="Times New Roman" w:hAnsi="Calibri" w:cs="Calibri"/>
          <w:color w:val="000000"/>
        </w:rPr>
        <w:t xml:space="preserve"> Cao</w:t>
      </w:r>
      <w:r>
        <w:rPr>
          <w:rFonts w:ascii="Calibri" w:eastAsia="Times New Roman" w:hAnsi="Calibri" w:cs="Calibri"/>
          <w:color w:val="000000"/>
        </w:rPr>
        <w:t>, X.Y., Jiang, X.</w:t>
      </w:r>
      <w:r w:rsidR="00615FEC" w:rsidRPr="008A2DCB">
        <w:rPr>
          <w:rFonts w:ascii="Calibri" w:eastAsia="Times New Roman" w:hAnsi="Calibri" w:cs="Calibri"/>
          <w:color w:val="000000"/>
        </w:rPr>
        <w:t xml:space="preserve"> Comparison of NOx emissions from China III and China IV in-use diesel trucks based on on-road measurements</w:t>
      </w:r>
      <w:r w:rsidR="00B4223E">
        <w:rPr>
          <w:rFonts w:ascii="Calibri" w:eastAsia="Times New Roman" w:hAnsi="Calibri" w:cs="Calibri"/>
          <w:color w:val="000000"/>
        </w:rPr>
        <w:t>.</w:t>
      </w:r>
      <w:r w:rsidR="00615FEC" w:rsidRPr="008A2DCB">
        <w:rPr>
          <w:rFonts w:ascii="Calibri" w:eastAsia="Times New Roman" w:hAnsi="Calibri" w:cs="Calibri"/>
          <w:color w:val="000000"/>
        </w:rPr>
        <w:t xml:space="preserve"> </w:t>
      </w:r>
      <w:r w:rsidR="00615FEC" w:rsidRPr="00E55A62">
        <w:rPr>
          <w:rFonts w:ascii="Calibri" w:eastAsia="Times New Roman" w:hAnsi="Calibri" w:cs="Calibri"/>
          <w:i/>
          <w:color w:val="000000"/>
        </w:rPr>
        <w:t>Atmos Environ</w:t>
      </w:r>
      <w:r w:rsidR="00615FEC" w:rsidRPr="008A2DCB">
        <w:rPr>
          <w:rFonts w:ascii="Calibri" w:eastAsia="Times New Roman" w:hAnsi="Calibri" w:cs="Calibri"/>
          <w:color w:val="000000"/>
        </w:rPr>
        <w:t xml:space="preserve"> </w:t>
      </w:r>
      <w:r w:rsidR="00615FEC" w:rsidRPr="00E55A62">
        <w:rPr>
          <w:rFonts w:ascii="Calibri" w:eastAsia="Times New Roman" w:hAnsi="Calibri" w:cs="Calibri"/>
          <w:b/>
          <w:color w:val="000000"/>
        </w:rPr>
        <w:t>123</w:t>
      </w:r>
      <w:r>
        <w:rPr>
          <w:rFonts w:ascii="Calibri" w:eastAsia="Times New Roman" w:hAnsi="Calibri" w:cs="Calibri"/>
          <w:color w:val="000000"/>
        </w:rPr>
        <w:t>: 1-8</w:t>
      </w:r>
      <w:r w:rsidR="00615FEC" w:rsidRPr="008A2DCB">
        <w:rPr>
          <w:rFonts w:ascii="Calibri" w:eastAsia="Times New Roman" w:hAnsi="Calibri" w:cs="Calibri"/>
          <w:color w:val="000000"/>
        </w:rPr>
        <w:t xml:space="preserve"> </w:t>
      </w:r>
      <w:r>
        <w:rPr>
          <w:rFonts w:ascii="Calibri" w:eastAsia="Times New Roman" w:hAnsi="Calibri" w:cs="Calibri"/>
          <w:color w:val="000000"/>
        </w:rPr>
        <w:t>(2015).</w:t>
      </w:r>
    </w:p>
    <w:p w14:paraId="3AA20F34" w14:textId="3C9E5ED1" w:rsidR="00615FEC" w:rsidRPr="008A2DCB" w:rsidRDefault="00615FEC" w:rsidP="00615FEC">
      <w:pPr>
        <w:pStyle w:val="ListParagraph"/>
        <w:numPr>
          <w:ilvl w:val="0"/>
          <w:numId w:val="5"/>
        </w:numPr>
        <w:spacing w:line="480" w:lineRule="auto"/>
        <w:rPr>
          <w:rFonts w:ascii="Calibri" w:hAnsi="Calibri" w:cs="Calibri"/>
        </w:rPr>
      </w:pPr>
      <w:r w:rsidRPr="008A2DCB">
        <w:rPr>
          <w:rFonts w:ascii="Calibri" w:eastAsia="Times New Roman" w:hAnsi="Calibri" w:cs="Calibri"/>
          <w:color w:val="000000"/>
        </w:rPr>
        <w:t xml:space="preserve">Wu, Y., </w:t>
      </w:r>
      <w:r w:rsidR="00E55A62">
        <w:rPr>
          <w:rFonts w:ascii="Calibri" w:eastAsia="Times New Roman" w:hAnsi="Calibri" w:cs="Calibri"/>
          <w:color w:val="000000"/>
        </w:rPr>
        <w:t>et al.</w:t>
      </w:r>
      <w:r w:rsidRPr="008A2DCB">
        <w:rPr>
          <w:rFonts w:ascii="Calibri" w:eastAsia="Times New Roman" w:hAnsi="Calibri" w:cs="Calibri"/>
          <w:color w:val="000000"/>
        </w:rPr>
        <w:t xml:space="preserve"> The challenge to NOx emission control for heavy-duty diesel vehicles in China, </w:t>
      </w:r>
      <w:r w:rsidR="00E55A62">
        <w:rPr>
          <w:rFonts w:ascii="Calibri" w:eastAsia="Times New Roman" w:hAnsi="Calibri" w:cs="Calibri"/>
          <w:i/>
          <w:color w:val="000000"/>
        </w:rPr>
        <w:t>Atmos Chem Phys</w:t>
      </w:r>
      <w:r w:rsidRPr="008A2DCB">
        <w:rPr>
          <w:rFonts w:ascii="Calibri" w:eastAsia="Times New Roman" w:hAnsi="Calibri" w:cs="Calibri"/>
          <w:color w:val="000000"/>
        </w:rPr>
        <w:t xml:space="preserve"> </w:t>
      </w:r>
      <w:r w:rsidRPr="00E55A62">
        <w:rPr>
          <w:rFonts w:ascii="Calibri" w:eastAsia="Times New Roman" w:hAnsi="Calibri" w:cs="Calibri"/>
          <w:b/>
          <w:color w:val="000000"/>
        </w:rPr>
        <w:t>12</w:t>
      </w:r>
      <w:r w:rsidR="00E55A62">
        <w:rPr>
          <w:rFonts w:ascii="Calibri" w:eastAsia="Times New Roman" w:hAnsi="Calibri" w:cs="Calibri"/>
          <w:color w:val="000000"/>
        </w:rPr>
        <w:t>:</w:t>
      </w:r>
      <w:r w:rsidRPr="008A2DCB">
        <w:rPr>
          <w:rFonts w:ascii="Calibri" w:eastAsia="Times New Roman" w:hAnsi="Calibri" w:cs="Calibri"/>
          <w:color w:val="000000"/>
        </w:rPr>
        <w:t xml:space="preserve"> 9365-9379</w:t>
      </w:r>
      <w:r w:rsidR="00E55A62">
        <w:rPr>
          <w:rFonts w:ascii="Calibri" w:eastAsia="Times New Roman" w:hAnsi="Calibri" w:cs="Calibri"/>
          <w:color w:val="000000"/>
        </w:rPr>
        <w:t xml:space="preserve"> (2012).</w:t>
      </w:r>
    </w:p>
    <w:p w14:paraId="11CA6A13" w14:textId="3FC2A12D" w:rsidR="00615FEC" w:rsidRPr="008A2DCB" w:rsidRDefault="00615FEC" w:rsidP="00615FEC">
      <w:pPr>
        <w:pStyle w:val="ListParagraph"/>
        <w:numPr>
          <w:ilvl w:val="0"/>
          <w:numId w:val="5"/>
        </w:numPr>
        <w:spacing w:line="480" w:lineRule="auto"/>
        <w:rPr>
          <w:rFonts w:ascii="Calibri" w:hAnsi="Calibri" w:cs="Calibri"/>
        </w:rPr>
      </w:pPr>
      <w:r w:rsidRPr="006B6D2F">
        <w:rPr>
          <w:rFonts w:ascii="Calibri" w:hAnsi="Calibri"/>
          <w:color w:val="000000"/>
          <w:lang w:val="de-DE"/>
        </w:rPr>
        <w:t xml:space="preserve">Zhang, S.J., </w:t>
      </w:r>
      <w:r w:rsidR="00E55A62" w:rsidRPr="006B6D2F">
        <w:rPr>
          <w:rFonts w:ascii="Calibri" w:hAnsi="Calibri"/>
          <w:color w:val="000000"/>
          <w:lang w:val="de-DE"/>
        </w:rPr>
        <w:t xml:space="preserve">et al. </w:t>
      </w:r>
      <w:r w:rsidRPr="008A2DCB">
        <w:rPr>
          <w:rFonts w:ascii="Calibri" w:eastAsia="Times New Roman" w:hAnsi="Calibri" w:cs="Calibri"/>
          <w:color w:val="000000"/>
        </w:rPr>
        <w:t>Can Euro V heavy-duty diesel engines, diesel hybrid and alternative fuel technologies mitigate NOx emissions? New evidence from on-road test</w:t>
      </w:r>
      <w:r w:rsidR="00E55A62">
        <w:rPr>
          <w:rFonts w:ascii="Calibri" w:eastAsia="Times New Roman" w:hAnsi="Calibri" w:cs="Calibri"/>
          <w:color w:val="000000"/>
        </w:rPr>
        <w:t>s of buses in China, Appl Energ</w:t>
      </w:r>
      <w:r w:rsidRPr="008A2DCB">
        <w:rPr>
          <w:rFonts w:ascii="Calibri" w:eastAsia="Times New Roman" w:hAnsi="Calibri" w:cs="Calibri"/>
          <w:color w:val="000000"/>
        </w:rPr>
        <w:t xml:space="preserve"> </w:t>
      </w:r>
      <w:r w:rsidRPr="00E55A62">
        <w:rPr>
          <w:rFonts w:ascii="Calibri" w:eastAsia="Times New Roman" w:hAnsi="Calibri" w:cs="Calibri"/>
          <w:b/>
          <w:color w:val="000000"/>
        </w:rPr>
        <w:t>132</w:t>
      </w:r>
      <w:r w:rsidR="00E55A62">
        <w:rPr>
          <w:rFonts w:ascii="Calibri" w:eastAsia="Times New Roman" w:hAnsi="Calibri" w:cs="Calibri"/>
          <w:color w:val="000000"/>
        </w:rPr>
        <w:t>:</w:t>
      </w:r>
      <w:r w:rsidRPr="008A2DCB">
        <w:rPr>
          <w:rFonts w:ascii="Calibri" w:eastAsia="Times New Roman" w:hAnsi="Calibri" w:cs="Calibri"/>
          <w:color w:val="000000"/>
        </w:rPr>
        <w:t xml:space="preserve"> 118-126</w:t>
      </w:r>
      <w:r w:rsidR="00E55A62">
        <w:rPr>
          <w:rFonts w:ascii="Calibri" w:eastAsia="Times New Roman" w:hAnsi="Calibri" w:cs="Calibri"/>
          <w:color w:val="000000"/>
        </w:rPr>
        <w:t xml:space="preserve"> (2014).</w:t>
      </w:r>
    </w:p>
    <w:p w14:paraId="1FC0808C" w14:textId="064E6489" w:rsidR="00615FEC" w:rsidRPr="008A2DCB" w:rsidRDefault="005C42F9" w:rsidP="005C42F9">
      <w:pPr>
        <w:pStyle w:val="ListParagraph"/>
        <w:numPr>
          <w:ilvl w:val="0"/>
          <w:numId w:val="5"/>
        </w:numPr>
        <w:spacing w:line="480" w:lineRule="auto"/>
        <w:rPr>
          <w:rFonts w:ascii="Calibri" w:hAnsi="Calibri" w:cs="Calibri"/>
        </w:rPr>
      </w:pPr>
      <w:r>
        <w:rPr>
          <w:rFonts w:ascii="Calibri" w:eastAsia="Times New Roman" w:hAnsi="Calibri" w:cs="Calibri"/>
          <w:color w:val="000000"/>
        </w:rPr>
        <w:t xml:space="preserve">U.S. Environmental Protection Agency (U.S. EPA) </w:t>
      </w:r>
      <w:r w:rsidR="00615FEC" w:rsidRPr="008A2DCB">
        <w:rPr>
          <w:rFonts w:ascii="Calibri" w:eastAsia="Times New Roman" w:hAnsi="Calibri" w:cs="Calibri"/>
          <w:color w:val="000000"/>
        </w:rPr>
        <w:t>(Dec 2015). MOVES 2014a</w:t>
      </w:r>
      <w:r>
        <w:rPr>
          <w:rFonts w:ascii="Calibri" w:eastAsia="Times New Roman" w:hAnsi="Calibri" w:cs="Calibri"/>
          <w:color w:val="000000"/>
        </w:rPr>
        <w:t xml:space="preserve">: Latest Version of </w:t>
      </w:r>
      <w:r w:rsidR="00A67328">
        <w:rPr>
          <w:rFonts w:ascii="Calibri" w:eastAsia="Times New Roman" w:hAnsi="Calibri" w:cs="Calibri"/>
          <w:color w:val="000000"/>
        </w:rPr>
        <w:t xml:space="preserve">MOtor </w:t>
      </w:r>
      <w:r>
        <w:rPr>
          <w:rFonts w:ascii="Calibri" w:eastAsia="Times New Roman" w:hAnsi="Calibri" w:cs="Calibri"/>
          <w:color w:val="000000"/>
        </w:rPr>
        <w:t>Vehicle Emissions Simulator (MOVES)</w:t>
      </w:r>
      <w:r w:rsidR="00615FEC" w:rsidRPr="008A2DCB">
        <w:rPr>
          <w:rFonts w:ascii="Calibri" w:eastAsia="Times New Roman" w:hAnsi="Calibri" w:cs="Calibri"/>
          <w:color w:val="000000"/>
        </w:rPr>
        <w:t xml:space="preserve">. Retrieved from </w:t>
      </w:r>
      <w:hyperlink r:id="rId26" w:history="1">
        <w:r w:rsidRPr="00D02A78">
          <w:rPr>
            <w:rStyle w:val="Hyperlink"/>
            <w:rFonts w:ascii="Calibri" w:eastAsia="Times New Roman" w:hAnsi="Calibri" w:cs="Calibri"/>
          </w:rPr>
          <w:t>https://www.epa.gov/moves/moves2014a-latest-version-motor-vehicle-emission-simulator-moves</w:t>
        </w:r>
      </w:hyperlink>
      <w:r>
        <w:rPr>
          <w:rFonts w:ascii="Calibri" w:eastAsia="Times New Roman" w:hAnsi="Calibri" w:cs="Calibri"/>
          <w:color w:val="000000"/>
        </w:rPr>
        <w:t>, Accessed January 13, 2017.</w:t>
      </w:r>
    </w:p>
    <w:p w14:paraId="2A181338" w14:textId="22E4512E" w:rsidR="00615FEC" w:rsidRPr="008A2DCB" w:rsidRDefault="00615FEC" w:rsidP="005005A8">
      <w:pPr>
        <w:pStyle w:val="ListParagraph"/>
        <w:numPr>
          <w:ilvl w:val="0"/>
          <w:numId w:val="5"/>
        </w:numPr>
        <w:spacing w:line="480" w:lineRule="auto"/>
        <w:rPr>
          <w:rFonts w:ascii="Calibri" w:hAnsi="Calibri" w:cs="Calibri"/>
        </w:rPr>
      </w:pPr>
      <w:r w:rsidRPr="008A2DCB">
        <w:rPr>
          <w:rFonts w:ascii="Calibri" w:eastAsia="Times New Roman" w:hAnsi="Calibri" w:cs="Calibri"/>
          <w:color w:val="000000"/>
        </w:rPr>
        <w:lastRenderedPageBreak/>
        <w:t>Bishop, G., Schuchm</w:t>
      </w:r>
      <w:r w:rsidR="00E55A62">
        <w:rPr>
          <w:rFonts w:ascii="Calibri" w:eastAsia="Times New Roman" w:hAnsi="Calibri" w:cs="Calibri"/>
          <w:color w:val="000000"/>
        </w:rPr>
        <w:t>ann, B., and Stedman, D.</w:t>
      </w:r>
      <w:r w:rsidRPr="008A2DCB">
        <w:rPr>
          <w:rFonts w:ascii="Calibri" w:eastAsia="Times New Roman" w:hAnsi="Calibri" w:cs="Calibri"/>
          <w:color w:val="000000"/>
        </w:rPr>
        <w:t xml:space="preserve"> Heavy-Duty Truck Emissions in the South Coast Air Basin of California. </w:t>
      </w:r>
      <w:r w:rsidRPr="00E55A62">
        <w:rPr>
          <w:rFonts w:ascii="Calibri" w:eastAsia="Times New Roman" w:hAnsi="Calibri" w:cs="Calibri"/>
          <w:i/>
          <w:color w:val="000000"/>
        </w:rPr>
        <w:t>Environ Sci Technol</w:t>
      </w:r>
      <w:r w:rsidRPr="008A2DCB">
        <w:rPr>
          <w:rFonts w:ascii="Calibri" w:eastAsia="Times New Roman" w:hAnsi="Calibri" w:cs="Calibri"/>
          <w:color w:val="000000"/>
        </w:rPr>
        <w:t xml:space="preserve"> </w:t>
      </w:r>
      <w:r w:rsidRPr="00E55A62">
        <w:rPr>
          <w:rFonts w:ascii="Calibri" w:eastAsia="Times New Roman" w:hAnsi="Calibri" w:cs="Calibri"/>
          <w:b/>
          <w:color w:val="000000"/>
        </w:rPr>
        <w:t>47</w:t>
      </w:r>
      <w:r w:rsidR="00E55A62">
        <w:rPr>
          <w:rFonts w:ascii="Calibri" w:eastAsia="Times New Roman" w:hAnsi="Calibri" w:cs="Calibri"/>
          <w:color w:val="000000"/>
        </w:rPr>
        <w:t>:</w:t>
      </w:r>
      <w:r w:rsidRPr="008A2DCB">
        <w:rPr>
          <w:rFonts w:ascii="Calibri" w:eastAsia="Times New Roman" w:hAnsi="Calibri" w:cs="Calibri"/>
          <w:color w:val="000000"/>
        </w:rPr>
        <w:t xml:space="preserve"> 9523−952</w:t>
      </w:r>
      <w:r w:rsidR="00E55A62">
        <w:rPr>
          <w:rFonts w:ascii="Calibri" w:eastAsia="Times New Roman" w:hAnsi="Calibri" w:cs="Calibri"/>
          <w:color w:val="000000"/>
        </w:rPr>
        <w:t xml:space="preserve"> (2013).</w:t>
      </w:r>
    </w:p>
    <w:p w14:paraId="42D4A0FA" w14:textId="09663F49" w:rsidR="007768CF" w:rsidRPr="008A2DCB" w:rsidRDefault="007768CF" w:rsidP="00465864">
      <w:pPr>
        <w:pStyle w:val="ListParagraph"/>
        <w:numPr>
          <w:ilvl w:val="0"/>
          <w:numId w:val="5"/>
        </w:numPr>
        <w:spacing w:line="480" w:lineRule="auto"/>
        <w:rPr>
          <w:rFonts w:ascii="Calibri" w:hAnsi="Calibri" w:cs="Calibri"/>
        </w:rPr>
      </w:pPr>
      <w:r w:rsidRPr="008A2DCB">
        <w:rPr>
          <w:rFonts w:ascii="Calibri" w:hAnsi="Calibri" w:cs="Calibri"/>
        </w:rPr>
        <w:t>W</w:t>
      </w:r>
      <w:r w:rsidR="00465864" w:rsidRPr="008A2DCB">
        <w:rPr>
          <w:rFonts w:ascii="Calibri" w:hAnsi="Calibri" w:cs="Calibri"/>
        </w:rPr>
        <w:t>est Virginia University (WVU)</w:t>
      </w:r>
      <w:r w:rsidR="005C42F9">
        <w:rPr>
          <w:rFonts w:ascii="Calibri" w:hAnsi="Calibri" w:cs="Calibri"/>
        </w:rPr>
        <w:t xml:space="preserve"> Center for Alternative Fuels Engines and Emissions</w:t>
      </w:r>
      <w:r w:rsidR="00465864" w:rsidRPr="008A2DCB">
        <w:rPr>
          <w:rFonts w:ascii="Calibri" w:hAnsi="Calibri" w:cs="Calibri"/>
        </w:rPr>
        <w:t xml:space="preserve">. Integrated Bus Information System (IBIS). (2011). Available at: </w:t>
      </w:r>
      <w:hyperlink r:id="rId27" w:history="1">
        <w:r w:rsidR="00465864" w:rsidRPr="008A2DCB">
          <w:rPr>
            <w:rStyle w:val="Hyperlink"/>
            <w:rFonts w:ascii="Calibri" w:hAnsi="Calibri" w:cs="Calibri"/>
          </w:rPr>
          <w:t>http://ibis.wvu.edu/</w:t>
        </w:r>
      </w:hyperlink>
      <w:r w:rsidR="00465864" w:rsidRPr="008A2DCB">
        <w:rPr>
          <w:rFonts w:ascii="Calibri" w:hAnsi="Calibri" w:cs="Calibri"/>
        </w:rPr>
        <w:t>, Accessed December 19, 2016.</w:t>
      </w:r>
    </w:p>
    <w:p w14:paraId="2A8E3EC7" w14:textId="4BD2D283" w:rsidR="00A67328" w:rsidRPr="00A67328" w:rsidRDefault="00A67328" w:rsidP="005005A8">
      <w:pPr>
        <w:pStyle w:val="ListParagraph"/>
        <w:numPr>
          <w:ilvl w:val="0"/>
          <w:numId w:val="5"/>
        </w:numPr>
        <w:spacing w:line="480" w:lineRule="auto"/>
        <w:rPr>
          <w:rFonts w:ascii="Calibri" w:hAnsi="Calibri" w:cs="Calibri"/>
        </w:rPr>
      </w:pPr>
      <w:r w:rsidRPr="00CC757C">
        <w:rPr>
          <w:rFonts w:ascii="Calibri" w:hAnsi="Calibri" w:cs="Helvetica"/>
        </w:rPr>
        <w:t xml:space="preserve">Misra, C., Yoon, S., Collins, J., Chernich, D., Herner, J. (2016). </w:t>
      </w:r>
      <w:r w:rsidRPr="00CC757C">
        <w:rPr>
          <w:rFonts w:ascii="Calibri" w:hAnsi="Calibri" w:cs="Helvetica"/>
          <w:i/>
          <w:iCs/>
        </w:rPr>
        <w:t>Evaluating in-use SCR performance: older vs. late MY engines</w:t>
      </w:r>
      <w:r w:rsidRPr="00CC757C">
        <w:rPr>
          <w:rFonts w:ascii="Calibri" w:hAnsi="Calibri" w:cs="Helvetica"/>
        </w:rPr>
        <w:t>. Presented at 26th CRC Real-World Emissions Workshop, Newport Beach, CA</w:t>
      </w:r>
      <w:r w:rsidR="00E25635">
        <w:rPr>
          <w:rFonts w:ascii="Calibri" w:hAnsi="Calibri" w:cs="Helvetica"/>
        </w:rPr>
        <w:t>.</w:t>
      </w:r>
    </w:p>
    <w:p w14:paraId="55F24135" w14:textId="6780B107" w:rsidR="00A67328" w:rsidRDefault="006A216C" w:rsidP="005005A8">
      <w:pPr>
        <w:pStyle w:val="ListParagraph"/>
        <w:numPr>
          <w:ilvl w:val="0"/>
          <w:numId w:val="5"/>
        </w:numPr>
        <w:spacing w:line="480" w:lineRule="auto"/>
        <w:rPr>
          <w:rFonts w:ascii="Calibri" w:hAnsi="Calibri" w:cs="Calibri"/>
        </w:rPr>
      </w:pPr>
      <w:r w:rsidRPr="006A216C">
        <w:rPr>
          <w:rFonts w:ascii="Calibri" w:hAnsi="Calibri" w:cs="Calibri"/>
        </w:rPr>
        <w:t xml:space="preserve">Quiros, D., Thiruvengadam, A., Pradhan, S., Besch, M., Thiruvengadam, P., Demirgok, B., Carder, D., Oshinuga, A., Huai, T., Hu, S. </w:t>
      </w:r>
      <w:r w:rsidRPr="0076795B">
        <w:rPr>
          <w:rFonts w:ascii="Calibri" w:hAnsi="Calibri" w:cs="Calibri"/>
          <w:iCs/>
        </w:rPr>
        <w:t>Real-world emissions from modern heavy-duty diesel, natural gas, and hybrid diesel trucks operating along major California freight corridors</w:t>
      </w:r>
      <w:r w:rsidRPr="0076795B">
        <w:rPr>
          <w:rFonts w:ascii="Calibri" w:hAnsi="Calibri" w:cs="Calibri"/>
        </w:rPr>
        <w:t>.</w:t>
      </w:r>
      <w:r w:rsidRPr="006A216C">
        <w:rPr>
          <w:rFonts w:ascii="Calibri" w:hAnsi="Calibri" w:cs="Calibri"/>
        </w:rPr>
        <w:t xml:space="preserve"> </w:t>
      </w:r>
      <w:r w:rsidRPr="0076795B">
        <w:rPr>
          <w:rFonts w:ascii="Calibri" w:hAnsi="Calibri" w:cs="Calibri"/>
          <w:i/>
        </w:rPr>
        <w:t>Emiss Control Sci Technol</w:t>
      </w:r>
      <w:r w:rsidRPr="006A216C">
        <w:rPr>
          <w:rFonts w:ascii="Calibri" w:hAnsi="Calibri" w:cs="Calibri"/>
        </w:rPr>
        <w:t xml:space="preserve"> </w:t>
      </w:r>
      <w:r w:rsidRPr="0076795B">
        <w:rPr>
          <w:rFonts w:ascii="Calibri" w:hAnsi="Calibri" w:cs="Calibri"/>
          <w:b/>
        </w:rPr>
        <w:t>2</w:t>
      </w:r>
      <w:r w:rsidRPr="006A216C">
        <w:rPr>
          <w:rFonts w:ascii="Calibri" w:hAnsi="Calibri" w:cs="Calibri"/>
        </w:rPr>
        <w:t>: 156-172</w:t>
      </w:r>
      <w:r w:rsidR="00E25635">
        <w:rPr>
          <w:rFonts w:ascii="Calibri" w:hAnsi="Calibri" w:cs="Calibri"/>
        </w:rPr>
        <w:t xml:space="preserve"> (2016).</w:t>
      </w:r>
    </w:p>
    <w:p w14:paraId="20A5BF35" w14:textId="203D8B97" w:rsidR="00A67328" w:rsidRPr="00CC757C" w:rsidRDefault="006A216C" w:rsidP="005005A8">
      <w:pPr>
        <w:pStyle w:val="ListParagraph"/>
        <w:numPr>
          <w:ilvl w:val="0"/>
          <w:numId w:val="5"/>
        </w:numPr>
        <w:spacing w:line="480" w:lineRule="auto"/>
        <w:rPr>
          <w:rFonts w:ascii="Calibri" w:hAnsi="Calibri" w:cs="Calibri"/>
        </w:rPr>
      </w:pPr>
      <w:r w:rsidRPr="006A216C">
        <w:rPr>
          <w:rFonts w:ascii="Calibri" w:hAnsi="Calibri" w:cs="Calibri"/>
        </w:rPr>
        <w:t xml:space="preserve">Heijne, V., Ligterink, N., Stelwagen, U. (2016) </w:t>
      </w:r>
      <w:r w:rsidRPr="006A216C">
        <w:rPr>
          <w:rFonts w:ascii="Calibri" w:hAnsi="Calibri" w:cs="Calibri"/>
          <w:i/>
          <w:iCs/>
        </w:rPr>
        <w:t>2016 Emission factors for diesel Euro-6 passenger cars, light commercial vehicles and Euro-VI trucks</w:t>
      </w:r>
      <w:r w:rsidRPr="006A216C">
        <w:rPr>
          <w:rFonts w:ascii="Calibri" w:hAnsi="Calibri" w:cs="Calibri"/>
        </w:rPr>
        <w:t xml:space="preserve">. Retrieved from: </w:t>
      </w:r>
      <w:hyperlink r:id="rId28" w:history="1">
        <w:r w:rsidRPr="006A216C">
          <w:rPr>
            <w:rStyle w:val="Hyperlink"/>
            <w:rFonts w:ascii="Calibri" w:hAnsi="Calibri" w:cs="Calibri"/>
          </w:rPr>
          <w:t>http://publications.tno.nl/publication/34620020/ksRDF3/TNO-</w:t>
        </w:r>
        <w:r w:rsidRPr="006A216C">
          <w:rPr>
            <w:rStyle w:val="Hyperlink"/>
            <w:rFonts w:ascii="Calibri" w:hAnsi="Calibri" w:cs="Calibri"/>
            <w:b/>
            <w:bCs/>
          </w:rPr>
          <w:t>2016</w:t>
        </w:r>
        <w:r w:rsidRPr="006A216C">
          <w:rPr>
            <w:rStyle w:val="Hyperlink"/>
            <w:rFonts w:ascii="Calibri" w:hAnsi="Calibri" w:cs="Calibri"/>
          </w:rPr>
          <w:t>-R10304.pdf</w:t>
        </w:r>
      </w:hyperlink>
      <w:r w:rsidRPr="006A216C">
        <w:rPr>
          <w:rFonts w:ascii="Calibri" w:hAnsi="Calibri" w:cs="Calibri"/>
        </w:rPr>
        <w:t>.</w:t>
      </w:r>
    </w:p>
    <w:p w14:paraId="38AEF600" w14:textId="77777777" w:rsidR="00FD5D65" w:rsidRPr="00CD6B8C" w:rsidRDefault="00FD5D65" w:rsidP="00FD5D65">
      <w:pPr>
        <w:pStyle w:val="ListParagraph"/>
        <w:numPr>
          <w:ilvl w:val="0"/>
          <w:numId w:val="5"/>
        </w:numPr>
        <w:spacing w:line="480" w:lineRule="auto"/>
        <w:rPr>
          <w:rFonts w:ascii="Calibri" w:hAnsi="Calibri" w:cs="Calibri"/>
        </w:rPr>
      </w:pPr>
      <w:r w:rsidRPr="008A2DCB">
        <w:rPr>
          <w:rFonts w:ascii="Calibri" w:eastAsia="Times New Roman" w:hAnsi="Calibri" w:cs="Calibri"/>
          <w:color w:val="000000"/>
        </w:rPr>
        <w:t xml:space="preserve">Ntziachristos, </w:t>
      </w:r>
      <w:r>
        <w:rPr>
          <w:rFonts w:ascii="Calibri" w:eastAsia="Times New Roman" w:hAnsi="Calibri" w:cs="Calibri"/>
          <w:color w:val="000000"/>
        </w:rPr>
        <w:t xml:space="preserve">L., </w:t>
      </w:r>
      <w:r w:rsidRPr="008A2DCB">
        <w:rPr>
          <w:rFonts w:ascii="Calibri" w:eastAsia="Times New Roman" w:hAnsi="Calibri" w:cs="Calibri"/>
          <w:color w:val="000000"/>
        </w:rPr>
        <w:t>Papadimitriou</w:t>
      </w:r>
      <w:r>
        <w:rPr>
          <w:rFonts w:ascii="Calibri" w:eastAsia="Times New Roman" w:hAnsi="Calibri" w:cs="Calibri"/>
          <w:color w:val="000000"/>
        </w:rPr>
        <w:t>, G.</w:t>
      </w:r>
      <w:r w:rsidRPr="008A2DCB">
        <w:rPr>
          <w:rFonts w:ascii="Calibri" w:eastAsia="Times New Roman" w:hAnsi="Calibri" w:cs="Calibri"/>
          <w:color w:val="000000"/>
        </w:rPr>
        <w:t>, Ligterink</w:t>
      </w:r>
      <w:r>
        <w:rPr>
          <w:rFonts w:ascii="Calibri" w:eastAsia="Times New Roman" w:hAnsi="Calibri" w:cs="Calibri"/>
          <w:color w:val="000000"/>
        </w:rPr>
        <w:t>, N.</w:t>
      </w:r>
      <w:r w:rsidRPr="008A2DCB">
        <w:rPr>
          <w:rFonts w:ascii="Calibri" w:eastAsia="Times New Roman" w:hAnsi="Calibri" w:cs="Calibri"/>
          <w:color w:val="000000"/>
        </w:rPr>
        <w:t>, Hausberger,</w:t>
      </w:r>
      <w:r>
        <w:rPr>
          <w:rFonts w:ascii="Calibri" w:eastAsia="Times New Roman" w:hAnsi="Calibri" w:cs="Calibri"/>
          <w:color w:val="000000"/>
        </w:rPr>
        <w:t xml:space="preserve"> S.</w:t>
      </w:r>
      <w:r w:rsidRPr="008A2DCB">
        <w:rPr>
          <w:rFonts w:ascii="Calibri" w:eastAsia="Times New Roman" w:hAnsi="Calibri" w:cs="Calibri"/>
          <w:color w:val="000000"/>
        </w:rPr>
        <w:t xml:space="preserve"> Implications of diesel emissions control failures to emission factors and road transport NOx </w:t>
      </w:r>
      <w:r w:rsidRPr="00CD6B8C">
        <w:rPr>
          <w:rFonts w:ascii="Calibri" w:eastAsia="Times New Roman" w:hAnsi="Calibri" w:cs="Calibri"/>
          <w:color w:val="000000"/>
        </w:rPr>
        <w:t>evolution, Atmo</w:t>
      </w:r>
      <w:r w:rsidRPr="00E55A62">
        <w:rPr>
          <w:rFonts w:ascii="Calibri" w:eastAsia="Times New Roman" w:hAnsi="Calibri" w:cs="Calibri"/>
          <w:i/>
          <w:color w:val="000000"/>
        </w:rPr>
        <w:t>spheric Environment</w:t>
      </w:r>
      <w:r w:rsidRPr="00E55A62">
        <w:rPr>
          <w:rFonts w:ascii="Calibri" w:eastAsia="Times New Roman" w:hAnsi="Calibri" w:cs="Calibri"/>
          <w:b/>
          <w:i/>
          <w:color w:val="000000"/>
        </w:rPr>
        <w:t xml:space="preserve"> </w:t>
      </w:r>
      <w:r w:rsidRPr="00E55A62">
        <w:rPr>
          <w:rFonts w:ascii="Calibri" w:eastAsia="Times New Roman" w:hAnsi="Calibri" w:cs="Calibri"/>
          <w:b/>
          <w:color w:val="000000"/>
        </w:rPr>
        <w:t>141</w:t>
      </w:r>
      <w:r>
        <w:rPr>
          <w:rFonts w:ascii="Calibri" w:eastAsia="Times New Roman" w:hAnsi="Calibri" w:cs="Calibri"/>
          <w:b/>
          <w:color w:val="000000"/>
        </w:rPr>
        <w:t>:</w:t>
      </w:r>
      <w:r w:rsidRPr="00CD6B8C">
        <w:rPr>
          <w:rFonts w:ascii="Calibri" w:eastAsia="Times New Roman" w:hAnsi="Calibri" w:cs="Calibri"/>
          <w:color w:val="000000"/>
        </w:rPr>
        <w:t xml:space="preserve"> 542-551</w:t>
      </w:r>
      <w:r>
        <w:rPr>
          <w:rFonts w:ascii="Calibri" w:eastAsia="Times New Roman" w:hAnsi="Calibri" w:cs="Calibri"/>
          <w:color w:val="000000"/>
        </w:rPr>
        <w:t xml:space="preserve"> (2016).</w:t>
      </w:r>
    </w:p>
    <w:p w14:paraId="1E3C42E5" w14:textId="77777777" w:rsidR="00FD5D65" w:rsidRPr="00CD6B8C" w:rsidRDefault="00FD5D65" w:rsidP="00FD5D65">
      <w:pPr>
        <w:pStyle w:val="ListParagraph"/>
        <w:numPr>
          <w:ilvl w:val="0"/>
          <w:numId w:val="5"/>
        </w:numPr>
        <w:spacing w:line="480" w:lineRule="auto"/>
        <w:rPr>
          <w:rFonts w:ascii="Calibri" w:hAnsi="Calibri" w:cs="Calibri"/>
        </w:rPr>
      </w:pPr>
      <w:r>
        <w:rPr>
          <w:rFonts w:ascii="Calibri" w:eastAsia="Times New Roman" w:hAnsi="Calibri" w:cs="Calibri"/>
          <w:color w:val="000000"/>
        </w:rPr>
        <w:t>U.S. Energy Information Administration (U.S. EIA)</w:t>
      </w:r>
      <w:r w:rsidRPr="00CD6B8C">
        <w:rPr>
          <w:rFonts w:ascii="Calibri" w:eastAsia="Times New Roman" w:hAnsi="Calibri" w:cs="Calibri"/>
          <w:color w:val="000000"/>
        </w:rPr>
        <w:t xml:space="preserve">. “Table: Light-Duty Vehicle Sales by Technology Type.” Annual Energy Outlook 2016. </w:t>
      </w:r>
      <w:r>
        <w:rPr>
          <w:rFonts w:ascii="Calibri" w:eastAsia="Times New Roman" w:hAnsi="Calibri" w:cs="Calibri"/>
          <w:color w:val="000000"/>
        </w:rPr>
        <w:t xml:space="preserve">(2016). </w:t>
      </w:r>
      <w:r w:rsidRPr="00CD6B8C">
        <w:rPr>
          <w:rFonts w:ascii="Calibri" w:eastAsia="Times New Roman" w:hAnsi="Calibri" w:cs="Calibri"/>
          <w:color w:val="000000"/>
        </w:rPr>
        <w:t xml:space="preserve">Retrieved from </w:t>
      </w:r>
      <w:hyperlink r:id="rId29" w:anchor="/?id=48-AEO2016" w:history="1">
        <w:r w:rsidRPr="00625159">
          <w:rPr>
            <w:rStyle w:val="Hyperlink"/>
            <w:rFonts w:ascii="Calibri" w:eastAsia="Times New Roman" w:hAnsi="Calibri" w:cs="Calibri"/>
          </w:rPr>
          <w:t>http://www.eia.gov/forecasts/aeo/data/browser/#/?id=48-AEO2016</w:t>
        </w:r>
      </w:hyperlink>
      <w:r>
        <w:rPr>
          <w:rFonts w:ascii="Calibri" w:eastAsia="Times New Roman" w:hAnsi="Calibri" w:cs="Calibri"/>
          <w:color w:val="000000"/>
        </w:rPr>
        <w:t>, Accessed January 13, 2017.</w:t>
      </w:r>
    </w:p>
    <w:p w14:paraId="3BACF4BB" w14:textId="0EB0A31E" w:rsidR="00615FEC" w:rsidRPr="008A2DCB" w:rsidRDefault="00615FEC" w:rsidP="005005A8">
      <w:pPr>
        <w:pStyle w:val="ListParagraph"/>
        <w:numPr>
          <w:ilvl w:val="0"/>
          <w:numId w:val="5"/>
        </w:numPr>
        <w:spacing w:line="480" w:lineRule="auto"/>
        <w:rPr>
          <w:rFonts w:ascii="Calibri" w:hAnsi="Calibri" w:cs="Calibri"/>
        </w:rPr>
      </w:pPr>
      <w:r w:rsidRPr="008A2DCB">
        <w:rPr>
          <w:rFonts w:ascii="Calibri" w:eastAsia="Times New Roman" w:hAnsi="Calibri" w:cs="Calibri"/>
          <w:color w:val="000000"/>
        </w:rPr>
        <w:t xml:space="preserve">Bishop, G.A., </w:t>
      </w:r>
      <w:r w:rsidR="00E55A62">
        <w:rPr>
          <w:rFonts w:ascii="Calibri" w:eastAsia="Times New Roman" w:hAnsi="Calibri" w:cs="Calibri"/>
          <w:color w:val="000000"/>
        </w:rPr>
        <w:t xml:space="preserve">and Stedman, D.H. </w:t>
      </w:r>
      <w:bookmarkStart w:id="2" w:name="_GoBack"/>
      <w:bookmarkEnd w:id="2"/>
      <w:r w:rsidRPr="008A2DCB">
        <w:rPr>
          <w:rFonts w:ascii="Calibri" w:eastAsia="Times New Roman" w:hAnsi="Calibri" w:cs="Calibri"/>
          <w:color w:val="000000"/>
        </w:rPr>
        <w:t xml:space="preserve">A decade of on-road emissions measurements, </w:t>
      </w:r>
      <w:r w:rsidRPr="00E55A62">
        <w:rPr>
          <w:rFonts w:ascii="Calibri" w:eastAsia="Times New Roman" w:hAnsi="Calibri" w:cs="Calibri"/>
          <w:i/>
          <w:color w:val="000000"/>
        </w:rPr>
        <w:t>Environ Sci Technol</w:t>
      </w:r>
      <w:r w:rsidRPr="008A2DCB">
        <w:rPr>
          <w:rFonts w:ascii="Calibri" w:eastAsia="Times New Roman" w:hAnsi="Calibri" w:cs="Calibri"/>
          <w:color w:val="000000"/>
        </w:rPr>
        <w:t xml:space="preserve"> </w:t>
      </w:r>
      <w:r w:rsidRPr="00E55A62">
        <w:rPr>
          <w:rFonts w:ascii="Calibri" w:eastAsia="Times New Roman" w:hAnsi="Calibri" w:cs="Calibri"/>
          <w:b/>
          <w:color w:val="000000"/>
        </w:rPr>
        <w:t>42</w:t>
      </w:r>
      <w:r w:rsidR="00E55A62">
        <w:rPr>
          <w:rFonts w:ascii="Calibri" w:eastAsia="Times New Roman" w:hAnsi="Calibri" w:cs="Calibri"/>
          <w:color w:val="000000"/>
        </w:rPr>
        <w:t>:</w:t>
      </w:r>
      <w:r w:rsidRPr="008A2DCB">
        <w:rPr>
          <w:rFonts w:ascii="Calibri" w:eastAsia="Times New Roman" w:hAnsi="Calibri" w:cs="Calibri"/>
          <w:color w:val="000000"/>
        </w:rPr>
        <w:t xml:space="preserve"> 1651-1656</w:t>
      </w:r>
      <w:r w:rsidR="00E55A62">
        <w:rPr>
          <w:rFonts w:ascii="Calibri" w:eastAsia="Times New Roman" w:hAnsi="Calibri" w:cs="Calibri"/>
          <w:color w:val="000000"/>
        </w:rPr>
        <w:t xml:space="preserve"> (2008).</w:t>
      </w:r>
    </w:p>
    <w:p w14:paraId="39663137" w14:textId="32969994" w:rsidR="00615FEC" w:rsidRPr="008A2DCB" w:rsidRDefault="00615FEC" w:rsidP="005C42F9">
      <w:pPr>
        <w:pStyle w:val="ListParagraph"/>
        <w:numPr>
          <w:ilvl w:val="0"/>
          <w:numId w:val="5"/>
        </w:numPr>
        <w:spacing w:line="480" w:lineRule="auto"/>
        <w:rPr>
          <w:rFonts w:ascii="Calibri" w:eastAsia="Times New Roman" w:hAnsi="Calibri" w:cs="Calibri"/>
          <w:color w:val="000000"/>
        </w:rPr>
      </w:pPr>
      <w:r w:rsidRPr="008A2DCB">
        <w:rPr>
          <w:rFonts w:ascii="Calibri" w:eastAsia="Times New Roman" w:hAnsi="Calibri" w:cs="Calibri"/>
          <w:color w:val="000000"/>
        </w:rPr>
        <w:lastRenderedPageBreak/>
        <w:t>Thompson, G., Carder, D., Besch, M., Thiruvengadam, A.</w:t>
      </w:r>
      <w:r w:rsidR="005C42F9">
        <w:rPr>
          <w:rFonts w:ascii="Calibri" w:eastAsia="Times New Roman" w:hAnsi="Calibri" w:cs="Calibri"/>
          <w:color w:val="000000"/>
        </w:rPr>
        <w:t>,</w:t>
      </w:r>
      <w:r w:rsidRPr="008A2DCB">
        <w:rPr>
          <w:rFonts w:ascii="Calibri" w:eastAsia="Times New Roman" w:hAnsi="Calibri" w:cs="Calibri"/>
          <w:color w:val="000000"/>
        </w:rPr>
        <w:t xml:space="preserve"> </w:t>
      </w:r>
      <w:r w:rsidR="005C42F9">
        <w:rPr>
          <w:rFonts w:ascii="Calibri" w:eastAsia="Times New Roman" w:hAnsi="Calibri" w:cs="Calibri"/>
          <w:color w:val="000000"/>
        </w:rPr>
        <w:t>Kappanna, H. Final Report:</w:t>
      </w:r>
      <w:r w:rsidRPr="008A2DCB">
        <w:rPr>
          <w:rFonts w:ascii="Calibri" w:eastAsia="Times New Roman" w:hAnsi="Calibri" w:cs="Calibri"/>
          <w:color w:val="000000"/>
        </w:rPr>
        <w:t xml:space="preserve"> In-use emissions testing of light-duty diesel vehicles in the United States. Center for Alternative Fuels, Engines and Emissions, West Virginia University</w:t>
      </w:r>
      <w:r w:rsidR="005C42F9">
        <w:rPr>
          <w:rFonts w:ascii="Calibri" w:eastAsia="Times New Roman" w:hAnsi="Calibri" w:cs="Calibri"/>
          <w:color w:val="000000"/>
        </w:rPr>
        <w:t xml:space="preserve"> (2014)</w:t>
      </w:r>
      <w:r w:rsidRPr="008A2DCB">
        <w:rPr>
          <w:rFonts w:ascii="Calibri" w:eastAsia="Times New Roman" w:hAnsi="Calibri" w:cs="Calibri"/>
          <w:color w:val="000000"/>
        </w:rPr>
        <w:t>.</w:t>
      </w:r>
      <w:r w:rsidR="005C42F9">
        <w:rPr>
          <w:rFonts w:ascii="Calibri" w:eastAsia="Times New Roman" w:hAnsi="Calibri" w:cs="Calibri"/>
          <w:color w:val="000000"/>
        </w:rPr>
        <w:t xml:space="preserve"> Available at: </w:t>
      </w:r>
      <w:hyperlink r:id="rId30" w:history="1">
        <w:r w:rsidR="005C42F9" w:rsidRPr="00D02A78">
          <w:rPr>
            <w:rStyle w:val="Hyperlink"/>
            <w:rFonts w:ascii="Calibri" w:eastAsia="Times New Roman" w:hAnsi="Calibri" w:cs="Calibri"/>
          </w:rPr>
          <w:t>http://www.theicct.org/sites/default/files/publications/WVU_LDDV_in-use_ICCT_Report_Final_may2014.pdf</w:t>
        </w:r>
      </w:hyperlink>
      <w:r w:rsidR="005C42F9">
        <w:rPr>
          <w:rFonts w:ascii="Calibri" w:eastAsia="Times New Roman" w:hAnsi="Calibri" w:cs="Calibri"/>
          <w:color w:val="000000"/>
        </w:rPr>
        <w:t>, Accessed January 13, 2017.</w:t>
      </w:r>
    </w:p>
    <w:p w14:paraId="72F85C1F" w14:textId="568E963C" w:rsidR="007768CF" w:rsidRPr="008A2DCB" w:rsidRDefault="00F8591E" w:rsidP="00F8591E">
      <w:pPr>
        <w:pStyle w:val="ListParagraph"/>
        <w:numPr>
          <w:ilvl w:val="0"/>
          <w:numId w:val="5"/>
        </w:numPr>
        <w:spacing w:line="480" w:lineRule="auto"/>
        <w:rPr>
          <w:rFonts w:ascii="Calibri" w:hAnsi="Calibri" w:cs="Calibri"/>
        </w:rPr>
      </w:pPr>
      <w:r w:rsidRPr="008A2DCB">
        <w:rPr>
          <w:rFonts w:ascii="Calibri" w:hAnsi="Calibri" w:cs="Calibri"/>
        </w:rPr>
        <w:t xml:space="preserve">California Air Resources Board (CARB). September 25, 2015 letter to Manufacturers, Reference No. IUC-2015-008. Available at </w:t>
      </w:r>
      <w:hyperlink r:id="rId31" w:history="1">
        <w:r w:rsidRPr="008A2DCB">
          <w:rPr>
            <w:rStyle w:val="Hyperlink"/>
            <w:rFonts w:ascii="Calibri" w:hAnsi="Calibri" w:cs="Calibri"/>
          </w:rPr>
          <w:t>https://www.arb.ca.gov/newsrel/arb_iuc_2015_09_25_final_signed_letter.pdf</w:t>
        </w:r>
      </w:hyperlink>
      <w:r w:rsidRPr="008A2DCB">
        <w:rPr>
          <w:rFonts w:ascii="Calibri" w:hAnsi="Calibri" w:cs="Calibri"/>
        </w:rPr>
        <w:t>, Accessed December 19, 2016.</w:t>
      </w:r>
    </w:p>
    <w:p w14:paraId="0476239E" w14:textId="528F2B5F" w:rsidR="0058515E" w:rsidRPr="008A2DCB" w:rsidRDefault="00A05CEF" w:rsidP="005005A8">
      <w:pPr>
        <w:pStyle w:val="ListParagraph"/>
        <w:numPr>
          <w:ilvl w:val="0"/>
          <w:numId w:val="5"/>
        </w:numPr>
        <w:spacing w:line="480" w:lineRule="auto"/>
        <w:rPr>
          <w:rFonts w:ascii="Calibri" w:hAnsi="Calibri" w:cs="Calibri"/>
        </w:rPr>
      </w:pPr>
      <w:r w:rsidRPr="008A2DCB">
        <w:rPr>
          <w:rFonts w:ascii="Calibri" w:hAnsi="Calibri" w:cs="Calibri"/>
        </w:rPr>
        <w:t xml:space="preserve">Bey, I., </w:t>
      </w:r>
      <w:r w:rsidR="00825C69" w:rsidRPr="008A2DCB">
        <w:rPr>
          <w:rFonts w:ascii="Calibri" w:hAnsi="Calibri" w:cs="Calibri"/>
        </w:rPr>
        <w:t>et al.</w:t>
      </w:r>
      <w:r w:rsidRPr="008A2DCB">
        <w:rPr>
          <w:rFonts w:ascii="Calibri" w:hAnsi="Calibri" w:cs="Calibri"/>
        </w:rPr>
        <w:t xml:space="preserve"> Global modeling of tropospheric chemistry with assimilated meteorology: Model description and evaluation. </w:t>
      </w:r>
      <w:r w:rsidRPr="008A2DCB">
        <w:rPr>
          <w:rFonts w:ascii="Calibri" w:hAnsi="Calibri" w:cs="Calibri"/>
          <w:i/>
        </w:rPr>
        <w:t>J. Geophys. Res.-Atmos.</w:t>
      </w:r>
      <w:r w:rsidRPr="008A2DCB">
        <w:rPr>
          <w:rFonts w:ascii="Calibri" w:hAnsi="Calibri" w:cs="Calibri"/>
        </w:rPr>
        <w:t xml:space="preserve"> </w:t>
      </w:r>
      <w:r w:rsidRPr="008A2DCB">
        <w:rPr>
          <w:rFonts w:ascii="Calibri" w:hAnsi="Calibri" w:cs="Calibri"/>
          <w:b/>
          <w:bCs/>
        </w:rPr>
        <w:t>106</w:t>
      </w:r>
      <w:r w:rsidRPr="008A2DCB">
        <w:rPr>
          <w:rFonts w:ascii="Calibri" w:hAnsi="Calibri" w:cs="Calibri"/>
        </w:rPr>
        <w:t>(D19): 23073-23095</w:t>
      </w:r>
      <w:r w:rsidR="00632120" w:rsidRPr="008A2DCB">
        <w:rPr>
          <w:rFonts w:ascii="Calibri" w:hAnsi="Calibri" w:cs="Calibri"/>
        </w:rPr>
        <w:t xml:space="preserve"> (2001)</w:t>
      </w:r>
      <w:r w:rsidRPr="008A2DCB">
        <w:rPr>
          <w:rFonts w:ascii="Calibri" w:hAnsi="Calibri" w:cs="Calibri"/>
        </w:rPr>
        <w:t>.</w:t>
      </w:r>
    </w:p>
    <w:p w14:paraId="0A81CD53" w14:textId="4E4A4F28" w:rsidR="00A05CEF" w:rsidRPr="008A2DCB" w:rsidRDefault="00A05CEF" w:rsidP="005005A8">
      <w:pPr>
        <w:pStyle w:val="ListParagraph"/>
        <w:numPr>
          <w:ilvl w:val="0"/>
          <w:numId w:val="5"/>
        </w:numPr>
        <w:spacing w:line="480" w:lineRule="auto"/>
        <w:rPr>
          <w:rFonts w:ascii="Calibri" w:hAnsi="Calibri" w:cs="Calibri"/>
        </w:rPr>
      </w:pPr>
      <w:r w:rsidRPr="008A2DCB">
        <w:rPr>
          <w:rFonts w:ascii="Calibri" w:hAnsi="Calibri" w:cs="Calibri"/>
        </w:rPr>
        <w:t>Henze, D. K., Hakami</w:t>
      </w:r>
      <w:r w:rsidR="00825C69" w:rsidRPr="008A2DCB">
        <w:rPr>
          <w:rFonts w:ascii="Calibri" w:hAnsi="Calibri" w:cs="Calibri"/>
        </w:rPr>
        <w:t>, A.,</w:t>
      </w:r>
      <w:r w:rsidRPr="008A2DCB">
        <w:rPr>
          <w:rFonts w:ascii="Calibri" w:hAnsi="Calibri" w:cs="Calibri"/>
        </w:rPr>
        <w:t xml:space="preserve"> Seinfeld</w:t>
      </w:r>
      <w:r w:rsidR="00825C69" w:rsidRPr="008A2DCB">
        <w:rPr>
          <w:rFonts w:ascii="Calibri" w:hAnsi="Calibri" w:cs="Calibri"/>
        </w:rPr>
        <w:t>, J.H.</w:t>
      </w:r>
      <w:r w:rsidRPr="008A2DCB">
        <w:rPr>
          <w:rFonts w:ascii="Calibri" w:hAnsi="Calibri" w:cs="Calibri"/>
        </w:rPr>
        <w:t xml:space="preserve"> Development of the adjoint of </w:t>
      </w:r>
      <w:r w:rsidR="00632120" w:rsidRPr="008A2DCB">
        <w:rPr>
          <w:rFonts w:ascii="Calibri" w:hAnsi="Calibri" w:cs="Calibri"/>
        </w:rPr>
        <w:t>GEOS-C</w:t>
      </w:r>
      <w:r w:rsidRPr="008A2DCB">
        <w:rPr>
          <w:rFonts w:ascii="Calibri" w:hAnsi="Calibri" w:cs="Calibri"/>
        </w:rPr>
        <w:t xml:space="preserve">hem. </w:t>
      </w:r>
      <w:r w:rsidR="00CC26D0" w:rsidRPr="008A2DCB">
        <w:rPr>
          <w:rFonts w:ascii="Calibri" w:hAnsi="Calibri" w:cs="Calibri"/>
          <w:i/>
        </w:rPr>
        <w:t>Atmospheric Chemistry a</w:t>
      </w:r>
      <w:r w:rsidRPr="008A2DCB">
        <w:rPr>
          <w:rFonts w:ascii="Calibri" w:hAnsi="Calibri" w:cs="Calibri"/>
          <w:i/>
        </w:rPr>
        <w:t>nd Physics</w:t>
      </w:r>
      <w:r w:rsidRPr="008A2DCB">
        <w:rPr>
          <w:rFonts w:ascii="Calibri" w:hAnsi="Calibri" w:cs="Calibri"/>
        </w:rPr>
        <w:t xml:space="preserve"> </w:t>
      </w:r>
      <w:r w:rsidRPr="008A2DCB">
        <w:rPr>
          <w:rFonts w:ascii="Calibri" w:hAnsi="Calibri" w:cs="Calibri"/>
          <w:b/>
          <w:bCs/>
        </w:rPr>
        <w:t>7</w:t>
      </w:r>
      <w:r w:rsidRPr="008A2DCB">
        <w:rPr>
          <w:rFonts w:ascii="Calibri" w:hAnsi="Calibri" w:cs="Calibri"/>
        </w:rPr>
        <w:t>: 2413-2433</w:t>
      </w:r>
      <w:r w:rsidR="00632120" w:rsidRPr="008A2DCB">
        <w:rPr>
          <w:rFonts w:ascii="Calibri" w:hAnsi="Calibri" w:cs="Calibri"/>
        </w:rPr>
        <w:t xml:space="preserve"> (2007)</w:t>
      </w:r>
      <w:r w:rsidRPr="008A2DCB">
        <w:rPr>
          <w:rFonts w:ascii="Calibri" w:hAnsi="Calibri" w:cs="Calibri"/>
        </w:rPr>
        <w:t>.</w:t>
      </w:r>
    </w:p>
    <w:p w14:paraId="2236A954" w14:textId="17535105" w:rsidR="00A05CEF" w:rsidRPr="008A2DCB" w:rsidRDefault="005147C0" w:rsidP="005005A8">
      <w:pPr>
        <w:pStyle w:val="ListParagraph"/>
        <w:numPr>
          <w:ilvl w:val="0"/>
          <w:numId w:val="5"/>
        </w:numPr>
        <w:spacing w:line="480" w:lineRule="auto"/>
        <w:rPr>
          <w:rFonts w:ascii="Calibri" w:hAnsi="Calibri" w:cs="Calibri"/>
        </w:rPr>
      </w:pPr>
      <w:r w:rsidRPr="006B6D2F">
        <w:rPr>
          <w:rFonts w:ascii="Calibri" w:hAnsi="Calibri"/>
          <w:lang w:val="nl-NL"/>
        </w:rPr>
        <w:t xml:space="preserve">Van Donkelaar, </w:t>
      </w:r>
      <w:r w:rsidR="00825C69" w:rsidRPr="006B6D2F">
        <w:rPr>
          <w:rFonts w:ascii="Calibri" w:hAnsi="Calibri"/>
          <w:lang w:val="nl-NL"/>
        </w:rPr>
        <w:t>A., et al</w:t>
      </w:r>
      <w:r w:rsidRPr="006B6D2F">
        <w:rPr>
          <w:rFonts w:ascii="Calibri" w:hAnsi="Calibri"/>
          <w:lang w:val="nl-NL"/>
        </w:rPr>
        <w:t xml:space="preserve">. </w:t>
      </w:r>
      <w:r w:rsidRPr="008A2DCB">
        <w:rPr>
          <w:rFonts w:ascii="Calibri" w:hAnsi="Calibri" w:cs="Calibri"/>
        </w:rPr>
        <w:t xml:space="preserve">Global </w:t>
      </w:r>
      <w:r w:rsidR="00632120" w:rsidRPr="008A2DCB">
        <w:rPr>
          <w:rFonts w:ascii="Calibri" w:hAnsi="Calibri" w:cs="Calibri"/>
        </w:rPr>
        <w:t>e</w:t>
      </w:r>
      <w:r w:rsidRPr="008A2DCB">
        <w:rPr>
          <w:rFonts w:ascii="Calibri" w:hAnsi="Calibri" w:cs="Calibri"/>
        </w:rPr>
        <w:t xml:space="preserve">stimates of </w:t>
      </w:r>
      <w:r w:rsidR="00632120" w:rsidRPr="008A2DCB">
        <w:rPr>
          <w:rFonts w:ascii="Calibri" w:hAnsi="Calibri" w:cs="Calibri"/>
        </w:rPr>
        <w:t>fine p</w:t>
      </w:r>
      <w:r w:rsidRPr="008A2DCB">
        <w:rPr>
          <w:rFonts w:ascii="Calibri" w:hAnsi="Calibri" w:cs="Calibri"/>
        </w:rPr>
        <w:t xml:space="preserve">articulate </w:t>
      </w:r>
      <w:r w:rsidR="00632120" w:rsidRPr="008A2DCB">
        <w:rPr>
          <w:rFonts w:ascii="Calibri" w:hAnsi="Calibri" w:cs="Calibri"/>
        </w:rPr>
        <w:t>matter using a combined g</w:t>
      </w:r>
      <w:r w:rsidRPr="008A2DCB">
        <w:rPr>
          <w:rFonts w:ascii="Calibri" w:hAnsi="Calibri" w:cs="Calibri"/>
        </w:rPr>
        <w:t>eoph</w:t>
      </w:r>
      <w:r w:rsidR="00632120" w:rsidRPr="008A2DCB">
        <w:rPr>
          <w:rFonts w:ascii="Calibri" w:hAnsi="Calibri" w:cs="Calibri"/>
        </w:rPr>
        <w:t>ysical-statistical method with i</w:t>
      </w:r>
      <w:r w:rsidRPr="008A2DCB">
        <w:rPr>
          <w:rFonts w:ascii="Calibri" w:hAnsi="Calibri" w:cs="Calibri"/>
        </w:rPr>
        <w:t>nformatio</w:t>
      </w:r>
      <w:r w:rsidR="00632120" w:rsidRPr="008A2DCB">
        <w:rPr>
          <w:rFonts w:ascii="Calibri" w:hAnsi="Calibri" w:cs="Calibri"/>
        </w:rPr>
        <w:t>n from satellites, models, and monitors.</w:t>
      </w:r>
      <w:r w:rsidRPr="008A2DCB">
        <w:rPr>
          <w:rFonts w:ascii="Calibri" w:hAnsi="Calibri" w:cs="Calibri"/>
        </w:rPr>
        <w:t xml:space="preserve"> </w:t>
      </w:r>
      <w:r w:rsidRPr="008A2DCB">
        <w:rPr>
          <w:rFonts w:ascii="Calibri" w:hAnsi="Calibri" w:cs="Calibri"/>
          <w:i/>
          <w:iCs/>
        </w:rPr>
        <w:t>Environmental Science &amp; Technology</w:t>
      </w:r>
      <w:r w:rsidR="00632120" w:rsidRPr="008A2DCB">
        <w:rPr>
          <w:rFonts w:ascii="Calibri" w:hAnsi="Calibri" w:cs="Calibri"/>
        </w:rPr>
        <w:t xml:space="preserve"> </w:t>
      </w:r>
      <w:r w:rsidR="00632120" w:rsidRPr="008A2DCB">
        <w:rPr>
          <w:rFonts w:ascii="Calibri" w:hAnsi="Calibri" w:cs="Calibri"/>
          <w:b/>
        </w:rPr>
        <w:t>50</w:t>
      </w:r>
      <w:r w:rsidRPr="008A2DCB">
        <w:rPr>
          <w:rFonts w:ascii="Calibri" w:hAnsi="Calibri" w:cs="Calibri"/>
        </w:rPr>
        <w:t>: 3762–72</w:t>
      </w:r>
      <w:r w:rsidR="00632120" w:rsidRPr="008A2DCB">
        <w:rPr>
          <w:rFonts w:ascii="Calibri" w:hAnsi="Calibri" w:cs="Calibri"/>
        </w:rPr>
        <w:t xml:space="preserve"> (2016)</w:t>
      </w:r>
      <w:r w:rsidRPr="008A2DCB">
        <w:rPr>
          <w:rFonts w:ascii="Calibri" w:hAnsi="Calibri" w:cs="Calibri"/>
        </w:rPr>
        <w:t>.</w:t>
      </w:r>
    </w:p>
    <w:p w14:paraId="5DC20598" w14:textId="5A98251E" w:rsidR="00A05CEF" w:rsidRPr="008A2DCB" w:rsidRDefault="00D06C98" w:rsidP="005005A8">
      <w:pPr>
        <w:pStyle w:val="ListParagraph"/>
        <w:numPr>
          <w:ilvl w:val="0"/>
          <w:numId w:val="5"/>
        </w:numPr>
        <w:spacing w:line="480" w:lineRule="auto"/>
        <w:rPr>
          <w:rFonts w:ascii="Calibri" w:hAnsi="Calibri" w:cs="Calibri"/>
        </w:rPr>
      </w:pPr>
      <w:r w:rsidRPr="008A2DCB">
        <w:rPr>
          <w:rFonts w:ascii="Calibri" w:hAnsi="Calibri" w:cs="Calibri"/>
        </w:rPr>
        <w:t>Punger, E. M. a</w:t>
      </w:r>
      <w:r w:rsidR="00825C69" w:rsidRPr="008A2DCB">
        <w:rPr>
          <w:rFonts w:ascii="Calibri" w:hAnsi="Calibri" w:cs="Calibri"/>
        </w:rPr>
        <w:t xml:space="preserve">nd </w:t>
      </w:r>
      <w:r w:rsidRPr="008A2DCB">
        <w:rPr>
          <w:rFonts w:ascii="Calibri" w:hAnsi="Calibri" w:cs="Calibri"/>
        </w:rPr>
        <w:t>West</w:t>
      </w:r>
      <w:r w:rsidR="00825C69" w:rsidRPr="008A2DCB">
        <w:rPr>
          <w:rFonts w:ascii="Calibri" w:hAnsi="Calibri" w:cs="Calibri"/>
        </w:rPr>
        <w:t>, J.J.</w:t>
      </w:r>
      <w:r w:rsidR="00632120" w:rsidRPr="008A2DCB">
        <w:rPr>
          <w:rFonts w:ascii="Calibri" w:hAnsi="Calibri" w:cs="Calibri"/>
        </w:rPr>
        <w:t xml:space="preserve"> </w:t>
      </w:r>
      <w:r w:rsidRPr="008A2DCB">
        <w:rPr>
          <w:rFonts w:ascii="Calibri" w:hAnsi="Calibri" w:cs="Calibri"/>
        </w:rPr>
        <w:t xml:space="preserve">The effect of grid resolution on estimates of the burden of ozone and fine particulate matter on premature mortality in the USA. </w:t>
      </w:r>
      <w:r w:rsidRPr="008A2DCB">
        <w:rPr>
          <w:rFonts w:ascii="Calibri" w:hAnsi="Calibri" w:cs="Calibri"/>
          <w:i/>
        </w:rPr>
        <w:t>Air Quality Atmosphere and Health</w:t>
      </w:r>
      <w:r w:rsidRPr="008A2DCB">
        <w:rPr>
          <w:rFonts w:ascii="Calibri" w:hAnsi="Calibri" w:cs="Calibri"/>
        </w:rPr>
        <w:t xml:space="preserve"> </w:t>
      </w:r>
      <w:r w:rsidRPr="008A2DCB">
        <w:rPr>
          <w:rFonts w:ascii="Calibri" w:hAnsi="Calibri" w:cs="Calibri"/>
          <w:b/>
          <w:bCs/>
        </w:rPr>
        <w:t>6</w:t>
      </w:r>
      <w:r w:rsidRPr="008A2DCB">
        <w:rPr>
          <w:rFonts w:ascii="Calibri" w:hAnsi="Calibri" w:cs="Calibri"/>
        </w:rPr>
        <w:t>(3): 563-573</w:t>
      </w:r>
      <w:r w:rsidR="00632120" w:rsidRPr="008A2DCB">
        <w:rPr>
          <w:rFonts w:ascii="Calibri" w:hAnsi="Calibri" w:cs="Calibri"/>
        </w:rPr>
        <w:t xml:space="preserve"> (2013)</w:t>
      </w:r>
      <w:r w:rsidRPr="008A2DCB">
        <w:rPr>
          <w:rFonts w:ascii="Calibri" w:hAnsi="Calibri" w:cs="Calibri"/>
        </w:rPr>
        <w:t>.</w:t>
      </w:r>
    </w:p>
    <w:p w14:paraId="5AB4A516" w14:textId="3E5712F9" w:rsidR="00A05CEF" w:rsidRPr="008A2DCB" w:rsidRDefault="00A05CEF" w:rsidP="005005A8">
      <w:pPr>
        <w:pStyle w:val="ListParagraph"/>
        <w:numPr>
          <w:ilvl w:val="0"/>
          <w:numId w:val="5"/>
        </w:numPr>
        <w:spacing w:line="480" w:lineRule="auto"/>
        <w:rPr>
          <w:rFonts w:ascii="Calibri" w:hAnsi="Calibri" w:cs="Calibri"/>
        </w:rPr>
      </w:pPr>
      <w:r w:rsidRPr="008A2DCB">
        <w:rPr>
          <w:rFonts w:ascii="Calibri" w:hAnsi="Calibri" w:cs="Calibri"/>
          <w:noProof/>
        </w:rPr>
        <w:t>Apte</w:t>
      </w:r>
      <w:r w:rsidR="00825C69" w:rsidRPr="008A2DCB">
        <w:rPr>
          <w:rFonts w:ascii="Calibri" w:hAnsi="Calibri" w:cs="Calibri"/>
          <w:noProof/>
        </w:rPr>
        <w:t>, J.,</w:t>
      </w:r>
      <w:r w:rsidRPr="008A2DCB">
        <w:rPr>
          <w:rFonts w:ascii="Calibri" w:hAnsi="Calibri" w:cs="Calibri"/>
          <w:noProof/>
        </w:rPr>
        <w:t xml:space="preserve"> et al. Addressing global mortality from ambient PM</w:t>
      </w:r>
      <w:r w:rsidRPr="005C42F9">
        <w:rPr>
          <w:rFonts w:ascii="Calibri" w:hAnsi="Calibri" w:cs="Calibri"/>
          <w:noProof/>
          <w:vertAlign w:val="subscript"/>
        </w:rPr>
        <w:t>2.5</w:t>
      </w:r>
      <w:r w:rsidR="00632120" w:rsidRPr="008A2DCB">
        <w:rPr>
          <w:rFonts w:ascii="Calibri" w:hAnsi="Calibri" w:cs="Calibri"/>
          <w:noProof/>
        </w:rPr>
        <w:t>.</w:t>
      </w:r>
      <w:r w:rsidRPr="008A2DCB">
        <w:rPr>
          <w:rFonts w:ascii="Calibri" w:hAnsi="Calibri" w:cs="Calibri"/>
          <w:noProof/>
        </w:rPr>
        <w:t xml:space="preserve"> </w:t>
      </w:r>
      <w:r w:rsidRPr="008A2DCB">
        <w:rPr>
          <w:rFonts w:ascii="Calibri" w:hAnsi="Calibri" w:cs="Calibri"/>
          <w:i/>
          <w:noProof/>
        </w:rPr>
        <w:t>Environmental Science and Technology</w:t>
      </w:r>
      <w:r w:rsidRPr="008A2DCB">
        <w:rPr>
          <w:rFonts w:ascii="Calibri" w:hAnsi="Calibri" w:cs="Calibri"/>
          <w:noProof/>
        </w:rPr>
        <w:t xml:space="preserve"> </w:t>
      </w:r>
      <w:r w:rsidRPr="008A2DCB">
        <w:rPr>
          <w:rFonts w:ascii="Calibri" w:hAnsi="Calibri" w:cs="Calibri"/>
          <w:b/>
          <w:noProof/>
        </w:rPr>
        <w:t>49</w:t>
      </w:r>
      <w:r w:rsidR="00632120" w:rsidRPr="008A2DCB">
        <w:rPr>
          <w:rFonts w:ascii="Calibri" w:hAnsi="Calibri" w:cs="Calibri"/>
          <w:noProof/>
        </w:rPr>
        <w:t>:</w:t>
      </w:r>
      <w:r w:rsidRPr="008A2DCB">
        <w:rPr>
          <w:rFonts w:ascii="Calibri" w:hAnsi="Calibri" w:cs="Calibri"/>
          <w:noProof/>
        </w:rPr>
        <w:t xml:space="preserve"> 8057-8066</w:t>
      </w:r>
      <w:r w:rsidR="00632120" w:rsidRPr="008A2DCB">
        <w:rPr>
          <w:rFonts w:ascii="Calibri" w:hAnsi="Calibri" w:cs="Calibri"/>
          <w:noProof/>
        </w:rPr>
        <w:t xml:space="preserve"> (2015)</w:t>
      </w:r>
      <w:r w:rsidRPr="008A2DCB">
        <w:rPr>
          <w:rFonts w:ascii="Calibri" w:hAnsi="Calibri" w:cs="Calibri"/>
          <w:noProof/>
        </w:rPr>
        <w:t>.</w:t>
      </w:r>
      <w:r w:rsidR="00632120" w:rsidRPr="008A2DCB">
        <w:rPr>
          <w:rFonts w:ascii="Calibri" w:hAnsi="Calibri" w:cs="Calibri"/>
          <w:noProof/>
        </w:rPr>
        <w:t xml:space="preserve"> </w:t>
      </w:r>
    </w:p>
    <w:p w14:paraId="695FC2AD" w14:textId="77777777" w:rsidR="002817B4" w:rsidRPr="008A2DCB" w:rsidRDefault="002817B4" w:rsidP="002817B4">
      <w:pPr>
        <w:pStyle w:val="ListParagraph"/>
        <w:numPr>
          <w:ilvl w:val="0"/>
          <w:numId w:val="5"/>
        </w:numPr>
        <w:spacing w:line="480" w:lineRule="auto"/>
        <w:rPr>
          <w:rFonts w:ascii="Calibri" w:hAnsi="Calibri" w:cs="Calibri"/>
        </w:rPr>
      </w:pPr>
      <w:r w:rsidRPr="008A2DCB">
        <w:rPr>
          <w:rFonts w:ascii="Calibri" w:hAnsi="Calibri" w:cs="Calibri"/>
          <w:noProof/>
        </w:rPr>
        <w:t xml:space="preserve">Burnett, R.T., et al. An integrated risk function for estimating the global burden of disease attributable to ambient fine particulate matter. </w:t>
      </w:r>
      <w:r w:rsidRPr="008A2DCB">
        <w:rPr>
          <w:rFonts w:ascii="Calibri" w:hAnsi="Calibri" w:cs="Calibri"/>
          <w:i/>
          <w:noProof/>
        </w:rPr>
        <w:t>Environmental Health Perspectives</w:t>
      </w:r>
      <w:r w:rsidRPr="008A2DCB">
        <w:rPr>
          <w:rFonts w:ascii="Calibri" w:hAnsi="Calibri" w:cs="Calibri"/>
          <w:noProof/>
        </w:rPr>
        <w:t xml:space="preserve"> </w:t>
      </w:r>
      <w:r w:rsidRPr="008A2DCB">
        <w:rPr>
          <w:rFonts w:ascii="Calibri" w:hAnsi="Calibri" w:cs="Calibri"/>
          <w:b/>
          <w:noProof/>
        </w:rPr>
        <w:t>122</w:t>
      </w:r>
      <w:r w:rsidRPr="008A2DCB">
        <w:rPr>
          <w:rFonts w:ascii="Calibri" w:hAnsi="Calibri" w:cs="Calibri"/>
          <w:noProof/>
        </w:rPr>
        <w:t>: 397-403 (2014).</w:t>
      </w:r>
    </w:p>
    <w:p w14:paraId="06895674" w14:textId="77777777" w:rsidR="00647272" w:rsidRPr="008A2DCB" w:rsidRDefault="00647272" w:rsidP="00647272">
      <w:pPr>
        <w:pStyle w:val="ListParagraph"/>
        <w:numPr>
          <w:ilvl w:val="0"/>
          <w:numId w:val="5"/>
        </w:numPr>
        <w:spacing w:line="480" w:lineRule="auto"/>
        <w:rPr>
          <w:rFonts w:ascii="Calibri" w:hAnsi="Calibri" w:cs="Calibri"/>
          <w:b/>
        </w:rPr>
      </w:pPr>
      <w:r w:rsidRPr="008A2DCB">
        <w:rPr>
          <w:rFonts w:ascii="Calibri" w:hAnsi="Calibri" w:cs="Calibri"/>
          <w:noProof/>
        </w:rPr>
        <w:lastRenderedPageBreak/>
        <w:t xml:space="preserve">Lim, S.S., et al. A comparative risk assessment of burden of disease and injury attributable to 67 risk factors and risk factor clusters in 21 regions, 1990-2010: a systematic analysis for the Global Burden of Disease Study 2010. </w:t>
      </w:r>
      <w:r w:rsidRPr="008A2DCB">
        <w:rPr>
          <w:rFonts w:ascii="Calibri" w:hAnsi="Calibri" w:cs="Calibri"/>
          <w:i/>
          <w:noProof/>
        </w:rPr>
        <w:t>Lancet</w:t>
      </w:r>
      <w:r w:rsidRPr="008A2DCB">
        <w:rPr>
          <w:rFonts w:ascii="Calibri" w:hAnsi="Calibri" w:cs="Calibri"/>
          <w:noProof/>
        </w:rPr>
        <w:t xml:space="preserve"> </w:t>
      </w:r>
      <w:r w:rsidRPr="008A2DCB">
        <w:rPr>
          <w:rFonts w:ascii="Calibri" w:hAnsi="Calibri" w:cs="Calibri"/>
          <w:b/>
          <w:noProof/>
        </w:rPr>
        <w:t>380</w:t>
      </w:r>
      <w:r w:rsidRPr="008A2DCB">
        <w:rPr>
          <w:rFonts w:ascii="Calibri" w:hAnsi="Calibri" w:cs="Calibri"/>
          <w:noProof/>
        </w:rPr>
        <w:t>:2224-2260 (2012).</w:t>
      </w:r>
    </w:p>
    <w:p w14:paraId="5358A347" w14:textId="52BBD292" w:rsidR="002817B4" w:rsidRPr="008A2DCB" w:rsidRDefault="002817B4" w:rsidP="002817B4">
      <w:pPr>
        <w:pStyle w:val="ListParagraph"/>
        <w:numPr>
          <w:ilvl w:val="0"/>
          <w:numId w:val="5"/>
        </w:numPr>
        <w:spacing w:line="480" w:lineRule="auto"/>
        <w:rPr>
          <w:rFonts w:ascii="Calibri" w:hAnsi="Calibri" w:cs="Calibri"/>
        </w:rPr>
      </w:pPr>
      <w:r w:rsidRPr="008A2DCB">
        <w:rPr>
          <w:rFonts w:ascii="Calibri" w:hAnsi="Calibri" w:cs="Calibri"/>
          <w:noProof/>
        </w:rPr>
        <w:t>Jerrett, M., et al. Long-te</w:t>
      </w:r>
      <w:r w:rsidR="005C42F9">
        <w:rPr>
          <w:rFonts w:ascii="Calibri" w:hAnsi="Calibri" w:cs="Calibri"/>
          <w:noProof/>
        </w:rPr>
        <w:t>rm ozone exposure and mortality.</w:t>
      </w:r>
      <w:r w:rsidRPr="008A2DCB">
        <w:rPr>
          <w:rFonts w:ascii="Calibri" w:hAnsi="Calibri" w:cs="Calibri"/>
          <w:noProof/>
        </w:rPr>
        <w:t xml:space="preserve"> </w:t>
      </w:r>
      <w:r w:rsidRPr="008A2DCB">
        <w:rPr>
          <w:rFonts w:ascii="Calibri" w:hAnsi="Calibri" w:cs="Calibri"/>
          <w:i/>
          <w:noProof/>
        </w:rPr>
        <w:t>The New England Journal of Medicine</w:t>
      </w:r>
      <w:r w:rsidRPr="008A2DCB">
        <w:rPr>
          <w:rFonts w:ascii="Calibri" w:hAnsi="Calibri" w:cs="Calibri"/>
          <w:noProof/>
        </w:rPr>
        <w:t xml:space="preserve"> </w:t>
      </w:r>
      <w:r w:rsidRPr="008A2DCB">
        <w:rPr>
          <w:rFonts w:ascii="Calibri" w:hAnsi="Calibri" w:cs="Calibri"/>
          <w:b/>
          <w:noProof/>
        </w:rPr>
        <w:t>360</w:t>
      </w:r>
      <w:r w:rsidRPr="008A2DCB">
        <w:rPr>
          <w:rFonts w:ascii="Calibri" w:hAnsi="Calibri" w:cs="Calibri"/>
          <w:noProof/>
        </w:rPr>
        <w:t>:1085-1095 (2009).</w:t>
      </w:r>
    </w:p>
    <w:p w14:paraId="3A4CFB31" w14:textId="0EC5F014" w:rsidR="00A05CEF" w:rsidRDefault="00A05CEF" w:rsidP="005005A8">
      <w:pPr>
        <w:pStyle w:val="ListParagraph"/>
        <w:numPr>
          <w:ilvl w:val="0"/>
          <w:numId w:val="5"/>
        </w:numPr>
        <w:spacing w:line="480" w:lineRule="auto"/>
        <w:rPr>
          <w:rFonts w:ascii="Calibri" w:hAnsi="Calibri"/>
        </w:rPr>
      </w:pPr>
      <w:r w:rsidRPr="006B6D2F">
        <w:rPr>
          <w:rFonts w:ascii="Calibri" w:hAnsi="Calibri"/>
          <w:lang w:val="de-DE"/>
        </w:rPr>
        <w:t>Anenberg</w:t>
      </w:r>
      <w:r w:rsidR="00825C69" w:rsidRPr="006B6D2F">
        <w:rPr>
          <w:rFonts w:ascii="Calibri" w:hAnsi="Calibri"/>
          <w:lang w:val="de-DE"/>
        </w:rPr>
        <w:t>, S.C.,</w:t>
      </w:r>
      <w:r w:rsidRPr="006B6D2F">
        <w:rPr>
          <w:rFonts w:ascii="Calibri" w:hAnsi="Calibri"/>
          <w:lang w:val="de-DE"/>
        </w:rPr>
        <w:t xml:space="preserve"> et al. </w:t>
      </w:r>
      <w:r w:rsidR="00C86E5C" w:rsidRPr="008A2DCB">
        <w:rPr>
          <w:rFonts w:ascii="Calibri" w:hAnsi="Calibri" w:cs="Calibri"/>
        </w:rPr>
        <w:t>An estimate of the global burden</w:t>
      </w:r>
      <w:r w:rsidR="00C86E5C">
        <w:rPr>
          <w:rFonts w:ascii="Calibri" w:hAnsi="Calibri"/>
        </w:rPr>
        <w:t xml:space="preserve"> of disease due to anthropogenic ozone and fine particulate matter using atmospheric modeling. </w:t>
      </w:r>
      <w:r w:rsidR="00C86E5C" w:rsidRPr="00583ECD">
        <w:rPr>
          <w:rFonts w:ascii="Calibri" w:hAnsi="Calibri"/>
          <w:i/>
        </w:rPr>
        <w:t>Environmental Health Perspectives</w:t>
      </w:r>
      <w:r w:rsidR="00C86E5C">
        <w:rPr>
          <w:rFonts w:ascii="Calibri" w:hAnsi="Calibri"/>
        </w:rPr>
        <w:t xml:space="preserve"> </w:t>
      </w:r>
      <w:r w:rsidR="00C86E5C" w:rsidRPr="00583ECD">
        <w:rPr>
          <w:rFonts w:ascii="Calibri" w:hAnsi="Calibri"/>
          <w:b/>
        </w:rPr>
        <w:t>118</w:t>
      </w:r>
      <w:r w:rsidR="00C86E5C">
        <w:rPr>
          <w:rFonts w:ascii="Calibri" w:hAnsi="Calibri"/>
        </w:rPr>
        <w:t>: 1189-1195</w:t>
      </w:r>
      <w:r w:rsidR="00632120">
        <w:rPr>
          <w:rFonts w:ascii="Calibri" w:hAnsi="Calibri"/>
        </w:rPr>
        <w:t xml:space="preserve"> (2010)</w:t>
      </w:r>
      <w:r w:rsidR="00C86E5C">
        <w:rPr>
          <w:rFonts w:ascii="Calibri" w:hAnsi="Calibri"/>
        </w:rPr>
        <w:t>.</w:t>
      </w:r>
    </w:p>
    <w:p w14:paraId="6B132D54" w14:textId="22B92A8A" w:rsidR="005D080A" w:rsidRPr="00BE29A2" w:rsidRDefault="005D080A" w:rsidP="005005A8">
      <w:pPr>
        <w:pStyle w:val="ListParagraph"/>
        <w:numPr>
          <w:ilvl w:val="0"/>
          <w:numId w:val="5"/>
        </w:numPr>
        <w:spacing w:line="480" w:lineRule="auto"/>
        <w:rPr>
          <w:rFonts w:ascii="Calibri" w:hAnsi="Calibri"/>
        </w:rPr>
      </w:pPr>
      <w:r w:rsidRPr="006B6D2F">
        <w:rPr>
          <w:rFonts w:ascii="Calibri" w:hAnsi="Calibri"/>
          <w:lang w:val="de-DE"/>
        </w:rPr>
        <w:t xml:space="preserve">Anenberg, S.C., et al. </w:t>
      </w:r>
      <w:r>
        <w:rPr>
          <w:rFonts w:ascii="Calibri" w:hAnsi="Calibri"/>
        </w:rPr>
        <w:t xml:space="preserve">Global air quality and health co-benefits of mitigating near-term climate change through methane and black carbon emission controls. </w:t>
      </w:r>
      <w:r>
        <w:rPr>
          <w:rFonts w:ascii="Calibri" w:hAnsi="Calibri"/>
          <w:i/>
        </w:rPr>
        <w:t>Environmental Health Perspectives</w:t>
      </w:r>
      <w:r>
        <w:rPr>
          <w:rFonts w:ascii="Calibri" w:hAnsi="Calibri"/>
        </w:rPr>
        <w:t xml:space="preserve"> </w:t>
      </w:r>
      <w:r>
        <w:rPr>
          <w:rFonts w:ascii="Calibri" w:hAnsi="Calibri"/>
          <w:b/>
        </w:rPr>
        <w:t>120</w:t>
      </w:r>
      <w:r>
        <w:rPr>
          <w:rFonts w:ascii="Calibri" w:hAnsi="Calibri"/>
        </w:rPr>
        <w:t>:831-839</w:t>
      </w:r>
      <w:r w:rsidR="00F369BF">
        <w:rPr>
          <w:rFonts w:ascii="Calibri" w:hAnsi="Calibri"/>
        </w:rPr>
        <w:t xml:space="preserve"> (2012)</w:t>
      </w:r>
      <w:r>
        <w:rPr>
          <w:rFonts w:ascii="Calibri" w:hAnsi="Calibri"/>
        </w:rPr>
        <w:t>.</w:t>
      </w:r>
    </w:p>
    <w:p w14:paraId="611A9068" w14:textId="50B7B359" w:rsidR="00A05CEF" w:rsidRPr="007742CB" w:rsidRDefault="00C86E5C" w:rsidP="005005A8">
      <w:pPr>
        <w:pStyle w:val="ListParagraph"/>
        <w:numPr>
          <w:ilvl w:val="0"/>
          <w:numId w:val="5"/>
        </w:numPr>
        <w:spacing w:line="480" w:lineRule="auto"/>
        <w:rPr>
          <w:rFonts w:ascii="Calibri" w:eastAsia="Times New Roman" w:hAnsi="Calibri" w:cs="Times New Roman"/>
        </w:rPr>
      </w:pPr>
      <w:r w:rsidRPr="00C86E5C">
        <w:rPr>
          <w:rFonts w:ascii="Calibri" w:hAnsi="Calibri"/>
          <w:noProof/>
        </w:rPr>
        <w:t xml:space="preserve">Sarofim, M., Waldhoff, </w:t>
      </w:r>
      <w:r w:rsidR="00825C69">
        <w:rPr>
          <w:rFonts w:ascii="Calibri" w:hAnsi="Calibri"/>
          <w:noProof/>
        </w:rPr>
        <w:t xml:space="preserve">S., </w:t>
      </w:r>
      <w:r w:rsidRPr="00C86E5C">
        <w:rPr>
          <w:rFonts w:ascii="Calibri" w:hAnsi="Calibri"/>
          <w:noProof/>
        </w:rPr>
        <w:t>Anenberg</w:t>
      </w:r>
      <w:r w:rsidR="00825C69">
        <w:rPr>
          <w:rFonts w:ascii="Calibri" w:hAnsi="Calibri"/>
          <w:noProof/>
        </w:rPr>
        <w:t>, S.</w:t>
      </w:r>
      <w:r w:rsidR="00632120">
        <w:rPr>
          <w:rFonts w:ascii="Calibri" w:hAnsi="Calibri"/>
          <w:noProof/>
        </w:rPr>
        <w:t xml:space="preserve"> </w:t>
      </w:r>
      <w:r w:rsidRPr="00C86E5C">
        <w:rPr>
          <w:rFonts w:ascii="Calibri" w:hAnsi="Calibri"/>
          <w:noProof/>
        </w:rPr>
        <w:t xml:space="preserve">Valuing the ozone-related health benefits of methane emission controls. </w:t>
      </w:r>
      <w:r w:rsidRPr="00583ECD">
        <w:rPr>
          <w:rFonts w:ascii="Calibri" w:hAnsi="Calibri"/>
          <w:i/>
          <w:noProof/>
        </w:rPr>
        <w:t>Environmental and Resource Economics</w:t>
      </w:r>
      <w:r w:rsidRPr="00C86E5C">
        <w:rPr>
          <w:rFonts w:ascii="Calibri" w:hAnsi="Calibri"/>
          <w:noProof/>
        </w:rPr>
        <w:t xml:space="preserve"> </w:t>
      </w:r>
      <w:r w:rsidR="005C42F9">
        <w:rPr>
          <w:rFonts w:ascii="Calibri" w:hAnsi="Calibri"/>
          <w:b/>
          <w:noProof/>
        </w:rPr>
        <w:t>66</w:t>
      </w:r>
      <w:r w:rsidR="005C42F9">
        <w:rPr>
          <w:rFonts w:ascii="Calibri" w:hAnsi="Calibri"/>
          <w:noProof/>
        </w:rPr>
        <w:t>: 45-63</w:t>
      </w:r>
      <w:r w:rsidR="00632120">
        <w:rPr>
          <w:rFonts w:ascii="Calibri" w:hAnsi="Calibri"/>
          <w:noProof/>
        </w:rPr>
        <w:t xml:space="preserve"> (2015)</w:t>
      </w:r>
      <w:r w:rsidRPr="00C86E5C">
        <w:rPr>
          <w:rFonts w:ascii="Calibri" w:hAnsi="Calibri"/>
          <w:noProof/>
        </w:rPr>
        <w:t>.</w:t>
      </w:r>
    </w:p>
    <w:p w14:paraId="3CE5E6E4" w14:textId="01DB856C" w:rsidR="007742CB" w:rsidRPr="00C86E5C" w:rsidRDefault="007742CB" w:rsidP="005005A8">
      <w:pPr>
        <w:pStyle w:val="ListParagraph"/>
        <w:numPr>
          <w:ilvl w:val="0"/>
          <w:numId w:val="5"/>
        </w:numPr>
        <w:spacing w:line="480" w:lineRule="auto"/>
        <w:rPr>
          <w:rFonts w:ascii="Calibri" w:eastAsia="Times New Roman" w:hAnsi="Calibri" w:cs="Times New Roman"/>
        </w:rPr>
      </w:pPr>
      <w:r>
        <w:rPr>
          <w:rFonts w:ascii="Calibri" w:hAnsi="Calibri"/>
          <w:noProof/>
        </w:rPr>
        <w:t xml:space="preserve">West, J.J., et al. Co-benefits of mitigating global greenhouse gas emissions for future air quality and human health. </w:t>
      </w:r>
      <w:r>
        <w:rPr>
          <w:rFonts w:ascii="Calibri" w:hAnsi="Calibri"/>
          <w:i/>
          <w:noProof/>
        </w:rPr>
        <w:t>Nature Climate Change</w:t>
      </w:r>
      <w:r w:rsidR="006067F0">
        <w:rPr>
          <w:rFonts w:ascii="Calibri" w:hAnsi="Calibri"/>
          <w:noProof/>
        </w:rPr>
        <w:t xml:space="preserve"> </w:t>
      </w:r>
      <w:r w:rsidR="006067F0">
        <w:rPr>
          <w:rFonts w:ascii="Calibri" w:hAnsi="Calibri"/>
          <w:b/>
          <w:noProof/>
        </w:rPr>
        <w:t>3</w:t>
      </w:r>
      <w:r w:rsidR="006067F0">
        <w:rPr>
          <w:rFonts w:ascii="Calibri" w:hAnsi="Calibri"/>
          <w:noProof/>
        </w:rPr>
        <w:t>: 885-889</w:t>
      </w:r>
      <w:r w:rsidR="005C42F9">
        <w:rPr>
          <w:rFonts w:ascii="Calibri" w:hAnsi="Calibri"/>
          <w:noProof/>
        </w:rPr>
        <w:t xml:space="preserve"> (2013)</w:t>
      </w:r>
      <w:r w:rsidR="006067F0">
        <w:rPr>
          <w:rFonts w:ascii="Calibri" w:hAnsi="Calibri"/>
          <w:noProof/>
        </w:rPr>
        <w:t>.</w:t>
      </w:r>
    </w:p>
    <w:p w14:paraId="329DD2D6" w14:textId="37E3E257" w:rsidR="00A05CEF" w:rsidRPr="00C86E5C" w:rsidRDefault="00C86E5C" w:rsidP="005005A8">
      <w:pPr>
        <w:pStyle w:val="ListParagraph"/>
        <w:numPr>
          <w:ilvl w:val="0"/>
          <w:numId w:val="5"/>
        </w:numPr>
        <w:spacing w:line="480" w:lineRule="auto"/>
        <w:rPr>
          <w:rFonts w:ascii="Calibri" w:eastAsia="Times New Roman" w:hAnsi="Calibri" w:cs="Times New Roman"/>
        </w:rPr>
      </w:pPr>
      <w:r w:rsidRPr="006B6D2F">
        <w:rPr>
          <w:rFonts w:ascii="Calibri" w:hAnsi="Calibri"/>
          <w:lang w:val="de-DE"/>
        </w:rPr>
        <w:t>Van Dingenen R</w:t>
      </w:r>
      <w:r w:rsidR="00825C69" w:rsidRPr="006B6D2F">
        <w:rPr>
          <w:rFonts w:ascii="Calibri" w:hAnsi="Calibri"/>
          <w:lang w:val="de-DE"/>
        </w:rPr>
        <w:t>.</w:t>
      </w:r>
      <w:r w:rsidRPr="006B6D2F">
        <w:rPr>
          <w:rFonts w:ascii="Calibri" w:hAnsi="Calibri"/>
          <w:lang w:val="de-DE"/>
        </w:rPr>
        <w:t xml:space="preserve">, </w:t>
      </w:r>
      <w:r w:rsidR="00825C69" w:rsidRPr="006B6D2F">
        <w:rPr>
          <w:rFonts w:ascii="Calibri" w:hAnsi="Calibri"/>
          <w:lang w:val="de-DE"/>
        </w:rPr>
        <w:t>et al</w:t>
      </w:r>
      <w:r w:rsidRPr="006B6D2F">
        <w:rPr>
          <w:rFonts w:ascii="Calibri" w:hAnsi="Calibri"/>
          <w:lang w:val="de-DE"/>
        </w:rPr>
        <w:t xml:space="preserve">. </w:t>
      </w:r>
      <w:r w:rsidRPr="00C86E5C">
        <w:rPr>
          <w:rFonts w:ascii="Calibri" w:hAnsi="Calibri"/>
          <w:noProof/>
        </w:rPr>
        <w:t xml:space="preserve">The global impact of ozone on agricultural crop yields under current and future air quality legislation. </w:t>
      </w:r>
      <w:r w:rsidRPr="00583ECD">
        <w:rPr>
          <w:rFonts w:ascii="Calibri" w:hAnsi="Calibri"/>
          <w:i/>
          <w:noProof/>
        </w:rPr>
        <w:t>Atmos Environ</w:t>
      </w:r>
      <w:r w:rsidRPr="00C86E5C">
        <w:rPr>
          <w:rFonts w:ascii="Calibri" w:hAnsi="Calibri"/>
          <w:noProof/>
        </w:rPr>
        <w:t xml:space="preserve"> </w:t>
      </w:r>
      <w:r w:rsidRPr="00583ECD">
        <w:rPr>
          <w:rFonts w:ascii="Calibri" w:hAnsi="Calibri"/>
          <w:b/>
          <w:noProof/>
        </w:rPr>
        <w:t>43</w:t>
      </w:r>
      <w:r w:rsidRPr="00C86E5C">
        <w:rPr>
          <w:rFonts w:ascii="Calibri" w:hAnsi="Calibri"/>
          <w:noProof/>
        </w:rPr>
        <w:t>:604-618</w:t>
      </w:r>
      <w:r w:rsidR="000F60FB">
        <w:rPr>
          <w:rFonts w:ascii="Calibri" w:hAnsi="Calibri"/>
          <w:noProof/>
        </w:rPr>
        <w:t xml:space="preserve"> (2009)</w:t>
      </w:r>
      <w:r w:rsidRPr="00C86E5C">
        <w:rPr>
          <w:rFonts w:ascii="Calibri" w:hAnsi="Calibri"/>
          <w:noProof/>
        </w:rPr>
        <w:t>.</w:t>
      </w:r>
    </w:p>
    <w:p w14:paraId="26D84F2D" w14:textId="5CC7764B" w:rsidR="00A05CEF" w:rsidRPr="00583ECD" w:rsidRDefault="00825C69" w:rsidP="005005A8">
      <w:pPr>
        <w:pStyle w:val="ListParagraph"/>
        <w:numPr>
          <w:ilvl w:val="0"/>
          <w:numId w:val="5"/>
        </w:numPr>
        <w:spacing w:line="480" w:lineRule="auto"/>
        <w:rPr>
          <w:rFonts w:ascii="Calibri" w:eastAsia="Times New Roman" w:hAnsi="Calibri" w:cs="Times New Roman"/>
        </w:rPr>
      </w:pPr>
      <w:r w:rsidRPr="00825C69">
        <w:rPr>
          <w:rFonts w:ascii="Calibri" w:hAnsi="Calibri" w:cs="Helvetica"/>
        </w:rPr>
        <w:t>Fry, M.</w:t>
      </w:r>
      <w:r w:rsidR="00D06C98" w:rsidRPr="00583ECD">
        <w:rPr>
          <w:rFonts w:ascii="Calibri" w:hAnsi="Calibri" w:cs="Helvetica"/>
        </w:rPr>
        <w:t xml:space="preserve">M., </w:t>
      </w:r>
      <w:r w:rsidR="000F60FB">
        <w:rPr>
          <w:rFonts w:ascii="Calibri" w:hAnsi="Calibri" w:cs="Helvetica"/>
        </w:rPr>
        <w:t>et al</w:t>
      </w:r>
      <w:r w:rsidR="000F60FB" w:rsidRPr="000F60FB">
        <w:rPr>
          <w:rFonts w:ascii="Calibri" w:hAnsi="Calibri" w:cs="Helvetica"/>
        </w:rPr>
        <w:t xml:space="preserve">. </w:t>
      </w:r>
      <w:r w:rsidR="00D06C98" w:rsidRPr="00583ECD">
        <w:rPr>
          <w:rFonts w:ascii="Calibri" w:hAnsi="Calibri" w:cs="Helvetica"/>
        </w:rPr>
        <w:t>The influence of ozone precursor emissions from four world regions on tropospheric composition</w:t>
      </w:r>
      <w:r w:rsidR="000F60FB" w:rsidRPr="000F60FB">
        <w:rPr>
          <w:rFonts w:ascii="Calibri" w:hAnsi="Calibri" w:cs="Helvetica"/>
        </w:rPr>
        <w:t xml:space="preserve"> and radiative climate forcing.</w:t>
      </w:r>
      <w:r w:rsidR="00D06C98" w:rsidRPr="00583ECD">
        <w:rPr>
          <w:rFonts w:ascii="Calibri" w:hAnsi="Calibri" w:cs="Helvetica"/>
        </w:rPr>
        <w:t xml:space="preserve"> </w:t>
      </w:r>
      <w:r w:rsidR="00D06C98" w:rsidRPr="00CC26D0">
        <w:rPr>
          <w:rFonts w:ascii="Calibri" w:hAnsi="Calibri" w:cs="Helvetica"/>
          <w:i/>
        </w:rPr>
        <w:t>Journal of Geophysical Research-Atmospheres</w:t>
      </w:r>
      <w:r w:rsidR="00D06C98" w:rsidRPr="00583ECD">
        <w:rPr>
          <w:rFonts w:ascii="Calibri" w:hAnsi="Calibri" w:cs="Helvetica"/>
        </w:rPr>
        <w:t xml:space="preserve"> </w:t>
      </w:r>
      <w:r w:rsidR="00D06C98" w:rsidRPr="00583ECD">
        <w:rPr>
          <w:rFonts w:ascii="Calibri" w:hAnsi="Calibri" w:cs="Helvetica"/>
          <w:b/>
          <w:bCs/>
        </w:rPr>
        <w:t>117</w:t>
      </w:r>
      <w:r w:rsidR="00A71F1F">
        <w:rPr>
          <w:rFonts w:ascii="Calibri" w:hAnsi="Calibri" w:cs="Helvetica"/>
          <w:b/>
          <w:bCs/>
        </w:rPr>
        <w:t xml:space="preserve"> </w:t>
      </w:r>
      <w:r w:rsidR="00A71F1F" w:rsidRPr="00A71F1F">
        <w:rPr>
          <w:rFonts w:ascii="Calibri" w:hAnsi="Calibri" w:cs="Helvetica"/>
          <w:bCs/>
        </w:rPr>
        <w:t>doi:1029/2011JD017134</w:t>
      </w:r>
      <w:r w:rsidR="000F60FB">
        <w:rPr>
          <w:rFonts w:ascii="Calibri" w:hAnsi="Calibri" w:cs="Helvetica"/>
          <w:b/>
          <w:bCs/>
        </w:rPr>
        <w:t xml:space="preserve"> </w:t>
      </w:r>
      <w:r w:rsidR="000F60FB" w:rsidRPr="00583ECD">
        <w:rPr>
          <w:rFonts w:ascii="Calibri" w:hAnsi="Calibri" w:cs="Helvetica"/>
          <w:bCs/>
        </w:rPr>
        <w:t>(2012).</w:t>
      </w:r>
    </w:p>
    <w:p w14:paraId="23F11750" w14:textId="121EB1B4" w:rsidR="00A05CEF" w:rsidRPr="00583ECD" w:rsidRDefault="00825C69" w:rsidP="005005A8">
      <w:pPr>
        <w:pStyle w:val="ListParagraph"/>
        <w:numPr>
          <w:ilvl w:val="0"/>
          <w:numId w:val="5"/>
        </w:numPr>
        <w:spacing w:line="480" w:lineRule="auto"/>
        <w:rPr>
          <w:rFonts w:ascii="Calibri" w:eastAsia="Times New Roman" w:hAnsi="Calibri" w:cs="Times New Roman"/>
        </w:rPr>
      </w:pPr>
      <w:r w:rsidRPr="00825C69">
        <w:rPr>
          <w:rFonts w:ascii="Calibri" w:eastAsia="Times New Roman" w:hAnsi="Calibri" w:cs="Times New Roman"/>
        </w:rPr>
        <w:t>Spurr, R.J.</w:t>
      </w:r>
      <w:r w:rsidR="005147C0" w:rsidRPr="00583ECD">
        <w:rPr>
          <w:rFonts w:ascii="Calibri" w:eastAsia="Times New Roman" w:hAnsi="Calibri" w:cs="Times New Roman"/>
        </w:rPr>
        <w:t>D., Kurosu</w:t>
      </w:r>
      <w:r>
        <w:rPr>
          <w:rFonts w:ascii="Calibri" w:eastAsia="Times New Roman" w:hAnsi="Calibri" w:cs="Times New Roman"/>
        </w:rPr>
        <w:t>, T.P.</w:t>
      </w:r>
      <w:r w:rsidR="005147C0" w:rsidRPr="00583ECD">
        <w:rPr>
          <w:rFonts w:ascii="Calibri" w:eastAsia="Times New Roman" w:hAnsi="Calibri" w:cs="Times New Roman"/>
        </w:rPr>
        <w:t>, Chance</w:t>
      </w:r>
      <w:r>
        <w:rPr>
          <w:rFonts w:ascii="Calibri" w:eastAsia="Times New Roman" w:hAnsi="Calibri" w:cs="Times New Roman"/>
        </w:rPr>
        <w:t>, K.V</w:t>
      </w:r>
      <w:r w:rsidR="005147C0" w:rsidRPr="00583ECD">
        <w:rPr>
          <w:rFonts w:ascii="Calibri" w:eastAsia="Times New Roman" w:hAnsi="Calibri" w:cs="Times New Roman"/>
        </w:rPr>
        <w:t xml:space="preserve">. </w:t>
      </w:r>
      <w:r w:rsidR="000F60FB" w:rsidRPr="000F60FB">
        <w:rPr>
          <w:rFonts w:ascii="Calibri" w:eastAsia="Times New Roman" w:hAnsi="Calibri" w:cs="Times New Roman"/>
        </w:rPr>
        <w:t>A linearized discrete ordinate r</w:t>
      </w:r>
      <w:r w:rsidR="005147C0" w:rsidRPr="00583ECD">
        <w:rPr>
          <w:rFonts w:ascii="Calibri" w:eastAsia="Times New Roman" w:hAnsi="Calibri" w:cs="Times New Roman"/>
        </w:rPr>
        <w:t xml:space="preserve">adiative </w:t>
      </w:r>
      <w:r w:rsidR="000F60FB">
        <w:rPr>
          <w:rFonts w:ascii="Calibri" w:eastAsia="Times New Roman" w:hAnsi="Calibri" w:cs="Times New Roman"/>
        </w:rPr>
        <w:t>t</w:t>
      </w:r>
      <w:r w:rsidR="000F60FB" w:rsidRPr="000F60FB">
        <w:rPr>
          <w:rFonts w:ascii="Calibri" w:eastAsia="Times New Roman" w:hAnsi="Calibri" w:cs="Times New Roman"/>
        </w:rPr>
        <w:t>ransfer model for atmospheric remote-sensing r</w:t>
      </w:r>
      <w:r w:rsidR="005147C0" w:rsidRPr="00583ECD">
        <w:rPr>
          <w:rFonts w:ascii="Calibri" w:eastAsia="Times New Roman" w:hAnsi="Calibri" w:cs="Times New Roman"/>
        </w:rPr>
        <w:t xml:space="preserve">etrieval. </w:t>
      </w:r>
      <w:r w:rsidR="005147C0" w:rsidRPr="00583ECD">
        <w:rPr>
          <w:rFonts w:ascii="Calibri" w:eastAsia="Times New Roman" w:hAnsi="Calibri" w:cs="Times New Roman"/>
          <w:i/>
          <w:iCs/>
        </w:rPr>
        <w:t>Journal of Quantitative Spectroscopy and Radiative Transfer</w:t>
      </w:r>
      <w:r w:rsidR="005147C0" w:rsidRPr="00583ECD">
        <w:rPr>
          <w:rFonts w:ascii="Calibri" w:eastAsia="Times New Roman" w:hAnsi="Calibri" w:cs="Times New Roman"/>
        </w:rPr>
        <w:t xml:space="preserve"> </w:t>
      </w:r>
      <w:r w:rsidR="005147C0" w:rsidRPr="00583ECD">
        <w:rPr>
          <w:rFonts w:ascii="Calibri" w:eastAsia="Times New Roman" w:hAnsi="Calibri" w:cs="Times New Roman"/>
          <w:b/>
        </w:rPr>
        <w:t>68</w:t>
      </w:r>
      <w:r w:rsidR="005147C0" w:rsidRPr="00583ECD">
        <w:rPr>
          <w:rFonts w:ascii="Calibri" w:eastAsia="Times New Roman" w:hAnsi="Calibri" w:cs="Times New Roman"/>
        </w:rPr>
        <w:t xml:space="preserve"> (6): 689–735</w:t>
      </w:r>
      <w:r w:rsidR="000F60FB">
        <w:rPr>
          <w:rFonts w:ascii="Calibri" w:eastAsia="Times New Roman" w:hAnsi="Calibri" w:cs="Times New Roman"/>
        </w:rPr>
        <w:t xml:space="preserve"> (2001)</w:t>
      </w:r>
      <w:r w:rsidR="005147C0" w:rsidRPr="00583ECD">
        <w:rPr>
          <w:rFonts w:ascii="Calibri" w:eastAsia="Times New Roman" w:hAnsi="Calibri" w:cs="Times New Roman"/>
        </w:rPr>
        <w:t>.</w:t>
      </w:r>
    </w:p>
    <w:p w14:paraId="008FDB64" w14:textId="78322E6E" w:rsidR="005147C0" w:rsidRPr="00583ECD" w:rsidRDefault="00825C69" w:rsidP="005005A8">
      <w:pPr>
        <w:pStyle w:val="ListParagraph"/>
        <w:numPr>
          <w:ilvl w:val="0"/>
          <w:numId w:val="5"/>
        </w:numPr>
        <w:spacing w:line="480" w:lineRule="auto"/>
        <w:rPr>
          <w:rFonts w:ascii="Calibri" w:eastAsia="Times New Roman" w:hAnsi="Calibri" w:cs="Times New Roman"/>
        </w:rPr>
      </w:pPr>
      <w:r w:rsidRPr="00825C69">
        <w:rPr>
          <w:rFonts w:ascii="Calibri" w:eastAsia="Times New Roman" w:hAnsi="Calibri" w:cs="Times New Roman"/>
        </w:rPr>
        <w:lastRenderedPageBreak/>
        <w:t>Lamarque, J.-F.</w:t>
      </w:r>
      <w:r w:rsidR="005147C0" w:rsidRPr="00583ECD">
        <w:rPr>
          <w:rFonts w:ascii="Calibri" w:eastAsia="Times New Roman" w:hAnsi="Calibri" w:cs="Times New Roman"/>
        </w:rPr>
        <w:t xml:space="preserve">, et al. </w:t>
      </w:r>
      <w:r w:rsidR="000F60FB" w:rsidRPr="000F60FB">
        <w:rPr>
          <w:rFonts w:ascii="Calibri" w:eastAsia="Times New Roman" w:hAnsi="Calibri" w:cs="Times New Roman"/>
        </w:rPr>
        <w:t>Historical (1850–2000) gridded anthropogenic and biomass burning emissions of reactive gases and aerosols: Methodology and a</w:t>
      </w:r>
      <w:r w:rsidR="005147C0" w:rsidRPr="00583ECD">
        <w:rPr>
          <w:rFonts w:ascii="Calibri" w:eastAsia="Times New Roman" w:hAnsi="Calibri" w:cs="Times New Roman"/>
        </w:rPr>
        <w:t xml:space="preserve">pplication. </w:t>
      </w:r>
      <w:r w:rsidR="005147C0" w:rsidRPr="00583ECD">
        <w:rPr>
          <w:rFonts w:ascii="Calibri" w:eastAsia="Times New Roman" w:hAnsi="Calibri" w:cs="Times New Roman"/>
          <w:i/>
          <w:iCs/>
        </w:rPr>
        <w:t>Atmospheric Chemistry and Physics</w:t>
      </w:r>
      <w:r w:rsidR="005147C0" w:rsidRPr="00583ECD">
        <w:rPr>
          <w:rFonts w:ascii="Calibri" w:eastAsia="Times New Roman" w:hAnsi="Calibri" w:cs="Times New Roman"/>
        </w:rPr>
        <w:t xml:space="preserve"> </w:t>
      </w:r>
      <w:r w:rsidR="005147C0" w:rsidRPr="00583ECD">
        <w:rPr>
          <w:rFonts w:ascii="Calibri" w:eastAsia="Times New Roman" w:hAnsi="Calibri" w:cs="Times New Roman"/>
          <w:b/>
        </w:rPr>
        <w:t>10</w:t>
      </w:r>
      <w:r w:rsidR="005147C0" w:rsidRPr="00583ECD">
        <w:rPr>
          <w:rFonts w:ascii="Calibri" w:eastAsia="Times New Roman" w:hAnsi="Calibri" w:cs="Times New Roman"/>
        </w:rPr>
        <w:t xml:space="preserve"> (15): 7017–39</w:t>
      </w:r>
      <w:r w:rsidR="005C42F9">
        <w:rPr>
          <w:rFonts w:ascii="Calibri" w:eastAsia="Times New Roman" w:hAnsi="Calibri" w:cs="Times New Roman"/>
        </w:rPr>
        <w:t xml:space="preserve"> (2010).</w:t>
      </w:r>
    </w:p>
    <w:p w14:paraId="4C4739CE" w14:textId="51EA376E" w:rsidR="00A05CEF" w:rsidRPr="00B14263" w:rsidRDefault="00825C69" w:rsidP="005005A8">
      <w:pPr>
        <w:pStyle w:val="ListParagraph"/>
        <w:numPr>
          <w:ilvl w:val="0"/>
          <w:numId w:val="5"/>
        </w:numPr>
        <w:spacing w:line="480" w:lineRule="auto"/>
        <w:rPr>
          <w:rFonts w:ascii="Calibri" w:eastAsia="Times New Roman" w:hAnsi="Calibri" w:cs="Times New Roman"/>
        </w:rPr>
      </w:pPr>
      <w:r w:rsidRPr="006B6D2F">
        <w:rPr>
          <w:rFonts w:ascii="Calibri" w:hAnsi="Calibri"/>
          <w:lang w:val="de-DE"/>
        </w:rPr>
        <w:t>Henze, D.</w:t>
      </w:r>
      <w:r w:rsidR="005147C0" w:rsidRPr="006B6D2F">
        <w:rPr>
          <w:rFonts w:ascii="Calibri" w:hAnsi="Calibri"/>
          <w:lang w:val="de-DE"/>
        </w:rPr>
        <w:t xml:space="preserve">K., </w:t>
      </w:r>
      <w:r w:rsidRPr="006B6D2F">
        <w:rPr>
          <w:rFonts w:ascii="Calibri" w:hAnsi="Calibri"/>
          <w:lang w:val="de-DE"/>
        </w:rPr>
        <w:t>et al</w:t>
      </w:r>
      <w:r w:rsidR="000F60FB" w:rsidRPr="006B6D2F">
        <w:rPr>
          <w:rFonts w:ascii="Calibri" w:hAnsi="Calibri"/>
          <w:lang w:val="de-DE"/>
        </w:rPr>
        <w:t xml:space="preserve">. </w:t>
      </w:r>
      <w:r w:rsidR="000F60FB" w:rsidRPr="000F60FB">
        <w:rPr>
          <w:rFonts w:ascii="Calibri" w:eastAsia="Times New Roman" w:hAnsi="Calibri" w:cs="Times New Roman"/>
        </w:rPr>
        <w:t>Spatially refined aerosol d</w:t>
      </w:r>
      <w:r w:rsidR="005147C0" w:rsidRPr="00583ECD">
        <w:rPr>
          <w:rFonts w:ascii="Calibri" w:eastAsia="Times New Roman" w:hAnsi="Calibri" w:cs="Times New Roman"/>
        </w:rPr>
        <w:t xml:space="preserve">irect </w:t>
      </w:r>
      <w:r w:rsidR="000F60FB" w:rsidRPr="000F60FB">
        <w:rPr>
          <w:rFonts w:ascii="Calibri" w:eastAsia="Times New Roman" w:hAnsi="Calibri" w:cs="Times New Roman"/>
        </w:rPr>
        <w:t>r</w:t>
      </w:r>
      <w:r w:rsidR="000F60FB">
        <w:rPr>
          <w:rFonts w:ascii="Calibri" w:eastAsia="Times New Roman" w:hAnsi="Calibri" w:cs="Times New Roman"/>
        </w:rPr>
        <w:t>adiative forcing e</w:t>
      </w:r>
      <w:r w:rsidR="000F60FB" w:rsidRPr="000F60FB">
        <w:rPr>
          <w:rFonts w:ascii="Calibri" w:eastAsia="Times New Roman" w:hAnsi="Calibri" w:cs="Times New Roman"/>
        </w:rPr>
        <w:t>fficiencies.</w:t>
      </w:r>
      <w:r w:rsidR="005147C0" w:rsidRPr="00583ECD">
        <w:rPr>
          <w:rFonts w:ascii="Calibri" w:eastAsia="Times New Roman" w:hAnsi="Calibri" w:cs="Times New Roman"/>
        </w:rPr>
        <w:t xml:space="preserve"> </w:t>
      </w:r>
      <w:r w:rsidR="005147C0" w:rsidRPr="00583ECD">
        <w:rPr>
          <w:rFonts w:ascii="Calibri" w:eastAsia="Times New Roman" w:hAnsi="Calibri" w:cs="Times New Roman"/>
          <w:i/>
          <w:iCs/>
        </w:rPr>
        <w:t>Environmental Science &amp; Technology</w:t>
      </w:r>
      <w:r w:rsidR="000F60FB">
        <w:rPr>
          <w:rFonts w:ascii="Calibri" w:eastAsia="Times New Roman" w:hAnsi="Calibri" w:cs="Times New Roman"/>
        </w:rPr>
        <w:t xml:space="preserve"> </w:t>
      </w:r>
      <w:r w:rsidR="000F60FB">
        <w:rPr>
          <w:rFonts w:ascii="Calibri" w:eastAsia="Times New Roman" w:hAnsi="Calibri" w:cs="Times New Roman"/>
          <w:b/>
        </w:rPr>
        <w:t>46</w:t>
      </w:r>
      <w:r w:rsidR="000F60FB">
        <w:rPr>
          <w:rFonts w:ascii="Calibri" w:eastAsia="Times New Roman" w:hAnsi="Calibri" w:cs="Times New Roman"/>
        </w:rPr>
        <w:t>:9511-9518 (2012)</w:t>
      </w:r>
      <w:r w:rsidR="005147C0" w:rsidRPr="00583ECD">
        <w:rPr>
          <w:rFonts w:ascii="Calibri" w:eastAsia="Times New Roman" w:hAnsi="Calibri" w:cs="Times New Roman"/>
        </w:rPr>
        <w:t>.</w:t>
      </w:r>
    </w:p>
    <w:p w14:paraId="32BE0848" w14:textId="372662F9" w:rsidR="00A05CEF" w:rsidRPr="005147C0" w:rsidRDefault="00C86E5C" w:rsidP="005C42F9">
      <w:pPr>
        <w:pStyle w:val="ListParagraph"/>
        <w:numPr>
          <w:ilvl w:val="0"/>
          <w:numId w:val="5"/>
        </w:numPr>
        <w:spacing w:line="480" w:lineRule="auto"/>
        <w:rPr>
          <w:rFonts w:ascii="Calibri" w:eastAsia="Times New Roman" w:hAnsi="Calibri" w:cs="Times New Roman"/>
        </w:rPr>
      </w:pPr>
      <w:r w:rsidRPr="005147C0">
        <w:rPr>
          <w:rFonts w:ascii="Calibri" w:eastAsia="Times New Roman" w:hAnsi="Calibri" w:cs="Times New Roman"/>
        </w:rPr>
        <w:t>United Nations Environment Programme/World Meteorological Organization (</w:t>
      </w:r>
      <w:r w:rsidR="00A05CEF" w:rsidRPr="005147C0">
        <w:rPr>
          <w:rFonts w:ascii="Calibri" w:eastAsia="Times New Roman" w:hAnsi="Calibri" w:cs="Times New Roman"/>
        </w:rPr>
        <w:t>UNEP/WMO</w:t>
      </w:r>
      <w:r w:rsidRPr="005147C0">
        <w:rPr>
          <w:rFonts w:ascii="Calibri" w:eastAsia="Times New Roman" w:hAnsi="Calibri" w:cs="Times New Roman"/>
        </w:rPr>
        <w:t>)</w:t>
      </w:r>
      <w:r w:rsidR="00A05CEF" w:rsidRPr="00803E07">
        <w:rPr>
          <w:rFonts w:ascii="Calibri" w:eastAsia="Times New Roman" w:hAnsi="Calibri" w:cs="Times New Roman"/>
        </w:rPr>
        <w:t xml:space="preserve"> (2011)</w:t>
      </w:r>
      <w:r w:rsidRPr="00A948E9">
        <w:rPr>
          <w:rFonts w:ascii="Calibri" w:eastAsia="Times New Roman" w:hAnsi="Calibri" w:cs="Times New Roman"/>
        </w:rPr>
        <w:t xml:space="preserve"> Integrated Assessment of Black Carbon and Tropospheric Ozone. United Nations Environment Programme and World Meteorological Organization, Geneva.</w:t>
      </w:r>
      <w:r w:rsidR="005C42F9">
        <w:rPr>
          <w:rFonts w:ascii="Calibri" w:eastAsia="Times New Roman" w:hAnsi="Calibri" w:cs="Times New Roman"/>
        </w:rPr>
        <w:t xml:space="preserve"> Available at: </w:t>
      </w:r>
      <w:hyperlink r:id="rId32" w:history="1">
        <w:r w:rsidR="005C42F9" w:rsidRPr="00D02A78">
          <w:rPr>
            <w:rStyle w:val="Hyperlink"/>
            <w:rFonts w:ascii="Calibri" w:eastAsia="Times New Roman" w:hAnsi="Calibri" w:cs="Times New Roman"/>
          </w:rPr>
          <w:t>http://www.ccacoalition.org/es/file/638</w:t>
        </w:r>
      </w:hyperlink>
      <w:r w:rsidR="005C42F9">
        <w:rPr>
          <w:rFonts w:ascii="Calibri" w:eastAsia="Times New Roman" w:hAnsi="Calibri" w:cs="Times New Roman"/>
        </w:rPr>
        <w:t>, Accessed January 13, 2017.</w:t>
      </w:r>
    </w:p>
    <w:p w14:paraId="0D340631" w14:textId="3F82380C" w:rsidR="00A05CEF" w:rsidRPr="00C86E5C" w:rsidRDefault="00C86E5C" w:rsidP="005005A8">
      <w:pPr>
        <w:pStyle w:val="ListParagraph"/>
        <w:numPr>
          <w:ilvl w:val="0"/>
          <w:numId w:val="5"/>
        </w:numPr>
        <w:spacing w:line="480" w:lineRule="auto"/>
        <w:rPr>
          <w:rFonts w:ascii="Calibri" w:hAnsi="Calibri"/>
          <w:noProof/>
        </w:rPr>
      </w:pPr>
      <w:r w:rsidRPr="00C86E5C">
        <w:rPr>
          <w:rFonts w:ascii="Calibri" w:hAnsi="Calibri"/>
          <w:noProof/>
        </w:rPr>
        <w:t xml:space="preserve">U.S. </w:t>
      </w:r>
      <w:r w:rsidR="005C42F9">
        <w:rPr>
          <w:rFonts w:ascii="Calibri" w:hAnsi="Calibri"/>
          <w:noProof/>
        </w:rPr>
        <w:t xml:space="preserve">Environmental Protection Agency. </w:t>
      </w:r>
      <w:r w:rsidRPr="00C86E5C">
        <w:rPr>
          <w:rFonts w:ascii="Calibri" w:hAnsi="Calibri"/>
          <w:noProof/>
        </w:rPr>
        <w:t>Integrated Science Assessment for Oxides of Nitrogen – Health Criteria (2016 Final Report). U.S. Environmental Protection Agency, W</w:t>
      </w:r>
      <w:r w:rsidR="005C42F9">
        <w:rPr>
          <w:rFonts w:ascii="Calibri" w:hAnsi="Calibri"/>
          <w:noProof/>
        </w:rPr>
        <w:t>ashington, DC, EPA/600/R-15/068 (</w:t>
      </w:r>
      <w:r w:rsidRPr="00C86E5C">
        <w:rPr>
          <w:rFonts w:ascii="Calibri" w:hAnsi="Calibri"/>
          <w:noProof/>
        </w:rPr>
        <w:t>2016</w:t>
      </w:r>
      <w:r w:rsidR="005C42F9">
        <w:rPr>
          <w:rFonts w:ascii="Calibri" w:hAnsi="Calibri"/>
          <w:noProof/>
        </w:rPr>
        <w:t>)</w:t>
      </w:r>
      <w:r w:rsidRPr="00C86E5C">
        <w:rPr>
          <w:rFonts w:ascii="Calibri" w:hAnsi="Calibri"/>
          <w:noProof/>
        </w:rPr>
        <w:t>.</w:t>
      </w:r>
    </w:p>
    <w:p w14:paraId="23633231" w14:textId="11764307" w:rsidR="002817B4" w:rsidRPr="00044859" w:rsidRDefault="002817B4" w:rsidP="002817B4">
      <w:pPr>
        <w:pStyle w:val="ListParagraph"/>
        <w:numPr>
          <w:ilvl w:val="0"/>
          <w:numId w:val="5"/>
        </w:numPr>
        <w:spacing w:line="480" w:lineRule="auto"/>
        <w:rPr>
          <w:rFonts w:ascii="Calibri" w:hAnsi="Calibri"/>
        </w:rPr>
      </w:pPr>
      <w:r w:rsidRPr="00C86E5C">
        <w:rPr>
          <w:rFonts w:ascii="Calibri" w:eastAsiaTheme="minorEastAsia" w:hAnsi="Calibri"/>
        </w:rPr>
        <w:t>Turner</w:t>
      </w:r>
      <w:r>
        <w:rPr>
          <w:rFonts w:ascii="Calibri" w:eastAsiaTheme="minorEastAsia" w:hAnsi="Calibri"/>
        </w:rPr>
        <w:t>, M.,</w:t>
      </w:r>
      <w:r w:rsidRPr="00C86E5C">
        <w:rPr>
          <w:rFonts w:ascii="Calibri" w:eastAsiaTheme="minorEastAsia" w:hAnsi="Calibri"/>
        </w:rPr>
        <w:t xml:space="preserve"> et al. </w:t>
      </w:r>
      <w:r>
        <w:rPr>
          <w:rFonts w:ascii="Calibri" w:eastAsiaTheme="minorEastAsia" w:hAnsi="Calibri"/>
        </w:rPr>
        <w:t xml:space="preserve">Long-term ozone exposure and mortality in a large prospective study. </w:t>
      </w:r>
      <w:r w:rsidRPr="00583ECD">
        <w:rPr>
          <w:rFonts w:ascii="Calibri" w:eastAsiaTheme="minorEastAsia" w:hAnsi="Calibri"/>
          <w:i/>
        </w:rPr>
        <w:t>American Journal of Respiratory and Critical Care Medicine</w:t>
      </w:r>
      <w:r>
        <w:rPr>
          <w:rFonts w:ascii="Calibri" w:eastAsiaTheme="minorEastAsia" w:hAnsi="Calibri"/>
        </w:rPr>
        <w:t xml:space="preserve"> </w:t>
      </w:r>
      <w:r w:rsidRPr="00583ECD">
        <w:rPr>
          <w:rFonts w:ascii="Calibri" w:eastAsiaTheme="minorEastAsia" w:hAnsi="Calibri"/>
          <w:b/>
        </w:rPr>
        <w:t>193</w:t>
      </w:r>
      <w:r>
        <w:rPr>
          <w:rFonts w:ascii="Calibri" w:eastAsiaTheme="minorEastAsia" w:hAnsi="Calibri"/>
        </w:rPr>
        <w:t>: 1134-1142 (2015).</w:t>
      </w:r>
    </w:p>
    <w:p w14:paraId="789B8D2A" w14:textId="5684E3AE" w:rsidR="00A05CEF" w:rsidRPr="00C86E5C" w:rsidRDefault="00C86E5C" w:rsidP="005005A8">
      <w:pPr>
        <w:pStyle w:val="ListParagraph"/>
        <w:numPr>
          <w:ilvl w:val="0"/>
          <w:numId w:val="5"/>
        </w:numPr>
        <w:spacing w:line="480" w:lineRule="auto"/>
        <w:rPr>
          <w:rFonts w:ascii="Calibri" w:eastAsia="Times New Roman" w:hAnsi="Calibri" w:cs="Times New Roman"/>
        </w:rPr>
      </w:pPr>
      <w:r w:rsidRPr="00C86E5C">
        <w:rPr>
          <w:rFonts w:ascii="Calibri" w:hAnsi="Calibri"/>
          <w:noProof/>
        </w:rPr>
        <w:t xml:space="preserve">U.S. </w:t>
      </w:r>
      <w:r w:rsidR="005C42F9">
        <w:rPr>
          <w:rFonts w:ascii="Calibri" w:hAnsi="Calibri"/>
          <w:noProof/>
        </w:rPr>
        <w:t>Environmental Protection Agency</w:t>
      </w:r>
      <w:r w:rsidRPr="00C86E5C">
        <w:rPr>
          <w:rFonts w:ascii="Calibri" w:hAnsi="Calibri"/>
          <w:noProof/>
        </w:rPr>
        <w:t>. 2008 Final Report: Integrated Science Assessment (ISA) for Oxides of Nitrogen and Sulfur Ecological Criteria. U.S. Environmental Protection Agency, Washington, DC, EPA/600/</w:t>
      </w:r>
      <w:r w:rsidR="005C42F9">
        <w:rPr>
          <w:rFonts w:ascii="Calibri" w:hAnsi="Calibri"/>
          <w:noProof/>
        </w:rPr>
        <w:t>R-08/082F (</w:t>
      </w:r>
      <w:r w:rsidRPr="00C86E5C">
        <w:rPr>
          <w:rFonts w:ascii="Calibri" w:hAnsi="Calibri"/>
          <w:noProof/>
        </w:rPr>
        <w:t>2008</w:t>
      </w:r>
      <w:r w:rsidR="005C42F9">
        <w:rPr>
          <w:rFonts w:ascii="Calibri" w:hAnsi="Calibri"/>
          <w:noProof/>
        </w:rPr>
        <w:t>)</w:t>
      </w:r>
      <w:r w:rsidRPr="00C86E5C">
        <w:rPr>
          <w:rFonts w:ascii="Calibri" w:hAnsi="Calibri"/>
          <w:noProof/>
        </w:rPr>
        <w:t>.</w:t>
      </w:r>
    </w:p>
    <w:p w14:paraId="435AC851" w14:textId="6468E44F" w:rsidR="00A05CEF" w:rsidRPr="00B03812" w:rsidRDefault="00A05CEF" w:rsidP="005005A8">
      <w:pPr>
        <w:pStyle w:val="ListParagraph"/>
        <w:numPr>
          <w:ilvl w:val="0"/>
          <w:numId w:val="5"/>
        </w:numPr>
        <w:spacing w:line="480" w:lineRule="auto"/>
        <w:rPr>
          <w:rFonts w:ascii="Calibri" w:hAnsi="Calibri"/>
          <w:b/>
        </w:rPr>
      </w:pPr>
      <w:r w:rsidRPr="00C86E5C">
        <w:rPr>
          <w:rFonts w:ascii="Calibri" w:hAnsi="Calibri"/>
          <w:noProof/>
        </w:rPr>
        <w:t>Chowdhury, S.</w:t>
      </w:r>
      <w:r w:rsidR="00825C69">
        <w:rPr>
          <w:rFonts w:ascii="Calibri" w:hAnsi="Calibri"/>
          <w:noProof/>
        </w:rPr>
        <w:t>,</w:t>
      </w:r>
      <w:r w:rsidRPr="00C86E5C">
        <w:rPr>
          <w:rFonts w:ascii="Calibri" w:hAnsi="Calibri"/>
          <w:noProof/>
        </w:rPr>
        <w:t xml:space="preserve"> and Dey</w:t>
      </w:r>
      <w:r w:rsidR="00825C69">
        <w:rPr>
          <w:rFonts w:ascii="Calibri" w:hAnsi="Calibri"/>
          <w:noProof/>
        </w:rPr>
        <w:t>, S</w:t>
      </w:r>
      <w:r w:rsidRPr="00C86E5C">
        <w:rPr>
          <w:rFonts w:ascii="Calibri" w:hAnsi="Calibri"/>
          <w:noProof/>
        </w:rPr>
        <w:t xml:space="preserve">. Cause-specific premature mortality from ambient PM2.5 exposure in India: Estimates adjusted for baseline mortality. </w:t>
      </w:r>
      <w:r w:rsidRPr="00583ECD">
        <w:rPr>
          <w:rFonts w:ascii="Calibri" w:hAnsi="Calibri"/>
          <w:i/>
          <w:noProof/>
        </w:rPr>
        <w:t>Environment International</w:t>
      </w:r>
      <w:r w:rsidRPr="00C86E5C">
        <w:rPr>
          <w:rFonts w:ascii="Calibri" w:hAnsi="Calibri"/>
          <w:noProof/>
        </w:rPr>
        <w:t xml:space="preserve"> </w:t>
      </w:r>
      <w:r w:rsidRPr="00583ECD">
        <w:rPr>
          <w:rFonts w:ascii="Calibri" w:hAnsi="Calibri"/>
          <w:b/>
          <w:noProof/>
        </w:rPr>
        <w:t>91</w:t>
      </w:r>
      <w:r w:rsidRPr="00C86E5C">
        <w:rPr>
          <w:rFonts w:ascii="Calibri" w:hAnsi="Calibri"/>
          <w:noProof/>
        </w:rPr>
        <w:t>: 283-290</w:t>
      </w:r>
      <w:r w:rsidR="000F60FB">
        <w:rPr>
          <w:rFonts w:ascii="Calibri" w:hAnsi="Calibri"/>
          <w:noProof/>
        </w:rPr>
        <w:t xml:space="preserve"> (2016)</w:t>
      </w:r>
      <w:r w:rsidRPr="00C86E5C">
        <w:rPr>
          <w:rFonts w:ascii="Calibri" w:hAnsi="Calibri"/>
          <w:noProof/>
        </w:rPr>
        <w:t>.</w:t>
      </w:r>
    </w:p>
    <w:p w14:paraId="7C7FE3D1" w14:textId="318E55D3" w:rsidR="00A05CEF" w:rsidRDefault="00A05CEF" w:rsidP="005005A8">
      <w:pPr>
        <w:spacing w:line="480" w:lineRule="auto"/>
        <w:rPr>
          <w:b/>
          <w:sz w:val="28"/>
          <w:szCs w:val="28"/>
        </w:rPr>
      </w:pPr>
    </w:p>
    <w:p w14:paraId="3C7F57B2" w14:textId="74509E84" w:rsidR="00AE2B5C" w:rsidRDefault="00AE2B5C" w:rsidP="005005A8">
      <w:pPr>
        <w:spacing w:line="480" w:lineRule="auto"/>
        <w:rPr>
          <w:b/>
          <w:sz w:val="28"/>
          <w:szCs w:val="28"/>
        </w:rPr>
      </w:pPr>
      <w:r>
        <w:rPr>
          <w:b/>
          <w:sz w:val="28"/>
          <w:szCs w:val="28"/>
        </w:rPr>
        <w:t>Data availability</w:t>
      </w:r>
    </w:p>
    <w:p w14:paraId="53DE1B0C" w14:textId="70A099D1" w:rsidR="00AE2B5C" w:rsidRPr="00AE2B5C" w:rsidRDefault="00AE2B5C" w:rsidP="005005A8">
      <w:pPr>
        <w:spacing w:line="480" w:lineRule="auto"/>
      </w:pPr>
      <w:r w:rsidRPr="00AE2B5C">
        <w:t xml:space="preserve">The gridded real-world diesel NOx emissions inventory is available </w:t>
      </w:r>
      <w:r w:rsidR="00F17DC4">
        <w:t>in netcdf and ascii format.</w:t>
      </w:r>
    </w:p>
    <w:p w14:paraId="43412835" w14:textId="77777777" w:rsidR="00CA5D6A" w:rsidRDefault="00CA5D6A" w:rsidP="005005A8">
      <w:pPr>
        <w:spacing w:line="480" w:lineRule="auto"/>
        <w:rPr>
          <w:b/>
          <w:sz w:val="28"/>
          <w:szCs w:val="28"/>
        </w:rPr>
      </w:pPr>
      <w:r>
        <w:rPr>
          <w:b/>
          <w:sz w:val="28"/>
          <w:szCs w:val="28"/>
        </w:rPr>
        <w:lastRenderedPageBreak/>
        <w:t>Supplementary information</w:t>
      </w:r>
    </w:p>
    <w:p w14:paraId="00780732" w14:textId="494BA7BC" w:rsidR="00775146" w:rsidRDefault="0058515E" w:rsidP="005005A8">
      <w:pPr>
        <w:spacing w:line="480" w:lineRule="auto"/>
        <w:rPr>
          <w:b/>
          <w:sz w:val="28"/>
          <w:szCs w:val="28"/>
        </w:rPr>
      </w:pPr>
      <w:r>
        <w:t>Supplementary information</w:t>
      </w:r>
      <w:r w:rsidR="00775146">
        <w:t xml:space="preserve"> contains additional details on emission scenario development, impact assessment methods, and results.</w:t>
      </w:r>
    </w:p>
    <w:p w14:paraId="7DB5FF2D" w14:textId="77777777" w:rsidR="00CA5D6A" w:rsidRDefault="00CA5D6A" w:rsidP="005005A8">
      <w:pPr>
        <w:spacing w:line="480" w:lineRule="auto"/>
        <w:rPr>
          <w:b/>
          <w:sz w:val="28"/>
          <w:szCs w:val="28"/>
        </w:rPr>
      </w:pPr>
      <w:r>
        <w:rPr>
          <w:b/>
          <w:sz w:val="28"/>
          <w:szCs w:val="28"/>
        </w:rPr>
        <w:t>Acknowledgements</w:t>
      </w:r>
    </w:p>
    <w:p w14:paraId="17B8BCB8" w14:textId="27226C9A" w:rsidR="00775146" w:rsidRDefault="00B512B3" w:rsidP="005005A8">
      <w:pPr>
        <w:spacing w:line="480" w:lineRule="auto"/>
        <w:rPr>
          <w:b/>
          <w:sz w:val="28"/>
          <w:szCs w:val="28"/>
        </w:rPr>
      </w:pPr>
      <w:r>
        <w:t>Removed for submission.</w:t>
      </w:r>
    </w:p>
    <w:p w14:paraId="2F7C890F" w14:textId="77777777" w:rsidR="00CA5D6A" w:rsidRDefault="00CA5D6A" w:rsidP="005005A8">
      <w:pPr>
        <w:spacing w:line="480" w:lineRule="auto"/>
        <w:rPr>
          <w:b/>
          <w:sz w:val="28"/>
          <w:szCs w:val="28"/>
        </w:rPr>
      </w:pPr>
      <w:r>
        <w:rPr>
          <w:b/>
          <w:sz w:val="28"/>
          <w:szCs w:val="28"/>
        </w:rPr>
        <w:t>Author contributions</w:t>
      </w:r>
    </w:p>
    <w:p w14:paraId="57A2DEA9" w14:textId="4BF18750" w:rsidR="00CA5D6A" w:rsidRPr="00CA5D6A" w:rsidRDefault="00B512B3" w:rsidP="005005A8">
      <w:pPr>
        <w:spacing w:line="480" w:lineRule="auto"/>
      </w:pPr>
      <w:r>
        <w:t>Removed for submission.</w:t>
      </w:r>
    </w:p>
    <w:p w14:paraId="1E44EDE9" w14:textId="77777777" w:rsidR="00B30518" w:rsidRDefault="00CA5D6A" w:rsidP="005005A8">
      <w:pPr>
        <w:spacing w:line="480" w:lineRule="auto"/>
        <w:rPr>
          <w:b/>
          <w:sz w:val="28"/>
          <w:szCs w:val="28"/>
        </w:rPr>
      </w:pPr>
      <w:r>
        <w:rPr>
          <w:b/>
          <w:sz w:val="28"/>
          <w:szCs w:val="28"/>
        </w:rPr>
        <w:t>A</w:t>
      </w:r>
      <w:r w:rsidR="00B30518">
        <w:rPr>
          <w:b/>
          <w:sz w:val="28"/>
          <w:szCs w:val="28"/>
        </w:rPr>
        <w:t>uthor information</w:t>
      </w:r>
    </w:p>
    <w:p w14:paraId="5567C86D" w14:textId="6063E9E7" w:rsidR="00CA5D6A" w:rsidRPr="0058515E" w:rsidRDefault="00B512B3" w:rsidP="005005A8">
      <w:pPr>
        <w:spacing w:line="480" w:lineRule="auto"/>
      </w:pPr>
      <w:r>
        <w:t>Removed for submission.</w:t>
      </w:r>
    </w:p>
    <w:p w14:paraId="67EEAB3F" w14:textId="77777777" w:rsidR="003C0C10" w:rsidRDefault="003C0C10">
      <w:pPr>
        <w:rPr>
          <w:b/>
          <w:sz w:val="28"/>
          <w:szCs w:val="28"/>
        </w:rPr>
      </w:pPr>
      <w:r>
        <w:rPr>
          <w:b/>
          <w:sz w:val="28"/>
          <w:szCs w:val="28"/>
        </w:rPr>
        <w:br w:type="page"/>
      </w:r>
    </w:p>
    <w:p w14:paraId="3C75E1D6" w14:textId="71410F23" w:rsidR="00131561" w:rsidRDefault="00131561" w:rsidP="00131561">
      <w:pPr>
        <w:rPr>
          <w:b/>
          <w:sz w:val="28"/>
          <w:szCs w:val="28"/>
        </w:rPr>
      </w:pPr>
      <w:r>
        <w:rPr>
          <w:b/>
          <w:sz w:val="28"/>
          <w:szCs w:val="28"/>
        </w:rPr>
        <w:lastRenderedPageBreak/>
        <w:t>Figures</w:t>
      </w:r>
    </w:p>
    <w:p w14:paraId="259748DB" w14:textId="739339A4" w:rsidR="00A902EE" w:rsidRDefault="00A36FB9" w:rsidP="00A902EE">
      <w:pPr>
        <w:rPr>
          <w:rFonts w:ascii="Helvetica" w:hAnsi="Helvetica"/>
          <w:b/>
          <w:sz w:val="18"/>
          <w:szCs w:val="18"/>
        </w:rPr>
      </w:pPr>
      <w:r>
        <w:rPr>
          <w:noProof/>
        </w:rPr>
        <w:drawing>
          <wp:inline distT="0" distB="0" distL="0" distR="0" wp14:anchorId="72173572" wp14:editId="21767FE0">
            <wp:extent cx="5630117" cy="7199453"/>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5566" cy="7206421"/>
                    </a:xfrm>
                    <a:prstGeom prst="rect">
                      <a:avLst/>
                    </a:prstGeom>
                  </pic:spPr>
                </pic:pic>
              </a:graphicData>
            </a:graphic>
          </wp:inline>
        </w:drawing>
      </w:r>
    </w:p>
    <w:p w14:paraId="5FA35BC8" w14:textId="3C524E3A" w:rsidR="004C4CB8" w:rsidRPr="00C57365" w:rsidRDefault="004C4CB8" w:rsidP="004C4CB8">
      <w:pPr>
        <w:pStyle w:val="Caption"/>
      </w:pPr>
      <w:bookmarkStart w:id="3" w:name="_Ref469563278"/>
      <w:r w:rsidRPr="00C57365">
        <w:t xml:space="preserve">Figure </w:t>
      </w:r>
      <w:r w:rsidRPr="00F45614">
        <w:fldChar w:fldCharType="begin"/>
      </w:r>
      <w:r w:rsidRPr="00C57365">
        <w:instrText xml:space="preserve"> SEQ Figure \* ARABIC </w:instrText>
      </w:r>
      <w:r w:rsidRPr="00F45614">
        <w:fldChar w:fldCharType="separate"/>
      </w:r>
      <w:r w:rsidR="00B4223E">
        <w:rPr>
          <w:noProof/>
        </w:rPr>
        <w:t>1</w:t>
      </w:r>
      <w:r w:rsidRPr="00F45614">
        <w:rPr>
          <w:noProof/>
        </w:rPr>
        <w:fldChar w:fldCharType="end"/>
      </w:r>
      <w:bookmarkEnd w:id="3"/>
      <w:r w:rsidRPr="00C57365">
        <w:t>. Real-world NO</w:t>
      </w:r>
      <w:r w:rsidRPr="003809B1">
        <w:rPr>
          <w:vertAlign w:val="subscript"/>
        </w:rPr>
        <w:t>X</w:t>
      </w:r>
      <w:r w:rsidRPr="00C57365">
        <w:t xml:space="preserve"> emission</w:t>
      </w:r>
      <w:r w:rsidR="004636D9">
        <w:t xml:space="preserve"> factors </w:t>
      </w:r>
      <w:r w:rsidRPr="00C57365">
        <w:t xml:space="preserve">by vehicle emissions standard in key regions for (a) </w:t>
      </w:r>
      <w:r w:rsidRPr="003809B1">
        <w:t xml:space="preserve">passenger cars, </w:t>
      </w:r>
      <w:r w:rsidRPr="00C57365">
        <w:t xml:space="preserve">(b) </w:t>
      </w:r>
      <w:r>
        <w:t>h</w:t>
      </w:r>
      <w:r w:rsidRPr="003809B1">
        <w:t xml:space="preserve">eavy heavy-duty trucks, and (c) </w:t>
      </w:r>
      <w:r>
        <w:t>b</w:t>
      </w:r>
      <w:r w:rsidRPr="003809B1">
        <w:t>uses. Error bars indicate uncertainty</w:t>
      </w:r>
      <w:r w:rsidR="00F16194">
        <w:t xml:space="preserve"> in estimates based on observed variation across studies and expert judgment</w:t>
      </w:r>
      <w:r w:rsidRPr="003809B1">
        <w:t>.</w:t>
      </w:r>
    </w:p>
    <w:p w14:paraId="41795509" w14:textId="3F268667" w:rsidR="009E3D60" w:rsidRPr="00705146" w:rsidRDefault="00663B38" w:rsidP="00DF3BFD">
      <w:pPr>
        <w:rPr>
          <w:b/>
          <w:sz w:val="28"/>
          <w:szCs w:val="28"/>
        </w:rPr>
      </w:pPr>
      <w:r w:rsidRPr="00663B38">
        <w:rPr>
          <w:b/>
          <w:noProof/>
          <w:sz w:val="28"/>
          <w:szCs w:val="28"/>
        </w:rPr>
        <w:lastRenderedPageBreak/>
        <w:drawing>
          <wp:inline distT="0" distB="0" distL="0" distR="0" wp14:anchorId="7D85C3B8" wp14:editId="1A9D6653">
            <wp:extent cx="5943600" cy="711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110650"/>
                    </a:xfrm>
                    <a:prstGeom prst="rect">
                      <a:avLst/>
                    </a:prstGeom>
                    <a:noFill/>
                    <a:ln>
                      <a:noFill/>
                    </a:ln>
                  </pic:spPr>
                </pic:pic>
              </a:graphicData>
            </a:graphic>
          </wp:inline>
        </w:drawing>
      </w:r>
    </w:p>
    <w:p w14:paraId="2E2030C7" w14:textId="4D9C16FB" w:rsidR="003809B1" w:rsidRDefault="003809B1" w:rsidP="003809B1">
      <w:pPr>
        <w:pStyle w:val="Caption"/>
      </w:pPr>
      <w:bookmarkStart w:id="4" w:name="_Ref453745109"/>
      <w:r>
        <w:t xml:space="preserve">Figure </w:t>
      </w:r>
      <w:fldSimple w:instr=" SEQ Figure \* ARABIC ">
        <w:r w:rsidR="00B4223E">
          <w:rPr>
            <w:noProof/>
          </w:rPr>
          <w:t>2</w:t>
        </w:r>
      </w:fldSimple>
      <w:bookmarkEnd w:id="4"/>
      <w:r w:rsidR="00896387">
        <w:t xml:space="preserve">. NOx emissions </w:t>
      </w:r>
      <w:r w:rsidR="0055218F">
        <w:t>(a)</w:t>
      </w:r>
      <w:r w:rsidR="00896387">
        <w:t xml:space="preserve"> from</w:t>
      </w:r>
      <w:r w:rsidR="0055218F">
        <w:t xml:space="preserve"> on-road </w:t>
      </w:r>
      <w:r w:rsidR="00D50504">
        <w:t>diesel vehicles in</w:t>
      </w:r>
      <w:r w:rsidR="003D3809">
        <w:t xml:space="preserve"> 11 </w:t>
      </w:r>
      <w:r w:rsidR="0055218F">
        <w:t>major vehicle markets annually</w:t>
      </w:r>
      <w:r w:rsidR="003D3809">
        <w:t>,</w:t>
      </w:r>
      <w:r w:rsidR="0055218F">
        <w:t xml:space="preserve"> (b)</w:t>
      </w:r>
      <w:r w:rsidR="003D3809">
        <w:t xml:space="preserve"> </w:t>
      </w:r>
      <w:r w:rsidR="00896387">
        <w:t xml:space="preserve">in 2015 from </w:t>
      </w:r>
      <w:r w:rsidR="0055218F">
        <w:t>all emission sources</w:t>
      </w:r>
      <w:r w:rsidR="00896387">
        <w:t xml:space="preserve"> globally, on-road diesel heavy-duty vehicles (HDV) and light-duty vehicles (LDV) </w:t>
      </w:r>
      <w:r w:rsidR="0055218F">
        <w:t>globally</w:t>
      </w:r>
      <w:r w:rsidR="00896387">
        <w:t>, and on-road diesel vehicles in the 11 markets</w:t>
      </w:r>
      <w:r w:rsidR="001003DD">
        <w:t>, and</w:t>
      </w:r>
      <w:r>
        <w:t xml:space="preserve"> </w:t>
      </w:r>
      <w:r w:rsidRPr="003809B1">
        <w:t>(</w:t>
      </w:r>
      <w:r w:rsidR="001003DD">
        <w:t>c</w:t>
      </w:r>
      <w:r w:rsidRPr="003809B1">
        <w:t xml:space="preserve">) </w:t>
      </w:r>
      <w:r w:rsidR="00896387">
        <w:t xml:space="preserve">in 2015 from </w:t>
      </w:r>
      <w:r w:rsidR="0055218F">
        <w:t>on-road</w:t>
      </w:r>
      <w:r>
        <w:t xml:space="preserve"> diesel </w:t>
      </w:r>
      <w:r w:rsidR="0055218F">
        <w:t xml:space="preserve">vehicles in excess of </w:t>
      </w:r>
      <w:r w:rsidR="00896387">
        <w:t xml:space="preserve">counterfactual compliance with </w:t>
      </w:r>
      <w:r w:rsidR="0055218F">
        <w:t>certification limits</w:t>
      </w:r>
      <w:r>
        <w:t xml:space="preserve"> by region. </w:t>
      </w:r>
    </w:p>
    <w:p w14:paraId="1486AC51" w14:textId="13A1213F" w:rsidR="00DF3BFD" w:rsidRDefault="00DF3BFD" w:rsidP="00DF3BFD"/>
    <w:p w14:paraId="479DFCA2" w14:textId="218EC4DA" w:rsidR="00DF3BFD" w:rsidRDefault="00BD56B6" w:rsidP="00DF3BFD">
      <w:pPr>
        <w:rPr>
          <w:sz w:val="28"/>
          <w:szCs w:val="28"/>
        </w:rPr>
      </w:pPr>
      <w:r w:rsidRPr="00317324">
        <w:rPr>
          <w:noProof/>
          <w:sz w:val="28"/>
          <w:szCs w:val="28"/>
        </w:rPr>
        <w:lastRenderedPageBreak/>
        <w:drawing>
          <wp:inline distT="0" distB="0" distL="0" distR="0" wp14:anchorId="018647C3" wp14:editId="661C359E">
            <wp:extent cx="5943600" cy="43751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c map.bmp"/>
                    <pic:cNvPicPr/>
                  </pic:nvPicPr>
                  <pic:blipFill>
                    <a:blip r:embed="rId35"/>
                    <a:stretch>
                      <a:fillRect/>
                    </a:stretch>
                  </pic:blipFill>
                  <pic:spPr>
                    <a:xfrm>
                      <a:off x="0" y="0"/>
                      <a:ext cx="5943600" cy="4375150"/>
                    </a:xfrm>
                    <a:prstGeom prst="rect">
                      <a:avLst/>
                    </a:prstGeom>
                  </pic:spPr>
                </pic:pic>
              </a:graphicData>
            </a:graphic>
          </wp:inline>
        </w:drawing>
      </w:r>
    </w:p>
    <w:p w14:paraId="12F1BD54" w14:textId="2B9ED131" w:rsidR="00DF3BFD" w:rsidRPr="00EC5584" w:rsidRDefault="00DF3BFD" w:rsidP="00DF3BFD">
      <w:pPr>
        <w:pStyle w:val="Caption"/>
      </w:pPr>
      <w:bookmarkStart w:id="5" w:name="_Ref469571366"/>
      <w:r>
        <w:t xml:space="preserve">Figure </w:t>
      </w:r>
      <w:fldSimple w:instr=" SEQ Figure \* ARABIC ">
        <w:r w:rsidR="00B4223E">
          <w:rPr>
            <w:noProof/>
          </w:rPr>
          <w:t>3</w:t>
        </w:r>
      </w:fldSimple>
      <w:bookmarkEnd w:id="5"/>
      <w:r>
        <w:t xml:space="preserve">. </w:t>
      </w:r>
      <w:r w:rsidRPr="00EC5584">
        <w:t>Change in PM</w:t>
      </w:r>
      <w:r w:rsidRPr="00EC5584">
        <w:rPr>
          <w:vertAlign w:val="subscript"/>
        </w:rPr>
        <w:t>2.5</w:t>
      </w:r>
      <w:r w:rsidRPr="00EC5584">
        <w:t xml:space="preserve"> (annual average, µg/m</w:t>
      </w:r>
      <w:r w:rsidRPr="00EC5584">
        <w:rPr>
          <w:vertAlign w:val="superscript"/>
        </w:rPr>
        <w:t>3</w:t>
      </w:r>
      <w:r>
        <w:t>, left</w:t>
      </w:r>
      <w:r w:rsidRPr="00EC5584">
        <w:t>) and ozone concentration (six-month average of the 1-hr daily maximum, ppb</w:t>
      </w:r>
      <w:r>
        <w:t>, right</w:t>
      </w:r>
      <w:r w:rsidRPr="00EC5584">
        <w:t>) for the scenario pairs shown.</w:t>
      </w:r>
      <w:r w:rsidR="00995606">
        <w:t xml:space="preserve"> Colorbar units are </w:t>
      </w:r>
      <w:r w:rsidR="00995606" w:rsidRPr="00EC5584">
        <w:t>µ</w:t>
      </w:r>
      <w:r w:rsidR="00995606">
        <w:t>g/m</w:t>
      </w:r>
      <w:r w:rsidR="00995606" w:rsidRPr="00995606">
        <w:rPr>
          <w:vertAlign w:val="superscript"/>
        </w:rPr>
        <w:t>3</w:t>
      </w:r>
      <w:r w:rsidR="00995606">
        <w:t xml:space="preserve"> for PM</w:t>
      </w:r>
      <w:r w:rsidR="00995606" w:rsidRPr="00995606">
        <w:rPr>
          <w:vertAlign w:val="subscript"/>
        </w:rPr>
        <w:t xml:space="preserve">2.5 </w:t>
      </w:r>
      <w:r w:rsidR="00995606">
        <w:t>and ppb for ozone.</w:t>
      </w:r>
    </w:p>
    <w:p w14:paraId="6BB1CA14" w14:textId="77777777" w:rsidR="00DF3BFD" w:rsidRPr="00DF3BFD" w:rsidRDefault="00DF3BFD" w:rsidP="00DF3BFD"/>
    <w:p w14:paraId="7F0223D9" w14:textId="77777777" w:rsidR="00131561" w:rsidRDefault="00131561" w:rsidP="00131561">
      <w:r>
        <w:br w:type="page"/>
      </w:r>
    </w:p>
    <w:p w14:paraId="7FD15E77" w14:textId="0ED1A39B" w:rsidR="00296649" w:rsidRDefault="00F22182" w:rsidP="00721EFE">
      <w:pPr>
        <w:spacing w:line="240" w:lineRule="auto"/>
      </w:pPr>
      <w:r>
        <w:rPr>
          <w:noProof/>
        </w:rPr>
        <w:lastRenderedPageBreak/>
        <w:drawing>
          <wp:inline distT="0" distB="0" distL="0" distR="0" wp14:anchorId="1B7E2E14" wp14:editId="5EA5878D">
            <wp:extent cx="5943600" cy="5964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964555"/>
                    </a:xfrm>
                    <a:prstGeom prst="rect">
                      <a:avLst/>
                    </a:prstGeom>
                  </pic:spPr>
                </pic:pic>
              </a:graphicData>
            </a:graphic>
          </wp:inline>
        </w:drawing>
      </w:r>
    </w:p>
    <w:p w14:paraId="4D960EC2" w14:textId="5298F57F" w:rsidR="00721EFE" w:rsidRDefault="00721EFE" w:rsidP="00721EFE">
      <w:pPr>
        <w:pStyle w:val="Caption"/>
        <w:rPr>
          <w:sz w:val="28"/>
          <w:szCs w:val="28"/>
        </w:rPr>
      </w:pPr>
      <w:bookmarkStart w:id="6" w:name="_Ref453847052"/>
      <w:r>
        <w:t xml:space="preserve">Figure </w:t>
      </w:r>
      <w:fldSimple w:instr=" SEQ Figure \* ARABIC ">
        <w:r w:rsidR="00B4223E">
          <w:rPr>
            <w:noProof/>
          </w:rPr>
          <w:t>4</w:t>
        </w:r>
      </w:fldSimple>
      <w:bookmarkEnd w:id="6"/>
      <w:r>
        <w:t xml:space="preserve">. </w:t>
      </w:r>
      <w:r w:rsidR="00995606">
        <w:t>Annual PM</w:t>
      </w:r>
      <w:r w:rsidR="00995606" w:rsidRPr="00047891">
        <w:rPr>
          <w:vertAlign w:val="subscript"/>
        </w:rPr>
        <w:t>2.5</w:t>
      </w:r>
      <w:r w:rsidR="00995606">
        <w:t>-</w:t>
      </w:r>
      <w:r w:rsidR="00995606" w:rsidRPr="00047891">
        <w:rPr>
          <w:vertAlign w:val="subscript"/>
        </w:rPr>
        <w:t xml:space="preserve"> </w:t>
      </w:r>
      <w:r w:rsidR="00995606">
        <w:t>and ozone-related premature deaths</w:t>
      </w:r>
      <w:r w:rsidR="00DF3BFD">
        <w:t xml:space="preserve"> </w:t>
      </w:r>
      <w:r w:rsidR="00995606">
        <w:t xml:space="preserve">associated with (a) </w:t>
      </w:r>
      <w:r w:rsidR="003D695D">
        <w:t>all</w:t>
      </w:r>
      <w:r w:rsidR="00797905">
        <w:t xml:space="preserve"> emissions sources </w:t>
      </w:r>
      <w:r w:rsidR="00404418">
        <w:t>in</w:t>
      </w:r>
      <w:r w:rsidR="00CC757C">
        <w:t xml:space="preserve"> all regions in</w:t>
      </w:r>
      <w:r w:rsidR="00404418">
        <w:t xml:space="preserve"> 2015</w:t>
      </w:r>
      <w:r w:rsidR="003809B1">
        <w:t xml:space="preserve"> </w:t>
      </w:r>
      <w:r w:rsidR="00DF3BFD">
        <w:t>and 2040</w:t>
      </w:r>
      <w:r w:rsidR="00404418">
        <w:t xml:space="preserve"> </w:t>
      </w:r>
      <w:r w:rsidR="00420FC0">
        <w:t>(</w:t>
      </w:r>
      <w:r w:rsidR="003809B1">
        <w:t>95% confidence intervals</w:t>
      </w:r>
      <w:r w:rsidR="00420FC0">
        <w:t xml:space="preserve"> in gray</w:t>
      </w:r>
      <w:r w:rsidR="003809B1">
        <w:t xml:space="preserve"> based on error in the relative risk estimates</w:t>
      </w:r>
      <w:r w:rsidR="00995606">
        <w:t>)</w:t>
      </w:r>
      <w:r w:rsidR="003809B1">
        <w:t xml:space="preserve">; (b) </w:t>
      </w:r>
      <w:r w:rsidR="003D695D">
        <w:t xml:space="preserve">on-road </w:t>
      </w:r>
      <w:r w:rsidR="003809B1">
        <w:t>diesel N</w:t>
      </w:r>
      <w:r w:rsidR="00420FC0">
        <w:t>Ox emissions</w:t>
      </w:r>
      <w:r w:rsidR="00CC757C">
        <w:t xml:space="preserve"> from the 11 regions</w:t>
      </w:r>
      <w:r w:rsidR="00420FC0">
        <w:t xml:space="preserve"> in 2015 and 2040</w:t>
      </w:r>
      <w:r w:rsidR="003809B1">
        <w:t xml:space="preserve">; (c) </w:t>
      </w:r>
      <w:r w:rsidR="003D695D">
        <w:t xml:space="preserve">on-road </w:t>
      </w:r>
      <w:r w:rsidR="00995606">
        <w:t>diesel NOx emissions in</w:t>
      </w:r>
      <w:r w:rsidR="00CC757C">
        <w:t xml:space="preserve"> the 11 regions in</w:t>
      </w:r>
      <w:r w:rsidR="00995606">
        <w:t xml:space="preserve"> 2015 disaggregated by counterfactual compliance with emission limits (Limit-2015) and excess </w:t>
      </w:r>
      <w:r w:rsidR="00420FC0">
        <w:t xml:space="preserve">NOx emissions from </w:t>
      </w:r>
      <w:r w:rsidR="00995606">
        <w:t>heavy-duty vehicle</w:t>
      </w:r>
      <w:r w:rsidR="00420FC0">
        <w:t>s</w:t>
      </w:r>
      <w:r w:rsidR="00995606">
        <w:t xml:space="preserve"> (H</w:t>
      </w:r>
      <w:r w:rsidR="00420FC0">
        <w:t>DV) and light-duty vehicles (LDV)</w:t>
      </w:r>
      <w:r w:rsidR="00995606">
        <w:t>;</w:t>
      </w:r>
      <w:r w:rsidR="00420FC0">
        <w:t xml:space="preserve"> and</w:t>
      </w:r>
      <w:r w:rsidR="00995606">
        <w:t xml:space="preserve"> </w:t>
      </w:r>
      <w:r w:rsidR="00DF3BFD">
        <w:t>(</w:t>
      </w:r>
      <w:r w:rsidR="00EF13EB">
        <w:t>d</w:t>
      </w:r>
      <w:r w:rsidR="00DF3BFD">
        <w:t xml:space="preserve">) </w:t>
      </w:r>
      <w:r w:rsidR="00420FC0">
        <w:t>NOx emission reductions</w:t>
      </w:r>
      <w:r w:rsidR="00252A96">
        <w:t xml:space="preserve"> in 2040</w:t>
      </w:r>
      <w:r w:rsidR="00420FC0">
        <w:t xml:space="preserve"> under</w:t>
      </w:r>
      <w:r w:rsidR="00995606">
        <w:t xml:space="preserve"> the </w:t>
      </w:r>
      <w:r w:rsidR="003809B1">
        <w:t>policy</w:t>
      </w:r>
      <w:r w:rsidR="00797905">
        <w:t xml:space="preserve"> </w:t>
      </w:r>
      <w:r w:rsidR="00DF3BFD">
        <w:t>scenarios</w:t>
      </w:r>
      <w:r w:rsidR="00CC757C">
        <w:t xml:space="preserve"> applied in the 11 regions</w:t>
      </w:r>
      <w:r w:rsidR="00252A96">
        <w:t>.</w:t>
      </w:r>
      <w:r w:rsidR="00CC757C">
        <w:t xml:space="preserve"> “Rest of world” indicates impacts outside of the 11 regions, which result from pollution transported or formed over regional boundaries in the case of panels (b) through (d).</w:t>
      </w:r>
    </w:p>
    <w:p w14:paraId="32186CAF" w14:textId="10C10F0E" w:rsidR="00131561" w:rsidRDefault="00721EFE" w:rsidP="00721EFE">
      <w:pPr>
        <w:rPr>
          <w:b/>
        </w:rPr>
      </w:pPr>
      <w:r>
        <w:rPr>
          <w:sz w:val="28"/>
          <w:szCs w:val="28"/>
        </w:rPr>
        <w:br w:type="page"/>
      </w:r>
    </w:p>
    <w:p w14:paraId="631D60A3" w14:textId="30FA136C" w:rsidR="00CA5D6A" w:rsidRDefault="00CA5D6A">
      <w:pPr>
        <w:rPr>
          <w:b/>
          <w:sz w:val="28"/>
          <w:szCs w:val="28"/>
        </w:rPr>
      </w:pPr>
      <w:r>
        <w:rPr>
          <w:b/>
          <w:sz w:val="28"/>
          <w:szCs w:val="28"/>
        </w:rPr>
        <w:lastRenderedPageBreak/>
        <w:t>Extended Data figures and tables</w:t>
      </w:r>
    </w:p>
    <w:p w14:paraId="5FF64541" w14:textId="25045D57" w:rsidR="00031C66" w:rsidRPr="008D68AB" w:rsidRDefault="004B27BB" w:rsidP="00031C66">
      <w:pPr>
        <w:rPr>
          <w:sz w:val="20"/>
          <w:szCs w:val="20"/>
        </w:rPr>
      </w:pPr>
      <w:r w:rsidRPr="00092199">
        <w:t xml:space="preserve"> </w:t>
      </w:r>
      <w:r w:rsidR="00BE2968" w:rsidRPr="00BE2968">
        <w:rPr>
          <w:noProof/>
        </w:rPr>
        <w:drawing>
          <wp:inline distT="0" distB="0" distL="0" distR="0" wp14:anchorId="337DA028" wp14:editId="7575F84B">
            <wp:extent cx="5407058" cy="3459637"/>
            <wp:effectExtent l="0" t="0" r="3175" b="762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058" cy="3459637"/>
                    </a:xfrm>
                    <a:prstGeom prst="rect">
                      <a:avLst/>
                    </a:prstGeom>
                    <a:noFill/>
                    <a:ln>
                      <a:noFill/>
                    </a:ln>
                  </pic:spPr>
                </pic:pic>
              </a:graphicData>
            </a:graphic>
          </wp:inline>
        </w:drawing>
      </w:r>
    </w:p>
    <w:p w14:paraId="05CBC84D" w14:textId="3C820E3D" w:rsidR="00031C66" w:rsidRDefault="00031C66" w:rsidP="00031C66">
      <w:pPr>
        <w:pStyle w:val="Caption"/>
      </w:pPr>
      <w:bookmarkStart w:id="7" w:name="_Ref472064783"/>
      <w:bookmarkStart w:id="8" w:name="_Ref454564977"/>
      <w:bookmarkStart w:id="9" w:name="_Ref456707881"/>
      <w:r>
        <w:t xml:space="preserve">Extended Data Figure </w:t>
      </w:r>
      <w:fldSimple w:instr=" SEQ Extended_Data_Figure \* ARABIC ">
        <w:r w:rsidR="00B4223E">
          <w:rPr>
            <w:noProof/>
          </w:rPr>
          <w:t>1</w:t>
        </w:r>
      </w:fldSimple>
      <w:bookmarkEnd w:id="7"/>
      <w:r>
        <w:t>. Crop Production loss (%) for maize, wheat and soy globally and in major producing regions (central estimate and range using two</w:t>
      </w:r>
      <w:bookmarkEnd w:id="8"/>
      <w:bookmarkEnd w:id="9"/>
      <w:r>
        <w:t xml:space="preserve"> exposure metrics)</w:t>
      </w:r>
      <w:r w:rsidR="00BE2968">
        <w:t>.</w:t>
      </w:r>
    </w:p>
    <w:p w14:paraId="2ED5392E" w14:textId="3C85ADB0" w:rsidR="00195F35" w:rsidRDefault="00195F35" w:rsidP="00195F35"/>
    <w:p w14:paraId="6F650849" w14:textId="46A491F5" w:rsidR="00BE2968" w:rsidRDefault="00BE2968" w:rsidP="00195F35">
      <w:r w:rsidRPr="00BE2968">
        <w:rPr>
          <w:noProof/>
        </w:rPr>
        <w:drawing>
          <wp:inline distT="0" distB="0" distL="0" distR="0" wp14:anchorId="4050E4C8" wp14:editId="45F75B94">
            <wp:extent cx="5368154" cy="3088824"/>
            <wp:effectExtent l="0" t="0" r="4445" b="0"/>
            <wp:docPr id="10" name="Chart 10">
              <a:extLst xmlns:a="http://schemas.openxmlformats.org/drawingml/2006/main">
                <a:ext uri="{FF2B5EF4-FFF2-40B4-BE49-F238E27FC236}">
                  <a16:creationId xmlns:a16="http://schemas.microsoft.com/office/drawing/2014/main" id="{2505506E-EC43-418F-BBF3-44B1D0D59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804723" w14:textId="35B680BA" w:rsidR="00BE2968" w:rsidRPr="00195F35" w:rsidRDefault="00BE2968" w:rsidP="00BE2968">
      <w:pPr>
        <w:pStyle w:val="Caption"/>
      </w:pPr>
      <w:bookmarkStart w:id="10" w:name="_Ref472070949"/>
      <w:r>
        <w:t xml:space="preserve">Extended Data Figure </w:t>
      </w:r>
      <w:fldSimple w:instr=" SEQ Extended_Data_Figure \* ARABIC ">
        <w:r w:rsidR="00B4223E">
          <w:rPr>
            <w:noProof/>
          </w:rPr>
          <w:t>2</w:t>
        </w:r>
      </w:fldSimple>
      <w:bookmarkEnd w:id="10"/>
      <w:r>
        <w:t>. Radiative forcing from change in NO</w:t>
      </w:r>
      <w:r w:rsidRPr="00C33799">
        <w:rPr>
          <w:vertAlign w:val="subscript"/>
        </w:rPr>
        <w:t>X</w:t>
      </w:r>
      <w:r>
        <w:t xml:space="preserve"> emissions (central estimates and 95% confidence intervals based on error in the conversion from concentrations to climate impacts).</w:t>
      </w:r>
    </w:p>
    <w:p w14:paraId="5ADC8C21" w14:textId="6AFBD47C" w:rsidR="004B27BB" w:rsidRPr="004A519B" w:rsidRDefault="004B27BB" w:rsidP="004B27BB">
      <w:pPr>
        <w:rPr>
          <w:rFonts w:ascii="Helvetica" w:hAnsi="Helvetica"/>
          <w:b/>
          <w:sz w:val="18"/>
          <w:szCs w:val="18"/>
        </w:rPr>
      </w:pPr>
    </w:p>
    <w:p w14:paraId="361D4092" w14:textId="470711B7" w:rsidR="00092199" w:rsidRPr="004A519B" w:rsidRDefault="002C2C3A">
      <w:pPr>
        <w:rPr>
          <w:rFonts w:ascii="Helvetica" w:hAnsi="Helvetica"/>
          <w:b/>
          <w:sz w:val="18"/>
          <w:szCs w:val="18"/>
        </w:rPr>
      </w:pPr>
      <w:r w:rsidRPr="002C2C3A">
        <w:rPr>
          <w:rFonts w:ascii="Helvetica" w:hAnsi="Helvetica"/>
          <w:b/>
          <w:noProof/>
          <w:sz w:val="18"/>
          <w:szCs w:val="18"/>
        </w:rPr>
        <w:lastRenderedPageBreak/>
        <w:drawing>
          <wp:inline distT="0" distB="0" distL="0" distR="0" wp14:anchorId="4E2C7FCC" wp14:editId="26D06C63">
            <wp:extent cx="5943600" cy="6387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387459"/>
                    </a:xfrm>
                    <a:prstGeom prst="rect">
                      <a:avLst/>
                    </a:prstGeom>
                    <a:noFill/>
                    <a:ln>
                      <a:noFill/>
                    </a:ln>
                  </pic:spPr>
                </pic:pic>
              </a:graphicData>
            </a:graphic>
          </wp:inline>
        </w:drawing>
      </w:r>
    </w:p>
    <w:p w14:paraId="4D05E2BF" w14:textId="1BD18896" w:rsidR="00092199" w:rsidRPr="00EC5584" w:rsidRDefault="00092199" w:rsidP="00092199">
      <w:pPr>
        <w:pStyle w:val="Caption"/>
      </w:pPr>
      <w:bookmarkStart w:id="11" w:name="_Ref469301301"/>
      <w:bookmarkStart w:id="12" w:name="_Ref469572683"/>
      <w:r>
        <w:t xml:space="preserve">Extended Data Figure </w:t>
      </w:r>
      <w:fldSimple w:instr=" SEQ Extended_Data_Figure \* ARABIC ">
        <w:r w:rsidR="00B4223E">
          <w:rPr>
            <w:noProof/>
          </w:rPr>
          <w:t>3</w:t>
        </w:r>
      </w:fldSimple>
      <w:bookmarkEnd w:id="11"/>
      <w:bookmarkEnd w:id="12"/>
      <w:r>
        <w:t>.</w:t>
      </w:r>
      <w:r w:rsidRPr="00EC5584">
        <w:t xml:space="preserve"> </w:t>
      </w:r>
      <w:r w:rsidR="00394E09">
        <w:t>Total annual on-road</w:t>
      </w:r>
      <w:r w:rsidR="004B27BB">
        <w:t xml:space="preserve"> diesel vehicle NOx emissions for the baseline in 2015 (Mt/yr) shown with (a) percent change </w:t>
      </w:r>
      <w:r w:rsidR="00394E09">
        <w:t>relative to Baseline-2015 for each scenario</w:t>
      </w:r>
      <w:r w:rsidR="002B0559">
        <w:t>, where Baseline-2015 labels indicate million tons of on-road diesel NOx emissions,</w:t>
      </w:r>
      <w:r w:rsidR="00685D3A">
        <w:t xml:space="preserve"> </w:t>
      </w:r>
      <w:r w:rsidR="004B27BB">
        <w:t xml:space="preserve">and (b) comparison with Limits-2015, where bars indicate uncertainty for heavy-duty vehicle emission limits and Baseline-2015. </w:t>
      </w:r>
    </w:p>
    <w:p w14:paraId="4D5CB373" w14:textId="046A71BB" w:rsidR="009D3CC2" w:rsidRDefault="009D3CC2"/>
    <w:p w14:paraId="0441CBA1" w14:textId="77777777" w:rsidR="00DF3BFD" w:rsidRDefault="00DF3BFD">
      <w:pPr>
        <w:rPr>
          <w:rFonts w:ascii="Helvetica" w:eastAsiaTheme="minorEastAsia" w:hAnsi="Helvetica" w:cs="Times New Roman"/>
          <w:b/>
          <w:bCs/>
          <w:sz w:val="18"/>
          <w:szCs w:val="18"/>
        </w:rPr>
      </w:pPr>
      <w:bookmarkStart w:id="13" w:name="_Ref453839253"/>
      <w:r>
        <w:br w:type="page"/>
      </w:r>
    </w:p>
    <w:p w14:paraId="65833285" w14:textId="32952CAE" w:rsidR="00AA2B7C" w:rsidRDefault="00AA2B7C">
      <w:pPr>
        <w:pStyle w:val="Caption"/>
      </w:pPr>
      <w:bookmarkStart w:id="14" w:name="_Ref469472849"/>
      <w:bookmarkStart w:id="15" w:name="_Ref469301069"/>
      <w:bookmarkStart w:id="16" w:name="_Ref469301348"/>
      <w:r>
        <w:lastRenderedPageBreak/>
        <w:t xml:space="preserve">Extended Data Table </w:t>
      </w:r>
      <w:fldSimple w:instr=" SEQ Extended_Data_Table \* ARABIC ">
        <w:r w:rsidR="00B4223E">
          <w:rPr>
            <w:noProof/>
          </w:rPr>
          <w:t>1</w:t>
        </w:r>
      </w:fldSimple>
      <w:bookmarkEnd w:id="14"/>
      <w:r>
        <w:t>. Global air quality and health impacts of emission scenarios in 2015 and 2040.</w:t>
      </w:r>
    </w:p>
    <w:bookmarkEnd w:id="15"/>
    <w:bookmarkEnd w:id="16"/>
    <w:tbl>
      <w:tblPr>
        <w:tblStyle w:val="PlainTable21"/>
        <w:tblW w:w="0" w:type="auto"/>
        <w:tblLook w:val="04A0" w:firstRow="1" w:lastRow="0" w:firstColumn="1" w:lastColumn="0" w:noHBand="0" w:noVBand="1"/>
      </w:tblPr>
      <w:tblGrid>
        <w:gridCol w:w="845"/>
        <w:gridCol w:w="1405"/>
        <w:gridCol w:w="1350"/>
        <w:gridCol w:w="1350"/>
        <w:gridCol w:w="1571"/>
        <w:gridCol w:w="1419"/>
        <w:gridCol w:w="1420"/>
      </w:tblGrid>
      <w:tr w:rsidR="005B2851" w:rsidRPr="007C4C37" w14:paraId="15B83503" w14:textId="77777777" w:rsidTr="007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vMerge w:val="restart"/>
          </w:tcPr>
          <w:p w14:paraId="0910E830" w14:textId="7CBB1809" w:rsidR="005B2851" w:rsidRPr="007C4C37" w:rsidRDefault="005B2851" w:rsidP="00C10FBC">
            <w:pPr>
              <w:jc w:val="center"/>
              <w:rPr>
                <w:rFonts w:ascii="Calibri" w:hAnsi="Calibri" w:cs="Calibri"/>
                <w:sz w:val="20"/>
                <w:szCs w:val="20"/>
              </w:rPr>
            </w:pPr>
          </w:p>
        </w:tc>
        <w:tc>
          <w:tcPr>
            <w:tcW w:w="2755" w:type="dxa"/>
            <w:gridSpan w:val="2"/>
          </w:tcPr>
          <w:p w14:paraId="5CD06922" w14:textId="77777777" w:rsidR="005B2851" w:rsidRDefault="005B2851" w:rsidP="00C10F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C4C37">
              <w:rPr>
                <w:rFonts w:ascii="Calibri" w:eastAsia="Times New Roman" w:hAnsi="Calibri" w:cs="Calibri"/>
                <w:color w:val="000000"/>
                <w:sz w:val="20"/>
                <w:szCs w:val="20"/>
              </w:rPr>
              <w:t xml:space="preserve">Baseline burden </w:t>
            </w:r>
          </w:p>
          <w:p w14:paraId="1534D12D" w14:textId="0621E164" w:rsidR="005B2851" w:rsidRPr="007C4C37" w:rsidRDefault="005B2851" w:rsidP="00C10FB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eastAsia="Times New Roman" w:hAnsi="Calibri" w:cs="Calibri"/>
                <w:color w:val="000000"/>
                <w:sz w:val="20"/>
                <w:szCs w:val="20"/>
              </w:rPr>
              <w:t>(all emission sources)</w:t>
            </w:r>
          </w:p>
        </w:tc>
        <w:tc>
          <w:tcPr>
            <w:tcW w:w="1350" w:type="dxa"/>
          </w:tcPr>
          <w:p w14:paraId="614BCC32" w14:textId="77777777" w:rsidR="005B2851" w:rsidRPr="007C4C37" w:rsidRDefault="005B2851" w:rsidP="00C10FB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C4C37">
              <w:rPr>
                <w:rFonts w:ascii="Calibri" w:eastAsia="Times New Roman" w:hAnsi="Calibri" w:cs="Calibri"/>
                <w:color w:val="000000"/>
                <w:sz w:val="20"/>
                <w:szCs w:val="20"/>
              </w:rPr>
              <w:t>Change due to excess NOx</w:t>
            </w:r>
          </w:p>
        </w:tc>
        <w:tc>
          <w:tcPr>
            <w:tcW w:w="4410" w:type="dxa"/>
            <w:gridSpan w:val="3"/>
          </w:tcPr>
          <w:p w14:paraId="2FD66E36" w14:textId="0AF3D998" w:rsidR="005B2851" w:rsidRDefault="005B2851" w:rsidP="00C10F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C4C37">
              <w:rPr>
                <w:rFonts w:ascii="Calibri" w:eastAsia="Times New Roman" w:hAnsi="Calibri" w:cs="Calibri"/>
                <w:color w:val="000000"/>
                <w:sz w:val="20"/>
                <w:szCs w:val="20"/>
              </w:rPr>
              <w:t>Change due to policies relative to</w:t>
            </w:r>
            <w:r>
              <w:rPr>
                <w:rFonts w:ascii="Calibri" w:eastAsia="Times New Roman" w:hAnsi="Calibri" w:cs="Calibri"/>
                <w:color w:val="000000"/>
                <w:sz w:val="20"/>
                <w:szCs w:val="20"/>
              </w:rPr>
              <w:t xml:space="preserve"> 2040 baseline</w:t>
            </w:r>
          </w:p>
          <w:p w14:paraId="41F60204" w14:textId="56E87B7E" w:rsidR="005B2851" w:rsidRPr="007C4C37" w:rsidRDefault="005B2851" w:rsidP="00C10FB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eastAsia="Times New Roman" w:hAnsi="Calibri" w:cs="Calibri"/>
                <w:color w:val="000000"/>
                <w:sz w:val="20"/>
                <w:szCs w:val="20"/>
              </w:rPr>
              <w:t>(scenario minus baseline)</w:t>
            </w:r>
          </w:p>
        </w:tc>
      </w:tr>
      <w:tr w:rsidR="007C4C37" w:rsidRPr="007C4C37" w14:paraId="69288E0B" w14:textId="77777777" w:rsidTr="009C1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vMerge/>
          </w:tcPr>
          <w:p w14:paraId="44822086" w14:textId="77777777" w:rsidR="00C10FBC" w:rsidRPr="007C4C37" w:rsidRDefault="00C10FBC" w:rsidP="00C10FBC">
            <w:pPr>
              <w:rPr>
                <w:rFonts w:ascii="Calibri" w:hAnsi="Calibri" w:cs="Calibri"/>
                <w:b w:val="0"/>
                <w:sz w:val="20"/>
                <w:szCs w:val="20"/>
              </w:rPr>
            </w:pPr>
          </w:p>
        </w:tc>
        <w:tc>
          <w:tcPr>
            <w:tcW w:w="1405" w:type="dxa"/>
          </w:tcPr>
          <w:p w14:paraId="4F2693C3" w14:textId="433F7EEF"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Baseline 2015</w:t>
            </w:r>
          </w:p>
        </w:tc>
        <w:tc>
          <w:tcPr>
            <w:tcW w:w="1350" w:type="dxa"/>
          </w:tcPr>
          <w:p w14:paraId="15FF8CF0" w14:textId="75F5711C"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Baseline 2040</w:t>
            </w:r>
          </w:p>
        </w:tc>
        <w:tc>
          <w:tcPr>
            <w:tcW w:w="1350" w:type="dxa"/>
          </w:tcPr>
          <w:p w14:paraId="07CE98A6" w14:textId="646D468C"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Baseline – Limits 2015</w:t>
            </w:r>
          </w:p>
        </w:tc>
        <w:tc>
          <w:tcPr>
            <w:tcW w:w="1571" w:type="dxa"/>
          </w:tcPr>
          <w:p w14:paraId="1BC2DA65" w14:textId="7259F056"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Euro 6/VI</w:t>
            </w:r>
          </w:p>
        </w:tc>
        <w:tc>
          <w:tcPr>
            <w:tcW w:w="1419" w:type="dxa"/>
          </w:tcPr>
          <w:p w14:paraId="1D41101D" w14:textId="5A887544" w:rsidR="00C10FBC" w:rsidRPr="007C4C37" w:rsidRDefault="00BD4276"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 xml:space="preserve">Strong </w:t>
            </w:r>
            <w:r w:rsidR="00C10FBC" w:rsidRPr="007C4C37">
              <w:rPr>
                <w:rFonts w:ascii="Calibri" w:eastAsia="Times New Roman" w:hAnsi="Calibri" w:cs="Calibri"/>
                <w:b/>
                <w:color w:val="000000"/>
                <w:sz w:val="20"/>
                <w:szCs w:val="20"/>
              </w:rPr>
              <w:t>RDE</w:t>
            </w:r>
          </w:p>
        </w:tc>
        <w:tc>
          <w:tcPr>
            <w:tcW w:w="1420" w:type="dxa"/>
          </w:tcPr>
          <w:p w14:paraId="6413DD95" w14:textId="70E4F82C"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7C4C37">
              <w:rPr>
                <w:rFonts w:ascii="Calibri" w:eastAsia="Times New Roman" w:hAnsi="Calibri" w:cs="Calibri"/>
                <w:b/>
                <w:color w:val="000000"/>
                <w:sz w:val="20"/>
                <w:szCs w:val="20"/>
              </w:rPr>
              <w:t>NextGen</w:t>
            </w:r>
          </w:p>
        </w:tc>
      </w:tr>
      <w:tr w:rsidR="00C10FBC" w:rsidRPr="007C4C37" w14:paraId="41B65240" w14:textId="77777777" w:rsidTr="003C0C10">
        <w:tc>
          <w:tcPr>
            <w:cnfStyle w:val="001000000000" w:firstRow="0" w:lastRow="0" w:firstColumn="1" w:lastColumn="0" w:oddVBand="0" w:evenVBand="0" w:oddHBand="0" w:evenHBand="0" w:firstRowFirstColumn="0" w:firstRowLastColumn="0" w:lastRowFirstColumn="0" w:lastRowLastColumn="0"/>
            <w:tcW w:w="9360" w:type="dxa"/>
            <w:gridSpan w:val="7"/>
          </w:tcPr>
          <w:p w14:paraId="3FDAA345" w14:textId="66EA508B" w:rsidR="00C10FBC" w:rsidRPr="007C4C37" w:rsidRDefault="00F6074F" w:rsidP="00C10FBC">
            <w:pPr>
              <w:rPr>
                <w:rFonts w:ascii="Calibri" w:hAnsi="Calibri" w:cs="Calibri"/>
                <w:sz w:val="20"/>
                <w:szCs w:val="20"/>
              </w:rPr>
            </w:pPr>
            <w:r w:rsidRPr="007C4C37">
              <w:rPr>
                <w:rFonts w:ascii="Calibri" w:hAnsi="Calibri" w:cs="Calibri"/>
                <w:sz w:val="20"/>
                <w:szCs w:val="20"/>
              </w:rPr>
              <w:t>P</w:t>
            </w:r>
            <w:r w:rsidR="0015209B" w:rsidRPr="007C4C37">
              <w:rPr>
                <w:rFonts w:ascii="Calibri" w:hAnsi="Calibri" w:cs="Calibri"/>
                <w:sz w:val="20"/>
                <w:szCs w:val="20"/>
              </w:rPr>
              <w:t>opulation-weighted c</w:t>
            </w:r>
            <w:r w:rsidR="00C10FBC" w:rsidRPr="007C4C37">
              <w:rPr>
                <w:rFonts w:ascii="Calibri" w:hAnsi="Calibri" w:cs="Calibri"/>
                <w:sz w:val="20"/>
                <w:szCs w:val="20"/>
              </w:rPr>
              <w:t>oncentration</w:t>
            </w:r>
          </w:p>
        </w:tc>
      </w:tr>
      <w:tr w:rsidR="007C4C37" w:rsidRPr="007C4C37" w14:paraId="6250C504" w14:textId="77777777" w:rsidTr="009C1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4E40906" w14:textId="55113B56" w:rsidR="00C10FBC" w:rsidRPr="007C4C37" w:rsidRDefault="00C10FBC">
            <w:pPr>
              <w:rPr>
                <w:rFonts w:ascii="Calibri" w:hAnsi="Calibri" w:cs="Calibri"/>
                <w:b w:val="0"/>
                <w:sz w:val="20"/>
                <w:szCs w:val="20"/>
              </w:rPr>
            </w:pPr>
            <w:r w:rsidRPr="007C4C37">
              <w:rPr>
                <w:rFonts w:ascii="Calibri" w:hAnsi="Calibri" w:cs="Calibri"/>
                <w:b w:val="0"/>
                <w:sz w:val="20"/>
                <w:szCs w:val="20"/>
              </w:rPr>
              <w:t>PM</w:t>
            </w:r>
            <w:r w:rsidRPr="007C4C37">
              <w:rPr>
                <w:rFonts w:ascii="Calibri" w:hAnsi="Calibri" w:cs="Calibri"/>
                <w:b w:val="0"/>
                <w:sz w:val="20"/>
                <w:szCs w:val="20"/>
                <w:vertAlign w:val="subscript"/>
              </w:rPr>
              <w:t>2.5</w:t>
            </w:r>
            <w:r w:rsidRPr="007C4C37">
              <w:rPr>
                <w:rFonts w:ascii="Calibri" w:hAnsi="Calibri" w:cs="Calibri"/>
                <w:b w:val="0"/>
                <w:sz w:val="20"/>
                <w:szCs w:val="20"/>
              </w:rPr>
              <w:t xml:space="preserve"> (µg/m</w:t>
            </w:r>
            <w:r w:rsidRPr="007C4C37">
              <w:rPr>
                <w:rFonts w:ascii="Calibri" w:hAnsi="Calibri" w:cs="Calibri"/>
                <w:b w:val="0"/>
                <w:sz w:val="20"/>
                <w:szCs w:val="20"/>
                <w:vertAlign w:val="superscript"/>
              </w:rPr>
              <w:t>3</w:t>
            </w:r>
            <w:r w:rsidRPr="007C4C37">
              <w:rPr>
                <w:rFonts w:ascii="Calibri" w:hAnsi="Calibri" w:cs="Calibri"/>
                <w:b w:val="0"/>
                <w:sz w:val="20"/>
                <w:szCs w:val="20"/>
              </w:rPr>
              <w:t>)</w:t>
            </w:r>
          </w:p>
        </w:tc>
        <w:tc>
          <w:tcPr>
            <w:tcW w:w="1405" w:type="dxa"/>
          </w:tcPr>
          <w:p w14:paraId="6B3B0F35" w14:textId="3A04A8A5"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31.63</w:t>
            </w:r>
          </w:p>
        </w:tc>
        <w:tc>
          <w:tcPr>
            <w:tcW w:w="1350" w:type="dxa"/>
          </w:tcPr>
          <w:p w14:paraId="53C350F9" w14:textId="3AFACE98"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32.39</w:t>
            </w:r>
          </w:p>
        </w:tc>
        <w:tc>
          <w:tcPr>
            <w:tcW w:w="1350" w:type="dxa"/>
          </w:tcPr>
          <w:p w14:paraId="07064FE1" w14:textId="4CEED05B"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0.38</w:t>
            </w:r>
          </w:p>
        </w:tc>
        <w:tc>
          <w:tcPr>
            <w:tcW w:w="1571" w:type="dxa"/>
          </w:tcPr>
          <w:p w14:paraId="1833220A" w14:textId="18108538"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-0.69</w:t>
            </w:r>
          </w:p>
        </w:tc>
        <w:tc>
          <w:tcPr>
            <w:tcW w:w="1419" w:type="dxa"/>
          </w:tcPr>
          <w:p w14:paraId="7CAD8F0E" w14:textId="6E3E068F"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-0.89</w:t>
            </w:r>
          </w:p>
        </w:tc>
        <w:tc>
          <w:tcPr>
            <w:tcW w:w="1420" w:type="dxa"/>
          </w:tcPr>
          <w:p w14:paraId="2955F97C" w14:textId="439EEFEC"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-1.12</w:t>
            </w:r>
          </w:p>
        </w:tc>
      </w:tr>
      <w:tr w:rsidR="007C4C37" w:rsidRPr="007C4C37" w14:paraId="2380B85A" w14:textId="77777777" w:rsidTr="009C192C">
        <w:tc>
          <w:tcPr>
            <w:cnfStyle w:val="001000000000" w:firstRow="0" w:lastRow="0" w:firstColumn="1" w:lastColumn="0" w:oddVBand="0" w:evenVBand="0" w:oddHBand="0" w:evenHBand="0" w:firstRowFirstColumn="0" w:firstRowLastColumn="0" w:lastRowFirstColumn="0" w:lastRowLastColumn="0"/>
            <w:tcW w:w="845" w:type="dxa"/>
          </w:tcPr>
          <w:p w14:paraId="6249EB9C" w14:textId="08E23C17" w:rsidR="00C10FBC" w:rsidRPr="007C4C37" w:rsidRDefault="00C10FBC">
            <w:pPr>
              <w:rPr>
                <w:rFonts w:ascii="Calibri" w:hAnsi="Calibri" w:cs="Calibri"/>
                <w:b w:val="0"/>
                <w:sz w:val="20"/>
                <w:szCs w:val="20"/>
              </w:rPr>
            </w:pPr>
            <w:r w:rsidRPr="007C4C37">
              <w:rPr>
                <w:rFonts w:ascii="Calibri" w:hAnsi="Calibri" w:cs="Calibri"/>
                <w:b w:val="0"/>
                <w:sz w:val="20"/>
                <w:szCs w:val="20"/>
              </w:rPr>
              <w:t>ozone (ppb)</w:t>
            </w:r>
          </w:p>
        </w:tc>
        <w:tc>
          <w:tcPr>
            <w:tcW w:w="1405" w:type="dxa"/>
          </w:tcPr>
          <w:p w14:paraId="48E0B9CE" w14:textId="036CAD21"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55.68</w:t>
            </w:r>
          </w:p>
        </w:tc>
        <w:tc>
          <w:tcPr>
            <w:tcW w:w="1350" w:type="dxa"/>
          </w:tcPr>
          <w:p w14:paraId="7044F085" w14:textId="59EEC4A7"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57.28</w:t>
            </w:r>
          </w:p>
        </w:tc>
        <w:tc>
          <w:tcPr>
            <w:tcW w:w="1350" w:type="dxa"/>
          </w:tcPr>
          <w:p w14:paraId="1FCC129B" w14:textId="0F7BBD96"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0.66</w:t>
            </w:r>
          </w:p>
        </w:tc>
        <w:tc>
          <w:tcPr>
            <w:tcW w:w="1571" w:type="dxa"/>
          </w:tcPr>
          <w:p w14:paraId="72F29A8C" w14:textId="37D84989"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-0.89</w:t>
            </w:r>
          </w:p>
        </w:tc>
        <w:tc>
          <w:tcPr>
            <w:tcW w:w="1419" w:type="dxa"/>
          </w:tcPr>
          <w:p w14:paraId="601FEFAF" w14:textId="318B4ED3"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-1.19</w:t>
            </w:r>
          </w:p>
        </w:tc>
        <w:tc>
          <w:tcPr>
            <w:tcW w:w="1420" w:type="dxa"/>
          </w:tcPr>
          <w:p w14:paraId="443AEC1C" w14:textId="504E8A23"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-1.57</w:t>
            </w:r>
          </w:p>
        </w:tc>
      </w:tr>
      <w:tr w:rsidR="00C10FBC" w:rsidRPr="007C4C37" w14:paraId="120B45A3" w14:textId="77777777" w:rsidTr="003C0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7"/>
          </w:tcPr>
          <w:p w14:paraId="6B5E0C50" w14:textId="6E2CC43C" w:rsidR="00C10FBC" w:rsidRPr="007C4C37" w:rsidRDefault="003816E9" w:rsidP="00C10FBC">
            <w:pPr>
              <w:rPr>
                <w:rFonts w:ascii="Calibri" w:hAnsi="Calibri" w:cs="Calibri"/>
                <w:sz w:val="20"/>
                <w:szCs w:val="20"/>
              </w:rPr>
            </w:pPr>
            <w:r w:rsidRPr="007C4C37">
              <w:rPr>
                <w:rFonts w:ascii="Calibri" w:hAnsi="Calibri" w:cs="Calibri"/>
                <w:sz w:val="20"/>
                <w:szCs w:val="20"/>
              </w:rPr>
              <w:t xml:space="preserve">Premature deaths </w:t>
            </w:r>
            <w:r w:rsidR="00073FD4" w:rsidRPr="007C4C37">
              <w:rPr>
                <w:rFonts w:ascii="Calibri" w:hAnsi="Calibri" w:cs="Calibri"/>
                <w:sz w:val="20"/>
                <w:szCs w:val="20"/>
              </w:rPr>
              <w:t>(millions)</w:t>
            </w:r>
          </w:p>
        </w:tc>
      </w:tr>
      <w:tr w:rsidR="007C4C37" w:rsidRPr="007C4C37" w14:paraId="1E278D56" w14:textId="77777777" w:rsidTr="009C192C">
        <w:tc>
          <w:tcPr>
            <w:cnfStyle w:val="001000000000" w:firstRow="0" w:lastRow="0" w:firstColumn="1" w:lastColumn="0" w:oddVBand="0" w:evenVBand="0" w:oddHBand="0" w:evenHBand="0" w:firstRowFirstColumn="0" w:firstRowLastColumn="0" w:lastRowFirstColumn="0" w:lastRowLastColumn="0"/>
            <w:tcW w:w="845" w:type="dxa"/>
          </w:tcPr>
          <w:p w14:paraId="1DA6DAB6" w14:textId="4678B935" w:rsidR="00C10FBC" w:rsidRPr="007C4C37" w:rsidRDefault="00C10FBC">
            <w:pPr>
              <w:rPr>
                <w:rFonts w:ascii="Calibri" w:hAnsi="Calibri" w:cs="Calibri"/>
                <w:b w:val="0"/>
                <w:sz w:val="20"/>
                <w:szCs w:val="20"/>
              </w:rPr>
            </w:pPr>
            <w:r w:rsidRPr="007C4C37">
              <w:rPr>
                <w:rFonts w:ascii="Calibri" w:hAnsi="Calibri" w:cs="Calibri"/>
                <w:b w:val="0"/>
                <w:sz w:val="20"/>
                <w:szCs w:val="20"/>
              </w:rPr>
              <w:t>PM</w:t>
            </w:r>
            <w:r w:rsidRPr="007C4C37">
              <w:rPr>
                <w:rFonts w:ascii="Calibri" w:hAnsi="Calibri" w:cs="Calibri"/>
                <w:b w:val="0"/>
                <w:sz w:val="20"/>
                <w:szCs w:val="20"/>
                <w:vertAlign w:val="subscript"/>
              </w:rPr>
              <w:t>2.5</w:t>
            </w:r>
            <w:r w:rsidR="00073FD4" w:rsidRPr="007C4C37">
              <w:rPr>
                <w:rFonts w:ascii="Calibri" w:hAnsi="Calibri" w:cs="Calibri"/>
                <w:b w:val="0"/>
                <w:sz w:val="20"/>
                <w:szCs w:val="20"/>
              </w:rPr>
              <w:t xml:space="preserve"> </w:t>
            </w:r>
          </w:p>
        </w:tc>
        <w:tc>
          <w:tcPr>
            <w:tcW w:w="1405" w:type="dxa"/>
          </w:tcPr>
          <w:p w14:paraId="49ED59A8" w14:textId="77777777"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3.82</w:t>
            </w:r>
          </w:p>
          <w:p w14:paraId="25212D2B" w14:textId="5618E3AB" w:rsidR="00C10FBC" w:rsidRPr="007C4C37" w:rsidRDefault="004B17B9"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C10FBC" w:rsidRPr="007C4C37">
              <w:rPr>
                <w:rFonts w:ascii="Calibri" w:hAnsi="Calibri" w:cs="Calibri"/>
                <w:sz w:val="20"/>
                <w:szCs w:val="20"/>
              </w:rPr>
              <w:t>2.03, 5.73</w:t>
            </w:r>
            <w:r>
              <w:rPr>
                <w:rFonts w:ascii="Calibri" w:hAnsi="Calibri" w:cs="Calibri"/>
                <w:sz w:val="20"/>
                <w:szCs w:val="20"/>
              </w:rPr>
              <w:t>)</w:t>
            </w:r>
          </w:p>
        </w:tc>
        <w:tc>
          <w:tcPr>
            <w:tcW w:w="1350" w:type="dxa"/>
          </w:tcPr>
          <w:p w14:paraId="170A280D" w14:textId="77777777"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5.99</w:t>
            </w:r>
          </w:p>
          <w:p w14:paraId="04CE952E" w14:textId="1AC98BA1" w:rsidR="00C10FBC" w:rsidRPr="007C4C37" w:rsidRDefault="004B17B9"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C10FBC" w:rsidRPr="007C4C37">
              <w:rPr>
                <w:rFonts w:ascii="Calibri" w:hAnsi="Calibri" w:cs="Calibri"/>
                <w:sz w:val="20"/>
                <w:szCs w:val="20"/>
              </w:rPr>
              <w:t>3.13, 8.50</w:t>
            </w:r>
            <w:r>
              <w:rPr>
                <w:rFonts w:ascii="Calibri" w:hAnsi="Calibri" w:cs="Calibri"/>
                <w:sz w:val="20"/>
                <w:szCs w:val="20"/>
              </w:rPr>
              <w:t>)</w:t>
            </w:r>
          </w:p>
        </w:tc>
        <w:tc>
          <w:tcPr>
            <w:tcW w:w="1350" w:type="dxa"/>
          </w:tcPr>
          <w:p w14:paraId="47C8B0D7" w14:textId="2E0807C7" w:rsidR="00C10FBC" w:rsidRPr="007C4C37" w:rsidRDefault="00C10FBC" w:rsidP="00C10FBC">
            <w:pPr>
              <w:tabs>
                <w:tab w:val="left" w:pos="78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0.031</w:t>
            </w:r>
          </w:p>
          <w:p w14:paraId="043DAEED" w14:textId="260A6300" w:rsidR="00C10FBC" w:rsidRPr="007C4C37" w:rsidRDefault="004B17B9"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0.020, 0.037</w:t>
            </w:r>
            <w:r>
              <w:rPr>
                <w:sz w:val="20"/>
                <w:szCs w:val="20"/>
              </w:rPr>
              <w:t>)</w:t>
            </w:r>
          </w:p>
        </w:tc>
        <w:tc>
          <w:tcPr>
            <w:tcW w:w="1571" w:type="dxa"/>
          </w:tcPr>
          <w:p w14:paraId="40581924" w14:textId="76FA0EF2"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-0.082</w:t>
            </w:r>
          </w:p>
          <w:p w14:paraId="4D6C69D4" w14:textId="1941CD5E" w:rsidR="00C10FBC" w:rsidRPr="007C4C37" w:rsidRDefault="004B17B9"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-0.047, -0.095</w:t>
            </w:r>
            <w:r>
              <w:rPr>
                <w:sz w:val="20"/>
                <w:szCs w:val="20"/>
              </w:rPr>
              <w:t>)</w:t>
            </w:r>
          </w:p>
        </w:tc>
        <w:tc>
          <w:tcPr>
            <w:tcW w:w="1419" w:type="dxa"/>
          </w:tcPr>
          <w:p w14:paraId="2A13D927" w14:textId="2B10FF1F"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-0.107</w:t>
            </w:r>
          </w:p>
          <w:p w14:paraId="5324B88A" w14:textId="0426F2CF" w:rsidR="00C10FBC"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-0.062, -0.124</w:t>
            </w:r>
            <w:r>
              <w:rPr>
                <w:sz w:val="20"/>
                <w:szCs w:val="20"/>
              </w:rPr>
              <w:t>)</w:t>
            </w:r>
          </w:p>
        </w:tc>
        <w:tc>
          <w:tcPr>
            <w:tcW w:w="1420" w:type="dxa"/>
          </w:tcPr>
          <w:p w14:paraId="776E6C76" w14:textId="15429795" w:rsidR="00C10FBC" w:rsidRPr="007C4C37" w:rsidRDefault="00C10FB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-0.137</w:t>
            </w:r>
          </w:p>
          <w:p w14:paraId="42C86DC2" w14:textId="4944A074" w:rsidR="00C10FBC"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-0.080, -0.160</w:t>
            </w:r>
            <w:r>
              <w:rPr>
                <w:sz w:val="20"/>
                <w:szCs w:val="20"/>
              </w:rPr>
              <w:t>)</w:t>
            </w:r>
          </w:p>
        </w:tc>
      </w:tr>
      <w:tr w:rsidR="007C4C37" w:rsidRPr="007C4C37" w14:paraId="438FCB89" w14:textId="77777777" w:rsidTr="009C1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1F45A6D0" w14:textId="67FC20E7" w:rsidR="00C10FBC" w:rsidRPr="007C4C37" w:rsidRDefault="00073FD4">
            <w:pPr>
              <w:rPr>
                <w:rFonts w:ascii="Calibri" w:hAnsi="Calibri" w:cs="Calibri"/>
                <w:b w:val="0"/>
                <w:sz w:val="20"/>
                <w:szCs w:val="20"/>
              </w:rPr>
            </w:pPr>
            <w:r w:rsidRPr="007C4C37">
              <w:rPr>
                <w:rFonts w:ascii="Calibri" w:hAnsi="Calibri" w:cs="Calibri"/>
                <w:b w:val="0"/>
                <w:sz w:val="20"/>
                <w:szCs w:val="20"/>
              </w:rPr>
              <w:t xml:space="preserve">Ozone </w:t>
            </w:r>
          </w:p>
        </w:tc>
        <w:tc>
          <w:tcPr>
            <w:tcW w:w="1405" w:type="dxa"/>
          </w:tcPr>
          <w:p w14:paraId="3C1947E5" w14:textId="77777777"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0.216</w:t>
            </w:r>
          </w:p>
          <w:p w14:paraId="4E1D4AB6" w14:textId="1B0D5D1B" w:rsidR="00C10FBC"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C10FBC" w:rsidRPr="007C4C37">
              <w:rPr>
                <w:rFonts w:ascii="Calibri" w:hAnsi="Calibri" w:cs="Calibri"/>
                <w:sz w:val="20"/>
                <w:szCs w:val="20"/>
              </w:rPr>
              <w:t>0.080, 0.343</w:t>
            </w:r>
            <w:r>
              <w:rPr>
                <w:rFonts w:ascii="Calibri" w:hAnsi="Calibri" w:cs="Calibri"/>
                <w:sz w:val="20"/>
                <w:szCs w:val="20"/>
              </w:rPr>
              <w:t>)</w:t>
            </w:r>
          </w:p>
        </w:tc>
        <w:tc>
          <w:tcPr>
            <w:tcW w:w="1350" w:type="dxa"/>
          </w:tcPr>
          <w:p w14:paraId="57EB09F7" w14:textId="77777777"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0.500</w:t>
            </w:r>
          </w:p>
          <w:p w14:paraId="54C7F717" w14:textId="06889A40" w:rsidR="00C10FBC"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C10FBC" w:rsidRPr="007C4C37">
              <w:rPr>
                <w:rFonts w:ascii="Calibri" w:hAnsi="Calibri" w:cs="Calibri"/>
                <w:sz w:val="20"/>
                <w:szCs w:val="20"/>
              </w:rPr>
              <w:t>0.186, 0.791</w:t>
            </w:r>
            <w:r>
              <w:rPr>
                <w:rFonts w:ascii="Calibri" w:hAnsi="Calibri" w:cs="Calibri"/>
                <w:sz w:val="20"/>
                <w:szCs w:val="20"/>
              </w:rPr>
              <w:t>)</w:t>
            </w:r>
          </w:p>
        </w:tc>
        <w:tc>
          <w:tcPr>
            <w:tcW w:w="1350" w:type="dxa"/>
          </w:tcPr>
          <w:p w14:paraId="54AED671" w14:textId="04AF4A54"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0.007</w:t>
            </w:r>
          </w:p>
          <w:p w14:paraId="165F186E" w14:textId="5CB4C95C" w:rsidR="00C10FBC"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0.003, 0.010</w:t>
            </w:r>
            <w:r>
              <w:rPr>
                <w:sz w:val="20"/>
                <w:szCs w:val="20"/>
              </w:rPr>
              <w:t>)</w:t>
            </w:r>
          </w:p>
        </w:tc>
        <w:tc>
          <w:tcPr>
            <w:tcW w:w="1571" w:type="dxa"/>
          </w:tcPr>
          <w:p w14:paraId="08602842" w14:textId="371EA181" w:rsidR="00C10FBC" w:rsidRPr="007C4C37" w:rsidRDefault="00002765"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-0.022</w:t>
            </w:r>
          </w:p>
          <w:p w14:paraId="5938FD17" w14:textId="3DEA26AB" w:rsidR="00C10FBC"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-0.008, -0.034</w:t>
            </w:r>
            <w:r>
              <w:rPr>
                <w:sz w:val="20"/>
                <w:szCs w:val="20"/>
              </w:rPr>
              <w:t>)</w:t>
            </w:r>
          </w:p>
        </w:tc>
        <w:tc>
          <w:tcPr>
            <w:tcW w:w="1419" w:type="dxa"/>
          </w:tcPr>
          <w:p w14:paraId="16E243D4" w14:textId="1FB96057"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-0.029</w:t>
            </w:r>
          </w:p>
          <w:p w14:paraId="7A523FFB" w14:textId="0BC59BFD" w:rsidR="00C10FBC" w:rsidRPr="007C4C37" w:rsidRDefault="007C4C37" w:rsidP="007C4C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sz w:val="20"/>
                <w:szCs w:val="20"/>
              </w:rPr>
              <w:t xml:space="preserve"> </w:t>
            </w:r>
            <w:r w:rsidR="009C192C">
              <w:rPr>
                <w:sz w:val="20"/>
                <w:szCs w:val="20"/>
              </w:rPr>
              <w:t>(</w:t>
            </w:r>
            <w:r w:rsidRPr="007C4C37">
              <w:rPr>
                <w:sz w:val="20"/>
                <w:szCs w:val="20"/>
              </w:rPr>
              <w:t>-0.011, -0.044</w:t>
            </w:r>
            <w:r w:rsidR="009C192C">
              <w:rPr>
                <w:sz w:val="20"/>
                <w:szCs w:val="20"/>
              </w:rPr>
              <w:t>)</w:t>
            </w:r>
          </w:p>
        </w:tc>
        <w:tc>
          <w:tcPr>
            <w:tcW w:w="1420" w:type="dxa"/>
          </w:tcPr>
          <w:p w14:paraId="2611BB96" w14:textId="7E418D0D" w:rsidR="00C10FBC" w:rsidRPr="007C4C37" w:rsidRDefault="00C10FB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-0.037</w:t>
            </w:r>
          </w:p>
          <w:p w14:paraId="406D7E37" w14:textId="7BA88677" w:rsidR="00C10FBC"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sz w:val="20"/>
                <w:szCs w:val="20"/>
              </w:rPr>
              <w:t>(</w:t>
            </w:r>
            <w:r w:rsidR="007C4C37" w:rsidRPr="007C4C37">
              <w:rPr>
                <w:sz w:val="20"/>
                <w:szCs w:val="20"/>
              </w:rPr>
              <w:t>-0.014, -0.057</w:t>
            </w:r>
            <w:r>
              <w:rPr>
                <w:sz w:val="20"/>
                <w:szCs w:val="20"/>
              </w:rPr>
              <w:t>)</w:t>
            </w:r>
          </w:p>
        </w:tc>
      </w:tr>
      <w:tr w:rsidR="007C4C37" w:rsidRPr="007C4C37" w14:paraId="578BDB7D" w14:textId="77777777" w:rsidTr="003C0C10">
        <w:tc>
          <w:tcPr>
            <w:cnfStyle w:val="001000000000" w:firstRow="0" w:lastRow="0" w:firstColumn="1" w:lastColumn="0" w:oddVBand="0" w:evenVBand="0" w:oddHBand="0" w:evenHBand="0" w:firstRowFirstColumn="0" w:firstRowLastColumn="0" w:lastRowFirstColumn="0" w:lastRowLastColumn="0"/>
            <w:tcW w:w="9360" w:type="dxa"/>
            <w:gridSpan w:val="7"/>
            <w:vAlign w:val="center"/>
          </w:tcPr>
          <w:p w14:paraId="6D6BB1AB" w14:textId="7DBCD368" w:rsidR="007C4C37" w:rsidRPr="007C4C37" w:rsidRDefault="007C4C37" w:rsidP="007C4C37">
            <w:pPr>
              <w:rPr>
                <w:rFonts w:ascii="Calibri" w:hAnsi="Calibri" w:cs="Calibri"/>
                <w:sz w:val="20"/>
                <w:szCs w:val="20"/>
              </w:rPr>
            </w:pPr>
            <w:r>
              <w:rPr>
                <w:rFonts w:ascii="Calibri" w:hAnsi="Calibri" w:cs="Calibri"/>
                <w:sz w:val="20"/>
                <w:szCs w:val="20"/>
              </w:rPr>
              <w:t>Years of life lost (millions)</w:t>
            </w:r>
          </w:p>
        </w:tc>
      </w:tr>
      <w:tr w:rsidR="007C4C37" w:rsidRPr="007C4C37" w14:paraId="6B423E44" w14:textId="77777777" w:rsidTr="009C1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6B378DA" w14:textId="7418866B" w:rsidR="0015209B" w:rsidRPr="007C4C37" w:rsidRDefault="0015209B">
            <w:pPr>
              <w:rPr>
                <w:rFonts w:ascii="Calibri" w:hAnsi="Calibri" w:cs="Calibri"/>
                <w:b w:val="0"/>
                <w:sz w:val="20"/>
                <w:szCs w:val="20"/>
              </w:rPr>
            </w:pPr>
            <w:r w:rsidRPr="007C4C37">
              <w:rPr>
                <w:rFonts w:ascii="Calibri" w:hAnsi="Calibri" w:cs="Calibri"/>
                <w:b w:val="0"/>
                <w:sz w:val="20"/>
                <w:szCs w:val="20"/>
              </w:rPr>
              <w:t>PM</w:t>
            </w:r>
            <w:r w:rsidRPr="007C4C37">
              <w:rPr>
                <w:rFonts w:ascii="Calibri" w:hAnsi="Calibri" w:cs="Calibri"/>
                <w:b w:val="0"/>
                <w:sz w:val="20"/>
                <w:szCs w:val="20"/>
                <w:vertAlign w:val="subscript"/>
              </w:rPr>
              <w:t xml:space="preserve">2.5 </w:t>
            </w:r>
          </w:p>
        </w:tc>
        <w:tc>
          <w:tcPr>
            <w:tcW w:w="1405" w:type="dxa"/>
          </w:tcPr>
          <w:p w14:paraId="4E690B4C" w14:textId="77777777" w:rsidR="00261795" w:rsidRPr="007C4C37" w:rsidRDefault="00073FD4"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69.8</w:t>
            </w:r>
            <w:r w:rsidR="00261795" w:rsidRPr="007C4C37">
              <w:rPr>
                <w:rFonts w:ascii="Calibri" w:hAnsi="Calibri" w:cs="Calibri"/>
                <w:sz w:val="20"/>
                <w:szCs w:val="20"/>
              </w:rPr>
              <w:t xml:space="preserve"> </w:t>
            </w:r>
          </w:p>
          <w:p w14:paraId="5E302C2B" w14:textId="4005A54A" w:rsidR="0015209B"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261795" w:rsidRPr="007C4C37">
              <w:rPr>
                <w:rFonts w:ascii="Calibri" w:hAnsi="Calibri" w:cs="Calibri"/>
                <w:sz w:val="20"/>
                <w:szCs w:val="20"/>
              </w:rPr>
              <w:t>37.1, 105</w:t>
            </w:r>
            <w:r>
              <w:rPr>
                <w:rFonts w:ascii="Calibri" w:hAnsi="Calibri" w:cs="Calibri"/>
                <w:sz w:val="20"/>
                <w:szCs w:val="20"/>
              </w:rPr>
              <w:t>)</w:t>
            </w:r>
          </w:p>
        </w:tc>
        <w:tc>
          <w:tcPr>
            <w:tcW w:w="1350" w:type="dxa"/>
          </w:tcPr>
          <w:p w14:paraId="38231617" w14:textId="77777777" w:rsidR="00261795" w:rsidRPr="007C4C37" w:rsidRDefault="00073FD4"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116</w:t>
            </w:r>
            <w:r w:rsidR="00261795" w:rsidRPr="007C4C37">
              <w:rPr>
                <w:rFonts w:ascii="Calibri" w:hAnsi="Calibri" w:cs="Calibri"/>
                <w:sz w:val="20"/>
                <w:szCs w:val="20"/>
              </w:rPr>
              <w:t xml:space="preserve"> </w:t>
            </w:r>
          </w:p>
          <w:p w14:paraId="791B6847" w14:textId="2F55254D" w:rsidR="0015209B"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261795" w:rsidRPr="007C4C37">
              <w:rPr>
                <w:rFonts w:ascii="Calibri" w:hAnsi="Calibri" w:cs="Calibri"/>
                <w:sz w:val="20"/>
                <w:szCs w:val="20"/>
              </w:rPr>
              <w:t>60.6, 1</w:t>
            </w:r>
            <w:r w:rsidR="008F65E6">
              <w:rPr>
                <w:rFonts w:ascii="Calibri" w:hAnsi="Calibri" w:cs="Calibri"/>
                <w:sz w:val="20"/>
                <w:szCs w:val="20"/>
              </w:rPr>
              <w:t>65</w:t>
            </w:r>
            <w:r>
              <w:rPr>
                <w:rFonts w:ascii="Calibri" w:hAnsi="Calibri" w:cs="Calibri"/>
                <w:sz w:val="20"/>
                <w:szCs w:val="20"/>
              </w:rPr>
              <w:t>)</w:t>
            </w:r>
          </w:p>
        </w:tc>
        <w:tc>
          <w:tcPr>
            <w:tcW w:w="1350" w:type="dxa"/>
          </w:tcPr>
          <w:p w14:paraId="5BAA9278" w14:textId="666E4D01" w:rsidR="0015209B" w:rsidRDefault="00073FD4"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0.52</w:t>
            </w:r>
          </w:p>
          <w:p w14:paraId="2B7C52E5" w14:textId="2A0284DF" w:rsidR="008F65E6"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8F65E6">
              <w:rPr>
                <w:rFonts w:ascii="Calibri" w:hAnsi="Calibri" w:cs="Calibri"/>
                <w:sz w:val="20"/>
                <w:szCs w:val="20"/>
              </w:rPr>
              <w:t>0.34, 0.62</w:t>
            </w:r>
            <w:r>
              <w:rPr>
                <w:rFonts w:ascii="Calibri" w:hAnsi="Calibri" w:cs="Calibri"/>
                <w:sz w:val="20"/>
                <w:szCs w:val="20"/>
              </w:rPr>
              <w:t>)</w:t>
            </w:r>
          </w:p>
        </w:tc>
        <w:tc>
          <w:tcPr>
            <w:tcW w:w="1571" w:type="dxa"/>
          </w:tcPr>
          <w:p w14:paraId="03FF89A2" w14:textId="434552C8" w:rsidR="0015209B" w:rsidRDefault="00FE3A06"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1.48</w:t>
            </w:r>
          </w:p>
          <w:p w14:paraId="5B84F2A2" w14:textId="3F578F20" w:rsidR="00FE3A06"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-0.84, -1.71</w:t>
            </w:r>
            <w:r>
              <w:rPr>
                <w:rFonts w:ascii="Calibri" w:hAnsi="Calibri" w:cs="Calibri"/>
                <w:sz w:val="20"/>
                <w:szCs w:val="20"/>
              </w:rPr>
              <w:t>)</w:t>
            </w:r>
          </w:p>
        </w:tc>
        <w:tc>
          <w:tcPr>
            <w:tcW w:w="1419" w:type="dxa"/>
          </w:tcPr>
          <w:p w14:paraId="4232C8F3" w14:textId="079F1068" w:rsidR="0015209B" w:rsidRDefault="00FE3A06"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1.92</w:t>
            </w:r>
          </w:p>
          <w:p w14:paraId="165D09B8" w14:textId="139D666F" w:rsidR="00FE3A06"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-1.11, -2.23</w:t>
            </w:r>
            <w:r>
              <w:rPr>
                <w:rFonts w:ascii="Calibri" w:hAnsi="Calibri" w:cs="Calibri"/>
                <w:sz w:val="20"/>
                <w:szCs w:val="20"/>
              </w:rPr>
              <w:t>)</w:t>
            </w:r>
          </w:p>
        </w:tc>
        <w:tc>
          <w:tcPr>
            <w:tcW w:w="1420" w:type="dxa"/>
          </w:tcPr>
          <w:p w14:paraId="3E6E728C" w14:textId="1D2310D7" w:rsidR="0015209B" w:rsidRDefault="00FE3A06"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2.44</w:t>
            </w:r>
          </w:p>
          <w:p w14:paraId="0A4A9BA8" w14:textId="00AC8FE9" w:rsidR="00FE3A06" w:rsidRPr="007C4C37" w:rsidRDefault="009C192C" w:rsidP="00C10F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-1.42, -2.85</w:t>
            </w:r>
            <w:r>
              <w:rPr>
                <w:rFonts w:ascii="Calibri" w:hAnsi="Calibri" w:cs="Calibri"/>
                <w:sz w:val="20"/>
                <w:szCs w:val="20"/>
              </w:rPr>
              <w:t>)</w:t>
            </w:r>
          </w:p>
        </w:tc>
      </w:tr>
      <w:tr w:rsidR="007C4C37" w:rsidRPr="007C4C37" w14:paraId="36F46E1E" w14:textId="77777777" w:rsidTr="009C192C">
        <w:tc>
          <w:tcPr>
            <w:cnfStyle w:val="001000000000" w:firstRow="0" w:lastRow="0" w:firstColumn="1" w:lastColumn="0" w:oddVBand="0" w:evenVBand="0" w:oddHBand="0" w:evenHBand="0" w:firstRowFirstColumn="0" w:firstRowLastColumn="0" w:lastRowFirstColumn="0" w:lastRowLastColumn="0"/>
            <w:tcW w:w="845" w:type="dxa"/>
          </w:tcPr>
          <w:p w14:paraId="2E796FF9" w14:textId="37986218" w:rsidR="0015209B" w:rsidRPr="007C4C37" w:rsidRDefault="0015209B">
            <w:pPr>
              <w:rPr>
                <w:rFonts w:ascii="Calibri" w:hAnsi="Calibri" w:cs="Calibri"/>
                <w:b w:val="0"/>
                <w:sz w:val="20"/>
                <w:szCs w:val="20"/>
              </w:rPr>
            </w:pPr>
            <w:r w:rsidRPr="007C4C37">
              <w:rPr>
                <w:rFonts w:ascii="Calibri" w:hAnsi="Calibri" w:cs="Calibri"/>
                <w:b w:val="0"/>
                <w:sz w:val="20"/>
                <w:szCs w:val="20"/>
              </w:rPr>
              <w:t xml:space="preserve">Ozone </w:t>
            </w:r>
          </w:p>
        </w:tc>
        <w:tc>
          <w:tcPr>
            <w:tcW w:w="1405" w:type="dxa"/>
          </w:tcPr>
          <w:p w14:paraId="2047B04E" w14:textId="77777777" w:rsidR="0015209B" w:rsidRPr="007C4C37" w:rsidRDefault="00073FD4"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3.41</w:t>
            </w:r>
            <w:r w:rsidR="00261795" w:rsidRPr="007C4C37">
              <w:rPr>
                <w:rFonts w:ascii="Calibri" w:hAnsi="Calibri" w:cs="Calibri"/>
                <w:sz w:val="20"/>
                <w:szCs w:val="20"/>
              </w:rPr>
              <w:t xml:space="preserve"> </w:t>
            </w:r>
          </w:p>
          <w:p w14:paraId="03C9725C" w14:textId="22621688" w:rsidR="00261795"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261795" w:rsidRPr="007C4C37">
              <w:rPr>
                <w:rFonts w:ascii="Calibri" w:hAnsi="Calibri" w:cs="Calibri"/>
                <w:sz w:val="20"/>
                <w:szCs w:val="20"/>
              </w:rPr>
              <w:t>1.26, 5.41</w:t>
            </w:r>
            <w:r>
              <w:rPr>
                <w:rFonts w:ascii="Calibri" w:hAnsi="Calibri" w:cs="Calibri"/>
                <w:sz w:val="20"/>
                <w:szCs w:val="20"/>
              </w:rPr>
              <w:t>)</w:t>
            </w:r>
          </w:p>
        </w:tc>
        <w:tc>
          <w:tcPr>
            <w:tcW w:w="1350" w:type="dxa"/>
          </w:tcPr>
          <w:p w14:paraId="388F7902" w14:textId="77777777" w:rsidR="0015209B" w:rsidRPr="007C4C37" w:rsidRDefault="00073FD4"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8.23</w:t>
            </w:r>
          </w:p>
          <w:p w14:paraId="6234F129" w14:textId="48E26C81" w:rsidR="00261795"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261795" w:rsidRPr="007C4C37">
              <w:rPr>
                <w:rFonts w:ascii="Calibri" w:hAnsi="Calibri" w:cs="Calibri"/>
                <w:sz w:val="20"/>
                <w:szCs w:val="20"/>
              </w:rPr>
              <w:t>3.06</w:t>
            </w:r>
            <w:r w:rsidR="008F65E6">
              <w:rPr>
                <w:rFonts w:ascii="Calibri" w:hAnsi="Calibri" w:cs="Calibri"/>
                <w:sz w:val="20"/>
                <w:szCs w:val="20"/>
              </w:rPr>
              <w:t>, 13.0</w:t>
            </w:r>
            <w:r>
              <w:rPr>
                <w:rFonts w:ascii="Calibri" w:hAnsi="Calibri" w:cs="Calibri"/>
                <w:sz w:val="20"/>
                <w:szCs w:val="20"/>
              </w:rPr>
              <w:t>)</w:t>
            </w:r>
          </w:p>
        </w:tc>
        <w:tc>
          <w:tcPr>
            <w:tcW w:w="1350" w:type="dxa"/>
          </w:tcPr>
          <w:p w14:paraId="3F5FF5A4" w14:textId="255A537E" w:rsidR="0015209B" w:rsidRDefault="00073FD4"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C4C37">
              <w:rPr>
                <w:rFonts w:ascii="Calibri" w:hAnsi="Calibri" w:cs="Calibri"/>
                <w:sz w:val="20"/>
                <w:szCs w:val="20"/>
              </w:rPr>
              <w:t>0.11</w:t>
            </w:r>
          </w:p>
          <w:p w14:paraId="2414A583" w14:textId="0CD210EE" w:rsidR="008F65E6"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8F65E6">
              <w:rPr>
                <w:rFonts w:ascii="Calibri" w:hAnsi="Calibri" w:cs="Calibri"/>
                <w:sz w:val="20"/>
                <w:szCs w:val="20"/>
              </w:rPr>
              <w:t>0.</w:t>
            </w:r>
            <w:r w:rsidR="00FE3A06">
              <w:rPr>
                <w:rFonts w:ascii="Calibri" w:hAnsi="Calibri" w:cs="Calibri"/>
                <w:sz w:val="20"/>
                <w:szCs w:val="20"/>
              </w:rPr>
              <w:t>05, 0.16</w:t>
            </w:r>
            <w:r>
              <w:rPr>
                <w:rFonts w:ascii="Calibri" w:hAnsi="Calibri" w:cs="Calibri"/>
                <w:sz w:val="20"/>
                <w:szCs w:val="20"/>
              </w:rPr>
              <w:t>)</w:t>
            </w:r>
          </w:p>
        </w:tc>
        <w:tc>
          <w:tcPr>
            <w:tcW w:w="1571" w:type="dxa"/>
          </w:tcPr>
          <w:p w14:paraId="7B23A986" w14:textId="6A0DCE94" w:rsidR="0015209B" w:rsidRDefault="00FE3A06"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0.29</w:t>
            </w:r>
          </w:p>
          <w:p w14:paraId="471E507B" w14:textId="0B35F8C0" w:rsidR="00FE3A06"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-0.12, -0.49</w:t>
            </w:r>
            <w:r>
              <w:rPr>
                <w:rFonts w:ascii="Calibri" w:hAnsi="Calibri" w:cs="Calibri"/>
                <w:sz w:val="20"/>
                <w:szCs w:val="20"/>
              </w:rPr>
              <w:t>)</w:t>
            </w:r>
          </w:p>
        </w:tc>
        <w:tc>
          <w:tcPr>
            <w:tcW w:w="1419" w:type="dxa"/>
          </w:tcPr>
          <w:p w14:paraId="517CB383" w14:textId="3FEC739A" w:rsidR="0015209B" w:rsidRDefault="00FE3A06"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0.41</w:t>
            </w:r>
          </w:p>
          <w:p w14:paraId="710259DE" w14:textId="3C86BF4A" w:rsidR="00FE3A06"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-0.16, -0.62</w:t>
            </w:r>
            <w:r>
              <w:rPr>
                <w:rFonts w:ascii="Calibri" w:hAnsi="Calibri" w:cs="Calibri"/>
                <w:sz w:val="20"/>
                <w:szCs w:val="20"/>
              </w:rPr>
              <w:t>)</w:t>
            </w:r>
          </w:p>
        </w:tc>
        <w:tc>
          <w:tcPr>
            <w:tcW w:w="1420" w:type="dxa"/>
          </w:tcPr>
          <w:p w14:paraId="66980DB3" w14:textId="192BECB6" w:rsidR="0015209B" w:rsidRDefault="00FE3A06"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073FD4" w:rsidRPr="007C4C37">
              <w:rPr>
                <w:rFonts w:ascii="Calibri" w:hAnsi="Calibri" w:cs="Calibri"/>
                <w:sz w:val="20"/>
                <w:szCs w:val="20"/>
              </w:rPr>
              <w:t>0.54</w:t>
            </w:r>
          </w:p>
          <w:p w14:paraId="023E9C07" w14:textId="69B3AC17" w:rsidR="00FE3A06" w:rsidRPr="007C4C37" w:rsidRDefault="009C192C" w:rsidP="00C10F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E3A06">
              <w:rPr>
                <w:rFonts w:ascii="Calibri" w:hAnsi="Calibri" w:cs="Calibri"/>
                <w:sz w:val="20"/>
                <w:szCs w:val="20"/>
              </w:rPr>
              <w:t>-0.20, -0.83</w:t>
            </w:r>
            <w:r>
              <w:rPr>
                <w:rFonts w:ascii="Calibri" w:hAnsi="Calibri" w:cs="Calibri"/>
                <w:sz w:val="20"/>
                <w:szCs w:val="20"/>
              </w:rPr>
              <w:t>)</w:t>
            </w:r>
          </w:p>
        </w:tc>
      </w:tr>
    </w:tbl>
    <w:p w14:paraId="4B1C51E4" w14:textId="23631B37" w:rsidR="00F45614" w:rsidRDefault="00073FD4">
      <w:r>
        <w:rPr>
          <w:sz w:val="20"/>
          <w:szCs w:val="20"/>
        </w:rPr>
        <w:t>Impacts are reported for the year shown in the column headings.</w:t>
      </w:r>
      <w:r w:rsidR="00E60EA2">
        <w:rPr>
          <w:sz w:val="20"/>
          <w:szCs w:val="20"/>
        </w:rPr>
        <w:t xml:space="preserve"> Values in parentheses show</w:t>
      </w:r>
      <w:r w:rsidR="007C4C37">
        <w:rPr>
          <w:sz w:val="20"/>
          <w:szCs w:val="20"/>
        </w:rPr>
        <w:t xml:space="preserve"> 95% confidence interval</w:t>
      </w:r>
      <w:r w:rsidR="0015209B">
        <w:rPr>
          <w:sz w:val="20"/>
          <w:szCs w:val="20"/>
        </w:rPr>
        <w:t xml:space="preserve"> reflecting uncertainty in concentration-response functions.</w:t>
      </w:r>
      <w:r w:rsidR="003475DA">
        <w:rPr>
          <w:sz w:val="20"/>
          <w:szCs w:val="20"/>
        </w:rPr>
        <w:t xml:space="preserve"> </w:t>
      </w:r>
    </w:p>
    <w:p w14:paraId="6E93AEC2" w14:textId="56007B2F" w:rsidR="00DF3BFD" w:rsidRDefault="00DF3BFD">
      <w:pPr>
        <w:rPr>
          <w:rFonts w:ascii="Helvetica" w:eastAsiaTheme="minorEastAsia" w:hAnsi="Helvetica" w:cs="Times New Roman"/>
          <w:b/>
          <w:bCs/>
          <w:sz w:val="18"/>
          <w:szCs w:val="18"/>
        </w:rPr>
      </w:pPr>
    </w:p>
    <w:p w14:paraId="7229E375" w14:textId="77777777" w:rsidR="0040451E" w:rsidRDefault="0040451E">
      <w:pPr>
        <w:rPr>
          <w:rFonts w:ascii="Helvetica" w:eastAsiaTheme="minorEastAsia" w:hAnsi="Helvetica" w:cs="Times New Roman"/>
          <w:b/>
          <w:bCs/>
          <w:sz w:val="18"/>
          <w:szCs w:val="18"/>
        </w:rPr>
      </w:pPr>
      <w:bookmarkStart w:id="17" w:name="_Ref469301158"/>
      <w:bookmarkEnd w:id="13"/>
      <w:r>
        <w:br w:type="page"/>
      </w:r>
    </w:p>
    <w:p w14:paraId="0CA1E142" w14:textId="42D0CC01" w:rsidR="00AA2B7C" w:rsidRDefault="00AA2B7C">
      <w:pPr>
        <w:pStyle w:val="Caption"/>
      </w:pPr>
      <w:bookmarkStart w:id="18" w:name="_Ref469472692"/>
      <w:bookmarkStart w:id="19" w:name="_Ref472064626"/>
      <w:r>
        <w:lastRenderedPageBreak/>
        <w:t xml:space="preserve">Extended Data Table </w:t>
      </w:r>
      <w:fldSimple w:instr=" SEQ Extended_Data_Table \* ARABIC ">
        <w:r w:rsidR="00B4223E">
          <w:rPr>
            <w:noProof/>
          </w:rPr>
          <w:t>2</w:t>
        </w:r>
      </w:fldSimple>
      <w:bookmarkEnd w:id="18"/>
      <w:r>
        <w:t>. Regional PM</w:t>
      </w:r>
      <w:r w:rsidRPr="00A5192E">
        <w:rPr>
          <w:vertAlign w:val="subscript"/>
        </w:rPr>
        <w:t>2.5</w:t>
      </w:r>
      <w:r>
        <w:t>- and ozone-related premature deaths (thousands) in 2015 and 2040.</w:t>
      </w:r>
      <w:bookmarkEnd w:id="19"/>
    </w:p>
    <w:bookmarkEnd w:id="17"/>
    <w:tbl>
      <w:tblPr>
        <w:tblStyle w:val="PlainTable21"/>
        <w:tblW w:w="9450" w:type="dxa"/>
        <w:tblLayout w:type="fixed"/>
        <w:tblLook w:val="04A0" w:firstRow="1" w:lastRow="0" w:firstColumn="1" w:lastColumn="0" w:noHBand="0" w:noVBand="1"/>
      </w:tblPr>
      <w:tblGrid>
        <w:gridCol w:w="1182"/>
        <w:gridCol w:w="1182"/>
        <w:gridCol w:w="1181"/>
        <w:gridCol w:w="1181"/>
        <w:gridCol w:w="1181"/>
        <w:gridCol w:w="1181"/>
        <w:gridCol w:w="1181"/>
        <w:gridCol w:w="1181"/>
      </w:tblGrid>
      <w:tr w:rsidR="00DF3BFD" w:rsidRPr="008C15E4" w14:paraId="1B804938" w14:textId="77777777" w:rsidTr="003C0C10">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dxa"/>
            <w:noWrap/>
            <w:vAlign w:val="bottom"/>
          </w:tcPr>
          <w:p w14:paraId="6919AE35" w14:textId="77777777" w:rsidR="00DF3BFD" w:rsidRPr="008C15E4" w:rsidRDefault="00DF3BFD" w:rsidP="00DF3BFD">
            <w:pPr>
              <w:jc w:val="center"/>
              <w:rPr>
                <w:rFonts w:ascii="Calibri" w:eastAsia="Times New Roman" w:hAnsi="Calibri" w:cs="Times New Roman"/>
                <w:color w:val="000000"/>
                <w:sz w:val="20"/>
                <w:szCs w:val="20"/>
              </w:rPr>
            </w:pPr>
          </w:p>
        </w:tc>
        <w:tc>
          <w:tcPr>
            <w:tcW w:w="0" w:type="dxa"/>
            <w:noWrap/>
            <w:vAlign w:val="bottom"/>
          </w:tcPr>
          <w:p w14:paraId="193D0524" w14:textId="77777777" w:rsidR="00DF3BFD" w:rsidRPr="008C15E4" w:rsidRDefault="00DF3BFD" w:rsidP="00DF3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0" w:type="dxa"/>
            <w:gridSpan w:val="2"/>
            <w:vAlign w:val="center"/>
          </w:tcPr>
          <w:p w14:paraId="54FB0068" w14:textId="77777777" w:rsidR="00DF3BFD" w:rsidRPr="008C15E4" w:rsidRDefault="00DF3BFD" w:rsidP="00DF3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Baseline burden (all emission sources)</w:t>
            </w:r>
          </w:p>
        </w:tc>
        <w:tc>
          <w:tcPr>
            <w:tcW w:w="0" w:type="dxa"/>
            <w:vAlign w:val="center"/>
          </w:tcPr>
          <w:p w14:paraId="3C4B76D0" w14:textId="77777777" w:rsidR="00DF3BFD" w:rsidRPr="008C15E4" w:rsidRDefault="00DF3BFD" w:rsidP="00DF3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rPr>
            </w:pPr>
            <w:r w:rsidRPr="008C15E4">
              <w:rPr>
                <w:rFonts w:ascii="Calibri" w:eastAsia="Times New Roman" w:hAnsi="Calibri" w:cs="Times New Roman"/>
                <w:color w:val="000000"/>
                <w:sz w:val="20"/>
                <w:szCs w:val="20"/>
              </w:rPr>
              <w:t>Change due to excess NOx</w:t>
            </w:r>
          </w:p>
        </w:tc>
        <w:tc>
          <w:tcPr>
            <w:tcW w:w="0" w:type="dxa"/>
            <w:gridSpan w:val="3"/>
            <w:vAlign w:val="center"/>
          </w:tcPr>
          <w:p w14:paraId="3619EC05" w14:textId="77777777" w:rsidR="00DF3BFD" w:rsidRPr="008C15E4" w:rsidRDefault="00DF3BFD" w:rsidP="00DF3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rPr>
            </w:pPr>
            <w:r w:rsidRPr="008C15E4">
              <w:rPr>
                <w:rFonts w:ascii="Calibri" w:eastAsia="Times New Roman" w:hAnsi="Calibri" w:cs="Times New Roman"/>
                <w:color w:val="000000"/>
                <w:sz w:val="20"/>
                <w:szCs w:val="20"/>
              </w:rPr>
              <w:t>Change due to future policies relative to baseline in 2040 (scenario minus baseline)</w:t>
            </w:r>
          </w:p>
        </w:tc>
      </w:tr>
      <w:tr w:rsidR="00DF3BFD" w:rsidRPr="008C15E4" w14:paraId="68F62828" w14:textId="77777777" w:rsidTr="003C0C1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2385B52C" w14:textId="77777777" w:rsidR="00DF3BFD" w:rsidRPr="008C15E4" w:rsidRDefault="00DF3BFD" w:rsidP="00DF3BFD">
            <w:pPr>
              <w:jc w:val="cente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Region</w:t>
            </w:r>
          </w:p>
        </w:tc>
        <w:tc>
          <w:tcPr>
            <w:tcW w:w="0" w:type="dxa"/>
            <w:noWrap/>
            <w:vAlign w:val="bottom"/>
            <w:hideMark/>
          </w:tcPr>
          <w:p w14:paraId="5B842BEE"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0" w:type="dxa"/>
            <w:vAlign w:val="bottom"/>
            <w:hideMark/>
          </w:tcPr>
          <w:p w14:paraId="78962638"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C15E4">
              <w:rPr>
                <w:rFonts w:ascii="Calibri" w:eastAsia="Times New Roman" w:hAnsi="Calibri" w:cs="Times New Roman"/>
                <w:b/>
                <w:color w:val="000000"/>
                <w:sz w:val="20"/>
                <w:szCs w:val="20"/>
              </w:rPr>
              <w:t>Baseline 2015</w:t>
            </w:r>
          </w:p>
        </w:tc>
        <w:tc>
          <w:tcPr>
            <w:tcW w:w="0" w:type="dxa"/>
            <w:vAlign w:val="bottom"/>
          </w:tcPr>
          <w:p w14:paraId="33452D9A"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C15E4">
              <w:rPr>
                <w:rFonts w:ascii="Calibri" w:eastAsia="Times New Roman" w:hAnsi="Calibri" w:cs="Times New Roman"/>
                <w:b/>
                <w:color w:val="000000"/>
                <w:sz w:val="20"/>
                <w:szCs w:val="20"/>
              </w:rPr>
              <w:t>Baseline 2040</w:t>
            </w:r>
          </w:p>
        </w:tc>
        <w:tc>
          <w:tcPr>
            <w:tcW w:w="0" w:type="dxa"/>
            <w:vAlign w:val="bottom"/>
            <w:hideMark/>
          </w:tcPr>
          <w:p w14:paraId="7FF33F23"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C15E4">
              <w:rPr>
                <w:rFonts w:ascii="Calibri" w:eastAsia="Times New Roman" w:hAnsi="Calibri" w:cs="Times New Roman"/>
                <w:b/>
                <w:color w:val="000000"/>
                <w:sz w:val="20"/>
                <w:szCs w:val="20"/>
              </w:rPr>
              <w:t xml:space="preserve"> Baseline – Limits 2015</w:t>
            </w:r>
          </w:p>
        </w:tc>
        <w:tc>
          <w:tcPr>
            <w:tcW w:w="0" w:type="dxa"/>
            <w:vAlign w:val="bottom"/>
            <w:hideMark/>
          </w:tcPr>
          <w:p w14:paraId="31CA2BE2"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C15E4">
              <w:rPr>
                <w:rFonts w:ascii="Calibri" w:eastAsia="Times New Roman" w:hAnsi="Calibri" w:cs="Times New Roman"/>
                <w:b/>
                <w:color w:val="000000"/>
                <w:sz w:val="20"/>
                <w:szCs w:val="20"/>
              </w:rPr>
              <w:t>Euro 6/VI</w:t>
            </w:r>
          </w:p>
        </w:tc>
        <w:tc>
          <w:tcPr>
            <w:tcW w:w="0" w:type="dxa"/>
            <w:vAlign w:val="bottom"/>
            <w:hideMark/>
          </w:tcPr>
          <w:p w14:paraId="340254D8" w14:textId="58FB2E76" w:rsidR="00DF3BFD" w:rsidRPr="008C15E4" w:rsidRDefault="00BD4276"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Strong </w:t>
            </w:r>
            <w:r w:rsidR="00DF3BFD" w:rsidRPr="008C15E4">
              <w:rPr>
                <w:rFonts w:ascii="Calibri" w:eastAsia="Times New Roman" w:hAnsi="Calibri" w:cs="Times New Roman"/>
                <w:b/>
                <w:color w:val="000000"/>
                <w:sz w:val="20"/>
                <w:szCs w:val="20"/>
              </w:rPr>
              <w:t>RDE</w:t>
            </w:r>
          </w:p>
        </w:tc>
        <w:tc>
          <w:tcPr>
            <w:tcW w:w="0" w:type="dxa"/>
            <w:vAlign w:val="bottom"/>
            <w:hideMark/>
          </w:tcPr>
          <w:p w14:paraId="587DB0D8" w14:textId="77777777" w:rsidR="00DF3BFD" w:rsidRPr="008C15E4" w:rsidRDefault="00DF3BFD" w:rsidP="00DF3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NextGen</w:t>
            </w:r>
          </w:p>
        </w:tc>
      </w:tr>
      <w:tr w:rsidR="003475DA" w:rsidRPr="008C15E4" w14:paraId="5C2C524C"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466F70A1"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Australia</w:t>
            </w:r>
          </w:p>
        </w:tc>
        <w:tc>
          <w:tcPr>
            <w:tcW w:w="0" w:type="dxa"/>
            <w:noWrap/>
            <w:vAlign w:val="center"/>
            <w:hideMark/>
          </w:tcPr>
          <w:p w14:paraId="3C40B21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18FE1CB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w:t>
            </w:r>
          </w:p>
        </w:tc>
        <w:tc>
          <w:tcPr>
            <w:tcW w:w="0" w:type="dxa"/>
            <w:vAlign w:val="bottom"/>
          </w:tcPr>
          <w:p w14:paraId="67A15174"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0</w:t>
            </w:r>
          </w:p>
        </w:tc>
        <w:tc>
          <w:tcPr>
            <w:tcW w:w="0" w:type="dxa"/>
            <w:noWrap/>
            <w:vAlign w:val="bottom"/>
            <w:hideMark/>
          </w:tcPr>
          <w:p w14:paraId="32BEC454"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(0)</w:t>
            </w:r>
          </w:p>
        </w:tc>
        <w:tc>
          <w:tcPr>
            <w:tcW w:w="0" w:type="dxa"/>
            <w:noWrap/>
            <w:vAlign w:val="bottom"/>
            <w:hideMark/>
          </w:tcPr>
          <w:p w14:paraId="5B7EA7A6"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(-5)</w:t>
            </w:r>
          </w:p>
        </w:tc>
        <w:tc>
          <w:tcPr>
            <w:tcW w:w="0" w:type="dxa"/>
            <w:noWrap/>
            <w:vAlign w:val="bottom"/>
            <w:hideMark/>
          </w:tcPr>
          <w:p w14:paraId="24F2830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(-5)</w:t>
            </w:r>
          </w:p>
        </w:tc>
        <w:tc>
          <w:tcPr>
            <w:tcW w:w="0" w:type="dxa"/>
            <w:noWrap/>
            <w:vAlign w:val="bottom"/>
            <w:hideMark/>
          </w:tcPr>
          <w:p w14:paraId="0699FA84"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(-5)</w:t>
            </w:r>
          </w:p>
        </w:tc>
      </w:tr>
      <w:tr w:rsidR="003475DA" w:rsidRPr="008C15E4" w14:paraId="7CC25E49"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2B5E1E3A"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54BA7122"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0F930BE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w:t>
            </w:r>
          </w:p>
        </w:tc>
        <w:tc>
          <w:tcPr>
            <w:tcW w:w="0" w:type="dxa"/>
            <w:vAlign w:val="bottom"/>
          </w:tcPr>
          <w:p w14:paraId="173D767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0</w:t>
            </w:r>
          </w:p>
        </w:tc>
        <w:tc>
          <w:tcPr>
            <w:tcW w:w="0" w:type="dxa"/>
            <w:noWrap/>
            <w:vAlign w:val="bottom"/>
            <w:hideMark/>
          </w:tcPr>
          <w:p w14:paraId="2BF768C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hAnsi="Calibri" w:cs="Calibri"/>
                <w:color w:val="000000"/>
                <w:sz w:val="20"/>
                <w:szCs w:val="20"/>
              </w:rPr>
              <w:t>0 (</w:t>
            </w:r>
            <w:r w:rsidRPr="008C15E4">
              <w:rPr>
                <w:rFonts w:ascii="Calibri" w:hAnsi="Calibri" w:cs="Calibri"/>
                <w:color w:val="000000"/>
                <w:sz w:val="20"/>
                <w:szCs w:val="20"/>
              </w:rPr>
              <w:t>0)</w:t>
            </w:r>
          </w:p>
        </w:tc>
        <w:tc>
          <w:tcPr>
            <w:tcW w:w="0" w:type="dxa"/>
            <w:noWrap/>
            <w:vAlign w:val="bottom"/>
            <w:hideMark/>
          </w:tcPr>
          <w:p w14:paraId="4D7AC20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hAnsi="Calibri" w:cs="Calibri"/>
                <w:color w:val="000000"/>
                <w:sz w:val="20"/>
                <w:szCs w:val="20"/>
              </w:rPr>
              <w:t>0 (0)</w:t>
            </w:r>
          </w:p>
        </w:tc>
        <w:tc>
          <w:tcPr>
            <w:tcW w:w="0" w:type="dxa"/>
            <w:noWrap/>
            <w:vAlign w:val="bottom"/>
            <w:hideMark/>
          </w:tcPr>
          <w:p w14:paraId="7972616E"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hAnsi="Calibri" w:cs="Calibri"/>
                <w:color w:val="000000"/>
                <w:sz w:val="20"/>
                <w:szCs w:val="20"/>
              </w:rPr>
              <w:t>0 (0)</w:t>
            </w:r>
          </w:p>
        </w:tc>
        <w:tc>
          <w:tcPr>
            <w:tcW w:w="0" w:type="dxa"/>
            <w:noWrap/>
            <w:vAlign w:val="bottom"/>
            <w:hideMark/>
          </w:tcPr>
          <w:p w14:paraId="34109F7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hAnsi="Calibri" w:cs="Calibri"/>
                <w:color w:val="000000"/>
                <w:sz w:val="20"/>
                <w:szCs w:val="20"/>
              </w:rPr>
              <w:t>0 (0)</w:t>
            </w:r>
          </w:p>
        </w:tc>
      </w:tr>
      <w:tr w:rsidR="003475DA" w:rsidRPr="008C15E4" w14:paraId="1E8533CE"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47A8105A"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Brazil</w:t>
            </w:r>
          </w:p>
        </w:tc>
        <w:tc>
          <w:tcPr>
            <w:tcW w:w="0" w:type="dxa"/>
            <w:noWrap/>
            <w:vAlign w:val="center"/>
            <w:hideMark/>
          </w:tcPr>
          <w:p w14:paraId="15883406"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2540902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21</w:t>
            </w:r>
          </w:p>
        </w:tc>
        <w:tc>
          <w:tcPr>
            <w:tcW w:w="0" w:type="dxa"/>
            <w:vAlign w:val="bottom"/>
          </w:tcPr>
          <w:p w14:paraId="38E767C3"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37</w:t>
            </w:r>
          </w:p>
        </w:tc>
        <w:tc>
          <w:tcPr>
            <w:tcW w:w="0" w:type="dxa"/>
            <w:noWrap/>
            <w:vAlign w:val="bottom"/>
            <w:hideMark/>
          </w:tcPr>
          <w:p w14:paraId="208468C7"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0.4 (2)</w:t>
            </w:r>
          </w:p>
        </w:tc>
        <w:tc>
          <w:tcPr>
            <w:tcW w:w="0" w:type="dxa"/>
            <w:noWrap/>
            <w:vAlign w:val="bottom"/>
            <w:hideMark/>
          </w:tcPr>
          <w:p w14:paraId="12B451F8"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-2.9 (-8)</w:t>
            </w:r>
          </w:p>
        </w:tc>
        <w:tc>
          <w:tcPr>
            <w:tcW w:w="0" w:type="dxa"/>
            <w:noWrap/>
            <w:vAlign w:val="bottom"/>
            <w:hideMark/>
          </w:tcPr>
          <w:p w14:paraId="2AB948F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-3.1 (-8)</w:t>
            </w:r>
          </w:p>
        </w:tc>
        <w:tc>
          <w:tcPr>
            <w:tcW w:w="0" w:type="dxa"/>
            <w:noWrap/>
            <w:vAlign w:val="bottom"/>
            <w:hideMark/>
          </w:tcPr>
          <w:p w14:paraId="2132376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-3.4 (-9)</w:t>
            </w:r>
          </w:p>
        </w:tc>
      </w:tr>
      <w:tr w:rsidR="003475DA" w:rsidRPr="008C15E4" w14:paraId="35A2E519"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77212C31"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4EA9432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4E81B948"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w:t>
            </w:r>
          </w:p>
        </w:tc>
        <w:tc>
          <w:tcPr>
            <w:tcW w:w="0" w:type="dxa"/>
            <w:vAlign w:val="bottom"/>
          </w:tcPr>
          <w:p w14:paraId="61ADED0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4</w:t>
            </w:r>
          </w:p>
        </w:tc>
        <w:tc>
          <w:tcPr>
            <w:tcW w:w="0" w:type="dxa"/>
            <w:noWrap/>
            <w:vAlign w:val="bottom"/>
            <w:hideMark/>
          </w:tcPr>
          <w:p w14:paraId="6869FDC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(10)</w:t>
            </w:r>
          </w:p>
        </w:tc>
        <w:tc>
          <w:tcPr>
            <w:tcW w:w="0" w:type="dxa"/>
            <w:noWrap/>
            <w:vAlign w:val="bottom"/>
            <w:hideMark/>
          </w:tcPr>
          <w:p w14:paraId="4539A0E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 (-23)</w:t>
            </w:r>
          </w:p>
        </w:tc>
        <w:tc>
          <w:tcPr>
            <w:tcW w:w="0" w:type="dxa"/>
            <w:noWrap/>
            <w:vAlign w:val="bottom"/>
            <w:hideMark/>
          </w:tcPr>
          <w:p w14:paraId="4EDE56B8"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-1.1 (-24)</w:t>
            </w:r>
          </w:p>
        </w:tc>
        <w:tc>
          <w:tcPr>
            <w:tcW w:w="0" w:type="dxa"/>
            <w:noWrap/>
            <w:vAlign w:val="bottom"/>
            <w:hideMark/>
          </w:tcPr>
          <w:p w14:paraId="42B1AF6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-1.2 (-26)</w:t>
            </w:r>
          </w:p>
        </w:tc>
      </w:tr>
      <w:tr w:rsidR="003475DA" w:rsidRPr="008C15E4" w14:paraId="615A9AC3"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453BD263"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Canada</w:t>
            </w:r>
          </w:p>
        </w:tc>
        <w:tc>
          <w:tcPr>
            <w:tcW w:w="0" w:type="dxa"/>
            <w:noWrap/>
            <w:vAlign w:val="center"/>
            <w:hideMark/>
          </w:tcPr>
          <w:p w14:paraId="230305C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460210D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7</w:t>
            </w:r>
          </w:p>
        </w:tc>
        <w:tc>
          <w:tcPr>
            <w:tcW w:w="0" w:type="dxa"/>
            <w:vAlign w:val="bottom"/>
          </w:tcPr>
          <w:p w14:paraId="584BF41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8</w:t>
            </w:r>
          </w:p>
        </w:tc>
        <w:tc>
          <w:tcPr>
            <w:tcW w:w="0" w:type="dxa"/>
            <w:noWrap/>
            <w:vAlign w:val="bottom"/>
            <w:hideMark/>
          </w:tcPr>
          <w:p w14:paraId="74E12D10"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(1)</w:t>
            </w:r>
          </w:p>
        </w:tc>
        <w:tc>
          <w:tcPr>
            <w:tcW w:w="0" w:type="dxa"/>
            <w:noWrap/>
            <w:vAlign w:val="bottom"/>
            <w:hideMark/>
          </w:tcPr>
          <w:p w14:paraId="7D8ABCE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(-1)</w:t>
            </w:r>
          </w:p>
        </w:tc>
        <w:tc>
          <w:tcPr>
            <w:tcW w:w="0" w:type="dxa"/>
            <w:noWrap/>
            <w:vAlign w:val="bottom"/>
            <w:hideMark/>
          </w:tcPr>
          <w:p w14:paraId="4E7E51D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(-1)</w:t>
            </w:r>
          </w:p>
        </w:tc>
        <w:tc>
          <w:tcPr>
            <w:tcW w:w="0" w:type="dxa"/>
            <w:noWrap/>
            <w:vAlign w:val="bottom"/>
            <w:hideMark/>
          </w:tcPr>
          <w:p w14:paraId="5F15C605"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(-2)</w:t>
            </w:r>
          </w:p>
        </w:tc>
      </w:tr>
      <w:tr w:rsidR="003475DA" w:rsidRPr="008C15E4" w14:paraId="559AECFE"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6BF008B9"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728B91E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6F690596"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w:t>
            </w:r>
          </w:p>
        </w:tc>
        <w:tc>
          <w:tcPr>
            <w:tcW w:w="0" w:type="dxa"/>
            <w:vAlign w:val="bottom"/>
          </w:tcPr>
          <w:p w14:paraId="2B082E06"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w:t>
            </w:r>
          </w:p>
        </w:tc>
        <w:tc>
          <w:tcPr>
            <w:tcW w:w="0" w:type="dxa"/>
            <w:noWrap/>
            <w:vAlign w:val="bottom"/>
            <w:hideMark/>
          </w:tcPr>
          <w:p w14:paraId="73DA709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(2)</w:t>
            </w:r>
          </w:p>
        </w:tc>
        <w:tc>
          <w:tcPr>
            <w:tcW w:w="0" w:type="dxa"/>
            <w:noWrap/>
            <w:vAlign w:val="bottom"/>
            <w:hideMark/>
          </w:tcPr>
          <w:p w14:paraId="1E1F78C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(-2)</w:t>
            </w:r>
          </w:p>
        </w:tc>
        <w:tc>
          <w:tcPr>
            <w:tcW w:w="0" w:type="dxa"/>
            <w:noWrap/>
            <w:vAlign w:val="bottom"/>
            <w:hideMark/>
          </w:tcPr>
          <w:p w14:paraId="386A1FD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(-3)</w:t>
            </w:r>
          </w:p>
        </w:tc>
        <w:tc>
          <w:tcPr>
            <w:tcW w:w="0" w:type="dxa"/>
            <w:noWrap/>
            <w:vAlign w:val="bottom"/>
            <w:hideMark/>
          </w:tcPr>
          <w:p w14:paraId="5A53A2D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(-6)</w:t>
            </w:r>
          </w:p>
        </w:tc>
      </w:tr>
      <w:tr w:rsidR="003475DA" w:rsidRPr="008C15E4" w14:paraId="67C6687E"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3382B2C7"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China</w:t>
            </w:r>
          </w:p>
        </w:tc>
        <w:tc>
          <w:tcPr>
            <w:tcW w:w="0" w:type="dxa"/>
            <w:noWrap/>
            <w:vAlign w:val="center"/>
            <w:hideMark/>
          </w:tcPr>
          <w:p w14:paraId="3811425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092B4A2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1,343</w:t>
            </w:r>
          </w:p>
        </w:tc>
        <w:tc>
          <w:tcPr>
            <w:tcW w:w="0" w:type="dxa"/>
            <w:vAlign w:val="bottom"/>
          </w:tcPr>
          <w:p w14:paraId="5CC9146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1,650</w:t>
            </w:r>
          </w:p>
        </w:tc>
        <w:tc>
          <w:tcPr>
            <w:tcW w:w="0" w:type="dxa"/>
            <w:noWrap/>
            <w:vAlign w:val="bottom"/>
            <w:hideMark/>
          </w:tcPr>
          <w:p w14:paraId="2921C4BC"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8.6 (1)</w:t>
            </w:r>
          </w:p>
        </w:tc>
        <w:tc>
          <w:tcPr>
            <w:tcW w:w="0" w:type="dxa"/>
            <w:noWrap/>
            <w:vAlign w:val="bottom"/>
            <w:hideMark/>
          </w:tcPr>
          <w:p w14:paraId="0F85350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-69.5 (-4)</w:t>
            </w:r>
          </w:p>
        </w:tc>
        <w:tc>
          <w:tcPr>
            <w:tcW w:w="0" w:type="dxa"/>
            <w:noWrap/>
            <w:vAlign w:val="bottom"/>
            <w:hideMark/>
          </w:tcPr>
          <w:p w14:paraId="0450AB2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-74.8 (-5)</w:t>
            </w:r>
          </w:p>
        </w:tc>
        <w:tc>
          <w:tcPr>
            <w:tcW w:w="0" w:type="dxa"/>
            <w:noWrap/>
            <w:vAlign w:val="bottom"/>
            <w:hideMark/>
          </w:tcPr>
          <w:p w14:paraId="25C3E8C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-83.5 (-5)</w:t>
            </w:r>
          </w:p>
        </w:tc>
      </w:tr>
      <w:tr w:rsidR="003475DA" w:rsidRPr="008C15E4" w14:paraId="176077CC"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41A3A52E"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3E04B5C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55BE1B29"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89</w:t>
            </w:r>
          </w:p>
        </w:tc>
        <w:tc>
          <w:tcPr>
            <w:tcW w:w="0" w:type="dxa"/>
            <w:vAlign w:val="bottom"/>
          </w:tcPr>
          <w:p w14:paraId="7924D081"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179</w:t>
            </w:r>
          </w:p>
        </w:tc>
        <w:tc>
          <w:tcPr>
            <w:tcW w:w="0" w:type="dxa"/>
            <w:noWrap/>
            <w:vAlign w:val="bottom"/>
            <w:hideMark/>
          </w:tcPr>
          <w:p w14:paraId="145FD23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 (2)</w:t>
            </w:r>
          </w:p>
        </w:tc>
        <w:tc>
          <w:tcPr>
            <w:tcW w:w="0" w:type="dxa"/>
            <w:noWrap/>
            <w:vAlign w:val="bottom"/>
            <w:hideMark/>
          </w:tcPr>
          <w:p w14:paraId="3B0F2F8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-18.2 (-10)</w:t>
            </w:r>
          </w:p>
        </w:tc>
        <w:tc>
          <w:tcPr>
            <w:tcW w:w="0" w:type="dxa"/>
            <w:noWrap/>
            <w:vAlign w:val="bottom"/>
            <w:hideMark/>
          </w:tcPr>
          <w:p w14:paraId="509E97A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-19.8 (-11)</w:t>
            </w:r>
          </w:p>
        </w:tc>
        <w:tc>
          <w:tcPr>
            <w:tcW w:w="0" w:type="dxa"/>
            <w:noWrap/>
            <w:vAlign w:val="bottom"/>
            <w:hideMark/>
          </w:tcPr>
          <w:p w14:paraId="6F2C73B9"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-22.6 (-13)</w:t>
            </w:r>
          </w:p>
        </w:tc>
      </w:tr>
      <w:tr w:rsidR="003475DA" w:rsidRPr="008C15E4" w14:paraId="006F9432"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tcPr>
          <w:p w14:paraId="6AE07CB0"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EU-28</w:t>
            </w:r>
          </w:p>
        </w:tc>
        <w:tc>
          <w:tcPr>
            <w:tcW w:w="0" w:type="dxa"/>
            <w:noWrap/>
            <w:vAlign w:val="center"/>
          </w:tcPr>
          <w:p w14:paraId="411C52E4"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tcPr>
          <w:p w14:paraId="76A4BE7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264</w:t>
            </w:r>
          </w:p>
        </w:tc>
        <w:tc>
          <w:tcPr>
            <w:tcW w:w="0" w:type="dxa"/>
            <w:vAlign w:val="bottom"/>
          </w:tcPr>
          <w:p w14:paraId="292C63B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227</w:t>
            </w:r>
          </w:p>
        </w:tc>
        <w:tc>
          <w:tcPr>
            <w:tcW w:w="0" w:type="dxa"/>
            <w:noWrap/>
            <w:vAlign w:val="bottom"/>
          </w:tcPr>
          <w:p w14:paraId="26FAB7E7"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10.6 (4)</w:t>
            </w:r>
          </w:p>
        </w:tc>
        <w:tc>
          <w:tcPr>
            <w:tcW w:w="0" w:type="dxa"/>
            <w:noWrap/>
            <w:vAlign w:val="bottom"/>
          </w:tcPr>
          <w:p w14:paraId="7B6DF0E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-0.5 (0)</w:t>
            </w:r>
          </w:p>
        </w:tc>
        <w:tc>
          <w:tcPr>
            <w:tcW w:w="0" w:type="dxa"/>
            <w:noWrap/>
            <w:vAlign w:val="bottom"/>
          </w:tcPr>
          <w:p w14:paraId="43BEF16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-7.7 (-3)</w:t>
            </w:r>
          </w:p>
        </w:tc>
        <w:tc>
          <w:tcPr>
            <w:tcW w:w="0" w:type="dxa"/>
            <w:noWrap/>
            <w:vAlign w:val="bottom"/>
          </w:tcPr>
          <w:p w14:paraId="0F3F0A0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-14.8 (-7)</w:t>
            </w:r>
          </w:p>
        </w:tc>
      </w:tr>
      <w:tr w:rsidR="003475DA" w:rsidRPr="008C15E4" w14:paraId="3E03E2CC"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tcPr>
          <w:p w14:paraId="5394EEBF"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tcPr>
          <w:p w14:paraId="1397F22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tcPr>
          <w:p w14:paraId="47317C2A"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10</w:t>
            </w:r>
          </w:p>
        </w:tc>
        <w:tc>
          <w:tcPr>
            <w:tcW w:w="0" w:type="dxa"/>
            <w:vAlign w:val="bottom"/>
          </w:tcPr>
          <w:p w14:paraId="5075215C"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11</w:t>
            </w:r>
          </w:p>
        </w:tc>
        <w:tc>
          <w:tcPr>
            <w:tcW w:w="0" w:type="dxa"/>
            <w:noWrap/>
            <w:vAlign w:val="bottom"/>
          </w:tcPr>
          <w:p w14:paraId="388DB8EA"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0.9 (10)</w:t>
            </w:r>
          </w:p>
        </w:tc>
        <w:tc>
          <w:tcPr>
            <w:tcW w:w="0" w:type="dxa"/>
            <w:noWrap/>
            <w:vAlign w:val="bottom"/>
          </w:tcPr>
          <w:p w14:paraId="2FFBB17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-0.2 (-2)</w:t>
            </w:r>
          </w:p>
        </w:tc>
        <w:tc>
          <w:tcPr>
            <w:tcW w:w="0" w:type="dxa"/>
            <w:noWrap/>
            <w:vAlign w:val="bottom"/>
          </w:tcPr>
          <w:p w14:paraId="65D3EE81"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 (-9)</w:t>
            </w:r>
          </w:p>
        </w:tc>
        <w:tc>
          <w:tcPr>
            <w:tcW w:w="0" w:type="dxa"/>
            <w:noWrap/>
            <w:vAlign w:val="bottom"/>
          </w:tcPr>
          <w:p w14:paraId="0E71C79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C15E4">
              <w:rPr>
                <w:rFonts w:ascii="Calibri" w:hAnsi="Calibri" w:cs="Calibri"/>
                <w:color w:val="000000"/>
                <w:sz w:val="20"/>
                <w:szCs w:val="20"/>
              </w:rPr>
              <w:t>-1.8 (-17)</w:t>
            </w:r>
          </w:p>
        </w:tc>
      </w:tr>
      <w:tr w:rsidR="003475DA" w:rsidRPr="008C15E4" w14:paraId="577E6D2D"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36208340"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India</w:t>
            </w:r>
          </w:p>
        </w:tc>
        <w:tc>
          <w:tcPr>
            <w:tcW w:w="0" w:type="dxa"/>
            <w:noWrap/>
            <w:vAlign w:val="center"/>
            <w:hideMark/>
          </w:tcPr>
          <w:p w14:paraId="1858119C"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05A83B9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832</w:t>
            </w:r>
          </w:p>
        </w:tc>
        <w:tc>
          <w:tcPr>
            <w:tcW w:w="0" w:type="dxa"/>
            <w:vAlign w:val="bottom"/>
          </w:tcPr>
          <w:p w14:paraId="22036A0C"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1,861</w:t>
            </w:r>
          </w:p>
        </w:tc>
        <w:tc>
          <w:tcPr>
            <w:tcW w:w="0" w:type="dxa"/>
            <w:noWrap/>
            <w:vAlign w:val="bottom"/>
            <w:hideMark/>
          </w:tcPr>
          <w:p w14:paraId="780825CC"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6.6 (1)</w:t>
            </w:r>
          </w:p>
        </w:tc>
        <w:tc>
          <w:tcPr>
            <w:tcW w:w="0" w:type="dxa"/>
            <w:noWrap/>
            <w:vAlign w:val="bottom"/>
            <w:hideMark/>
          </w:tcPr>
          <w:p w14:paraId="6B9F0256"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-0.3 (0)</w:t>
            </w:r>
          </w:p>
        </w:tc>
        <w:tc>
          <w:tcPr>
            <w:tcW w:w="0" w:type="dxa"/>
            <w:noWrap/>
            <w:vAlign w:val="bottom"/>
            <w:hideMark/>
          </w:tcPr>
          <w:p w14:paraId="4E29879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-9.5 (-1)</w:t>
            </w:r>
          </w:p>
        </w:tc>
        <w:tc>
          <w:tcPr>
            <w:tcW w:w="0" w:type="dxa"/>
            <w:noWrap/>
            <w:vAlign w:val="bottom"/>
            <w:hideMark/>
          </w:tcPr>
          <w:p w14:paraId="2A4295ED"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-17.5 (-1)</w:t>
            </w:r>
          </w:p>
        </w:tc>
      </w:tr>
      <w:tr w:rsidR="003475DA" w:rsidRPr="008C15E4" w14:paraId="68148357"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282F4D83"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39BD5F3A"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30FAF63C"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69</w:t>
            </w:r>
          </w:p>
        </w:tc>
        <w:tc>
          <w:tcPr>
            <w:tcW w:w="0" w:type="dxa"/>
            <w:vAlign w:val="bottom"/>
          </w:tcPr>
          <w:p w14:paraId="26C51E2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209</w:t>
            </w:r>
          </w:p>
        </w:tc>
        <w:tc>
          <w:tcPr>
            <w:tcW w:w="0" w:type="dxa"/>
            <w:noWrap/>
            <w:vAlign w:val="bottom"/>
            <w:hideMark/>
          </w:tcPr>
          <w:p w14:paraId="7323C85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2.7 (4)</w:t>
            </w:r>
          </w:p>
        </w:tc>
        <w:tc>
          <w:tcPr>
            <w:tcW w:w="0" w:type="dxa"/>
            <w:noWrap/>
            <w:vAlign w:val="bottom"/>
            <w:hideMark/>
          </w:tcPr>
          <w:p w14:paraId="3ECA8914"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-0.4 (0)</w:t>
            </w:r>
          </w:p>
        </w:tc>
        <w:tc>
          <w:tcPr>
            <w:tcW w:w="0" w:type="dxa"/>
            <w:noWrap/>
            <w:vAlign w:val="bottom"/>
            <w:hideMark/>
          </w:tcPr>
          <w:p w14:paraId="7AF99051"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-4.1 (-2)</w:t>
            </w:r>
          </w:p>
        </w:tc>
        <w:tc>
          <w:tcPr>
            <w:tcW w:w="0" w:type="dxa"/>
            <w:noWrap/>
            <w:vAlign w:val="bottom"/>
            <w:hideMark/>
          </w:tcPr>
          <w:p w14:paraId="53225B4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-7.5 (-4)</w:t>
            </w:r>
          </w:p>
        </w:tc>
      </w:tr>
      <w:tr w:rsidR="003475DA" w:rsidRPr="008C15E4" w14:paraId="66BAE4FB"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75FF848F"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Japan</w:t>
            </w:r>
          </w:p>
        </w:tc>
        <w:tc>
          <w:tcPr>
            <w:tcW w:w="0" w:type="dxa"/>
            <w:noWrap/>
            <w:vAlign w:val="center"/>
            <w:hideMark/>
          </w:tcPr>
          <w:p w14:paraId="668D47A0"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5501B1B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33</w:t>
            </w:r>
          </w:p>
        </w:tc>
        <w:tc>
          <w:tcPr>
            <w:tcW w:w="0" w:type="dxa"/>
            <w:vAlign w:val="bottom"/>
          </w:tcPr>
          <w:p w14:paraId="3D0ADB1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29</w:t>
            </w:r>
          </w:p>
        </w:tc>
        <w:tc>
          <w:tcPr>
            <w:tcW w:w="0" w:type="dxa"/>
            <w:noWrap/>
            <w:vAlign w:val="bottom"/>
            <w:hideMark/>
          </w:tcPr>
          <w:p w14:paraId="6483207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0.4 (1)</w:t>
            </w:r>
          </w:p>
        </w:tc>
        <w:tc>
          <w:tcPr>
            <w:tcW w:w="0" w:type="dxa"/>
            <w:noWrap/>
            <w:vAlign w:val="bottom"/>
            <w:hideMark/>
          </w:tcPr>
          <w:p w14:paraId="1581A11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-0.6 (-2)</w:t>
            </w:r>
          </w:p>
        </w:tc>
        <w:tc>
          <w:tcPr>
            <w:tcW w:w="0" w:type="dxa"/>
            <w:noWrap/>
            <w:vAlign w:val="bottom"/>
            <w:hideMark/>
          </w:tcPr>
          <w:p w14:paraId="290EC99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 (-3)</w:t>
            </w:r>
          </w:p>
        </w:tc>
        <w:tc>
          <w:tcPr>
            <w:tcW w:w="0" w:type="dxa"/>
            <w:noWrap/>
            <w:vAlign w:val="bottom"/>
            <w:hideMark/>
          </w:tcPr>
          <w:p w14:paraId="3758DA4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-1.4 (-5)</w:t>
            </w:r>
          </w:p>
        </w:tc>
      </w:tr>
      <w:tr w:rsidR="003475DA" w:rsidRPr="008C15E4" w14:paraId="37340391"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2AEF4F72"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39C78F39"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37CE4A22"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w:t>
            </w:r>
          </w:p>
        </w:tc>
        <w:tc>
          <w:tcPr>
            <w:tcW w:w="0" w:type="dxa"/>
            <w:vAlign w:val="bottom"/>
          </w:tcPr>
          <w:p w14:paraId="7FFEDEA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5</w:t>
            </w:r>
          </w:p>
        </w:tc>
        <w:tc>
          <w:tcPr>
            <w:tcW w:w="0" w:type="dxa"/>
            <w:noWrap/>
            <w:vAlign w:val="bottom"/>
            <w:hideMark/>
          </w:tcPr>
          <w:p w14:paraId="6FB19B5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(2)</w:t>
            </w:r>
          </w:p>
        </w:tc>
        <w:tc>
          <w:tcPr>
            <w:tcW w:w="0" w:type="dxa"/>
            <w:noWrap/>
            <w:vAlign w:val="bottom"/>
            <w:hideMark/>
          </w:tcPr>
          <w:p w14:paraId="0BA23D31"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(-4)</w:t>
            </w:r>
          </w:p>
        </w:tc>
        <w:tc>
          <w:tcPr>
            <w:tcW w:w="0" w:type="dxa"/>
            <w:noWrap/>
            <w:vAlign w:val="bottom"/>
            <w:hideMark/>
          </w:tcPr>
          <w:p w14:paraId="6A1244C2"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(-5)</w:t>
            </w:r>
          </w:p>
        </w:tc>
        <w:tc>
          <w:tcPr>
            <w:tcW w:w="0" w:type="dxa"/>
            <w:noWrap/>
            <w:vAlign w:val="bottom"/>
            <w:hideMark/>
          </w:tcPr>
          <w:p w14:paraId="59E4BD0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-0.3 (-7)</w:t>
            </w:r>
          </w:p>
        </w:tc>
      </w:tr>
      <w:tr w:rsidR="003475DA" w:rsidRPr="008C15E4" w14:paraId="7C801868"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6179A598"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Mexico</w:t>
            </w:r>
          </w:p>
        </w:tc>
        <w:tc>
          <w:tcPr>
            <w:tcW w:w="0" w:type="dxa"/>
            <w:noWrap/>
            <w:vAlign w:val="center"/>
            <w:hideMark/>
          </w:tcPr>
          <w:p w14:paraId="12D2A2D8"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35BDFE27"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6</w:t>
            </w:r>
          </w:p>
        </w:tc>
        <w:tc>
          <w:tcPr>
            <w:tcW w:w="0" w:type="dxa"/>
            <w:vAlign w:val="bottom"/>
          </w:tcPr>
          <w:p w14:paraId="54CBF52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8</w:t>
            </w:r>
          </w:p>
        </w:tc>
        <w:tc>
          <w:tcPr>
            <w:tcW w:w="0" w:type="dxa"/>
            <w:noWrap/>
            <w:vAlign w:val="bottom"/>
            <w:hideMark/>
          </w:tcPr>
          <w:p w14:paraId="2F88FB50"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(2)</w:t>
            </w:r>
          </w:p>
        </w:tc>
        <w:tc>
          <w:tcPr>
            <w:tcW w:w="0" w:type="dxa"/>
            <w:noWrap/>
            <w:vAlign w:val="bottom"/>
            <w:hideMark/>
          </w:tcPr>
          <w:p w14:paraId="351E089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 (-23)</w:t>
            </w:r>
          </w:p>
        </w:tc>
        <w:tc>
          <w:tcPr>
            <w:tcW w:w="0" w:type="dxa"/>
            <w:noWrap/>
            <w:vAlign w:val="bottom"/>
            <w:hideMark/>
          </w:tcPr>
          <w:p w14:paraId="5C3CBBE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 (-23)</w:t>
            </w:r>
          </w:p>
        </w:tc>
        <w:tc>
          <w:tcPr>
            <w:tcW w:w="0" w:type="dxa"/>
            <w:noWrap/>
            <w:vAlign w:val="bottom"/>
            <w:hideMark/>
          </w:tcPr>
          <w:p w14:paraId="21029E50"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-2.4 (-28)</w:t>
            </w:r>
          </w:p>
        </w:tc>
      </w:tr>
      <w:tr w:rsidR="003475DA" w:rsidRPr="008C15E4" w14:paraId="7BCC70AD"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59355A92"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6EE0789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347E313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w:t>
            </w:r>
          </w:p>
        </w:tc>
        <w:tc>
          <w:tcPr>
            <w:tcW w:w="0" w:type="dxa"/>
            <w:vAlign w:val="bottom"/>
          </w:tcPr>
          <w:p w14:paraId="6833ADA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3</w:t>
            </w:r>
          </w:p>
        </w:tc>
        <w:tc>
          <w:tcPr>
            <w:tcW w:w="0" w:type="dxa"/>
            <w:noWrap/>
            <w:vAlign w:val="bottom"/>
            <w:hideMark/>
          </w:tcPr>
          <w:p w14:paraId="2198C35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(2)</w:t>
            </w:r>
          </w:p>
        </w:tc>
        <w:tc>
          <w:tcPr>
            <w:tcW w:w="0" w:type="dxa"/>
            <w:noWrap/>
            <w:vAlign w:val="bottom"/>
            <w:hideMark/>
          </w:tcPr>
          <w:p w14:paraId="7C8BCABB"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-0.6 (-18)</w:t>
            </w:r>
          </w:p>
        </w:tc>
        <w:tc>
          <w:tcPr>
            <w:tcW w:w="0" w:type="dxa"/>
            <w:noWrap/>
            <w:vAlign w:val="bottom"/>
            <w:hideMark/>
          </w:tcPr>
          <w:p w14:paraId="19ED631E"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-0.6 (-18)</w:t>
            </w:r>
          </w:p>
        </w:tc>
        <w:tc>
          <w:tcPr>
            <w:tcW w:w="0" w:type="dxa"/>
            <w:noWrap/>
            <w:vAlign w:val="bottom"/>
            <w:hideMark/>
          </w:tcPr>
          <w:p w14:paraId="4300410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-0.7 (-23)</w:t>
            </w:r>
          </w:p>
        </w:tc>
      </w:tr>
      <w:tr w:rsidR="003475DA" w:rsidRPr="008C15E4" w14:paraId="2887C882"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6D0B9EB2"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Russia</w:t>
            </w:r>
          </w:p>
        </w:tc>
        <w:tc>
          <w:tcPr>
            <w:tcW w:w="0" w:type="dxa"/>
            <w:noWrap/>
            <w:vAlign w:val="center"/>
            <w:hideMark/>
          </w:tcPr>
          <w:p w14:paraId="71D40A9F"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6EA86E9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181</w:t>
            </w:r>
          </w:p>
        </w:tc>
        <w:tc>
          <w:tcPr>
            <w:tcW w:w="0" w:type="dxa"/>
            <w:vAlign w:val="bottom"/>
          </w:tcPr>
          <w:p w14:paraId="4EA8A327"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192</w:t>
            </w:r>
          </w:p>
        </w:tc>
        <w:tc>
          <w:tcPr>
            <w:tcW w:w="0" w:type="dxa"/>
            <w:noWrap/>
            <w:vAlign w:val="bottom"/>
            <w:hideMark/>
          </w:tcPr>
          <w:p w14:paraId="3687DD78"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0.8 (0)</w:t>
            </w:r>
          </w:p>
        </w:tc>
        <w:tc>
          <w:tcPr>
            <w:tcW w:w="0" w:type="dxa"/>
            <w:noWrap/>
            <w:vAlign w:val="bottom"/>
            <w:hideMark/>
          </w:tcPr>
          <w:p w14:paraId="1548175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-2.1 (-1)</w:t>
            </w:r>
          </w:p>
        </w:tc>
        <w:tc>
          <w:tcPr>
            <w:tcW w:w="0" w:type="dxa"/>
            <w:noWrap/>
            <w:vAlign w:val="bottom"/>
            <w:hideMark/>
          </w:tcPr>
          <w:p w14:paraId="09B3464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-2.4 (-1)</w:t>
            </w:r>
          </w:p>
        </w:tc>
        <w:tc>
          <w:tcPr>
            <w:tcW w:w="0" w:type="dxa"/>
            <w:noWrap/>
            <w:vAlign w:val="bottom"/>
            <w:hideMark/>
          </w:tcPr>
          <w:p w14:paraId="3D9C196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-2.9 (-2)</w:t>
            </w:r>
          </w:p>
        </w:tc>
      </w:tr>
      <w:tr w:rsidR="003475DA" w:rsidRPr="008C15E4" w14:paraId="73A7A3DE"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7C23E443"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07F8D1A9"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6F8FE27C"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w:t>
            </w:r>
          </w:p>
        </w:tc>
        <w:tc>
          <w:tcPr>
            <w:tcW w:w="0" w:type="dxa"/>
            <w:vAlign w:val="bottom"/>
          </w:tcPr>
          <w:p w14:paraId="7DF0A1A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2</w:t>
            </w:r>
          </w:p>
        </w:tc>
        <w:tc>
          <w:tcPr>
            <w:tcW w:w="0" w:type="dxa"/>
            <w:noWrap/>
            <w:vAlign w:val="bottom"/>
            <w:hideMark/>
          </w:tcPr>
          <w:p w14:paraId="1377B37C"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(3)</w:t>
            </w:r>
          </w:p>
        </w:tc>
        <w:tc>
          <w:tcPr>
            <w:tcW w:w="0" w:type="dxa"/>
            <w:noWrap/>
            <w:vAlign w:val="bottom"/>
            <w:hideMark/>
          </w:tcPr>
          <w:p w14:paraId="722D47BA"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(-4)</w:t>
            </w:r>
          </w:p>
        </w:tc>
        <w:tc>
          <w:tcPr>
            <w:tcW w:w="0" w:type="dxa"/>
            <w:noWrap/>
            <w:vAlign w:val="bottom"/>
            <w:hideMark/>
          </w:tcPr>
          <w:p w14:paraId="4E25A6C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(-5)</w:t>
            </w:r>
          </w:p>
        </w:tc>
        <w:tc>
          <w:tcPr>
            <w:tcW w:w="0" w:type="dxa"/>
            <w:noWrap/>
            <w:vAlign w:val="bottom"/>
            <w:hideMark/>
          </w:tcPr>
          <w:p w14:paraId="157CE69C"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(-7)</w:t>
            </w:r>
          </w:p>
        </w:tc>
      </w:tr>
      <w:tr w:rsidR="003475DA" w:rsidRPr="008C15E4" w14:paraId="1EB0B136"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01467A82"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South Korea</w:t>
            </w:r>
          </w:p>
        </w:tc>
        <w:tc>
          <w:tcPr>
            <w:tcW w:w="0" w:type="dxa"/>
            <w:noWrap/>
            <w:vAlign w:val="center"/>
            <w:hideMark/>
          </w:tcPr>
          <w:p w14:paraId="07D66E46"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48512AE1"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22</w:t>
            </w:r>
          </w:p>
        </w:tc>
        <w:tc>
          <w:tcPr>
            <w:tcW w:w="0" w:type="dxa"/>
            <w:vAlign w:val="bottom"/>
          </w:tcPr>
          <w:p w14:paraId="6CE6C89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32</w:t>
            </w:r>
          </w:p>
        </w:tc>
        <w:tc>
          <w:tcPr>
            <w:tcW w:w="0" w:type="dxa"/>
            <w:noWrap/>
            <w:vAlign w:val="bottom"/>
            <w:hideMark/>
          </w:tcPr>
          <w:p w14:paraId="6CAA896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(1)</w:t>
            </w:r>
          </w:p>
        </w:tc>
        <w:tc>
          <w:tcPr>
            <w:tcW w:w="0" w:type="dxa"/>
            <w:noWrap/>
            <w:vAlign w:val="bottom"/>
            <w:hideMark/>
          </w:tcPr>
          <w:p w14:paraId="6566C72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-0.6 (-2)</w:t>
            </w:r>
          </w:p>
        </w:tc>
        <w:tc>
          <w:tcPr>
            <w:tcW w:w="0" w:type="dxa"/>
            <w:noWrap/>
            <w:vAlign w:val="bottom"/>
            <w:hideMark/>
          </w:tcPr>
          <w:p w14:paraId="32F40C8C"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-0.7 (-2)</w:t>
            </w:r>
          </w:p>
        </w:tc>
        <w:tc>
          <w:tcPr>
            <w:tcW w:w="0" w:type="dxa"/>
            <w:noWrap/>
            <w:vAlign w:val="bottom"/>
            <w:hideMark/>
          </w:tcPr>
          <w:p w14:paraId="579232B8"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 (-3)</w:t>
            </w:r>
          </w:p>
        </w:tc>
      </w:tr>
      <w:tr w:rsidR="003475DA" w:rsidRPr="008C15E4" w14:paraId="0BE6A0C8"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7B8B1B76"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22A97C9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5B1CCCDF"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w:t>
            </w:r>
          </w:p>
        </w:tc>
        <w:tc>
          <w:tcPr>
            <w:tcW w:w="0" w:type="dxa"/>
            <w:vAlign w:val="bottom"/>
          </w:tcPr>
          <w:p w14:paraId="7AEC6D1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3</w:t>
            </w:r>
          </w:p>
        </w:tc>
        <w:tc>
          <w:tcPr>
            <w:tcW w:w="0" w:type="dxa"/>
            <w:noWrap/>
            <w:vAlign w:val="bottom"/>
            <w:hideMark/>
          </w:tcPr>
          <w:p w14:paraId="5B20E7C9"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 (3)</w:t>
            </w:r>
          </w:p>
        </w:tc>
        <w:tc>
          <w:tcPr>
            <w:tcW w:w="0" w:type="dxa"/>
            <w:noWrap/>
            <w:vAlign w:val="bottom"/>
            <w:hideMark/>
          </w:tcPr>
          <w:p w14:paraId="1868F64B"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(-3)</w:t>
            </w:r>
          </w:p>
        </w:tc>
        <w:tc>
          <w:tcPr>
            <w:tcW w:w="0" w:type="dxa"/>
            <w:noWrap/>
            <w:vAlign w:val="bottom"/>
            <w:hideMark/>
          </w:tcPr>
          <w:p w14:paraId="0DBD60C8"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-0.1 (-4)</w:t>
            </w:r>
          </w:p>
        </w:tc>
        <w:tc>
          <w:tcPr>
            <w:tcW w:w="0" w:type="dxa"/>
            <w:noWrap/>
            <w:vAlign w:val="bottom"/>
            <w:hideMark/>
          </w:tcPr>
          <w:p w14:paraId="3536A1B6"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(-6)</w:t>
            </w:r>
          </w:p>
        </w:tc>
      </w:tr>
      <w:tr w:rsidR="003475DA" w:rsidRPr="008C15E4" w14:paraId="12FB380E"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29B2CE15" w14:textId="77777777" w:rsidR="003475DA" w:rsidRPr="008C15E4" w:rsidRDefault="003475DA" w:rsidP="003475DA">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United States</w:t>
            </w:r>
          </w:p>
        </w:tc>
        <w:tc>
          <w:tcPr>
            <w:tcW w:w="0" w:type="dxa"/>
            <w:noWrap/>
            <w:vAlign w:val="center"/>
            <w:hideMark/>
          </w:tcPr>
          <w:p w14:paraId="4B98C2A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3E70AEB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70</w:t>
            </w:r>
          </w:p>
        </w:tc>
        <w:tc>
          <w:tcPr>
            <w:tcW w:w="0" w:type="dxa"/>
            <w:vAlign w:val="bottom"/>
          </w:tcPr>
          <w:p w14:paraId="03EBED8A"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50</w:t>
            </w:r>
          </w:p>
        </w:tc>
        <w:tc>
          <w:tcPr>
            <w:tcW w:w="0" w:type="dxa"/>
            <w:noWrap/>
            <w:vAlign w:val="bottom"/>
            <w:hideMark/>
          </w:tcPr>
          <w:p w14:paraId="0D04840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0.9 (1)</w:t>
            </w:r>
          </w:p>
        </w:tc>
        <w:tc>
          <w:tcPr>
            <w:tcW w:w="0" w:type="dxa"/>
            <w:noWrap/>
            <w:vAlign w:val="bottom"/>
            <w:hideMark/>
          </w:tcPr>
          <w:p w14:paraId="014AB40E"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-0.3 (-1)</w:t>
            </w:r>
          </w:p>
        </w:tc>
        <w:tc>
          <w:tcPr>
            <w:tcW w:w="0" w:type="dxa"/>
            <w:noWrap/>
            <w:vAlign w:val="bottom"/>
            <w:hideMark/>
          </w:tcPr>
          <w:p w14:paraId="29EA1B95"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-0.4 (-1)</w:t>
            </w:r>
          </w:p>
        </w:tc>
        <w:tc>
          <w:tcPr>
            <w:tcW w:w="0" w:type="dxa"/>
            <w:noWrap/>
            <w:vAlign w:val="bottom"/>
            <w:hideMark/>
          </w:tcPr>
          <w:p w14:paraId="1530FA33"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-2.1 (-4)</w:t>
            </w:r>
          </w:p>
        </w:tc>
      </w:tr>
      <w:tr w:rsidR="003475DA" w:rsidRPr="008C15E4" w14:paraId="4ACA7C45"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4AA231C9" w14:textId="77777777" w:rsidR="003475DA" w:rsidRPr="008C15E4" w:rsidRDefault="003475DA" w:rsidP="003475DA">
            <w:pPr>
              <w:rPr>
                <w:rFonts w:ascii="Calibri" w:eastAsia="Times New Roman" w:hAnsi="Calibri" w:cs="Times New Roman"/>
                <w:color w:val="000000"/>
                <w:sz w:val="20"/>
                <w:szCs w:val="20"/>
              </w:rPr>
            </w:pPr>
          </w:p>
        </w:tc>
        <w:tc>
          <w:tcPr>
            <w:tcW w:w="0" w:type="dxa"/>
            <w:noWrap/>
            <w:vAlign w:val="center"/>
            <w:hideMark/>
          </w:tcPr>
          <w:p w14:paraId="4B5CD328"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431D93AD"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9</w:t>
            </w:r>
          </w:p>
        </w:tc>
        <w:tc>
          <w:tcPr>
            <w:tcW w:w="0" w:type="dxa"/>
            <w:vAlign w:val="bottom"/>
          </w:tcPr>
          <w:p w14:paraId="60B72E22"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13</w:t>
            </w:r>
          </w:p>
        </w:tc>
        <w:tc>
          <w:tcPr>
            <w:tcW w:w="0" w:type="dxa"/>
            <w:noWrap/>
            <w:vAlign w:val="bottom"/>
            <w:hideMark/>
          </w:tcPr>
          <w:p w14:paraId="6E71C9D5"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(2)</w:t>
            </w:r>
          </w:p>
        </w:tc>
        <w:tc>
          <w:tcPr>
            <w:tcW w:w="0" w:type="dxa"/>
            <w:noWrap/>
            <w:vAlign w:val="bottom"/>
            <w:hideMark/>
          </w:tcPr>
          <w:p w14:paraId="1E58D768"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-0.2 (-2)</w:t>
            </w:r>
          </w:p>
        </w:tc>
        <w:tc>
          <w:tcPr>
            <w:tcW w:w="0" w:type="dxa"/>
            <w:noWrap/>
            <w:vAlign w:val="bottom"/>
            <w:hideMark/>
          </w:tcPr>
          <w:p w14:paraId="514C8154"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-0.3 (-2)</w:t>
            </w:r>
          </w:p>
        </w:tc>
        <w:tc>
          <w:tcPr>
            <w:tcW w:w="0" w:type="dxa"/>
            <w:noWrap/>
            <w:vAlign w:val="bottom"/>
            <w:hideMark/>
          </w:tcPr>
          <w:p w14:paraId="7F0A5777"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-0.7 (-5)</w:t>
            </w:r>
          </w:p>
        </w:tc>
      </w:tr>
      <w:tr w:rsidR="003475DA" w:rsidRPr="008C15E4" w14:paraId="020F8BFF" w14:textId="77777777" w:rsidTr="003C0C10">
        <w:trPr>
          <w:trHeight w:val="324"/>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550E4FA3" w14:textId="77777777" w:rsidR="003475DA" w:rsidRPr="008C15E4" w:rsidRDefault="003475DA" w:rsidP="003475DA">
            <w:pPr>
              <w:rPr>
                <w:rFonts w:ascii="Calibri" w:eastAsia="Times New Roman" w:hAnsi="Calibri" w:cs="Times New Roman"/>
                <w:color w:val="000000"/>
                <w:sz w:val="20"/>
                <w:szCs w:val="20"/>
              </w:rPr>
            </w:pPr>
            <w:r w:rsidRPr="008C15E4">
              <w:rPr>
                <w:rFonts w:ascii="Calibri" w:eastAsia="Times New Roman" w:hAnsi="Calibri" w:cs="Times New Roman"/>
                <w:color w:val="000000"/>
                <w:sz w:val="20"/>
                <w:szCs w:val="20"/>
              </w:rPr>
              <w:t>Rest of world</w:t>
            </w:r>
          </w:p>
        </w:tc>
        <w:tc>
          <w:tcPr>
            <w:tcW w:w="0" w:type="dxa"/>
            <w:noWrap/>
            <w:vAlign w:val="center"/>
            <w:hideMark/>
          </w:tcPr>
          <w:p w14:paraId="211201A0"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PM</w:t>
            </w:r>
            <w:r w:rsidRPr="008C15E4">
              <w:rPr>
                <w:rFonts w:ascii="Calibri" w:eastAsia="Times New Roman" w:hAnsi="Calibri" w:cs="Times New Roman"/>
                <w:b/>
                <w:bCs/>
                <w:color w:val="000000"/>
                <w:sz w:val="20"/>
                <w:szCs w:val="20"/>
                <w:vertAlign w:val="subscript"/>
              </w:rPr>
              <w:t>2.5</w:t>
            </w:r>
          </w:p>
        </w:tc>
        <w:tc>
          <w:tcPr>
            <w:tcW w:w="0" w:type="dxa"/>
            <w:noWrap/>
            <w:vAlign w:val="bottom"/>
            <w:hideMark/>
          </w:tcPr>
          <w:p w14:paraId="4AD50FB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1,037</w:t>
            </w:r>
          </w:p>
        </w:tc>
        <w:tc>
          <w:tcPr>
            <w:tcW w:w="0" w:type="dxa"/>
            <w:vAlign w:val="bottom"/>
          </w:tcPr>
          <w:p w14:paraId="6AC7FED2"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1,893</w:t>
            </w:r>
          </w:p>
        </w:tc>
        <w:tc>
          <w:tcPr>
            <w:tcW w:w="0" w:type="dxa"/>
            <w:noWrap/>
            <w:vAlign w:val="bottom"/>
            <w:hideMark/>
          </w:tcPr>
          <w:p w14:paraId="1587B25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2.7 (0)</w:t>
            </w:r>
          </w:p>
        </w:tc>
        <w:tc>
          <w:tcPr>
            <w:tcW w:w="0" w:type="dxa"/>
            <w:noWrap/>
            <w:vAlign w:val="bottom"/>
            <w:hideMark/>
          </w:tcPr>
          <w:p w14:paraId="11D20E79"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-3.4 (0)</w:t>
            </w:r>
          </w:p>
        </w:tc>
        <w:tc>
          <w:tcPr>
            <w:tcW w:w="0" w:type="dxa"/>
            <w:noWrap/>
            <w:vAlign w:val="bottom"/>
            <w:hideMark/>
          </w:tcPr>
          <w:p w14:paraId="42820163"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-5.5 (0)</w:t>
            </w:r>
          </w:p>
        </w:tc>
        <w:tc>
          <w:tcPr>
            <w:tcW w:w="0" w:type="dxa"/>
            <w:noWrap/>
            <w:vAlign w:val="bottom"/>
            <w:hideMark/>
          </w:tcPr>
          <w:p w14:paraId="107C0D1B" w14:textId="77777777" w:rsidR="003475DA" w:rsidRPr="008C15E4" w:rsidRDefault="003475DA" w:rsidP="003475D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-7.5 (0)</w:t>
            </w:r>
          </w:p>
        </w:tc>
      </w:tr>
      <w:tr w:rsidR="003475DA" w:rsidRPr="008C15E4" w14:paraId="72ABFFC6" w14:textId="77777777" w:rsidTr="003C0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297A582E" w14:textId="77777777" w:rsidR="003475DA" w:rsidRPr="008C15E4" w:rsidRDefault="003475DA" w:rsidP="003475DA">
            <w:pPr>
              <w:jc w:val="center"/>
              <w:rPr>
                <w:rFonts w:ascii="Calibri" w:eastAsia="Times New Roman" w:hAnsi="Calibri" w:cs="Times New Roman"/>
                <w:color w:val="000000"/>
                <w:sz w:val="20"/>
                <w:szCs w:val="20"/>
              </w:rPr>
            </w:pPr>
          </w:p>
        </w:tc>
        <w:tc>
          <w:tcPr>
            <w:tcW w:w="0" w:type="dxa"/>
            <w:noWrap/>
            <w:vAlign w:val="center"/>
            <w:hideMark/>
          </w:tcPr>
          <w:p w14:paraId="5595AC7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8C15E4">
              <w:rPr>
                <w:rFonts w:ascii="Calibri" w:eastAsia="Times New Roman" w:hAnsi="Calibri" w:cs="Times New Roman"/>
                <w:b/>
                <w:bCs/>
                <w:color w:val="000000"/>
                <w:sz w:val="20"/>
                <w:szCs w:val="20"/>
              </w:rPr>
              <w:t>Ozone</w:t>
            </w:r>
          </w:p>
        </w:tc>
        <w:tc>
          <w:tcPr>
            <w:tcW w:w="0" w:type="dxa"/>
            <w:noWrap/>
            <w:vAlign w:val="bottom"/>
            <w:hideMark/>
          </w:tcPr>
          <w:p w14:paraId="6A05195B"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30</w:t>
            </w:r>
          </w:p>
        </w:tc>
        <w:tc>
          <w:tcPr>
            <w:tcW w:w="0" w:type="dxa"/>
            <w:vAlign w:val="bottom"/>
          </w:tcPr>
          <w:p w14:paraId="60AA9BA3"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C15E4">
              <w:rPr>
                <w:rFonts w:ascii="Calibri" w:hAnsi="Calibri" w:cs="Calibri"/>
                <w:color w:val="000000"/>
                <w:sz w:val="20"/>
                <w:szCs w:val="20"/>
              </w:rPr>
              <w:t>71</w:t>
            </w:r>
          </w:p>
        </w:tc>
        <w:tc>
          <w:tcPr>
            <w:tcW w:w="0" w:type="dxa"/>
            <w:noWrap/>
            <w:vAlign w:val="bottom"/>
            <w:hideMark/>
          </w:tcPr>
          <w:p w14:paraId="0C21A56B"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0.6 (2)</w:t>
            </w:r>
          </w:p>
        </w:tc>
        <w:tc>
          <w:tcPr>
            <w:tcW w:w="0" w:type="dxa"/>
            <w:noWrap/>
            <w:vAlign w:val="bottom"/>
            <w:hideMark/>
          </w:tcPr>
          <w:p w14:paraId="01D3AE40"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 (-1)</w:t>
            </w:r>
          </w:p>
        </w:tc>
        <w:tc>
          <w:tcPr>
            <w:tcW w:w="0" w:type="dxa"/>
            <w:noWrap/>
            <w:vAlign w:val="bottom"/>
            <w:hideMark/>
          </w:tcPr>
          <w:p w14:paraId="30D07F74"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-1.5 (-2)</w:t>
            </w:r>
          </w:p>
        </w:tc>
        <w:tc>
          <w:tcPr>
            <w:tcW w:w="0" w:type="dxa"/>
            <w:noWrap/>
            <w:vAlign w:val="bottom"/>
            <w:hideMark/>
          </w:tcPr>
          <w:p w14:paraId="49B65371" w14:textId="77777777" w:rsidR="003475DA" w:rsidRPr="008C15E4" w:rsidRDefault="003475DA" w:rsidP="003475D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C15E4">
              <w:rPr>
                <w:rFonts w:ascii="Calibri" w:hAnsi="Calibri" w:cs="Calibri"/>
                <w:color w:val="000000"/>
                <w:sz w:val="20"/>
                <w:szCs w:val="20"/>
              </w:rPr>
              <w:t>-2 (-3)</w:t>
            </w:r>
          </w:p>
        </w:tc>
      </w:tr>
    </w:tbl>
    <w:p w14:paraId="4B803415" w14:textId="6D407221" w:rsidR="00DF3BFD" w:rsidRDefault="00DF3BFD" w:rsidP="00DF3BFD">
      <w:pPr>
        <w:rPr>
          <w:sz w:val="20"/>
          <w:szCs w:val="20"/>
        </w:rPr>
      </w:pPr>
      <w:r w:rsidRPr="008D68AB">
        <w:rPr>
          <w:sz w:val="20"/>
          <w:szCs w:val="20"/>
        </w:rPr>
        <w:t>Values in parentheses indicate a percentage change in</w:t>
      </w:r>
      <w:r>
        <w:rPr>
          <w:sz w:val="20"/>
          <w:szCs w:val="20"/>
        </w:rPr>
        <w:t xml:space="preserve"> regional total</w:t>
      </w:r>
      <w:r w:rsidRPr="008D68AB">
        <w:rPr>
          <w:sz w:val="20"/>
          <w:szCs w:val="20"/>
        </w:rPr>
        <w:t xml:space="preserve"> number of </w:t>
      </w:r>
      <w:r>
        <w:rPr>
          <w:sz w:val="20"/>
          <w:szCs w:val="20"/>
        </w:rPr>
        <w:t>PM</w:t>
      </w:r>
      <w:r w:rsidRPr="00CA7B8B">
        <w:rPr>
          <w:sz w:val="20"/>
          <w:szCs w:val="20"/>
          <w:vertAlign w:val="subscript"/>
        </w:rPr>
        <w:t>2.5</w:t>
      </w:r>
      <w:r>
        <w:rPr>
          <w:sz w:val="20"/>
          <w:szCs w:val="20"/>
        </w:rPr>
        <w:t xml:space="preserve">- or ozone-related </w:t>
      </w:r>
      <w:r w:rsidRPr="008D68AB">
        <w:rPr>
          <w:sz w:val="20"/>
          <w:szCs w:val="20"/>
        </w:rPr>
        <w:t xml:space="preserve">premature deaths. </w:t>
      </w:r>
      <w:r>
        <w:rPr>
          <w:sz w:val="20"/>
          <w:szCs w:val="20"/>
        </w:rPr>
        <w:t>“Rest of world” row indicates the health benefits occurring outside the 11 implementing regions. Impacts are reported for the year indicated in the column headings.</w:t>
      </w:r>
      <w:r w:rsidR="004C4CB8">
        <w:rPr>
          <w:sz w:val="20"/>
          <w:szCs w:val="20"/>
        </w:rPr>
        <w:t xml:space="preserve"> Values are central estimates using the mean relative risk estimates for PM</w:t>
      </w:r>
      <w:r w:rsidR="004C4CB8" w:rsidRPr="00073FD4">
        <w:rPr>
          <w:sz w:val="20"/>
          <w:szCs w:val="20"/>
          <w:vertAlign w:val="subscript"/>
        </w:rPr>
        <w:t xml:space="preserve">2.5 </w:t>
      </w:r>
      <w:r w:rsidR="004C4CB8">
        <w:rPr>
          <w:sz w:val="20"/>
          <w:szCs w:val="20"/>
        </w:rPr>
        <w:t>and central estimates from the epidemiology study for ozone.</w:t>
      </w:r>
    </w:p>
    <w:p w14:paraId="5C673D3E" w14:textId="1C2D2EA3" w:rsidR="007256C8" w:rsidRDefault="007256C8" w:rsidP="00DF3BFD">
      <w:pPr>
        <w:rPr>
          <w:sz w:val="20"/>
          <w:szCs w:val="20"/>
        </w:rPr>
      </w:pPr>
    </w:p>
    <w:p w14:paraId="0C62DD4A" w14:textId="1CAD07D9" w:rsidR="007256C8" w:rsidRDefault="007256C8" w:rsidP="00DF3BFD">
      <w:pPr>
        <w:rPr>
          <w:sz w:val="20"/>
          <w:szCs w:val="20"/>
        </w:rPr>
      </w:pPr>
    </w:p>
    <w:p w14:paraId="3512DD76" w14:textId="45224287" w:rsidR="007256C8" w:rsidRDefault="007256C8" w:rsidP="00DF3BFD">
      <w:pPr>
        <w:rPr>
          <w:sz w:val="20"/>
          <w:szCs w:val="20"/>
        </w:rPr>
      </w:pPr>
    </w:p>
    <w:p w14:paraId="4E5F0B96" w14:textId="0E264307" w:rsidR="007256C8" w:rsidRDefault="007256C8" w:rsidP="00DF3BFD">
      <w:pPr>
        <w:rPr>
          <w:sz w:val="20"/>
          <w:szCs w:val="20"/>
        </w:rPr>
      </w:pPr>
    </w:p>
    <w:p w14:paraId="04A0373D" w14:textId="1B214C83" w:rsidR="00970CEE" w:rsidRPr="00D55E1D" w:rsidRDefault="00970CEE" w:rsidP="00970CEE"/>
    <w:p w14:paraId="301ADC05" w14:textId="6F294BF1" w:rsidR="00970CEE" w:rsidRPr="00F82394" w:rsidRDefault="00F82394" w:rsidP="00970CEE">
      <w:pPr>
        <w:rPr>
          <w:b/>
          <w:sz w:val="28"/>
          <w:szCs w:val="28"/>
        </w:rPr>
      </w:pPr>
      <w:r w:rsidRPr="00F82394">
        <w:rPr>
          <w:b/>
          <w:noProof/>
          <w:sz w:val="28"/>
          <w:szCs w:val="28"/>
        </w:rPr>
        <w:lastRenderedPageBreak/>
        <w:drawing>
          <wp:inline distT="0" distB="0" distL="0" distR="0" wp14:anchorId="1A0F64AE" wp14:editId="404CC7E3">
            <wp:extent cx="5670550" cy="76103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5496" cy="7616982"/>
                    </a:xfrm>
                    <a:prstGeom prst="rect">
                      <a:avLst/>
                    </a:prstGeom>
                    <a:noFill/>
                    <a:ln>
                      <a:noFill/>
                    </a:ln>
                  </pic:spPr>
                </pic:pic>
              </a:graphicData>
            </a:graphic>
          </wp:inline>
        </w:drawing>
      </w:r>
    </w:p>
    <w:p w14:paraId="117773FA" w14:textId="36ABEE03" w:rsidR="00970CEE" w:rsidRPr="0040451E" w:rsidRDefault="00970CEE" w:rsidP="00970CEE">
      <w:pPr>
        <w:pStyle w:val="Caption"/>
        <w:rPr>
          <w:sz w:val="28"/>
          <w:szCs w:val="28"/>
        </w:rPr>
      </w:pPr>
      <w:bookmarkStart w:id="20" w:name="_Ref469309691"/>
      <w:r>
        <w:t xml:space="preserve">Extended Data Figure </w:t>
      </w:r>
      <w:fldSimple w:instr=" SEQ Extended_Data_Figure \* ARABIC ">
        <w:r w:rsidR="00B4223E">
          <w:rPr>
            <w:noProof/>
          </w:rPr>
          <w:t>4</w:t>
        </w:r>
      </w:fldSimple>
      <w:bookmarkEnd w:id="20"/>
      <w:r>
        <w:t>. Share of</w:t>
      </w:r>
      <w:r w:rsidR="00B61237">
        <w:t xml:space="preserve"> diesel</w:t>
      </w:r>
      <w:r>
        <w:t xml:space="preserve"> light-duty</w:t>
      </w:r>
      <w:r w:rsidR="00E51B67">
        <w:t xml:space="preserve"> vehicle</w:t>
      </w:r>
      <w:r>
        <w:t xml:space="preserve"> (LD</w:t>
      </w:r>
      <w:r w:rsidR="00E51B67">
        <w:t>V</w:t>
      </w:r>
      <w:r>
        <w:t>) and heavy-duty</w:t>
      </w:r>
      <w:r w:rsidR="00E51B67">
        <w:t xml:space="preserve"> vehicle</w:t>
      </w:r>
      <w:r>
        <w:t xml:space="preserve"> (HD</w:t>
      </w:r>
      <w:r w:rsidR="00E51B67">
        <w:t>V</w:t>
      </w:r>
      <w:r>
        <w:t>) activity (a) projected by region from 2015 to 2040 and (b) by Euro-equivalent standard in 2015 and 2040 by policy scenario.</w:t>
      </w:r>
    </w:p>
    <w:p w14:paraId="5D0FB175" w14:textId="4067415E" w:rsidR="00EC5584" w:rsidRDefault="00EC5584" w:rsidP="005B2622">
      <w:pPr>
        <w:pStyle w:val="Caption"/>
        <w:rPr>
          <w:sz w:val="28"/>
          <w:szCs w:val="28"/>
        </w:rPr>
      </w:pPr>
    </w:p>
    <w:p w14:paraId="5738AE5A" w14:textId="77777777" w:rsidR="00F81A0A" w:rsidRDefault="00F81A0A" w:rsidP="00F81A0A">
      <w:bookmarkStart w:id="21" w:name="_Ref455998411"/>
      <w:bookmarkStart w:id="22" w:name="_Ref456685869"/>
      <w:r>
        <w:rPr>
          <w:noProof/>
        </w:rPr>
        <w:drawing>
          <wp:inline distT="0" distB="0" distL="0" distR="0" wp14:anchorId="023697E7" wp14:editId="02D6E4BD">
            <wp:extent cx="5838411" cy="36766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3309" cy="3679735"/>
                    </a:xfrm>
                    <a:prstGeom prst="rect">
                      <a:avLst/>
                    </a:prstGeom>
                    <a:noFill/>
                    <a:ln>
                      <a:noFill/>
                    </a:ln>
                  </pic:spPr>
                </pic:pic>
              </a:graphicData>
            </a:graphic>
          </wp:inline>
        </w:drawing>
      </w:r>
    </w:p>
    <w:p w14:paraId="57F47406" w14:textId="77777777" w:rsidR="003809B1" w:rsidRDefault="003809B1" w:rsidP="004C4CB8">
      <w:bookmarkStart w:id="23" w:name="_Ref468780531"/>
    </w:p>
    <w:p w14:paraId="34858B1D" w14:textId="660CB60A" w:rsidR="00F81A0A" w:rsidRPr="007238E4" w:rsidRDefault="00F81A0A" w:rsidP="00F81A0A">
      <w:pPr>
        <w:pStyle w:val="Caption"/>
        <w:rPr>
          <w:b w:val="0"/>
          <w:i/>
        </w:rPr>
      </w:pPr>
      <w:bookmarkStart w:id="24" w:name="_Ref469563474"/>
      <w:r>
        <w:t xml:space="preserve">Extended Data Figure </w:t>
      </w:r>
      <w:fldSimple w:instr=" SEQ Extended_Data_Figure \* ARABIC ">
        <w:r w:rsidR="00B4223E">
          <w:rPr>
            <w:noProof/>
          </w:rPr>
          <w:t>5</w:t>
        </w:r>
      </w:fldSimple>
      <w:bookmarkEnd w:id="23"/>
      <w:bookmarkEnd w:id="24"/>
      <w:r>
        <w:t>. Distance-specific NO</w:t>
      </w:r>
      <w:r w:rsidRPr="002D56CA">
        <w:rPr>
          <w:vertAlign w:val="subscript"/>
        </w:rPr>
        <w:t>X</w:t>
      </w:r>
      <w:r>
        <w:t xml:space="preserve"> emission rates</w:t>
      </w:r>
      <w:r w:rsidR="00973A3E">
        <w:t xml:space="preserve"> with uncertainty bands</w:t>
      </w:r>
      <w:r>
        <w:t xml:space="preserve"> based on engine emission limits by model year</w:t>
      </w:r>
      <w:r w:rsidR="00F227F8">
        <w:t>.</w:t>
      </w:r>
    </w:p>
    <w:p w14:paraId="675B9E92" w14:textId="222E2464" w:rsidR="0040451E" w:rsidRDefault="0040451E">
      <w:r>
        <w:br w:type="page"/>
      </w:r>
    </w:p>
    <w:p w14:paraId="5EDA4C4B" w14:textId="324AB5F4" w:rsidR="00F81A0A" w:rsidRPr="00CD6B8C" w:rsidRDefault="00FE1730" w:rsidP="00FE6C7F">
      <w:pPr>
        <w:rPr>
          <w:b/>
        </w:rPr>
      </w:pPr>
      <w:r>
        <w:rPr>
          <w:noProof/>
        </w:rPr>
        <w:lastRenderedPageBreak/>
        <w:drawing>
          <wp:inline distT="0" distB="0" distL="0" distR="0" wp14:anchorId="773310CD" wp14:editId="615D7F67">
            <wp:extent cx="5943600" cy="3416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16935"/>
                    </a:xfrm>
                    <a:prstGeom prst="rect">
                      <a:avLst/>
                    </a:prstGeom>
                  </pic:spPr>
                </pic:pic>
              </a:graphicData>
            </a:graphic>
          </wp:inline>
        </w:drawing>
      </w:r>
    </w:p>
    <w:p w14:paraId="36E10E6E" w14:textId="77777777" w:rsidR="00F81A0A" w:rsidRPr="00151CED" w:rsidRDefault="00F81A0A" w:rsidP="004C4CB8">
      <w:pPr>
        <w:shd w:val="clear" w:color="auto" w:fill="F2F2F2" w:themeFill="background1" w:themeFillShade="F2"/>
        <w:spacing w:after="0" w:line="240" w:lineRule="auto"/>
        <w:rPr>
          <w:b/>
          <w:sz w:val="18"/>
        </w:rPr>
      </w:pPr>
      <w:r w:rsidRPr="00151CED">
        <w:rPr>
          <w:b/>
          <w:sz w:val="18"/>
        </w:rPr>
        <w:t>Notes</w:t>
      </w:r>
    </w:p>
    <w:p w14:paraId="72F3705E" w14:textId="77777777" w:rsidR="00F81A0A" w:rsidRPr="00151CED" w:rsidRDefault="00F81A0A" w:rsidP="004C4CB8">
      <w:pPr>
        <w:shd w:val="clear" w:color="auto" w:fill="F2F2F2" w:themeFill="background1" w:themeFillShade="F2"/>
        <w:spacing w:after="0" w:line="240" w:lineRule="auto"/>
        <w:rPr>
          <w:sz w:val="18"/>
        </w:rPr>
      </w:pPr>
      <w:r w:rsidRPr="00151CED">
        <w:rPr>
          <w:sz w:val="18"/>
        </w:rPr>
        <w:t>Carslaw et al. (2011) indicate remote sensing estimates are typical of urban driving conditions in the UK.</w:t>
      </w:r>
    </w:p>
    <w:p w14:paraId="002AC143" w14:textId="77777777" w:rsidR="00F81A0A" w:rsidRPr="00151CED" w:rsidRDefault="00F81A0A" w:rsidP="00567F7C">
      <w:pPr>
        <w:shd w:val="clear" w:color="auto" w:fill="F2F2F2" w:themeFill="background1" w:themeFillShade="F2"/>
        <w:spacing w:after="0" w:line="240" w:lineRule="auto"/>
        <w:rPr>
          <w:sz w:val="18"/>
        </w:rPr>
      </w:pPr>
      <w:r w:rsidRPr="00151CED">
        <w:rPr>
          <w:sz w:val="18"/>
        </w:rPr>
        <w:t>Emisia (2016) estimates were extracted for 2015 from Sibyl, which is based on COPERT.</w:t>
      </w:r>
    </w:p>
    <w:p w14:paraId="0344C53E" w14:textId="31FAE798" w:rsidR="00F81A0A" w:rsidRDefault="00F81A0A" w:rsidP="00567F7C">
      <w:pPr>
        <w:shd w:val="clear" w:color="auto" w:fill="F2F2F2" w:themeFill="background1" w:themeFillShade="F2"/>
        <w:spacing w:after="0" w:line="240" w:lineRule="auto"/>
        <w:rPr>
          <w:sz w:val="18"/>
        </w:rPr>
      </w:pPr>
      <w:r w:rsidRPr="00151CED">
        <w:rPr>
          <w:sz w:val="18"/>
        </w:rPr>
        <w:t>Velders et al. (2011) results are shown as an average of city and motorway driving.</w:t>
      </w:r>
    </w:p>
    <w:p w14:paraId="34E00781" w14:textId="77777777" w:rsidR="00973A3E" w:rsidRPr="00772682" w:rsidRDefault="00973A3E" w:rsidP="00973A3E">
      <w:pPr>
        <w:shd w:val="clear" w:color="auto" w:fill="F2F2F2" w:themeFill="background1" w:themeFillShade="F2"/>
        <w:spacing w:after="0" w:line="240" w:lineRule="auto"/>
        <w:rPr>
          <w:sz w:val="18"/>
        </w:rPr>
      </w:pPr>
      <w:r w:rsidRPr="00772682">
        <w:rPr>
          <w:sz w:val="18"/>
        </w:rPr>
        <w:t>TRL (2009) estimates are averaged over urban, rural and highway for diesel cars weighing 2.5-3.5t.</w:t>
      </w:r>
    </w:p>
    <w:p w14:paraId="2C004D41" w14:textId="77777777" w:rsidR="00973A3E" w:rsidRDefault="00973A3E" w:rsidP="00973A3E">
      <w:pPr>
        <w:shd w:val="clear" w:color="auto" w:fill="F2F2F2" w:themeFill="background1" w:themeFillShade="F2"/>
        <w:spacing w:after="0" w:line="240" w:lineRule="auto"/>
        <w:rPr>
          <w:sz w:val="18"/>
        </w:rPr>
      </w:pPr>
      <w:r w:rsidRPr="0061634B">
        <w:rPr>
          <w:sz w:val="18"/>
        </w:rPr>
        <w:t>TNO (2015) estimates are for urban conditions.</w:t>
      </w:r>
    </w:p>
    <w:p w14:paraId="22A0758E" w14:textId="77777777" w:rsidR="00973A3E" w:rsidRDefault="00973A3E" w:rsidP="00973A3E">
      <w:pPr>
        <w:shd w:val="clear" w:color="auto" w:fill="F2F2F2" w:themeFill="background1" w:themeFillShade="F2"/>
        <w:spacing w:after="0" w:line="240" w:lineRule="auto"/>
        <w:rPr>
          <w:sz w:val="18"/>
        </w:rPr>
      </w:pPr>
      <w:r>
        <w:rPr>
          <w:sz w:val="18"/>
        </w:rPr>
        <w:t>LCV emission limits depend on vehicle weight class and range from about 1-1.6 times the NO</w:t>
      </w:r>
      <w:r w:rsidRPr="00E81BC6">
        <w:rPr>
          <w:sz w:val="18"/>
          <w:vertAlign w:val="subscript"/>
        </w:rPr>
        <w:t>X</w:t>
      </w:r>
      <w:r>
        <w:rPr>
          <w:sz w:val="18"/>
        </w:rPr>
        <w:t xml:space="preserve"> limit for cars.</w:t>
      </w:r>
    </w:p>
    <w:p w14:paraId="019392BB" w14:textId="77777777" w:rsidR="00973A3E" w:rsidRDefault="00973A3E" w:rsidP="00567F7C">
      <w:pPr>
        <w:shd w:val="clear" w:color="auto" w:fill="F2F2F2" w:themeFill="background1" w:themeFillShade="F2"/>
        <w:spacing w:after="0" w:line="240" w:lineRule="auto"/>
        <w:rPr>
          <w:sz w:val="18"/>
        </w:rPr>
      </w:pPr>
    </w:p>
    <w:p w14:paraId="0B1C5BCF" w14:textId="77777777" w:rsidR="00FE1730" w:rsidRDefault="00FE1730" w:rsidP="00FE6C7F">
      <w:bookmarkStart w:id="25" w:name="_Ref468780746"/>
    </w:p>
    <w:p w14:paraId="5F5D8A48" w14:textId="7058044F" w:rsidR="00F81A0A" w:rsidRDefault="00F81A0A" w:rsidP="00F81A0A">
      <w:pPr>
        <w:pStyle w:val="Caption"/>
      </w:pPr>
      <w:bookmarkStart w:id="26" w:name="_Ref469575443"/>
      <w:r>
        <w:t xml:space="preserve">Extended Data Figure </w:t>
      </w:r>
      <w:fldSimple w:instr=" SEQ Extended_Data_Figure \* ARABIC ">
        <w:r w:rsidR="00B4223E">
          <w:rPr>
            <w:noProof/>
          </w:rPr>
          <w:t>6</w:t>
        </w:r>
      </w:fldSimple>
      <w:bookmarkEnd w:id="25"/>
      <w:bookmarkEnd w:id="26"/>
      <w:r>
        <w:t xml:space="preserve">. </w:t>
      </w:r>
      <w:r w:rsidRPr="00151CED">
        <w:t xml:space="preserve">Review of diesel </w:t>
      </w:r>
      <w:r w:rsidR="00FE1730">
        <w:t>NOx emission factors for (a) heavy-duty vehicle</w:t>
      </w:r>
      <w:r w:rsidRPr="00151CED">
        <w:t>s in</w:t>
      </w:r>
      <w:r w:rsidR="00FE1730">
        <w:t xml:space="preserve"> EU-28 </w:t>
      </w:r>
      <w:r w:rsidR="00FE6C7F">
        <w:t>and (b)</w:t>
      </w:r>
      <w:r w:rsidRPr="00151CED">
        <w:t xml:space="preserve"> </w:t>
      </w:r>
      <w:r>
        <w:t>China</w:t>
      </w:r>
      <w:r w:rsidR="00FE1730">
        <w:t>, and (c) passenger cars and (d) light commercial vehicles in EU-28.</w:t>
      </w:r>
      <w:r w:rsidR="00973A3E">
        <w:t xml:space="preserve"> For panels (a) and (b), gray bars indicate distance-based emission factors based on engine emission limits. </w:t>
      </w:r>
      <w:r w:rsidR="00C56A21">
        <w:t>In panel (a), g</w:t>
      </w:r>
      <w:r w:rsidR="00973A3E">
        <w:t xml:space="preserve">antt bars indicate upper and lower bound for emission factor estimates. </w:t>
      </w:r>
    </w:p>
    <w:p w14:paraId="032DECED" w14:textId="5AA666BC" w:rsidR="00466044" w:rsidRDefault="00466044" w:rsidP="00466044"/>
    <w:p w14:paraId="3CC028E4" w14:textId="587E556F" w:rsidR="00973A3E" w:rsidRDefault="00973A3E" w:rsidP="00466044"/>
    <w:p w14:paraId="01A06183" w14:textId="77777777" w:rsidR="00973A3E" w:rsidRDefault="00973A3E" w:rsidP="00466044"/>
    <w:p w14:paraId="4A1C52C7" w14:textId="1A4E6172" w:rsidR="00973A3E" w:rsidRDefault="00973A3E" w:rsidP="00466044"/>
    <w:p w14:paraId="4BFD0E82" w14:textId="5C1691B3" w:rsidR="00973A3E" w:rsidRDefault="00973A3E" w:rsidP="00466044"/>
    <w:p w14:paraId="68E07669" w14:textId="110FC4D6" w:rsidR="00973A3E" w:rsidRDefault="00973A3E" w:rsidP="00466044"/>
    <w:p w14:paraId="24FEFBEB" w14:textId="77777777" w:rsidR="00973A3E" w:rsidRPr="00466044" w:rsidRDefault="00973A3E" w:rsidP="00466044"/>
    <w:p w14:paraId="287D8F1E" w14:textId="0D09D155" w:rsidR="00DE2E68" w:rsidRDefault="00DE2E68" w:rsidP="001C575A">
      <w:pPr>
        <w:pStyle w:val="Caption"/>
      </w:pPr>
    </w:p>
    <w:p w14:paraId="4CB070C3" w14:textId="77777777" w:rsidR="00517BA5" w:rsidRPr="00517BA5" w:rsidRDefault="00517BA5" w:rsidP="00517BA5"/>
    <w:p w14:paraId="06BC6A1C" w14:textId="22DFB116" w:rsidR="001C575A" w:rsidRPr="001C575A" w:rsidRDefault="001C575A" w:rsidP="001C575A">
      <w:pPr>
        <w:pStyle w:val="Caption"/>
      </w:pPr>
    </w:p>
    <w:p w14:paraId="40E628E1" w14:textId="162EB9C3" w:rsidR="002F2232" w:rsidRDefault="00800D94" w:rsidP="004C4CB8">
      <w:pPr>
        <w:pStyle w:val="Caption"/>
      </w:pPr>
      <w:bookmarkStart w:id="27" w:name="_Ref455998387"/>
      <w:bookmarkEnd w:id="21"/>
      <w:bookmarkEnd w:id="22"/>
      <w:r>
        <w:lastRenderedPageBreak/>
        <w:t xml:space="preserve">Extended Data Table </w:t>
      </w:r>
      <w:r w:rsidR="00D55E1D" w:rsidRPr="00970CEE">
        <w:rPr>
          <w:bCs w:val="0"/>
        </w:rPr>
        <w:fldChar w:fldCharType="begin"/>
      </w:r>
      <w:r w:rsidR="00D55E1D" w:rsidRPr="00970CEE">
        <w:rPr>
          <w:bCs w:val="0"/>
        </w:rPr>
        <w:instrText xml:space="preserve"> SEQ Extended_Data_Table \* ARABIC </w:instrText>
      </w:r>
      <w:r w:rsidR="00D55E1D" w:rsidRPr="00970CEE">
        <w:rPr>
          <w:bCs w:val="0"/>
        </w:rPr>
        <w:fldChar w:fldCharType="separate"/>
      </w:r>
      <w:r w:rsidR="00B4223E">
        <w:rPr>
          <w:bCs w:val="0"/>
          <w:noProof/>
        </w:rPr>
        <w:t>3</w:t>
      </w:r>
      <w:r w:rsidR="00D55E1D" w:rsidRPr="00970CEE">
        <w:rPr>
          <w:bCs w:val="0"/>
          <w:noProof/>
        </w:rPr>
        <w:fldChar w:fldCharType="end"/>
      </w:r>
      <w:bookmarkEnd w:id="27"/>
      <w:r w:rsidRPr="00970CEE">
        <w:t>.</w:t>
      </w:r>
      <w:r>
        <w:t xml:space="preserve"> </w:t>
      </w:r>
      <w:r w:rsidR="000122F4">
        <w:t>Selected</w:t>
      </w:r>
      <w:r>
        <w:t xml:space="preserve"> diesel NOx emission factors</w:t>
      </w:r>
      <w:r w:rsidR="00973A3E">
        <w:t>, emission limits</w:t>
      </w:r>
      <w:r w:rsidR="002F2232">
        <w:t>, and multipliers</w:t>
      </w:r>
      <w:r w:rsidR="00973A3E">
        <w:t>.</w:t>
      </w:r>
    </w:p>
    <w:tbl>
      <w:tblPr>
        <w:tblStyle w:val="TableGrid"/>
        <w:tblW w:w="9397" w:type="dxa"/>
        <w:tblLayout w:type="fixed"/>
        <w:tblLook w:val="04A0" w:firstRow="1" w:lastRow="0" w:firstColumn="1" w:lastColumn="0" w:noHBand="0" w:noVBand="1"/>
      </w:tblPr>
      <w:tblGrid>
        <w:gridCol w:w="1533"/>
        <w:gridCol w:w="822"/>
        <w:gridCol w:w="1243"/>
        <w:gridCol w:w="1980"/>
        <w:gridCol w:w="2070"/>
        <w:gridCol w:w="1749"/>
      </w:tblGrid>
      <w:tr w:rsidR="007F7DA5" w:rsidRPr="002F2232" w14:paraId="1A029398" w14:textId="77777777" w:rsidTr="00540B81">
        <w:tc>
          <w:tcPr>
            <w:tcW w:w="1533" w:type="dxa"/>
            <w:noWrap/>
            <w:hideMark/>
          </w:tcPr>
          <w:p w14:paraId="58BB1F58" w14:textId="77777777" w:rsidR="002F2232" w:rsidRPr="004C4CB8" w:rsidRDefault="002F2232" w:rsidP="004C4CB8">
            <w:pPr>
              <w:rPr>
                <w:rFonts w:ascii="Helvetica" w:hAnsi="Helvetica"/>
                <w:sz w:val="16"/>
                <w:szCs w:val="16"/>
              </w:rPr>
            </w:pPr>
            <w:r w:rsidRPr="004C4CB8">
              <w:rPr>
                <w:rFonts w:ascii="Helvetica" w:hAnsi="Helvetica"/>
                <w:sz w:val="16"/>
                <w:szCs w:val="16"/>
              </w:rPr>
              <w:t>Vehicle Category</w:t>
            </w:r>
          </w:p>
        </w:tc>
        <w:tc>
          <w:tcPr>
            <w:tcW w:w="822" w:type="dxa"/>
            <w:noWrap/>
            <w:hideMark/>
          </w:tcPr>
          <w:p w14:paraId="1DAE6A7B" w14:textId="77777777" w:rsidR="002F2232" w:rsidRPr="004C4CB8" w:rsidRDefault="002F2232" w:rsidP="004C4CB8">
            <w:pPr>
              <w:rPr>
                <w:rFonts w:ascii="Helvetica" w:hAnsi="Helvetica"/>
                <w:sz w:val="16"/>
                <w:szCs w:val="16"/>
              </w:rPr>
            </w:pPr>
            <w:r w:rsidRPr="004C4CB8">
              <w:rPr>
                <w:rFonts w:ascii="Helvetica" w:hAnsi="Helvetica"/>
                <w:sz w:val="16"/>
                <w:szCs w:val="16"/>
              </w:rPr>
              <w:t>Region</w:t>
            </w:r>
          </w:p>
        </w:tc>
        <w:tc>
          <w:tcPr>
            <w:tcW w:w="1243" w:type="dxa"/>
            <w:noWrap/>
            <w:hideMark/>
          </w:tcPr>
          <w:p w14:paraId="4737BFA8" w14:textId="77777777" w:rsidR="002F2232" w:rsidRPr="004C4CB8" w:rsidRDefault="002F2232" w:rsidP="004C4CB8">
            <w:pPr>
              <w:rPr>
                <w:rFonts w:ascii="Helvetica" w:hAnsi="Helvetica"/>
                <w:sz w:val="16"/>
                <w:szCs w:val="16"/>
              </w:rPr>
            </w:pPr>
            <w:r w:rsidRPr="004C4CB8">
              <w:rPr>
                <w:rFonts w:ascii="Helvetica" w:hAnsi="Helvetica"/>
                <w:sz w:val="16"/>
                <w:szCs w:val="16"/>
              </w:rPr>
              <w:t>Emission level</w:t>
            </w:r>
          </w:p>
        </w:tc>
        <w:tc>
          <w:tcPr>
            <w:tcW w:w="1980" w:type="dxa"/>
            <w:noWrap/>
            <w:hideMark/>
          </w:tcPr>
          <w:p w14:paraId="40C07B1B" w14:textId="77777777" w:rsidR="002F2232" w:rsidRPr="004C4CB8" w:rsidRDefault="002F2232" w:rsidP="004C4CB8">
            <w:pPr>
              <w:rPr>
                <w:rFonts w:ascii="Helvetica" w:hAnsi="Helvetica"/>
                <w:sz w:val="16"/>
                <w:szCs w:val="16"/>
              </w:rPr>
            </w:pPr>
            <w:r w:rsidRPr="004C4CB8">
              <w:rPr>
                <w:rFonts w:ascii="Helvetica" w:hAnsi="Helvetica"/>
                <w:sz w:val="16"/>
                <w:szCs w:val="16"/>
              </w:rPr>
              <w:t>Real-world NOx (g/km)</w:t>
            </w:r>
          </w:p>
        </w:tc>
        <w:tc>
          <w:tcPr>
            <w:tcW w:w="2070" w:type="dxa"/>
            <w:noWrap/>
            <w:hideMark/>
          </w:tcPr>
          <w:p w14:paraId="333F83F1" w14:textId="77777777" w:rsidR="002F2232" w:rsidRPr="004C4CB8" w:rsidRDefault="002F2232" w:rsidP="004C4CB8">
            <w:pPr>
              <w:rPr>
                <w:rFonts w:ascii="Helvetica" w:hAnsi="Helvetica"/>
                <w:sz w:val="16"/>
                <w:szCs w:val="16"/>
              </w:rPr>
            </w:pPr>
            <w:r w:rsidRPr="004C4CB8">
              <w:rPr>
                <w:rFonts w:ascii="Helvetica" w:hAnsi="Helvetica"/>
                <w:sz w:val="16"/>
                <w:szCs w:val="16"/>
              </w:rPr>
              <w:t>NOx emission limit (g/km)</w:t>
            </w:r>
          </w:p>
        </w:tc>
        <w:tc>
          <w:tcPr>
            <w:tcW w:w="1749" w:type="dxa"/>
            <w:noWrap/>
            <w:hideMark/>
          </w:tcPr>
          <w:p w14:paraId="26B572D1" w14:textId="77777777" w:rsidR="002F2232" w:rsidRPr="004C4CB8" w:rsidRDefault="002F2232" w:rsidP="004C4CB8">
            <w:pPr>
              <w:rPr>
                <w:rFonts w:ascii="Helvetica" w:hAnsi="Helvetica"/>
                <w:sz w:val="16"/>
                <w:szCs w:val="16"/>
              </w:rPr>
            </w:pPr>
            <w:r w:rsidRPr="004C4CB8">
              <w:rPr>
                <w:rFonts w:ascii="Helvetica" w:hAnsi="Helvetica"/>
                <w:sz w:val="16"/>
                <w:szCs w:val="16"/>
              </w:rPr>
              <w:t xml:space="preserve">Real-world multiplier </w:t>
            </w:r>
          </w:p>
        </w:tc>
      </w:tr>
      <w:tr w:rsidR="007F7DA5" w:rsidRPr="002F2232" w14:paraId="0D975BB8" w14:textId="77777777" w:rsidTr="00540B81">
        <w:tc>
          <w:tcPr>
            <w:tcW w:w="1533" w:type="dxa"/>
            <w:noWrap/>
            <w:hideMark/>
          </w:tcPr>
          <w:p w14:paraId="6FE4F59F"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3DAFD8F0"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1E22328D" w14:textId="77777777" w:rsidR="002F2232" w:rsidRPr="004C4CB8" w:rsidRDefault="002F2232" w:rsidP="004C4CB8">
            <w:pPr>
              <w:rPr>
                <w:rFonts w:ascii="Helvetica" w:hAnsi="Helvetica"/>
                <w:sz w:val="16"/>
                <w:szCs w:val="16"/>
              </w:rPr>
            </w:pPr>
            <w:r w:rsidRPr="004C4CB8">
              <w:rPr>
                <w:rFonts w:ascii="Helvetica" w:hAnsi="Helvetica"/>
                <w:sz w:val="16"/>
                <w:szCs w:val="16"/>
              </w:rPr>
              <w:t>Euro 3</w:t>
            </w:r>
          </w:p>
        </w:tc>
        <w:tc>
          <w:tcPr>
            <w:tcW w:w="1980" w:type="dxa"/>
            <w:noWrap/>
            <w:hideMark/>
          </w:tcPr>
          <w:p w14:paraId="20FA0A04" w14:textId="77777777" w:rsidR="002F2232" w:rsidRPr="004C4CB8" w:rsidRDefault="002F2232" w:rsidP="004C4CB8">
            <w:pPr>
              <w:rPr>
                <w:rFonts w:ascii="Helvetica" w:hAnsi="Helvetica"/>
                <w:sz w:val="16"/>
                <w:szCs w:val="16"/>
              </w:rPr>
            </w:pPr>
            <w:r w:rsidRPr="004C4CB8">
              <w:rPr>
                <w:rFonts w:ascii="Helvetica" w:hAnsi="Helvetica"/>
                <w:sz w:val="16"/>
                <w:szCs w:val="16"/>
              </w:rPr>
              <w:t>0.82 (0.62, 1.03)</w:t>
            </w:r>
          </w:p>
        </w:tc>
        <w:tc>
          <w:tcPr>
            <w:tcW w:w="2070" w:type="dxa"/>
            <w:noWrap/>
            <w:hideMark/>
          </w:tcPr>
          <w:p w14:paraId="335EF72C" w14:textId="77777777" w:rsidR="002F2232" w:rsidRPr="004C4CB8" w:rsidRDefault="002F2232" w:rsidP="004C4CB8">
            <w:pPr>
              <w:rPr>
                <w:rFonts w:ascii="Helvetica" w:hAnsi="Helvetica"/>
                <w:sz w:val="16"/>
                <w:szCs w:val="16"/>
              </w:rPr>
            </w:pPr>
            <w:r w:rsidRPr="004C4CB8">
              <w:rPr>
                <w:rFonts w:ascii="Helvetica" w:hAnsi="Helvetica"/>
                <w:sz w:val="16"/>
                <w:szCs w:val="16"/>
              </w:rPr>
              <w:t>0.5</w:t>
            </w:r>
          </w:p>
        </w:tc>
        <w:tc>
          <w:tcPr>
            <w:tcW w:w="1749" w:type="dxa"/>
            <w:noWrap/>
            <w:hideMark/>
          </w:tcPr>
          <w:p w14:paraId="5D3D23E8" w14:textId="77777777" w:rsidR="002F2232" w:rsidRPr="004C4CB8" w:rsidRDefault="002F2232" w:rsidP="004C4CB8">
            <w:pPr>
              <w:rPr>
                <w:rFonts w:ascii="Helvetica" w:hAnsi="Helvetica"/>
                <w:sz w:val="16"/>
                <w:szCs w:val="16"/>
              </w:rPr>
            </w:pPr>
            <w:r w:rsidRPr="004C4CB8">
              <w:rPr>
                <w:rFonts w:ascii="Helvetica" w:hAnsi="Helvetica"/>
                <w:sz w:val="16"/>
                <w:szCs w:val="16"/>
              </w:rPr>
              <w:t>1.65 (1.24, 2.07)</w:t>
            </w:r>
          </w:p>
        </w:tc>
      </w:tr>
      <w:tr w:rsidR="007F7DA5" w:rsidRPr="002F2232" w14:paraId="7309394D" w14:textId="77777777" w:rsidTr="00540B81">
        <w:tc>
          <w:tcPr>
            <w:tcW w:w="1533" w:type="dxa"/>
            <w:noWrap/>
            <w:hideMark/>
          </w:tcPr>
          <w:p w14:paraId="02A64C8F"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40D3AB98"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136AAF0E" w14:textId="77777777" w:rsidR="002F2232" w:rsidRPr="004C4CB8" w:rsidRDefault="002F2232" w:rsidP="004C4CB8">
            <w:pPr>
              <w:rPr>
                <w:rFonts w:ascii="Helvetica" w:hAnsi="Helvetica"/>
                <w:sz w:val="16"/>
                <w:szCs w:val="16"/>
              </w:rPr>
            </w:pPr>
            <w:r w:rsidRPr="004C4CB8">
              <w:rPr>
                <w:rFonts w:ascii="Helvetica" w:hAnsi="Helvetica"/>
                <w:sz w:val="16"/>
                <w:szCs w:val="16"/>
              </w:rPr>
              <w:t>Euro 4</w:t>
            </w:r>
          </w:p>
        </w:tc>
        <w:tc>
          <w:tcPr>
            <w:tcW w:w="1980" w:type="dxa"/>
            <w:noWrap/>
            <w:hideMark/>
          </w:tcPr>
          <w:p w14:paraId="7ECA657A" w14:textId="77777777" w:rsidR="002F2232" w:rsidRPr="004C4CB8" w:rsidRDefault="002F2232" w:rsidP="004C4CB8">
            <w:pPr>
              <w:rPr>
                <w:rFonts w:ascii="Helvetica" w:hAnsi="Helvetica"/>
                <w:sz w:val="16"/>
                <w:szCs w:val="16"/>
              </w:rPr>
            </w:pPr>
            <w:r w:rsidRPr="004C4CB8">
              <w:rPr>
                <w:rFonts w:ascii="Helvetica" w:hAnsi="Helvetica"/>
                <w:sz w:val="16"/>
                <w:szCs w:val="16"/>
              </w:rPr>
              <w:t>0.80 (0.60, 1)</w:t>
            </w:r>
          </w:p>
        </w:tc>
        <w:tc>
          <w:tcPr>
            <w:tcW w:w="2070" w:type="dxa"/>
            <w:noWrap/>
            <w:hideMark/>
          </w:tcPr>
          <w:p w14:paraId="35A3FEC5" w14:textId="77777777" w:rsidR="002F2232" w:rsidRPr="004C4CB8" w:rsidRDefault="002F2232" w:rsidP="004C4CB8">
            <w:pPr>
              <w:rPr>
                <w:rFonts w:ascii="Helvetica" w:hAnsi="Helvetica"/>
                <w:sz w:val="16"/>
                <w:szCs w:val="16"/>
              </w:rPr>
            </w:pPr>
            <w:r w:rsidRPr="004C4CB8">
              <w:rPr>
                <w:rFonts w:ascii="Helvetica" w:hAnsi="Helvetica"/>
                <w:sz w:val="16"/>
                <w:szCs w:val="16"/>
              </w:rPr>
              <w:t>0.25</w:t>
            </w:r>
          </w:p>
        </w:tc>
        <w:tc>
          <w:tcPr>
            <w:tcW w:w="1749" w:type="dxa"/>
            <w:noWrap/>
            <w:hideMark/>
          </w:tcPr>
          <w:p w14:paraId="6F71925F" w14:textId="77777777" w:rsidR="002F2232" w:rsidRPr="004C4CB8" w:rsidRDefault="002F2232" w:rsidP="004C4CB8">
            <w:pPr>
              <w:rPr>
                <w:rFonts w:ascii="Helvetica" w:hAnsi="Helvetica"/>
                <w:sz w:val="16"/>
                <w:szCs w:val="16"/>
              </w:rPr>
            </w:pPr>
            <w:r w:rsidRPr="004C4CB8">
              <w:rPr>
                <w:rFonts w:ascii="Helvetica" w:hAnsi="Helvetica"/>
                <w:sz w:val="16"/>
                <w:szCs w:val="16"/>
              </w:rPr>
              <w:t>3.20 (2.40, 4)</w:t>
            </w:r>
          </w:p>
        </w:tc>
      </w:tr>
      <w:tr w:rsidR="007F7DA5" w:rsidRPr="002F2232" w14:paraId="1D75CD17" w14:textId="77777777" w:rsidTr="00540B81">
        <w:tc>
          <w:tcPr>
            <w:tcW w:w="1533" w:type="dxa"/>
            <w:noWrap/>
            <w:hideMark/>
          </w:tcPr>
          <w:p w14:paraId="43E8234D"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3B9F2334"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631660BF" w14:textId="77777777" w:rsidR="002F2232" w:rsidRPr="004C4CB8" w:rsidRDefault="002F2232" w:rsidP="004C4CB8">
            <w:pPr>
              <w:rPr>
                <w:rFonts w:ascii="Helvetica" w:hAnsi="Helvetica"/>
                <w:sz w:val="16"/>
                <w:szCs w:val="16"/>
              </w:rPr>
            </w:pPr>
            <w:r w:rsidRPr="004C4CB8">
              <w:rPr>
                <w:rFonts w:ascii="Helvetica" w:hAnsi="Helvetica"/>
                <w:sz w:val="16"/>
                <w:szCs w:val="16"/>
              </w:rPr>
              <w:t>Euro 5</w:t>
            </w:r>
          </w:p>
        </w:tc>
        <w:tc>
          <w:tcPr>
            <w:tcW w:w="1980" w:type="dxa"/>
            <w:noWrap/>
            <w:hideMark/>
          </w:tcPr>
          <w:p w14:paraId="6C8A7DF0" w14:textId="77777777" w:rsidR="002F2232" w:rsidRPr="004C4CB8" w:rsidRDefault="002F2232" w:rsidP="004C4CB8">
            <w:pPr>
              <w:rPr>
                <w:rFonts w:ascii="Helvetica" w:hAnsi="Helvetica"/>
                <w:sz w:val="16"/>
                <w:szCs w:val="16"/>
              </w:rPr>
            </w:pPr>
            <w:r w:rsidRPr="004C4CB8">
              <w:rPr>
                <w:rFonts w:ascii="Helvetica" w:hAnsi="Helvetica"/>
                <w:sz w:val="16"/>
                <w:szCs w:val="16"/>
              </w:rPr>
              <w:t>0.80 (0.63, 1.13)</w:t>
            </w:r>
          </w:p>
        </w:tc>
        <w:tc>
          <w:tcPr>
            <w:tcW w:w="2070" w:type="dxa"/>
            <w:noWrap/>
            <w:hideMark/>
          </w:tcPr>
          <w:p w14:paraId="180E5860" w14:textId="77777777" w:rsidR="002F2232" w:rsidRPr="004C4CB8" w:rsidRDefault="002F2232" w:rsidP="004C4CB8">
            <w:pPr>
              <w:rPr>
                <w:rFonts w:ascii="Helvetica" w:hAnsi="Helvetica"/>
                <w:sz w:val="16"/>
                <w:szCs w:val="16"/>
              </w:rPr>
            </w:pPr>
            <w:r w:rsidRPr="004C4CB8">
              <w:rPr>
                <w:rFonts w:ascii="Helvetica" w:hAnsi="Helvetica"/>
                <w:sz w:val="16"/>
                <w:szCs w:val="16"/>
              </w:rPr>
              <w:t>0.17</w:t>
            </w:r>
          </w:p>
        </w:tc>
        <w:tc>
          <w:tcPr>
            <w:tcW w:w="1749" w:type="dxa"/>
            <w:noWrap/>
            <w:hideMark/>
          </w:tcPr>
          <w:p w14:paraId="79611BD6" w14:textId="77777777" w:rsidR="002F2232" w:rsidRPr="004C4CB8" w:rsidRDefault="002F2232" w:rsidP="004C4CB8">
            <w:pPr>
              <w:rPr>
                <w:rFonts w:ascii="Helvetica" w:hAnsi="Helvetica"/>
                <w:sz w:val="16"/>
                <w:szCs w:val="16"/>
              </w:rPr>
            </w:pPr>
            <w:r w:rsidRPr="004C4CB8">
              <w:rPr>
                <w:rFonts w:ascii="Helvetica" w:hAnsi="Helvetica"/>
                <w:sz w:val="16"/>
                <w:szCs w:val="16"/>
              </w:rPr>
              <w:t>4.44 (3.5, 6.33)</w:t>
            </w:r>
          </w:p>
        </w:tc>
      </w:tr>
      <w:tr w:rsidR="007F7DA5" w:rsidRPr="002F2232" w14:paraId="22F5CEF2" w14:textId="77777777" w:rsidTr="00540B81">
        <w:tc>
          <w:tcPr>
            <w:tcW w:w="1533" w:type="dxa"/>
            <w:noWrap/>
            <w:hideMark/>
          </w:tcPr>
          <w:p w14:paraId="4B49B802"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6624F798"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333B7E60" w14:textId="77777777" w:rsidR="002F2232" w:rsidRPr="004C4CB8" w:rsidRDefault="002F2232" w:rsidP="004C4CB8">
            <w:pPr>
              <w:rPr>
                <w:rFonts w:ascii="Helvetica" w:hAnsi="Helvetica"/>
                <w:sz w:val="16"/>
                <w:szCs w:val="16"/>
              </w:rPr>
            </w:pPr>
            <w:r w:rsidRPr="004C4CB8">
              <w:rPr>
                <w:rFonts w:ascii="Helvetica" w:hAnsi="Helvetica"/>
                <w:sz w:val="16"/>
                <w:szCs w:val="16"/>
              </w:rPr>
              <w:t>Baseline RDE</w:t>
            </w:r>
          </w:p>
        </w:tc>
        <w:tc>
          <w:tcPr>
            <w:tcW w:w="1980" w:type="dxa"/>
            <w:noWrap/>
            <w:hideMark/>
          </w:tcPr>
          <w:p w14:paraId="0C6C01E5" w14:textId="77777777" w:rsidR="002F2232" w:rsidRPr="004C4CB8" w:rsidRDefault="002F2232" w:rsidP="004C4CB8">
            <w:pPr>
              <w:rPr>
                <w:rFonts w:ascii="Helvetica" w:hAnsi="Helvetica"/>
                <w:sz w:val="16"/>
                <w:szCs w:val="16"/>
              </w:rPr>
            </w:pPr>
            <w:r w:rsidRPr="004C4CB8">
              <w:rPr>
                <w:rFonts w:ascii="Helvetica" w:hAnsi="Helvetica"/>
                <w:sz w:val="16"/>
                <w:szCs w:val="16"/>
              </w:rPr>
              <w:t>0.28 (0.21, 0.36)</w:t>
            </w:r>
          </w:p>
        </w:tc>
        <w:tc>
          <w:tcPr>
            <w:tcW w:w="2070" w:type="dxa"/>
            <w:noWrap/>
            <w:hideMark/>
          </w:tcPr>
          <w:p w14:paraId="26915994" w14:textId="77777777" w:rsidR="002F2232" w:rsidRPr="004C4CB8" w:rsidRDefault="002F2232" w:rsidP="004C4CB8">
            <w:pPr>
              <w:rPr>
                <w:rFonts w:ascii="Helvetica" w:hAnsi="Helvetica"/>
                <w:sz w:val="16"/>
                <w:szCs w:val="16"/>
              </w:rPr>
            </w:pPr>
            <w:r w:rsidRPr="004C4CB8">
              <w:rPr>
                <w:rFonts w:ascii="Helvetica" w:hAnsi="Helvetica"/>
                <w:sz w:val="16"/>
                <w:szCs w:val="16"/>
              </w:rPr>
              <w:t>0.03</w:t>
            </w:r>
          </w:p>
        </w:tc>
        <w:tc>
          <w:tcPr>
            <w:tcW w:w="1749" w:type="dxa"/>
            <w:noWrap/>
            <w:hideMark/>
          </w:tcPr>
          <w:p w14:paraId="31263CC3" w14:textId="77777777" w:rsidR="002F2232" w:rsidRPr="004C4CB8" w:rsidRDefault="002F2232" w:rsidP="004C4CB8">
            <w:pPr>
              <w:rPr>
                <w:rFonts w:ascii="Helvetica" w:hAnsi="Helvetica"/>
                <w:sz w:val="16"/>
                <w:szCs w:val="16"/>
              </w:rPr>
            </w:pPr>
            <w:r w:rsidRPr="004C4CB8">
              <w:rPr>
                <w:rFonts w:ascii="Helvetica" w:hAnsi="Helvetica"/>
                <w:sz w:val="16"/>
                <w:szCs w:val="16"/>
              </w:rPr>
              <w:t>8.25 (6.19, 10.3)</w:t>
            </w:r>
          </w:p>
        </w:tc>
      </w:tr>
      <w:tr w:rsidR="007F7DA5" w:rsidRPr="002F2232" w14:paraId="39F749E7" w14:textId="77777777" w:rsidTr="00540B81">
        <w:tc>
          <w:tcPr>
            <w:tcW w:w="1533" w:type="dxa"/>
            <w:noWrap/>
            <w:hideMark/>
          </w:tcPr>
          <w:p w14:paraId="4B10E60A"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6255FC73"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17C2BA6C" w14:textId="77777777" w:rsidR="002F2232" w:rsidRPr="004C4CB8" w:rsidRDefault="002F2232" w:rsidP="004C4CB8">
            <w:pPr>
              <w:rPr>
                <w:rFonts w:ascii="Helvetica" w:hAnsi="Helvetica"/>
                <w:sz w:val="16"/>
                <w:szCs w:val="16"/>
              </w:rPr>
            </w:pPr>
            <w:r w:rsidRPr="004C4CB8">
              <w:rPr>
                <w:rFonts w:ascii="Helvetica" w:hAnsi="Helvetica"/>
                <w:sz w:val="16"/>
                <w:szCs w:val="16"/>
              </w:rPr>
              <w:t>Strong RDE</w:t>
            </w:r>
          </w:p>
        </w:tc>
        <w:tc>
          <w:tcPr>
            <w:tcW w:w="1980" w:type="dxa"/>
            <w:noWrap/>
            <w:hideMark/>
          </w:tcPr>
          <w:p w14:paraId="24767144" w14:textId="77777777" w:rsidR="002F2232" w:rsidRPr="004C4CB8" w:rsidRDefault="002F2232" w:rsidP="004C4CB8">
            <w:pPr>
              <w:rPr>
                <w:rFonts w:ascii="Helvetica" w:hAnsi="Helvetica"/>
                <w:sz w:val="16"/>
                <w:szCs w:val="16"/>
              </w:rPr>
            </w:pPr>
            <w:r w:rsidRPr="004C4CB8">
              <w:rPr>
                <w:rFonts w:ascii="Helvetica" w:hAnsi="Helvetica"/>
                <w:sz w:val="16"/>
                <w:szCs w:val="16"/>
              </w:rPr>
              <w:t>0.06 (0.04, 0.07)</w:t>
            </w:r>
          </w:p>
        </w:tc>
        <w:tc>
          <w:tcPr>
            <w:tcW w:w="2070" w:type="dxa"/>
            <w:noWrap/>
            <w:hideMark/>
          </w:tcPr>
          <w:p w14:paraId="6EE401BC" w14:textId="77777777" w:rsidR="002F2232" w:rsidRPr="004C4CB8" w:rsidRDefault="002F2232" w:rsidP="004C4CB8">
            <w:pPr>
              <w:rPr>
                <w:rFonts w:ascii="Helvetica" w:hAnsi="Helvetica"/>
                <w:sz w:val="16"/>
                <w:szCs w:val="16"/>
              </w:rPr>
            </w:pPr>
            <w:r w:rsidRPr="004C4CB8">
              <w:rPr>
                <w:rFonts w:ascii="Helvetica" w:hAnsi="Helvetica"/>
                <w:sz w:val="16"/>
                <w:szCs w:val="16"/>
              </w:rPr>
              <w:t>0.03</w:t>
            </w:r>
          </w:p>
        </w:tc>
        <w:tc>
          <w:tcPr>
            <w:tcW w:w="1749" w:type="dxa"/>
            <w:noWrap/>
            <w:hideMark/>
          </w:tcPr>
          <w:p w14:paraId="3C2386CD" w14:textId="77777777" w:rsidR="002F2232" w:rsidRPr="004C4CB8" w:rsidRDefault="002F2232" w:rsidP="004C4CB8">
            <w:pPr>
              <w:rPr>
                <w:rFonts w:ascii="Helvetica" w:hAnsi="Helvetica"/>
                <w:sz w:val="16"/>
                <w:szCs w:val="16"/>
              </w:rPr>
            </w:pPr>
            <w:r w:rsidRPr="004C4CB8">
              <w:rPr>
                <w:rFonts w:ascii="Helvetica" w:hAnsi="Helvetica"/>
                <w:sz w:val="16"/>
                <w:szCs w:val="16"/>
              </w:rPr>
              <w:t>1.79 (1.34, 2.25)</w:t>
            </w:r>
          </w:p>
        </w:tc>
      </w:tr>
      <w:tr w:rsidR="007F7DA5" w:rsidRPr="002F2232" w14:paraId="67ED59DD" w14:textId="77777777" w:rsidTr="00540B81">
        <w:tc>
          <w:tcPr>
            <w:tcW w:w="1533" w:type="dxa"/>
            <w:noWrap/>
            <w:hideMark/>
          </w:tcPr>
          <w:p w14:paraId="5EDAFE2E"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12560DB2"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0A58171F" w14:textId="77777777" w:rsidR="002F2232" w:rsidRPr="004C4CB8" w:rsidRDefault="002F2232" w:rsidP="004C4CB8">
            <w:pPr>
              <w:rPr>
                <w:rFonts w:ascii="Helvetica" w:hAnsi="Helvetica"/>
                <w:sz w:val="16"/>
                <w:szCs w:val="16"/>
              </w:rPr>
            </w:pPr>
            <w:r w:rsidRPr="004C4CB8">
              <w:rPr>
                <w:rFonts w:ascii="Helvetica" w:hAnsi="Helvetica"/>
                <w:sz w:val="16"/>
                <w:szCs w:val="16"/>
              </w:rPr>
              <w:t>Euro 3</w:t>
            </w:r>
          </w:p>
        </w:tc>
        <w:tc>
          <w:tcPr>
            <w:tcW w:w="1980" w:type="dxa"/>
            <w:noWrap/>
            <w:hideMark/>
          </w:tcPr>
          <w:p w14:paraId="707BAF3D" w14:textId="77777777" w:rsidR="002F2232" w:rsidRPr="004C4CB8" w:rsidRDefault="002F2232" w:rsidP="004C4CB8">
            <w:pPr>
              <w:rPr>
                <w:rFonts w:ascii="Helvetica" w:hAnsi="Helvetica"/>
                <w:sz w:val="16"/>
                <w:szCs w:val="16"/>
              </w:rPr>
            </w:pPr>
            <w:r w:rsidRPr="004C4CB8">
              <w:rPr>
                <w:rFonts w:ascii="Helvetica" w:hAnsi="Helvetica"/>
                <w:sz w:val="16"/>
                <w:szCs w:val="16"/>
              </w:rPr>
              <w:t>0.82 (0.62, 1.03)</w:t>
            </w:r>
          </w:p>
        </w:tc>
        <w:tc>
          <w:tcPr>
            <w:tcW w:w="2070" w:type="dxa"/>
            <w:noWrap/>
            <w:hideMark/>
          </w:tcPr>
          <w:p w14:paraId="53FEB317" w14:textId="77777777" w:rsidR="002F2232" w:rsidRPr="004C4CB8" w:rsidRDefault="002F2232" w:rsidP="004C4CB8">
            <w:pPr>
              <w:rPr>
                <w:rFonts w:ascii="Helvetica" w:hAnsi="Helvetica"/>
                <w:sz w:val="16"/>
                <w:szCs w:val="16"/>
              </w:rPr>
            </w:pPr>
            <w:r w:rsidRPr="004C4CB8">
              <w:rPr>
                <w:rFonts w:ascii="Helvetica" w:hAnsi="Helvetica"/>
                <w:sz w:val="16"/>
                <w:szCs w:val="16"/>
              </w:rPr>
              <w:t>0.5</w:t>
            </w:r>
          </w:p>
        </w:tc>
        <w:tc>
          <w:tcPr>
            <w:tcW w:w="1749" w:type="dxa"/>
            <w:noWrap/>
            <w:hideMark/>
          </w:tcPr>
          <w:p w14:paraId="6D2963FA" w14:textId="77777777" w:rsidR="002F2232" w:rsidRPr="004C4CB8" w:rsidRDefault="002F2232" w:rsidP="004C4CB8">
            <w:pPr>
              <w:rPr>
                <w:rFonts w:ascii="Helvetica" w:hAnsi="Helvetica"/>
                <w:sz w:val="16"/>
                <w:szCs w:val="16"/>
              </w:rPr>
            </w:pPr>
            <w:r w:rsidRPr="004C4CB8">
              <w:rPr>
                <w:rFonts w:ascii="Helvetica" w:hAnsi="Helvetica"/>
                <w:sz w:val="16"/>
                <w:szCs w:val="16"/>
              </w:rPr>
              <w:t>1.65 (1.24, 2.07)</w:t>
            </w:r>
          </w:p>
        </w:tc>
      </w:tr>
      <w:tr w:rsidR="007F7DA5" w:rsidRPr="002F2232" w14:paraId="350ED9E5" w14:textId="77777777" w:rsidTr="00540B81">
        <w:tc>
          <w:tcPr>
            <w:tcW w:w="1533" w:type="dxa"/>
            <w:noWrap/>
            <w:hideMark/>
          </w:tcPr>
          <w:p w14:paraId="179D70CB"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0DFCD8BE"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38139EF5" w14:textId="77777777" w:rsidR="002F2232" w:rsidRPr="004C4CB8" w:rsidRDefault="002F2232" w:rsidP="004C4CB8">
            <w:pPr>
              <w:rPr>
                <w:rFonts w:ascii="Helvetica" w:hAnsi="Helvetica"/>
                <w:sz w:val="16"/>
                <w:szCs w:val="16"/>
              </w:rPr>
            </w:pPr>
            <w:r w:rsidRPr="004C4CB8">
              <w:rPr>
                <w:rFonts w:ascii="Helvetica" w:hAnsi="Helvetica"/>
                <w:sz w:val="16"/>
                <w:szCs w:val="16"/>
              </w:rPr>
              <w:t>Euro 4</w:t>
            </w:r>
          </w:p>
        </w:tc>
        <w:tc>
          <w:tcPr>
            <w:tcW w:w="1980" w:type="dxa"/>
            <w:noWrap/>
            <w:hideMark/>
          </w:tcPr>
          <w:p w14:paraId="63C5DDBD" w14:textId="77777777" w:rsidR="002F2232" w:rsidRPr="004C4CB8" w:rsidRDefault="002F2232" w:rsidP="004C4CB8">
            <w:pPr>
              <w:rPr>
                <w:rFonts w:ascii="Helvetica" w:hAnsi="Helvetica"/>
                <w:sz w:val="16"/>
                <w:szCs w:val="16"/>
              </w:rPr>
            </w:pPr>
            <w:r w:rsidRPr="004C4CB8">
              <w:rPr>
                <w:rFonts w:ascii="Helvetica" w:hAnsi="Helvetica"/>
                <w:sz w:val="16"/>
                <w:szCs w:val="16"/>
              </w:rPr>
              <w:t>0.80 (0.60, 1)</w:t>
            </w:r>
          </w:p>
        </w:tc>
        <w:tc>
          <w:tcPr>
            <w:tcW w:w="2070" w:type="dxa"/>
            <w:noWrap/>
            <w:hideMark/>
          </w:tcPr>
          <w:p w14:paraId="38D89977" w14:textId="77777777" w:rsidR="002F2232" w:rsidRPr="004C4CB8" w:rsidRDefault="002F2232" w:rsidP="004C4CB8">
            <w:pPr>
              <w:rPr>
                <w:rFonts w:ascii="Helvetica" w:hAnsi="Helvetica"/>
                <w:sz w:val="16"/>
                <w:szCs w:val="16"/>
              </w:rPr>
            </w:pPr>
            <w:r w:rsidRPr="004C4CB8">
              <w:rPr>
                <w:rFonts w:ascii="Helvetica" w:hAnsi="Helvetica"/>
                <w:sz w:val="16"/>
                <w:szCs w:val="16"/>
              </w:rPr>
              <w:t>0.25</w:t>
            </w:r>
          </w:p>
        </w:tc>
        <w:tc>
          <w:tcPr>
            <w:tcW w:w="1749" w:type="dxa"/>
            <w:noWrap/>
            <w:hideMark/>
          </w:tcPr>
          <w:p w14:paraId="68844318" w14:textId="77777777" w:rsidR="002F2232" w:rsidRPr="004C4CB8" w:rsidRDefault="002F2232" w:rsidP="004C4CB8">
            <w:pPr>
              <w:rPr>
                <w:rFonts w:ascii="Helvetica" w:hAnsi="Helvetica"/>
                <w:sz w:val="16"/>
                <w:szCs w:val="16"/>
              </w:rPr>
            </w:pPr>
            <w:r w:rsidRPr="004C4CB8">
              <w:rPr>
                <w:rFonts w:ascii="Helvetica" w:hAnsi="Helvetica"/>
                <w:sz w:val="16"/>
                <w:szCs w:val="16"/>
              </w:rPr>
              <w:t>3.20 (2.40, 4)</w:t>
            </w:r>
          </w:p>
        </w:tc>
      </w:tr>
      <w:tr w:rsidR="007F7DA5" w:rsidRPr="002F2232" w14:paraId="64D17885" w14:textId="77777777" w:rsidTr="00540B81">
        <w:tc>
          <w:tcPr>
            <w:tcW w:w="1533" w:type="dxa"/>
            <w:noWrap/>
            <w:hideMark/>
          </w:tcPr>
          <w:p w14:paraId="15C9E86E"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7DE68D50"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10C82F99" w14:textId="77777777" w:rsidR="002F2232" w:rsidRPr="004C4CB8" w:rsidRDefault="002F2232" w:rsidP="004C4CB8">
            <w:pPr>
              <w:rPr>
                <w:rFonts w:ascii="Helvetica" w:hAnsi="Helvetica"/>
                <w:sz w:val="16"/>
                <w:szCs w:val="16"/>
              </w:rPr>
            </w:pPr>
            <w:r w:rsidRPr="004C4CB8">
              <w:rPr>
                <w:rFonts w:ascii="Helvetica" w:hAnsi="Helvetica"/>
                <w:sz w:val="16"/>
                <w:szCs w:val="16"/>
              </w:rPr>
              <w:t>Euro 5</w:t>
            </w:r>
          </w:p>
        </w:tc>
        <w:tc>
          <w:tcPr>
            <w:tcW w:w="1980" w:type="dxa"/>
            <w:noWrap/>
            <w:hideMark/>
          </w:tcPr>
          <w:p w14:paraId="6AD6CC08" w14:textId="77777777" w:rsidR="002F2232" w:rsidRPr="004C4CB8" w:rsidRDefault="002F2232" w:rsidP="004C4CB8">
            <w:pPr>
              <w:rPr>
                <w:rFonts w:ascii="Helvetica" w:hAnsi="Helvetica"/>
                <w:sz w:val="16"/>
                <w:szCs w:val="16"/>
              </w:rPr>
            </w:pPr>
            <w:r w:rsidRPr="004C4CB8">
              <w:rPr>
                <w:rFonts w:ascii="Helvetica" w:hAnsi="Helvetica"/>
                <w:sz w:val="16"/>
                <w:szCs w:val="16"/>
              </w:rPr>
              <w:t>0.80 (0.63, 1.13)</w:t>
            </w:r>
          </w:p>
        </w:tc>
        <w:tc>
          <w:tcPr>
            <w:tcW w:w="2070" w:type="dxa"/>
            <w:noWrap/>
            <w:hideMark/>
          </w:tcPr>
          <w:p w14:paraId="4D5E4BBC" w14:textId="77777777" w:rsidR="002F2232" w:rsidRPr="004C4CB8" w:rsidRDefault="002F2232" w:rsidP="004C4CB8">
            <w:pPr>
              <w:rPr>
                <w:rFonts w:ascii="Helvetica" w:hAnsi="Helvetica"/>
                <w:sz w:val="16"/>
                <w:szCs w:val="16"/>
              </w:rPr>
            </w:pPr>
            <w:r w:rsidRPr="004C4CB8">
              <w:rPr>
                <w:rFonts w:ascii="Helvetica" w:hAnsi="Helvetica"/>
                <w:sz w:val="16"/>
                <w:szCs w:val="16"/>
              </w:rPr>
              <w:t>0.17</w:t>
            </w:r>
          </w:p>
        </w:tc>
        <w:tc>
          <w:tcPr>
            <w:tcW w:w="1749" w:type="dxa"/>
            <w:noWrap/>
            <w:hideMark/>
          </w:tcPr>
          <w:p w14:paraId="358C5CD0" w14:textId="77777777" w:rsidR="002F2232" w:rsidRPr="004C4CB8" w:rsidRDefault="002F2232" w:rsidP="004C4CB8">
            <w:pPr>
              <w:rPr>
                <w:rFonts w:ascii="Helvetica" w:hAnsi="Helvetica"/>
                <w:sz w:val="16"/>
                <w:szCs w:val="16"/>
              </w:rPr>
            </w:pPr>
            <w:r w:rsidRPr="004C4CB8">
              <w:rPr>
                <w:rFonts w:ascii="Helvetica" w:hAnsi="Helvetica"/>
                <w:sz w:val="16"/>
                <w:szCs w:val="16"/>
              </w:rPr>
              <w:t>4.44 (3.5, 6.33)</w:t>
            </w:r>
          </w:p>
        </w:tc>
      </w:tr>
      <w:tr w:rsidR="007F7DA5" w:rsidRPr="002F2232" w14:paraId="2AFB4355" w14:textId="77777777" w:rsidTr="00540B81">
        <w:tc>
          <w:tcPr>
            <w:tcW w:w="1533" w:type="dxa"/>
            <w:noWrap/>
            <w:hideMark/>
          </w:tcPr>
          <w:p w14:paraId="530961CE"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29F9ED5C"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7413ADDF" w14:textId="77777777" w:rsidR="002F2232" w:rsidRPr="004C4CB8" w:rsidRDefault="002F2232" w:rsidP="004C4CB8">
            <w:pPr>
              <w:rPr>
                <w:rFonts w:ascii="Helvetica" w:hAnsi="Helvetica"/>
                <w:sz w:val="16"/>
                <w:szCs w:val="16"/>
              </w:rPr>
            </w:pPr>
            <w:r w:rsidRPr="004C4CB8">
              <w:rPr>
                <w:rFonts w:ascii="Helvetica" w:hAnsi="Helvetica"/>
                <w:sz w:val="16"/>
                <w:szCs w:val="16"/>
              </w:rPr>
              <w:t>Euro 6</w:t>
            </w:r>
          </w:p>
        </w:tc>
        <w:tc>
          <w:tcPr>
            <w:tcW w:w="1980" w:type="dxa"/>
            <w:noWrap/>
            <w:hideMark/>
          </w:tcPr>
          <w:p w14:paraId="320240D8" w14:textId="77777777" w:rsidR="002F2232" w:rsidRPr="004C4CB8" w:rsidRDefault="002F2232" w:rsidP="004C4CB8">
            <w:pPr>
              <w:rPr>
                <w:rFonts w:ascii="Helvetica" w:hAnsi="Helvetica"/>
                <w:sz w:val="16"/>
                <w:szCs w:val="16"/>
              </w:rPr>
            </w:pPr>
            <w:r w:rsidRPr="004C4CB8">
              <w:rPr>
                <w:rFonts w:ascii="Helvetica" w:hAnsi="Helvetica"/>
                <w:sz w:val="16"/>
                <w:szCs w:val="16"/>
              </w:rPr>
              <w:t>0.45 (0.32, 0.85)</w:t>
            </w:r>
          </w:p>
        </w:tc>
        <w:tc>
          <w:tcPr>
            <w:tcW w:w="2070" w:type="dxa"/>
            <w:noWrap/>
            <w:hideMark/>
          </w:tcPr>
          <w:p w14:paraId="1B7E69A0" w14:textId="77777777" w:rsidR="002F2232" w:rsidRPr="004C4CB8" w:rsidRDefault="002F2232" w:rsidP="004C4CB8">
            <w:pPr>
              <w:rPr>
                <w:rFonts w:ascii="Helvetica" w:hAnsi="Helvetica"/>
                <w:sz w:val="16"/>
                <w:szCs w:val="16"/>
              </w:rPr>
            </w:pPr>
            <w:r w:rsidRPr="004C4CB8">
              <w:rPr>
                <w:rFonts w:ascii="Helvetica" w:hAnsi="Helvetica"/>
                <w:sz w:val="16"/>
                <w:szCs w:val="16"/>
              </w:rPr>
              <w:t>0.08</w:t>
            </w:r>
          </w:p>
        </w:tc>
        <w:tc>
          <w:tcPr>
            <w:tcW w:w="1749" w:type="dxa"/>
            <w:noWrap/>
            <w:hideMark/>
          </w:tcPr>
          <w:p w14:paraId="5BA6D9B8" w14:textId="77777777" w:rsidR="002F2232" w:rsidRPr="004C4CB8" w:rsidRDefault="002F2232" w:rsidP="004C4CB8">
            <w:pPr>
              <w:rPr>
                <w:rFonts w:ascii="Helvetica" w:hAnsi="Helvetica"/>
                <w:sz w:val="16"/>
                <w:szCs w:val="16"/>
              </w:rPr>
            </w:pPr>
            <w:r w:rsidRPr="004C4CB8">
              <w:rPr>
                <w:rFonts w:ascii="Helvetica" w:hAnsi="Helvetica"/>
                <w:sz w:val="16"/>
                <w:szCs w:val="16"/>
              </w:rPr>
              <w:t>5.66 (4, 10.6)</w:t>
            </w:r>
          </w:p>
        </w:tc>
      </w:tr>
      <w:tr w:rsidR="007F7DA5" w:rsidRPr="002F2232" w14:paraId="42430E8D" w14:textId="77777777" w:rsidTr="00540B81">
        <w:tc>
          <w:tcPr>
            <w:tcW w:w="1533" w:type="dxa"/>
            <w:noWrap/>
            <w:hideMark/>
          </w:tcPr>
          <w:p w14:paraId="0452E568"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7B376BDE"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1832207B" w14:textId="77777777" w:rsidR="002F2232" w:rsidRPr="004C4CB8" w:rsidRDefault="002F2232" w:rsidP="004C4CB8">
            <w:pPr>
              <w:rPr>
                <w:rFonts w:ascii="Helvetica" w:hAnsi="Helvetica"/>
                <w:sz w:val="16"/>
                <w:szCs w:val="16"/>
              </w:rPr>
            </w:pPr>
            <w:r w:rsidRPr="004C4CB8">
              <w:rPr>
                <w:rFonts w:ascii="Helvetica" w:hAnsi="Helvetica"/>
                <w:sz w:val="16"/>
                <w:szCs w:val="16"/>
              </w:rPr>
              <w:t>Baseline RDE</w:t>
            </w:r>
          </w:p>
        </w:tc>
        <w:tc>
          <w:tcPr>
            <w:tcW w:w="1980" w:type="dxa"/>
            <w:noWrap/>
            <w:hideMark/>
          </w:tcPr>
          <w:p w14:paraId="5614D9D6" w14:textId="77777777" w:rsidR="002F2232" w:rsidRPr="004C4CB8" w:rsidRDefault="002F2232" w:rsidP="004C4CB8">
            <w:pPr>
              <w:rPr>
                <w:rFonts w:ascii="Helvetica" w:hAnsi="Helvetica"/>
                <w:sz w:val="16"/>
                <w:szCs w:val="16"/>
              </w:rPr>
            </w:pPr>
            <w:r w:rsidRPr="004C4CB8">
              <w:rPr>
                <w:rFonts w:ascii="Helvetica" w:hAnsi="Helvetica"/>
                <w:sz w:val="16"/>
                <w:szCs w:val="16"/>
              </w:rPr>
              <w:t>0.32 (0.25, 0.38)</w:t>
            </w:r>
          </w:p>
        </w:tc>
        <w:tc>
          <w:tcPr>
            <w:tcW w:w="2070" w:type="dxa"/>
            <w:noWrap/>
            <w:hideMark/>
          </w:tcPr>
          <w:p w14:paraId="78F5C7B2" w14:textId="77777777" w:rsidR="002F2232" w:rsidRPr="004C4CB8" w:rsidRDefault="002F2232" w:rsidP="004C4CB8">
            <w:pPr>
              <w:rPr>
                <w:rFonts w:ascii="Helvetica" w:hAnsi="Helvetica"/>
                <w:sz w:val="16"/>
                <w:szCs w:val="16"/>
              </w:rPr>
            </w:pPr>
            <w:r w:rsidRPr="004C4CB8">
              <w:rPr>
                <w:rFonts w:ascii="Helvetica" w:hAnsi="Helvetica"/>
                <w:sz w:val="16"/>
                <w:szCs w:val="16"/>
              </w:rPr>
              <w:t>0.08</w:t>
            </w:r>
          </w:p>
        </w:tc>
        <w:tc>
          <w:tcPr>
            <w:tcW w:w="1749" w:type="dxa"/>
            <w:noWrap/>
            <w:hideMark/>
          </w:tcPr>
          <w:p w14:paraId="07FAF985" w14:textId="77777777" w:rsidR="002F2232" w:rsidRPr="004C4CB8" w:rsidRDefault="002F2232" w:rsidP="004C4CB8">
            <w:pPr>
              <w:rPr>
                <w:rFonts w:ascii="Helvetica" w:hAnsi="Helvetica"/>
                <w:sz w:val="16"/>
                <w:szCs w:val="16"/>
              </w:rPr>
            </w:pPr>
            <w:r w:rsidRPr="004C4CB8">
              <w:rPr>
                <w:rFonts w:ascii="Helvetica" w:hAnsi="Helvetica"/>
                <w:sz w:val="16"/>
                <w:szCs w:val="16"/>
              </w:rPr>
              <w:t>4 (3.14, 4.86)</w:t>
            </w:r>
          </w:p>
        </w:tc>
      </w:tr>
      <w:tr w:rsidR="007F7DA5" w:rsidRPr="002F2232" w14:paraId="1A1C6DD1" w14:textId="77777777" w:rsidTr="00540B81">
        <w:tc>
          <w:tcPr>
            <w:tcW w:w="1533" w:type="dxa"/>
            <w:noWrap/>
            <w:hideMark/>
          </w:tcPr>
          <w:p w14:paraId="219209A5"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7A88D149"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6DD1CF42" w14:textId="77777777" w:rsidR="002F2232" w:rsidRPr="004C4CB8" w:rsidRDefault="002F2232" w:rsidP="004C4CB8">
            <w:pPr>
              <w:rPr>
                <w:rFonts w:ascii="Helvetica" w:hAnsi="Helvetica"/>
                <w:sz w:val="16"/>
                <w:szCs w:val="16"/>
              </w:rPr>
            </w:pPr>
            <w:r w:rsidRPr="004C4CB8">
              <w:rPr>
                <w:rFonts w:ascii="Helvetica" w:hAnsi="Helvetica"/>
                <w:sz w:val="16"/>
                <w:szCs w:val="16"/>
              </w:rPr>
              <w:t>Strong RDE</w:t>
            </w:r>
          </w:p>
        </w:tc>
        <w:tc>
          <w:tcPr>
            <w:tcW w:w="1980" w:type="dxa"/>
            <w:noWrap/>
            <w:hideMark/>
          </w:tcPr>
          <w:p w14:paraId="25090CFE" w14:textId="77777777" w:rsidR="002F2232" w:rsidRPr="004C4CB8" w:rsidRDefault="002F2232" w:rsidP="004C4CB8">
            <w:pPr>
              <w:rPr>
                <w:rFonts w:ascii="Helvetica" w:hAnsi="Helvetica"/>
                <w:sz w:val="16"/>
                <w:szCs w:val="16"/>
              </w:rPr>
            </w:pPr>
            <w:r w:rsidRPr="004C4CB8">
              <w:rPr>
                <w:rFonts w:ascii="Helvetica" w:hAnsi="Helvetica"/>
                <w:sz w:val="16"/>
                <w:szCs w:val="16"/>
              </w:rPr>
              <w:t>0.09 (0.08, 0.10)</w:t>
            </w:r>
          </w:p>
        </w:tc>
        <w:tc>
          <w:tcPr>
            <w:tcW w:w="2070" w:type="dxa"/>
            <w:noWrap/>
            <w:hideMark/>
          </w:tcPr>
          <w:p w14:paraId="6744230B" w14:textId="77777777" w:rsidR="002F2232" w:rsidRPr="004C4CB8" w:rsidRDefault="002F2232" w:rsidP="004C4CB8">
            <w:pPr>
              <w:rPr>
                <w:rFonts w:ascii="Helvetica" w:hAnsi="Helvetica"/>
                <w:sz w:val="16"/>
                <w:szCs w:val="16"/>
              </w:rPr>
            </w:pPr>
            <w:r w:rsidRPr="004C4CB8">
              <w:rPr>
                <w:rFonts w:ascii="Helvetica" w:hAnsi="Helvetica"/>
                <w:sz w:val="16"/>
                <w:szCs w:val="16"/>
              </w:rPr>
              <w:t>0.08</w:t>
            </w:r>
          </w:p>
        </w:tc>
        <w:tc>
          <w:tcPr>
            <w:tcW w:w="1749" w:type="dxa"/>
            <w:noWrap/>
            <w:hideMark/>
          </w:tcPr>
          <w:p w14:paraId="3C0154BB" w14:textId="77777777" w:rsidR="002F2232" w:rsidRPr="004C4CB8" w:rsidRDefault="002F2232" w:rsidP="004C4CB8">
            <w:pPr>
              <w:rPr>
                <w:rFonts w:ascii="Helvetica" w:hAnsi="Helvetica"/>
                <w:sz w:val="16"/>
                <w:szCs w:val="16"/>
              </w:rPr>
            </w:pPr>
            <w:r w:rsidRPr="004C4CB8">
              <w:rPr>
                <w:rFonts w:ascii="Helvetica" w:hAnsi="Helvetica"/>
                <w:sz w:val="16"/>
                <w:szCs w:val="16"/>
              </w:rPr>
              <w:t>1.17 (1.02, 1.32)</w:t>
            </w:r>
          </w:p>
        </w:tc>
      </w:tr>
      <w:tr w:rsidR="007F7DA5" w:rsidRPr="002F2232" w14:paraId="2442FA59" w14:textId="77777777" w:rsidTr="00540B81">
        <w:tc>
          <w:tcPr>
            <w:tcW w:w="1533" w:type="dxa"/>
            <w:noWrap/>
            <w:hideMark/>
          </w:tcPr>
          <w:p w14:paraId="4FADA345"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535D7EAF"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44D1D9A3" w14:textId="77777777" w:rsidR="002F2232" w:rsidRPr="004C4CB8" w:rsidRDefault="002F2232" w:rsidP="004C4CB8">
            <w:pPr>
              <w:rPr>
                <w:rFonts w:ascii="Helvetica" w:hAnsi="Helvetica"/>
                <w:sz w:val="16"/>
                <w:szCs w:val="16"/>
              </w:rPr>
            </w:pPr>
            <w:r w:rsidRPr="004C4CB8">
              <w:rPr>
                <w:rFonts w:ascii="Helvetica" w:hAnsi="Helvetica"/>
                <w:sz w:val="16"/>
                <w:szCs w:val="16"/>
              </w:rPr>
              <w:t>1998</w:t>
            </w:r>
          </w:p>
        </w:tc>
        <w:tc>
          <w:tcPr>
            <w:tcW w:w="1980" w:type="dxa"/>
            <w:noWrap/>
            <w:hideMark/>
          </w:tcPr>
          <w:p w14:paraId="419728CB" w14:textId="77777777" w:rsidR="002F2232" w:rsidRPr="004C4CB8" w:rsidRDefault="002F2232" w:rsidP="004C4CB8">
            <w:pPr>
              <w:rPr>
                <w:rFonts w:ascii="Helvetica" w:hAnsi="Helvetica"/>
                <w:sz w:val="16"/>
                <w:szCs w:val="16"/>
              </w:rPr>
            </w:pPr>
            <w:r w:rsidRPr="004C4CB8">
              <w:rPr>
                <w:rFonts w:ascii="Helvetica" w:hAnsi="Helvetica"/>
                <w:sz w:val="16"/>
                <w:szCs w:val="16"/>
              </w:rPr>
              <w:t>0.82 (0.62, 1.03)</w:t>
            </w:r>
          </w:p>
        </w:tc>
        <w:tc>
          <w:tcPr>
            <w:tcW w:w="2070" w:type="dxa"/>
            <w:noWrap/>
            <w:hideMark/>
          </w:tcPr>
          <w:p w14:paraId="5F04C0C5" w14:textId="77777777" w:rsidR="002F2232" w:rsidRPr="004C4CB8" w:rsidRDefault="002F2232" w:rsidP="004C4CB8">
            <w:pPr>
              <w:rPr>
                <w:rFonts w:ascii="Helvetica" w:hAnsi="Helvetica"/>
                <w:sz w:val="16"/>
                <w:szCs w:val="16"/>
              </w:rPr>
            </w:pPr>
            <w:r w:rsidRPr="004C4CB8">
              <w:rPr>
                <w:rFonts w:ascii="Helvetica" w:hAnsi="Helvetica"/>
                <w:sz w:val="16"/>
                <w:szCs w:val="16"/>
              </w:rPr>
              <w:t>0.55</w:t>
            </w:r>
          </w:p>
        </w:tc>
        <w:tc>
          <w:tcPr>
            <w:tcW w:w="1749" w:type="dxa"/>
            <w:noWrap/>
            <w:hideMark/>
          </w:tcPr>
          <w:p w14:paraId="54643B47" w14:textId="77777777" w:rsidR="002F2232" w:rsidRPr="004C4CB8" w:rsidRDefault="002F2232" w:rsidP="004C4CB8">
            <w:pPr>
              <w:rPr>
                <w:rFonts w:ascii="Helvetica" w:hAnsi="Helvetica"/>
                <w:sz w:val="16"/>
                <w:szCs w:val="16"/>
              </w:rPr>
            </w:pPr>
            <w:r w:rsidRPr="004C4CB8">
              <w:rPr>
                <w:rFonts w:ascii="Helvetica" w:hAnsi="Helvetica"/>
                <w:sz w:val="16"/>
                <w:szCs w:val="16"/>
              </w:rPr>
              <w:t>1.50 (1.13, 1.88)</w:t>
            </w:r>
          </w:p>
        </w:tc>
      </w:tr>
      <w:tr w:rsidR="007F7DA5" w:rsidRPr="002F2232" w14:paraId="65AB117E" w14:textId="77777777" w:rsidTr="00540B81">
        <w:tc>
          <w:tcPr>
            <w:tcW w:w="1533" w:type="dxa"/>
            <w:noWrap/>
            <w:hideMark/>
          </w:tcPr>
          <w:p w14:paraId="388ADCDC"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4247A410"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516DBFDF" w14:textId="77777777" w:rsidR="002F2232" w:rsidRPr="004C4CB8" w:rsidRDefault="002F2232" w:rsidP="004C4CB8">
            <w:pPr>
              <w:rPr>
                <w:rFonts w:ascii="Helvetica" w:hAnsi="Helvetica"/>
                <w:sz w:val="16"/>
                <w:szCs w:val="16"/>
              </w:rPr>
            </w:pPr>
            <w:r w:rsidRPr="004C4CB8">
              <w:rPr>
                <w:rFonts w:ascii="Helvetica" w:hAnsi="Helvetica"/>
                <w:sz w:val="16"/>
                <w:szCs w:val="16"/>
              </w:rPr>
              <w:t>2002</w:t>
            </w:r>
          </w:p>
        </w:tc>
        <w:tc>
          <w:tcPr>
            <w:tcW w:w="1980" w:type="dxa"/>
            <w:noWrap/>
            <w:hideMark/>
          </w:tcPr>
          <w:p w14:paraId="7A66A17B" w14:textId="77777777" w:rsidR="002F2232" w:rsidRPr="004C4CB8" w:rsidRDefault="002F2232" w:rsidP="004C4CB8">
            <w:pPr>
              <w:rPr>
                <w:rFonts w:ascii="Helvetica" w:hAnsi="Helvetica"/>
                <w:sz w:val="16"/>
                <w:szCs w:val="16"/>
              </w:rPr>
            </w:pPr>
            <w:r w:rsidRPr="004C4CB8">
              <w:rPr>
                <w:rFonts w:ascii="Helvetica" w:hAnsi="Helvetica"/>
                <w:sz w:val="16"/>
                <w:szCs w:val="16"/>
              </w:rPr>
              <w:t>0.80 (0.60, 1)</w:t>
            </w:r>
          </w:p>
        </w:tc>
        <w:tc>
          <w:tcPr>
            <w:tcW w:w="2070" w:type="dxa"/>
            <w:noWrap/>
            <w:hideMark/>
          </w:tcPr>
          <w:p w14:paraId="4E4DD2DC" w14:textId="77777777" w:rsidR="002F2232" w:rsidRPr="004C4CB8" w:rsidRDefault="002F2232" w:rsidP="004C4CB8">
            <w:pPr>
              <w:rPr>
                <w:rFonts w:ascii="Helvetica" w:hAnsi="Helvetica"/>
                <w:sz w:val="16"/>
                <w:szCs w:val="16"/>
              </w:rPr>
            </w:pPr>
            <w:r w:rsidRPr="004C4CB8">
              <w:rPr>
                <w:rFonts w:ascii="Helvetica" w:hAnsi="Helvetica"/>
                <w:sz w:val="16"/>
                <w:szCs w:val="16"/>
              </w:rPr>
              <w:t>0.28</w:t>
            </w:r>
          </w:p>
        </w:tc>
        <w:tc>
          <w:tcPr>
            <w:tcW w:w="1749" w:type="dxa"/>
            <w:noWrap/>
            <w:hideMark/>
          </w:tcPr>
          <w:p w14:paraId="1A9F2069" w14:textId="77777777" w:rsidR="002F2232" w:rsidRPr="004C4CB8" w:rsidRDefault="002F2232" w:rsidP="004C4CB8">
            <w:pPr>
              <w:rPr>
                <w:rFonts w:ascii="Helvetica" w:hAnsi="Helvetica"/>
                <w:sz w:val="16"/>
                <w:szCs w:val="16"/>
              </w:rPr>
            </w:pPr>
            <w:r w:rsidRPr="004C4CB8">
              <w:rPr>
                <w:rFonts w:ascii="Helvetica" w:hAnsi="Helvetica"/>
                <w:sz w:val="16"/>
                <w:szCs w:val="16"/>
              </w:rPr>
              <w:t>2.85 (2.14, 3.57)</w:t>
            </w:r>
          </w:p>
        </w:tc>
      </w:tr>
      <w:tr w:rsidR="007F7DA5" w:rsidRPr="002F2232" w14:paraId="26606878" w14:textId="77777777" w:rsidTr="00540B81">
        <w:tc>
          <w:tcPr>
            <w:tcW w:w="1533" w:type="dxa"/>
            <w:noWrap/>
            <w:hideMark/>
          </w:tcPr>
          <w:p w14:paraId="6ECAF533"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7B2D8AFA"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1D3996ED" w14:textId="77777777" w:rsidR="002F2232" w:rsidRPr="004C4CB8" w:rsidRDefault="002F2232" w:rsidP="004C4CB8">
            <w:pPr>
              <w:rPr>
                <w:rFonts w:ascii="Helvetica" w:hAnsi="Helvetica"/>
                <w:sz w:val="16"/>
                <w:szCs w:val="16"/>
              </w:rPr>
            </w:pPr>
            <w:r w:rsidRPr="004C4CB8">
              <w:rPr>
                <w:rFonts w:ascii="Helvetica" w:hAnsi="Helvetica"/>
                <w:sz w:val="16"/>
                <w:szCs w:val="16"/>
              </w:rPr>
              <w:t>2005</w:t>
            </w:r>
          </w:p>
        </w:tc>
        <w:tc>
          <w:tcPr>
            <w:tcW w:w="1980" w:type="dxa"/>
            <w:noWrap/>
            <w:hideMark/>
          </w:tcPr>
          <w:p w14:paraId="455FD08C" w14:textId="77777777" w:rsidR="002F2232" w:rsidRPr="004C4CB8" w:rsidRDefault="002F2232" w:rsidP="004C4CB8">
            <w:pPr>
              <w:rPr>
                <w:rFonts w:ascii="Helvetica" w:hAnsi="Helvetica"/>
                <w:sz w:val="16"/>
                <w:szCs w:val="16"/>
              </w:rPr>
            </w:pPr>
            <w:r w:rsidRPr="004C4CB8">
              <w:rPr>
                <w:rFonts w:ascii="Helvetica" w:hAnsi="Helvetica"/>
                <w:sz w:val="16"/>
                <w:szCs w:val="16"/>
              </w:rPr>
              <w:t>0.80 (0.63, 1.13)</w:t>
            </w:r>
          </w:p>
        </w:tc>
        <w:tc>
          <w:tcPr>
            <w:tcW w:w="2070" w:type="dxa"/>
            <w:noWrap/>
            <w:hideMark/>
          </w:tcPr>
          <w:p w14:paraId="07D06B85" w14:textId="77777777" w:rsidR="002F2232" w:rsidRPr="004C4CB8" w:rsidRDefault="002F2232" w:rsidP="004C4CB8">
            <w:pPr>
              <w:rPr>
                <w:rFonts w:ascii="Helvetica" w:hAnsi="Helvetica"/>
                <w:sz w:val="16"/>
                <w:szCs w:val="16"/>
              </w:rPr>
            </w:pPr>
            <w:r w:rsidRPr="004C4CB8">
              <w:rPr>
                <w:rFonts w:ascii="Helvetica" w:hAnsi="Helvetica"/>
                <w:sz w:val="16"/>
                <w:szCs w:val="16"/>
              </w:rPr>
              <w:t>0.14</w:t>
            </w:r>
          </w:p>
        </w:tc>
        <w:tc>
          <w:tcPr>
            <w:tcW w:w="1749" w:type="dxa"/>
            <w:noWrap/>
            <w:hideMark/>
          </w:tcPr>
          <w:p w14:paraId="61B98CEE" w14:textId="77777777" w:rsidR="002F2232" w:rsidRPr="004C4CB8" w:rsidRDefault="002F2232" w:rsidP="004C4CB8">
            <w:pPr>
              <w:rPr>
                <w:rFonts w:ascii="Helvetica" w:hAnsi="Helvetica"/>
                <w:sz w:val="16"/>
                <w:szCs w:val="16"/>
              </w:rPr>
            </w:pPr>
            <w:r w:rsidRPr="004C4CB8">
              <w:rPr>
                <w:rFonts w:ascii="Helvetica" w:hAnsi="Helvetica"/>
                <w:sz w:val="16"/>
                <w:szCs w:val="16"/>
              </w:rPr>
              <w:t>5.71 (4.5, 8.14)</w:t>
            </w:r>
          </w:p>
        </w:tc>
      </w:tr>
      <w:tr w:rsidR="007F7DA5" w:rsidRPr="002F2232" w14:paraId="3208C78C" w14:textId="77777777" w:rsidTr="00540B81">
        <w:tc>
          <w:tcPr>
            <w:tcW w:w="1533" w:type="dxa"/>
            <w:noWrap/>
            <w:hideMark/>
          </w:tcPr>
          <w:p w14:paraId="5B948D8C"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6D071869"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44406B35" w14:textId="77777777" w:rsidR="002F2232" w:rsidRPr="004C4CB8" w:rsidRDefault="002F2232" w:rsidP="004C4CB8">
            <w:pPr>
              <w:rPr>
                <w:rFonts w:ascii="Helvetica" w:hAnsi="Helvetica"/>
                <w:sz w:val="16"/>
                <w:szCs w:val="16"/>
              </w:rPr>
            </w:pPr>
            <w:r w:rsidRPr="004C4CB8">
              <w:rPr>
                <w:rFonts w:ascii="Helvetica" w:hAnsi="Helvetica"/>
                <w:sz w:val="16"/>
                <w:szCs w:val="16"/>
              </w:rPr>
              <w:t>2009</w:t>
            </w:r>
          </w:p>
        </w:tc>
        <w:tc>
          <w:tcPr>
            <w:tcW w:w="1980" w:type="dxa"/>
            <w:noWrap/>
            <w:hideMark/>
          </w:tcPr>
          <w:p w14:paraId="765D9BDB" w14:textId="77777777" w:rsidR="002F2232" w:rsidRPr="004C4CB8" w:rsidRDefault="002F2232" w:rsidP="004C4CB8">
            <w:pPr>
              <w:rPr>
                <w:rFonts w:ascii="Helvetica" w:hAnsi="Helvetica"/>
                <w:sz w:val="16"/>
                <w:szCs w:val="16"/>
              </w:rPr>
            </w:pPr>
            <w:r w:rsidRPr="004C4CB8">
              <w:rPr>
                <w:rFonts w:ascii="Helvetica" w:hAnsi="Helvetica"/>
                <w:sz w:val="16"/>
                <w:szCs w:val="16"/>
              </w:rPr>
              <w:t>0.42 (0.32, 0.85)</w:t>
            </w:r>
          </w:p>
        </w:tc>
        <w:tc>
          <w:tcPr>
            <w:tcW w:w="2070" w:type="dxa"/>
            <w:noWrap/>
            <w:hideMark/>
          </w:tcPr>
          <w:p w14:paraId="003104F7" w14:textId="77777777" w:rsidR="002F2232" w:rsidRPr="004C4CB8" w:rsidRDefault="002F2232" w:rsidP="004C4CB8">
            <w:pPr>
              <w:rPr>
                <w:rFonts w:ascii="Helvetica" w:hAnsi="Helvetica"/>
                <w:sz w:val="16"/>
                <w:szCs w:val="16"/>
              </w:rPr>
            </w:pPr>
            <w:r w:rsidRPr="004C4CB8">
              <w:rPr>
                <w:rFonts w:ascii="Helvetica" w:hAnsi="Helvetica"/>
                <w:sz w:val="16"/>
                <w:szCs w:val="16"/>
              </w:rPr>
              <w:t>0.08</w:t>
            </w:r>
          </w:p>
        </w:tc>
        <w:tc>
          <w:tcPr>
            <w:tcW w:w="1749" w:type="dxa"/>
            <w:noWrap/>
            <w:hideMark/>
          </w:tcPr>
          <w:p w14:paraId="73983A7D" w14:textId="77777777" w:rsidR="002F2232" w:rsidRPr="004C4CB8" w:rsidRDefault="002F2232" w:rsidP="004C4CB8">
            <w:pPr>
              <w:rPr>
                <w:rFonts w:ascii="Helvetica" w:hAnsi="Helvetica"/>
                <w:sz w:val="16"/>
                <w:szCs w:val="16"/>
              </w:rPr>
            </w:pPr>
            <w:r w:rsidRPr="004C4CB8">
              <w:rPr>
                <w:rFonts w:ascii="Helvetica" w:hAnsi="Helvetica"/>
                <w:sz w:val="16"/>
                <w:szCs w:val="16"/>
              </w:rPr>
              <w:t>5.32 (4, 10.6)</w:t>
            </w:r>
          </w:p>
        </w:tc>
      </w:tr>
      <w:tr w:rsidR="007F7DA5" w:rsidRPr="002F2232" w14:paraId="2F36E52C" w14:textId="77777777" w:rsidTr="00540B81">
        <w:tc>
          <w:tcPr>
            <w:tcW w:w="1533" w:type="dxa"/>
            <w:noWrap/>
            <w:hideMark/>
          </w:tcPr>
          <w:p w14:paraId="15DC0A92" w14:textId="77777777" w:rsidR="002F2232" w:rsidRPr="004C4CB8" w:rsidRDefault="002F2232" w:rsidP="004C4CB8">
            <w:pPr>
              <w:rPr>
                <w:rFonts w:ascii="Helvetica" w:hAnsi="Helvetica"/>
                <w:sz w:val="16"/>
                <w:szCs w:val="16"/>
              </w:rPr>
            </w:pPr>
            <w:r w:rsidRPr="004C4CB8">
              <w:rPr>
                <w:rFonts w:ascii="Helvetica" w:hAnsi="Helvetica"/>
                <w:sz w:val="16"/>
                <w:szCs w:val="16"/>
              </w:rPr>
              <w:t>PC</w:t>
            </w:r>
          </w:p>
        </w:tc>
        <w:tc>
          <w:tcPr>
            <w:tcW w:w="822" w:type="dxa"/>
            <w:noWrap/>
            <w:hideMark/>
          </w:tcPr>
          <w:p w14:paraId="358E4C2C"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2F0CF240" w14:textId="77777777" w:rsidR="002F2232" w:rsidRPr="004C4CB8" w:rsidRDefault="002F2232" w:rsidP="004C4CB8">
            <w:pPr>
              <w:rPr>
                <w:rFonts w:ascii="Helvetica" w:hAnsi="Helvetica"/>
                <w:sz w:val="16"/>
                <w:szCs w:val="16"/>
              </w:rPr>
            </w:pPr>
            <w:r w:rsidRPr="004C4CB8">
              <w:rPr>
                <w:rFonts w:ascii="Helvetica" w:hAnsi="Helvetica"/>
                <w:sz w:val="16"/>
                <w:szCs w:val="16"/>
              </w:rPr>
              <w:t>Strong RDE</w:t>
            </w:r>
          </w:p>
        </w:tc>
        <w:tc>
          <w:tcPr>
            <w:tcW w:w="1980" w:type="dxa"/>
            <w:noWrap/>
            <w:hideMark/>
          </w:tcPr>
          <w:p w14:paraId="1EB658EB" w14:textId="77777777" w:rsidR="002F2232" w:rsidRPr="004C4CB8" w:rsidRDefault="002F2232" w:rsidP="004C4CB8">
            <w:pPr>
              <w:rPr>
                <w:rFonts w:ascii="Helvetica" w:hAnsi="Helvetica"/>
                <w:sz w:val="16"/>
                <w:szCs w:val="16"/>
              </w:rPr>
            </w:pPr>
            <w:r w:rsidRPr="004C4CB8">
              <w:rPr>
                <w:rFonts w:ascii="Helvetica" w:hAnsi="Helvetica"/>
                <w:sz w:val="16"/>
                <w:szCs w:val="16"/>
              </w:rPr>
              <w:t>0.09 (0.08, 0.10)</w:t>
            </w:r>
          </w:p>
        </w:tc>
        <w:tc>
          <w:tcPr>
            <w:tcW w:w="2070" w:type="dxa"/>
            <w:noWrap/>
            <w:hideMark/>
          </w:tcPr>
          <w:p w14:paraId="547DF6C7" w14:textId="77777777" w:rsidR="002F2232" w:rsidRPr="004C4CB8" w:rsidRDefault="002F2232" w:rsidP="004C4CB8">
            <w:pPr>
              <w:rPr>
                <w:rFonts w:ascii="Helvetica" w:hAnsi="Helvetica"/>
                <w:sz w:val="16"/>
                <w:szCs w:val="16"/>
              </w:rPr>
            </w:pPr>
            <w:r w:rsidRPr="004C4CB8">
              <w:rPr>
                <w:rFonts w:ascii="Helvetica" w:hAnsi="Helvetica"/>
                <w:sz w:val="16"/>
                <w:szCs w:val="16"/>
              </w:rPr>
              <w:t>0.08</w:t>
            </w:r>
          </w:p>
        </w:tc>
        <w:tc>
          <w:tcPr>
            <w:tcW w:w="1749" w:type="dxa"/>
            <w:noWrap/>
            <w:hideMark/>
          </w:tcPr>
          <w:p w14:paraId="7F710E1A" w14:textId="77777777" w:rsidR="002F2232" w:rsidRPr="004C4CB8" w:rsidRDefault="002F2232" w:rsidP="004C4CB8">
            <w:pPr>
              <w:rPr>
                <w:rFonts w:ascii="Helvetica" w:hAnsi="Helvetica"/>
                <w:sz w:val="16"/>
                <w:szCs w:val="16"/>
              </w:rPr>
            </w:pPr>
            <w:r w:rsidRPr="004C4CB8">
              <w:rPr>
                <w:rFonts w:ascii="Helvetica" w:hAnsi="Helvetica"/>
                <w:sz w:val="16"/>
                <w:szCs w:val="16"/>
              </w:rPr>
              <w:t>1.17 (1.02, 1.32)</w:t>
            </w:r>
          </w:p>
        </w:tc>
      </w:tr>
      <w:tr w:rsidR="007F7DA5" w:rsidRPr="002F2232" w14:paraId="1ED12740" w14:textId="77777777" w:rsidTr="00540B81">
        <w:tc>
          <w:tcPr>
            <w:tcW w:w="1533" w:type="dxa"/>
            <w:noWrap/>
            <w:hideMark/>
          </w:tcPr>
          <w:p w14:paraId="680287D9" w14:textId="77777777" w:rsidR="007F7DA5" w:rsidRPr="004C4CB8" w:rsidRDefault="007F7DA5" w:rsidP="004C4CB8">
            <w:pPr>
              <w:rPr>
                <w:rFonts w:ascii="Helvetica" w:hAnsi="Helvetica"/>
                <w:sz w:val="16"/>
                <w:szCs w:val="16"/>
              </w:rPr>
            </w:pPr>
            <w:r w:rsidRPr="004C4CB8">
              <w:rPr>
                <w:rFonts w:ascii="Helvetica" w:hAnsi="Helvetica"/>
                <w:sz w:val="16"/>
                <w:szCs w:val="16"/>
              </w:rPr>
              <w:t>LDV</w:t>
            </w:r>
          </w:p>
        </w:tc>
        <w:tc>
          <w:tcPr>
            <w:tcW w:w="822" w:type="dxa"/>
            <w:noWrap/>
            <w:hideMark/>
          </w:tcPr>
          <w:p w14:paraId="442278E2" w14:textId="77777777" w:rsidR="007F7DA5" w:rsidRPr="004C4CB8" w:rsidRDefault="007F7DA5" w:rsidP="004C4CB8">
            <w:pPr>
              <w:rPr>
                <w:rFonts w:ascii="Helvetica" w:hAnsi="Helvetica"/>
                <w:sz w:val="16"/>
                <w:szCs w:val="16"/>
              </w:rPr>
            </w:pPr>
            <w:r w:rsidRPr="004C4CB8">
              <w:rPr>
                <w:rFonts w:ascii="Helvetica" w:hAnsi="Helvetica"/>
                <w:sz w:val="16"/>
                <w:szCs w:val="16"/>
              </w:rPr>
              <w:t>US</w:t>
            </w:r>
          </w:p>
        </w:tc>
        <w:tc>
          <w:tcPr>
            <w:tcW w:w="1243" w:type="dxa"/>
            <w:noWrap/>
            <w:hideMark/>
          </w:tcPr>
          <w:p w14:paraId="798442E6" w14:textId="77777777" w:rsidR="007F7DA5" w:rsidRPr="004C4CB8" w:rsidRDefault="007F7DA5" w:rsidP="004C4CB8">
            <w:pPr>
              <w:rPr>
                <w:rFonts w:ascii="Helvetica" w:hAnsi="Helvetica"/>
                <w:sz w:val="16"/>
                <w:szCs w:val="16"/>
              </w:rPr>
            </w:pPr>
            <w:r w:rsidRPr="004C4CB8">
              <w:rPr>
                <w:rFonts w:ascii="Helvetica" w:hAnsi="Helvetica"/>
                <w:sz w:val="16"/>
                <w:szCs w:val="16"/>
              </w:rPr>
              <w:t>Tier 1</w:t>
            </w:r>
          </w:p>
        </w:tc>
        <w:tc>
          <w:tcPr>
            <w:tcW w:w="1980" w:type="dxa"/>
            <w:noWrap/>
            <w:hideMark/>
          </w:tcPr>
          <w:p w14:paraId="620778B9" w14:textId="3DCDA941" w:rsidR="007F7DA5" w:rsidRPr="004C4CB8" w:rsidRDefault="007F7DA5" w:rsidP="004C4CB8">
            <w:pPr>
              <w:rPr>
                <w:rFonts w:ascii="Helvetica" w:hAnsi="Helvetica"/>
                <w:sz w:val="16"/>
                <w:szCs w:val="16"/>
              </w:rPr>
            </w:pPr>
            <w:r w:rsidRPr="004C4CB8">
              <w:rPr>
                <w:rFonts w:ascii="Helvetica" w:hAnsi="Helvetica"/>
                <w:sz w:val="16"/>
                <w:szCs w:val="16"/>
              </w:rPr>
              <w:t>0.</w:t>
            </w:r>
            <w:r>
              <w:rPr>
                <w:rFonts w:ascii="Helvetica" w:hAnsi="Helvetica"/>
                <w:sz w:val="16"/>
                <w:szCs w:val="16"/>
              </w:rPr>
              <w:t>85</w:t>
            </w:r>
            <w:r w:rsidRPr="004C4CB8">
              <w:rPr>
                <w:rFonts w:ascii="Helvetica" w:hAnsi="Helvetica"/>
                <w:sz w:val="16"/>
                <w:szCs w:val="16"/>
              </w:rPr>
              <w:t xml:space="preserve"> (0.</w:t>
            </w:r>
            <w:r>
              <w:rPr>
                <w:rFonts w:ascii="Helvetica" w:hAnsi="Helvetica"/>
                <w:sz w:val="16"/>
                <w:szCs w:val="16"/>
              </w:rPr>
              <w:t>65</w:t>
            </w:r>
            <w:r w:rsidRPr="004C4CB8">
              <w:rPr>
                <w:rFonts w:ascii="Helvetica" w:hAnsi="Helvetica"/>
                <w:sz w:val="16"/>
                <w:szCs w:val="16"/>
              </w:rPr>
              <w:t xml:space="preserve">, </w:t>
            </w:r>
            <w:r>
              <w:rPr>
                <w:rFonts w:ascii="Helvetica" w:hAnsi="Helvetica"/>
                <w:sz w:val="16"/>
                <w:szCs w:val="16"/>
              </w:rPr>
              <w:t>1.08</w:t>
            </w:r>
            <w:r w:rsidRPr="004C4CB8">
              <w:rPr>
                <w:rFonts w:ascii="Helvetica" w:hAnsi="Helvetica"/>
                <w:sz w:val="16"/>
                <w:szCs w:val="16"/>
              </w:rPr>
              <w:t>)</w:t>
            </w:r>
          </w:p>
        </w:tc>
        <w:tc>
          <w:tcPr>
            <w:tcW w:w="2070" w:type="dxa"/>
            <w:noWrap/>
            <w:hideMark/>
          </w:tcPr>
          <w:p w14:paraId="53AF451F" w14:textId="0530697D" w:rsidR="007F7DA5" w:rsidRPr="004C4CB8" w:rsidRDefault="007F7DA5" w:rsidP="004C4CB8">
            <w:pPr>
              <w:rPr>
                <w:rFonts w:ascii="Helvetica" w:hAnsi="Helvetica"/>
                <w:sz w:val="16"/>
                <w:szCs w:val="16"/>
              </w:rPr>
            </w:pPr>
            <w:r w:rsidRPr="004C4CB8">
              <w:rPr>
                <w:rFonts w:ascii="Helvetica" w:hAnsi="Helvetica"/>
                <w:sz w:val="16"/>
                <w:szCs w:val="16"/>
              </w:rPr>
              <w:t>0.7</w:t>
            </w:r>
            <w:r>
              <w:rPr>
                <w:rFonts w:ascii="Helvetica" w:hAnsi="Helvetica"/>
                <w:sz w:val="16"/>
                <w:szCs w:val="16"/>
              </w:rPr>
              <w:t>8</w:t>
            </w:r>
          </w:p>
        </w:tc>
        <w:tc>
          <w:tcPr>
            <w:tcW w:w="1749" w:type="dxa"/>
            <w:noWrap/>
            <w:hideMark/>
          </w:tcPr>
          <w:p w14:paraId="05FB9008" w14:textId="289A379B" w:rsidR="007F7DA5" w:rsidRPr="004C4CB8" w:rsidRDefault="007F7DA5" w:rsidP="004C4CB8">
            <w:pPr>
              <w:rPr>
                <w:rFonts w:ascii="Helvetica" w:hAnsi="Helvetica"/>
                <w:sz w:val="16"/>
                <w:szCs w:val="16"/>
              </w:rPr>
            </w:pPr>
            <w:r>
              <w:rPr>
                <w:rFonts w:ascii="Helvetica" w:hAnsi="Helvetica"/>
                <w:sz w:val="16"/>
                <w:szCs w:val="16"/>
              </w:rPr>
              <w:t>1.1</w:t>
            </w:r>
            <w:r w:rsidRPr="004C4CB8">
              <w:rPr>
                <w:rFonts w:ascii="Helvetica" w:hAnsi="Helvetica"/>
                <w:sz w:val="16"/>
                <w:szCs w:val="16"/>
              </w:rPr>
              <w:t xml:space="preserve"> (</w:t>
            </w:r>
            <w:r>
              <w:rPr>
                <w:rFonts w:ascii="Helvetica" w:hAnsi="Helvetica"/>
                <w:sz w:val="16"/>
                <w:szCs w:val="16"/>
              </w:rPr>
              <w:t>0.8</w:t>
            </w:r>
            <w:r w:rsidRPr="004C4CB8">
              <w:rPr>
                <w:rFonts w:ascii="Helvetica" w:hAnsi="Helvetica"/>
                <w:sz w:val="16"/>
                <w:szCs w:val="16"/>
              </w:rPr>
              <w:t xml:space="preserve">, </w:t>
            </w:r>
            <w:r>
              <w:rPr>
                <w:rFonts w:ascii="Helvetica" w:hAnsi="Helvetica"/>
                <w:sz w:val="16"/>
                <w:szCs w:val="16"/>
              </w:rPr>
              <w:t>1.4</w:t>
            </w:r>
            <w:r w:rsidRPr="004C4CB8">
              <w:rPr>
                <w:rFonts w:ascii="Helvetica" w:hAnsi="Helvetica"/>
                <w:sz w:val="16"/>
                <w:szCs w:val="16"/>
              </w:rPr>
              <w:t>)</w:t>
            </w:r>
          </w:p>
        </w:tc>
      </w:tr>
      <w:tr w:rsidR="007F7DA5" w:rsidRPr="002F2232" w14:paraId="201C0F63" w14:textId="77777777" w:rsidTr="00540B81">
        <w:tc>
          <w:tcPr>
            <w:tcW w:w="1533" w:type="dxa"/>
            <w:noWrap/>
            <w:hideMark/>
          </w:tcPr>
          <w:p w14:paraId="58DB7965" w14:textId="77777777" w:rsidR="007F7DA5" w:rsidRPr="004C4CB8" w:rsidRDefault="007F7DA5" w:rsidP="004C4CB8">
            <w:pPr>
              <w:rPr>
                <w:rFonts w:ascii="Helvetica" w:hAnsi="Helvetica"/>
                <w:sz w:val="16"/>
                <w:szCs w:val="16"/>
              </w:rPr>
            </w:pPr>
            <w:r w:rsidRPr="004C4CB8">
              <w:rPr>
                <w:rFonts w:ascii="Helvetica" w:hAnsi="Helvetica"/>
                <w:sz w:val="16"/>
                <w:szCs w:val="16"/>
              </w:rPr>
              <w:t>LDV</w:t>
            </w:r>
          </w:p>
        </w:tc>
        <w:tc>
          <w:tcPr>
            <w:tcW w:w="822" w:type="dxa"/>
            <w:noWrap/>
            <w:hideMark/>
          </w:tcPr>
          <w:p w14:paraId="76CD0BE7" w14:textId="77777777" w:rsidR="007F7DA5" w:rsidRPr="004C4CB8" w:rsidRDefault="007F7DA5" w:rsidP="004C4CB8">
            <w:pPr>
              <w:rPr>
                <w:rFonts w:ascii="Helvetica" w:hAnsi="Helvetica"/>
                <w:sz w:val="16"/>
                <w:szCs w:val="16"/>
              </w:rPr>
            </w:pPr>
            <w:r w:rsidRPr="004C4CB8">
              <w:rPr>
                <w:rFonts w:ascii="Helvetica" w:hAnsi="Helvetica"/>
                <w:sz w:val="16"/>
                <w:szCs w:val="16"/>
              </w:rPr>
              <w:t>US</w:t>
            </w:r>
          </w:p>
        </w:tc>
        <w:tc>
          <w:tcPr>
            <w:tcW w:w="1243" w:type="dxa"/>
            <w:noWrap/>
            <w:hideMark/>
          </w:tcPr>
          <w:p w14:paraId="334E928E" w14:textId="77777777" w:rsidR="007F7DA5" w:rsidRPr="004C4CB8" w:rsidRDefault="007F7DA5" w:rsidP="004C4CB8">
            <w:pPr>
              <w:rPr>
                <w:rFonts w:ascii="Helvetica" w:hAnsi="Helvetica"/>
                <w:sz w:val="16"/>
                <w:szCs w:val="16"/>
              </w:rPr>
            </w:pPr>
            <w:r w:rsidRPr="004C4CB8">
              <w:rPr>
                <w:rFonts w:ascii="Helvetica" w:hAnsi="Helvetica"/>
                <w:sz w:val="16"/>
                <w:szCs w:val="16"/>
              </w:rPr>
              <w:t>Tier 2</w:t>
            </w:r>
          </w:p>
        </w:tc>
        <w:tc>
          <w:tcPr>
            <w:tcW w:w="1980" w:type="dxa"/>
            <w:noWrap/>
            <w:hideMark/>
          </w:tcPr>
          <w:p w14:paraId="68593251" w14:textId="7EFD06E0" w:rsidR="007F7DA5" w:rsidRPr="004C4CB8" w:rsidRDefault="007F7DA5" w:rsidP="004C4CB8">
            <w:pPr>
              <w:rPr>
                <w:rFonts w:ascii="Helvetica" w:hAnsi="Helvetica"/>
                <w:sz w:val="16"/>
                <w:szCs w:val="16"/>
              </w:rPr>
            </w:pPr>
            <w:r>
              <w:rPr>
                <w:rFonts w:ascii="Helvetica" w:hAnsi="Helvetica"/>
                <w:sz w:val="16"/>
                <w:szCs w:val="16"/>
              </w:rPr>
              <w:t>0.22 (0.16, 0.29)</w:t>
            </w:r>
          </w:p>
        </w:tc>
        <w:tc>
          <w:tcPr>
            <w:tcW w:w="2070" w:type="dxa"/>
            <w:noWrap/>
            <w:hideMark/>
          </w:tcPr>
          <w:p w14:paraId="40EC3A5F" w14:textId="276E1F70" w:rsidR="007F7DA5" w:rsidRPr="004C4CB8" w:rsidRDefault="007F7DA5" w:rsidP="004C4CB8">
            <w:pPr>
              <w:rPr>
                <w:rFonts w:ascii="Helvetica" w:hAnsi="Helvetica"/>
                <w:sz w:val="16"/>
                <w:szCs w:val="16"/>
              </w:rPr>
            </w:pPr>
            <w:r w:rsidRPr="004C4CB8">
              <w:rPr>
                <w:rFonts w:ascii="Helvetica" w:hAnsi="Helvetica"/>
                <w:sz w:val="16"/>
                <w:szCs w:val="16"/>
              </w:rPr>
              <w:t>0.04</w:t>
            </w:r>
          </w:p>
        </w:tc>
        <w:tc>
          <w:tcPr>
            <w:tcW w:w="1749" w:type="dxa"/>
            <w:noWrap/>
            <w:hideMark/>
          </w:tcPr>
          <w:p w14:paraId="41882C66" w14:textId="5F3ECE77" w:rsidR="007F7DA5" w:rsidRPr="004C4CB8" w:rsidRDefault="007F7DA5" w:rsidP="004C4CB8">
            <w:pPr>
              <w:rPr>
                <w:rFonts w:ascii="Helvetica" w:hAnsi="Helvetica"/>
                <w:sz w:val="16"/>
                <w:szCs w:val="16"/>
              </w:rPr>
            </w:pPr>
            <w:r>
              <w:rPr>
                <w:rFonts w:ascii="Helvetica" w:hAnsi="Helvetica"/>
                <w:sz w:val="16"/>
                <w:szCs w:val="16"/>
              </w:rPr>
              <w:t>5.0 (3.8, 6.7)</w:t>
            </w:r>
          </w:p>
        </w:tc>
      </w:tr>
      <w:tr w:rsidR="007F7DA5" w:rsidRPr="002F2232" w14:paraId="016910A2" w14:textId="77777777" w:rsidTr="00540B81">
        <w:tc>
          <w:tcPr>
            <w:tcW w:w="1533" w:type="dxa"/>
            <w:noWrap/>
            <w:hideMark/>
          </w:tcPr>
          <w:p w14:paraId="6F8703A2" w14:textId="77777777" w:rsidR="007F7DA5" w:rsidRPr="004C4CB8" w:rsidRDefault="007F7DA5" w:rsidP="004C4CB8">
            <w:pPr>
              <w:rPr>
                <w:rFonts w:ascii="Helvetica" w:hAnsi="Helvetica"/>
                <w:sz w:val="16"/>
                <w:szCs w:val="16"/>
              </w:rPr>
            </w:pPr>
            <w:r w:rsidRPr="004C4CB8">
              <w:rPr>
                <w:rFonts w:ascii="Helvetica" w:hAnsi="Helvetica"/>
                <w:sz w:val="16"/>
                <w:szCs w:val="16"/>
              </w:rPr>
              <w:t>LDV</w:t>
            </w:r>
          </w:p>
        </w:tc>
        <w:tc>
          <w:tcPr>
            <w:tcW w:w="822" w:type="dxa"/>
            <w:noWrap/>
            <w:hideMark/>
          </w:tcPr>
          <w:p w14:paraId="29A3404F" w14:textId="77777777" w:rsidR="007F7DA5" w:rsidRPr="004C4CB8" w:rsidRDefault="007F7DA5" w:rsidP="004C4CB8">
            <w:pPr>
              <w:rPr>
                <w:rFonts w:ascii="Helvetica" w:hAnsi="Helvetica"/>
                <w:sz w:val="16"/>
                <w:szCs w:val="16"/>
              </w:rPr>
            </w:pPr>
            <w:r w:rsidRPr="004C4CB8">
              <w:rPr>
                <w:rFonts w:ascii="Helvetica" w:hAnsi="Helvetica"/>
                <w:sz w:val="16"/>
                <w:szCs w:val="16"/>
              </w:rPr>
              <w:t>US</w:t>
            </w:r>
          </w:p>
        </w:tc>
        <w:tc>
          <w:tcPr>
            <w:tcW w:w="1243" w:type="dxa"/>
            <w:noWrap/>
            <w:hideMark/>
          </w:tcPr>
          <w:p w14:paraId="76E6E43F" w14:textId="77777777" w:rsidR="007F7DA5" w:rsidRPr="004C4CB8" w:rsidRDefault="007F7DA5" w:rsidP="004C4CB8">
            <w:pPr>
              <w:rPr>
                <w:rFonts w:ascii="Helvetica" w:hAnsi="Helvetica"/>
                <w:sz w:val="16"/>
                <w:szCs w:val="16"/>
              </w:rPr>
            </w:pPr>
            <w:r w:rsidRPr="004C4CB8">
              <w:rPr>
                <w:rFonts w:ascii="Helvetica" w:hAnsi="Helvetica"/>
                <w:sz w:val="16"/>
                <w:szCs w:val="16"/>
              </w:rPr>
              <w:t>Tier 3</w:t>
            </w:r>
          </w:p>
        </w:tc>
        <w:tc>
          <w:tcPr>
            <w:tcW w:w="1980" w:type="dxa"/>
            <w:noWrap/>
            <w:hideMark/>
          </w:tcPr>
          <w:p w14:paraId="12CF4504" w14:textId="0E3F91CE" w:rsidR="007F7DA5" w:rsidRPr="004C4CB8" w:rsidRDefault="007F7DA5" w:rsidP="004C4CB8">
            <w:pPr>
              <w:rPr>
                <w:rFonts w:ascii="Helvetica" w:hAnsi="Helvetica"/>
                <w:sz w:val="16"/>
                <w:szCs w:val="16"/>
              </w:rPr>
            </w:pPr>
            <w:r w:rsidRPr="004C4CB8">
              <w:rPr>
                <w:rFonts w:ascii="Helvetica" w:hAnsi="Helvetica"/>
                <w:sz w:val="16"/>
                <w:szCs w:val="16"/>
              </w:rPr>
              <w:t>0.01 (0.01, 0.02)</w:t>
            </w:r>
          </w:p>
        </w:tc>
        <w:tc>
          <w:tcPr>
            <w:tcW w:w="2070" w:type="dxa"/>
            <w:noWrap/>
            <w:hideMark/>
          </w:tcPr>
          <w:p w14:paraId="3497754F" w14:textId="64495B8E" w:rsidR="007F7DA5" w:rsidRPr="004C4CB8" w:rsidRDefault="007F7DA5" w:rsidP="004C4CB8">
            <w:pPr>
              <w:rPr>
                <w:rFonts w:ascii="Helvetica" w:hAnsi="Helvetica"/>
                <w:sz w:val="16"/>
                <w:szCs w:val="16"/>
              </w:rPr>
            </w:pPr>
            <w:r w:rsidRPr="004C4CB8">
              <w:rPr>
                <w:rFonts w:ascii="Helvetica" w:hAnsi="Helvetica"/>
                <w:sz w:val="16"/>
                <w:szCs w:val="16"/>
              </w:rPr>
              <w:t>0.01</w:t>
            </w:r>
          </w:p>
        </w:tc>
        <w:tc>
          <w:tcPr>
            <w:tcW w:w="1749" w:type="dxa"/>
            <w:noWrap/>
            <w:hideMark/>
          </w:tcPr>
          <w:p w14:paraId="317C1CC9" w14:textId="6959B44D" w:rsidR="007F7DA5" w:rsidRPr="004C4CB8" w:rsidRDefault="007F7DA5" w:rsidP="004C4CB8">
            <w:pPr>
              <w:rPr>
                <w:rFonts w:ascii="Helvetica" w:hAnsi="Helvetica"/>
                <w:sz w:val="16"/>
                <w:szCs w:val="16"/>
              </w:rPr>
            </w:pPr>
            <w:r w:rsidRPr="004C4CB8">
              <w:rPr>
                <w:rFonts w:ascii="Helvetica" w:hAnsi="Helvetica"/>
                <w:sz w:val="16"/>
                <w:szCs w:val="16"/>
              </w:rPr>
              <w:t>1.</w:t>
            </w:r>
            <w:r>
              <w:rPr>
                <w:rFonts w:ascii="Helvetica" w:hAnsi="Helvetica"/>
                <w:sz w:val="16"/>
                <w:szCs w:val="16"/>
              </w:rPr>
              <w:t>3</w:t>
            </w:r>
            <w:r w:rsidRPr="004C4CB8">
              <w:rPr>
                <w:rFonts w:ascii="Helvetica" w:hAnsi="Helvetica"/>
                <w:sz w:val="16"/>
                <w:szCs w:val="16"/>
              </w:rPr>
              <w:t xml:space="preserve"> (</w:t>
            </w:r>
            <w:r>
              <w:rPr>
                <w:rFonts w:ascii="Helvetica" w:hAnsi="Helvetica"/>
                <w:sz w:val="16"/>
                <w:szCs w:val="16"/>
              </w:rPr>
              <w:t>1.0</w:t>
            </w:r>
            <w:r w:rsidRPr="004C4CB8">
              <w:rPr>
                <w:rFonts w:ascii="Helvetica" w:hAnsi="Helvetica"/>
                <w:sz w:val="16"/>
                <w:szCs w:val="16"/>
              </w:rPr>
              <w:t xml:space="preserve">, </w:t>
            </w:r>
            <w:r>
              <w:rPr>
                <w:rFonts w:ascii="Helvetica" w:hAnsi="Helvetica"/>
                <w:sz w:val="16"/>
                <w:szCs w:val="16"/>
              </w:rPr>
              <w:t>2.0</w:t>
            </w:r>
            <w:r w:rsidRPr="004C4CB8">
              <w:rPr>
                <w:rFonts w:ascii="Helvetica" w:hAnsi="Helvetica"/>
                <w:sz w:val="16"/>
                <w:szCs w:val="16"/>
              </w:rPr>
              <w:t>)</w:t>
            </w:r>
          </w:p>
        </w:tc>
      </w:tr>
      <w:tr w:rsidR="007F7DA5" w:rsidRPr="002F2232" w14:paraId="5F886DAB" w14:textId="77777777" w:rsidTr="00540B81">
        <w:tc>
          <w:tcPr>
            <w:tcW w:w="1533" w:type="dxa"/>
            <w:noWrap/>
            <w:hideMark/>
          </w:tcPr>
          <w:p w14:paraId="36AFC083"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0F793B22"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38DE489D" w14:textId="77777777" w:rsidR="002F2232" w:rsidRPr="004C4CB8" w:rsidRDefault="002F2232" w:rsidP="004C4CB8">
            <w:pPr>
              <w:rPr>
                <w:rFonts w:ascii="Helvetica" w:hAnsi="Helvetica"/>
                <w:sz w:val="16"/>
                <w:szCs w:val="16"/>
              </w:rPr>
            </w:pPr>
            <w:r w:rsidRPr="004C4CB8">
              <w:rPr>
                <w:rFonts w:ascii="Helvetica" w:hAnsi="Helvetica"/>
                <w:sz w:val="16"/>
                <w:szCs w:val="16"/>
              </w:rPr>
              <w:t>Euro III</w:t>
            </w:r>
          </w:p>
        </w:tc>
        <w:tc>
          <w:tcPr>
            <w:tcW w:w="1980" w:type="dxa"/>
            <w:noWrap/>
            <w:hideMark/>
          </w:tcPr>
          <w:p w14:paraId="429490E4" w14:textId="77777777" w:rsidR="002F2232" w:rsidRPr="004C4CB8" w:rsidRDefault="002F2232" w:rsidP="004C4CB8">
            <w:pPr>
              <w:rPr>
                <w:rFonts w:ascii="Helvetica" w:hAnsi="Helvetica"/>
                <w:sz w:val="16"/>
                <w:szCs w:val="16"/>
              </w:rPr>
            </w:pPr>
            <w:r w:rsidRPr="004C4CB8">
              <w:rPr>
                <w:rFonts w:ascii="Helvetica" w:hAnsi="Helvetica"/>
                <w:sz w:val="16"/>
                <w:szCs w:val="16"/>
              </w:rPr>
              <w:t>9.40 (7.05, 11.7)</w:t>
            </w:r>
          </w:p>
        </w:tc>
        <w:tc>
          <w:tcPr>
            <w:tcW w:w="2070" w:type="dxa"/>
            <w:noWrap/>
            <w:hideMark/>
          </w:tcPr>
          <w:p w14:paraId="58875D35" w14:textId="77777777" w:rsidR="002F2232" w:rsidRPr="004C4CB8" w:rsidRDefault="002F2232" w:rsidP="004C4CB8">
            <w:pPr>
              <w:rPr>
                <w:rFonts w:ascii="Helvetica" w:hAnsi="Helvetica"/>
                <w:sz w:val="16"/>
                <w:szCs w:val="16"/>
              </w:rPr>
            </w:pPr>
            <w:r w:rsidRPr="004C4CB8">
              <w:rPr>
                <w:rFonts w:ascii="Helvetica" w:hAnsi="Helvetica"/>
                <w:sz w:val="16"/>
                <w:szCs w:val="16"/>
              </w:rPr>
              <w:t>6.27 (4.56, 8.36)</w:t>
            </w:r>
          </w:p>
        </w:tc>
        <w:tc>
          <w:tcPr>
            <w:tcW w:w="1749" w:type="dxa"/>
            <w:noWrap/>
            <w:hideMark/>
          </w:tcPr>
          <w:p w14:paraId="5C0FA70C" w14:textId="77777777" w:rsidR="002F2232" w:rsidRPr="004C4CB8" w:rsidRDefault="002F2232" w:rsidP="004C4CB8">
            <w:pPr>
              <w:rPr>
                <w:rFonts w:ascii="Helvetica" w:hAnsi="Helvetica"/>
                <w:sz w:val="16"/>
                <w:szCs w:val="16"/>
              </w:rPr>
            </w:pPr>
            <w:r w:rsidRPr="004C4CB8">
              <w:rPr>
                <w:rFonts w:ascii="Helvetica" w:hAnsi="Helvetica"/>
                <w:sz w:val="16"/>
                <w:szCs w:val="16"/>
              </w:rPr>
              <w:t>1.49 (0.84, 2.57)</w:t>
            </w:r>
          </w:p>
        </w:tc>
      </w:tr>
      <w:tr w:rsidR="007F7DA5" w:rsidRPr="002F2232" w14:paraId="70F2425E" w14:textId="77777777" w:rsidTr="00540B81">
        <w:tc>
          <w:tcPr>
            <w:tcW w:w="1533" w:type="dxa"/>
            <w:noWrap/>
            <w:hideMark/>
          </w:tcPr>
          <w:p w14:paraId="0FE4320F"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4061235E"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6996B6A5" w14:textId="77777777" w:rsidR="002F2232" w:rsidRPr="004C4CB8" w:rsidRDefault="002F2232" w:rsidP="004C4CB8">
            <w:pPr>
              <w:rPr>
                <w:rFonts w:ascii="Helvetica" w:hAnsi="Helvetica"/>
                <w:sz w:val="16"/>
                <w:szCs w:val="16"/>
              </w:rPr>
            </w:pPr>
            <w:r w:rsidRPr="004C4CB8">
              <w:rPr>
                <w:rFonts w:ascii="Helvetica" w:hAnsi="Helvetica"/>
                <w:sz w:val="16"/>
                <w:szCs w:val="16"/>
              </w:rPr>
              <w:t>Euro IV</w:t>
            </w:r>
          </w:p>
        </w:tc>
        <w:tc>
          <w:tcPr>
            <w:tcW w:w="1980" w:type="dxa"/>
            <w:noWrap/>
            <w:hideMark/>
          </w:tcPr>
          <w:p w14:paraId="55E9CE8D" w14:textId="77777777" w:rsidR="002F2232" w:rsidRPr="004C4CB8" w:rsidRDefault="002F2232" w:rsidP="004C4CB8">
            <w:pPr>
              <w:rPr>
                <w:rFonts w:ascii="Helvetica" w:hAnsi="Helvetica"/>
                <w:sz w:val="16"/>
                <w:szCs w:val="16"/>
              </w:rPr>
            </w:pPr>
            <w:r w:rsidRPr="004C4CB8">
              <w:rPr>
                <w:rFonts w:ascii="Helvetica" w:hAnsi="Helvetica"/>
                <w:sz w:val="16"/>
                <w:szCs w:val="16"/>
              </w:rPr>
              <w:t>6.09 (4.57, 7.62)</w:t>
            </w:r>
          </w:p>
        </w:tc>
        <w:tc>
          <w:tcPr>
            <w:tcW w:w="2070" w:type="dxa"/>
            <w:noWrap/>
            <w:hideMark/>
          </w:tcPr>
          <w:p w14:paraId="05A5E5AC" w14:textId="77777777" w:rsidR="002F2232" w:rsidRPr="004C4CB8" w:rsidRDefault="002F2232" w:rsidP="004C4CB8">
            <w:pPr>
              <w:rPr>
                <w:rFonts w:ascii="Helvetica" w:hAnsi="Helvetica"/>
                <w:sz w:val="16"/>
                <w:szCs w:val="16"/>
              </w:rPr>
            </w:pPr>
            <w:r w:rsidRPr="004C4CB8">
              <w:rPr>
                <w:rFonts w:ascii="Helvetica" w:hAnsi="Helvetica"/>
                <w:sz w:val="16"/>
                <w:szCs w:val="16"/>
              </w:rPr>
              <w:t>4.16 (3.02, 5.55)</w:t>
            </w:r>
          </w:p>
        </w:tc>
        <w:tc>
          <w:tcPr>
            <w:tcW w:w="1749" w:type="dxa"/>
            <w:noWrap/>
            <w:hideMark/>
          </w:tcPr>
          <w:p w14:paraId="4868A0EB" w14:textId="77777777" w:rsidR="002F2232" w:rsidRPr="004C4CB8" w:rsidRDefault="002F2232" w:rsidP="004C4CB8">
            <w:pPr>
              <w:rPr>
                <w:rFonts w:ascii="Helvetica" w:hAnsi="Helvetica"/>
                <w:sz w:val="16"/>
                <w:szCs w:val="16"/>
              </w:rPr>
            </w:pPr>
            <w:r w:rsidRPr="004C4CB8">
              <w:rPr>
                <w:rFonts w:ascii="Helvetica" w:hAnsi="Helvetica"/>
                <w:sz w:val="16"/>
                <w:szCs w:val="16"/>
              </w:rPr>
              <w:t>1.46 (0.82, 2.51)</w:t>
            </w:r>
          </w:p>
        </w:tc>
      </w:tr>
      <w:tr w:rsidR="007F7DA5" w:rsidRPr="002F2232" w14:paraId="0969D323" w14:textId="77777777" w:rsidTr="00540B81">
        <w:tc>
          <w:tcPr>
            <w:tcW w:w="1533" w:type="dxa"/>
            <w:noWrap/>
            <w:hideMark/>
          </w:tcPr>
          <w:p w14:paraId="18E8F8AD"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3C98C74F"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4C22FFF5" w14:textId="77777777" w:rsidR="002F2232" w:rsidRPr="004C4CB8" w:rsidRDefault="002F2232" w:rsidP="004C4CB8">
            <w:pPr>
              <w:rPr>
                <w:rFonts w:ascii="Helvetica" w:hAnsi="Helvetica"/>
                <w:sz w:val="16"/>
                <w:szCs w:val="16"/>
              </w:rPr>
            </w:pPr>
            <w:r w:rsidRPr="004C4CB8">
              <w:rPr>
                <w:rFonts w:ascii="Helvetica" w:hAnsi="Helvetica"/>
                <w:sz w:val="16"/>
                <w:szCs w:val="16"/>
              </w:rPr>
              <w:t>Euro V</w:t>
            </w:r>
          </w:p>
        </w:tc>
        <w:tc>
          <w:tcPr>
            <w:tcW w:w="1980" w:type="dxa"/>
            <w:noWrap/>
            <w:hideMark/>
          </w:tcPr>
          <w:p w14:paraId="75C2472C" w14:textId="77777777" w:rsidR="002F2232" w:rsidRPr="004C4CB8" w:rsidRDefault="002F2232" w:rsidP="004C4CB8">
            <w:pPr>
              <w:rPr>
                <w:rFonts w:ascii="Helvetica" w:hAnsi="Helvetica"/>
                <w:sz w:val="16"/>
                <w:szCs w:val="16"/>
              </w:rPr>
            </w:pPr>
            <w:r w:rsidRPr="004C4CB8">
              <w:rPr>
                <w:rFonts w:ascii="Helvetica" w:hAnsi="Helvetica"/>
                <w:sz w:val="16"/>
                <w:szCs w:val="16"/>
              </w:rPr>
              <w:t>4.90 (3.67, 6.12)</w:t>
            </w:r>
          </w:p>
        </w:tc>
        <w:tc>
          <w:tcPr>
            <w:tcW w:w="2070" w:type="dxa"/>
            <w:noWrap/>
            <w:hideMark/>
          </w:tcPr>
          <w:p w14:paraId="393155C6" w14:textId="77777777" w:rsidR="002F2232" w:rsidRPr="004C4CB8" w:rsidRDefault="002F2232" w:rsidP="004C4CB8">
            <w:pPr>
              <w:rPr>
                <w:rFonts w:ascii="Helvetica" w:hAnsi="Helvetica"/>
                <w:sz w:val="16"/>
                <w:szCs w:val="16"/>
              </w:rPr>
            </w:pPr>
            <w:r w:rsidRPr="004C4CB8">
              <w:rPr>
                <w:rFonts w:ascii="Helvetica" w:hAnsi="Helvetica"/>
                <w:sz w:val="16"/>
                <w:szCs w:val="16"/>
              </w:rPr>
              <w:t>2.31 (1.68, 3.09)</w:t>
            </w:r>
          </w:p>
        </w:tc>
        <w:tc>
          <w:tcPr>
            <w:tcW w:w="1749" w:type="dxa"/>
            <w:noWrap/>
            <w:hideMark/>
          </w:tcPr>
          <w:p w14:paraId="34B47142" w14:textId="77777777" w:rsidR="002F2232" w:rsidRPr="004C4CB8" w:rsidRDefault="002F2232" w:rsidP="004C4CB8">
            <w:pPr>
              <w:rPr>
                <w:rFonts w:ascii="Helvetica" w:hAnsi="Helvetica"/>
                <w:sz w:val="16"/>
                <w:szCs w:val="16"/>
              </w:rPr>
            </w:pPr>
            <w:r w:rsidRPr="004C4CB8">
              <w:rPr>
                <w:rFonts w:ascii="Helvetica" w:hAnsi="Helvetica"/>
                <w:sz w:val="16"/>
                <w:szCs w:val="16"/>
              </w:rPr>
              <w:t>2.11 (1.18, 3.63)</w:t>
            </w:r>
          </w:p>
        </w:tc>
      </w:tr>
      <w:tr w:rsidR="007F7DA5" w:rsidRPr="002F2232" w14:paraId="32804A04" w14:textId="77777777" w:rsidTr="00540B81">
        <w:tc>
          <w:tcPr>
            <w:tcW w:w="1533" w:type="dxa"/>
            <w:noWrap/>
            <w:hideMark/>
          </w:tcPr>
          <w:p w14:paraId="3BD5973E"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0C1801D7"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100B4031" w14:textId="77777777" w:rsidR="002F2232" w:rsidRPr="004C4CB8" w:rsidRDefault="002F2232" w:rsidP="004C4CB8">
            <w:pPr>
              <w:rPr>
                <w:rFonts w:ascii="Helvetica" w:hAnsi="Helvetica"/>
                <w:sz w:val="16"/>
                <w:szCs w:val="16"/>
              </w:rPr>
            </w:pPr>
            <w:r w:rsidRPr="004C4CB8">
              <w:rPr>
                <w:rFonts w:ascii="Helvetica" w:hAnsi="Helvetica"/>
                <w:sz w:val="16"/>
                <w:szCs w:val="16"/>
              </w:rPr>
              <w:t>Euro VI</w:t>
            </w:r>
          </w:p>
        </w:tc>
        <w:tc>
          <w:tcPr>
            <w:tcW w:w="1980" w:type="dxa"/>
            <w:noWrap/>
            <w:hideMark/>
          </w:tcPr>
          <w:p w14:paraId="1AAA5C4A" w14:textId="77777777" w:rsidR="002F2232" w:rsidRPr="004C4CB8" w:rsidRDefault="002F2232" w:rsidP="004C4CB8">
            <w:pPr>
              <w:rPr>
                <w:rFonts w:ascii="Helvetica" w:hAnsi="Helvetica"/>
                <w:sz w:val="16"/>
                <w:szCs w:val="16"/>
              </w:rPr>
            </w:pPr>
            <w:r w:rsidRPr="004C4CB8">
              <w:rPr>
                <w:rFonts w:ascii="Helvetica" w:hAnsi="Helvetica"/>
                <w:sz w:val="16"/>
                <w:szCs w:val="16"/>
              </w:rPr>
              <w:t>0.54 (0.29, 0.91)</w:t>
            </w:r>
          </w:p>
        </w:tc>
        <w:tc>
          <w:tcPr>
            <w:tcW w:w="2070" w:type="dxa"/>
            <w:noWrap/>
            <w:hideMark/>
          </w:tcPr>
          <w:p w14:paraId="14A3371C" w14:textId="77777777" w:rsidR="002F2232" w:rsidRPr="004C4CB8" w:rsidRDefault="002F2232" w:rsidP="004C4CB8">
            <w:pPr>
              <w:rPr>
                <w:rFonts w:ascii="Helvetica" w:hAnsi="Helvetica"/>
                <w:sz w:val="16"/>
                <w:szCs w:val="16"/>
              </w:rPr>
            </w:pPr>
            <w:r w:rsidRPr="004C4CB8">
              <w:rPr>
                <w:rFonts w:ascii="Helvetica" w:hAnsi="Helvetica"/>
                <w:sz w:val="16"/>
                <w:szCs w:val="16"/>
              </w:rPr>
              <w:t>0.54 (0.39, 0.73)</w:t>
            </w:r>
          </w:p>
        </w:tc>
        <w:tc>
          <w:tcPr>
            <w:tcW w:w="1749" w:type="dxa"/>
            <w:noWrap/>
            <w:hideMark/>
          </w:tcPr>
          <w:p w14:paraId="5485F7CD" w14:textId="77777777" w:rsidR="002F2232" w:rsidRPr="004C4CB8" w:rsidRDefault="002F2232" w:rsidP="004C4CB8">
            <w:pPr>
              <w:rPr>
                <w:rFonts w:ascii="Helvetica" w:hAnsi="Helvetica"/>
                <w:sz w:val="16"/>
                <w:szCs w:val="16"/>
              </w:rPr>
            </w:pPr>
            <w:r w:rsidRPr="004C4CB8">
              <w:rPr>
                <w:rFonts w:ascii="Helvetica" w:hAnsi="Helvetica"/>
                <w:sz w:val="16"/>
                <w:szCs w:val="16"/>
              </w:rPr>
              <w:t>1 (0.40, 2.29)</w:t>
            </w:r>
          </w:p>
        </w:tc>
      </w:tr>
      <w:tr w:rsidR="007F7DA5" w:rsidRPr="002F2232" w14:paraId="6310BEBA" w14:textId="77777777" w:rsidTr="00540B81">
        <w:tc>
          <w:tcPr>
            <w:tcW w:w="1533" w:type="dxa"/>
            <w:noWrap/>
            <w:hideMark/>
          </w:tcPr>
          <w:p w14:paraId="7EA44D6C"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003B1D80"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76E77550" w14:textId="77777777" w:rsidR="002F2232" w:rsidRPr="004C4CB8" w:rsidRDefault="002F2232" w:rsidP="004C4CB8">
            <w:pPr>
              <w:rPr>
                <w:rFonts w:ascii="Helvetica" w:hAnsi="Helvetica"/>
                <w:sz w:val="16"/>
                <w:szCs w:val="16"/>
              </w:rPr>
            </w:pPr>
            <w:r w:rsidRPr="004C4CB8">
              <w:rPr>
                <w:rFonts w:ascii="Helvetica" w:hAnsi="Helvetica"/>
                <w:sz w:val="16"/>
                <w:szCs w:val="16"/>
              </w:rPr>
              <w:t>Euro III</w:t>
            </w:r>
          </w:p>
        </w:tc>
        <w:tc>
          <w:tcPr>
            <w:tcW w:w="1980" w:type="dxa"/>
            <w:noWrap/>
            <w:hideMark/>
          </w:tcPr>
          <w:p w14:paraId="288C78A6" w14:textId="77777777" w:rsidR="002F2232" w:rsidRPr="004C4CB8" w:rsidRDefault="002F2232" w:rsidP="004C4CB8">
            <w:pPr>
              <w:rPr>
                <w:rFonts w:ascii="Helvetica" w:hAnsi="Helvetica"/>
                <w:sz w:val="16"/>
                <w:szCs w:val="16"/>
              </w:rPr>
            </w:pPr>
            <w:r w:rsidRPr="004C4CB8">
              <w:rPr>
                <w:rFonts w:ascii="Helvetica" w:hAnsi="Helvetica"/>
                <w:sz w:val="16"/>
                <w:szCs w:val="16"/>
              </w:rPr>
              <w:t>7.83 (5.87, 9.80)</w:t>
            </w:r>
          </w:p>
        </w:tc>
        <w:tc>
          <w:tcPr>
            <w:tcW w:w="2070" w:type="dxa"/>
            <w:noWrap/>
            <w:hideMark/>
          </w:tcPr>
          <w:p w14:paraId="2FFD4076" w14:textId="77777777" w:rsidR="002F2232" w:rsidRPr="004C4CB8" w:rsidRDefault="002F2232" w:rsidP="004C4CB8">
            <w:pPr>
              <w:rPr>
                <w:rFonts w:ascii="Helvetica" w:hAnsi="Helvetica"/>
                <w:sz w:val="16"/>
                <w:szCs w:val="16"/>
              </w:rPr>
            </w:pPr>
            <w:r w:rsidRPr="004C4CB8">
              <w:rPr>
                <w:rFonts w:ascii="Helvetica" w:hAnsi="Helvetica"/>
                <w:sz w:val="16"/>
                <w:szCs w:val="16"/>
              </w:rPr>
              <w:t>6.26 (4.55, 8.35)</w:t>
            </w:r>
          </w:p>
        </w:tc>
        <w:tc>
          <w:tcPr>
            <w:tcW w:w="1749" w:type="dxa"/>
            <w:noWrap/>
            <w:hideMark/>
          </w:tcPr>
          <w:p w14:paraId="219EC5A3" w14:textId="77777777" w:rsidR="002F2232" w:rsidRPr="004C4CB8" w:rsidRDefault="002F2232" w:rsidP="004C4CB8">
            <w:pPr>
              <w:rPr>
                <w:rFonts w:ascii="Helvetica" w:hAnsi="Helvetica"/>
                <w:sz w:val="16"/>
                <w:szCs w:val="16"/>
              </w:rPr>
            </w:pPr>
            <w:r w:rsidRPr="004C4CB8">
              <w:rPr>
                <w:rFonts w:ascii="Helvetica" w:hAnsi="Helvetica"/>
                <w:sz w:val="16"/>
                <w:szCs w:val="16"/>
              </w:rPr>
              <w:t>1.25 (0.70, 2.15)</w:t>
            </w:r>
          </w:p>
        </w:tc>
      </w:tr>
      <w:tr w:rsidR="007F7DA5" w:rsidRPr="002F2232" w14:paraId="5DE488F3" w14:textId="77777777" w:rsidTr="00540B81">
        <w:tc>
          <w:tcPr>
            <w:tcW w:w="1533" w:type="dxa"/>
            <w:noWrap/>
            <w:hideMark/>
          </w:tcPr>
          <w:p w14:paraId="1471CE79"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6D0AB6D2"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4F147F57" w14:textId="77777777" w:rsidR="002F2232" w:rsidRPr="004C4CB8" w:rsidRDefault="002F2232" w:rsidP="004C4CB8">
            <w:pPr>
              <w:rPr>
                <w:rFonts w:ascii="Helvetica" w:hAnsi="Helvetica"/>
                <w:sz w:val="16"/>
                <w:szCs w:val="16"/>
              </w:rPr>
            </w:pPr>
            <w:r w:rsidRPr="004C4CB8">
              <w:rPr>
                <w:rFonts w:ascii="Helvetica" w:hAnsi="Helvetica"/>
                <w:sz w:val="16"/>
                <w:szCs w:val="16"/>
              </w:rPr>
              <w:t>Euro IV</w:t>
            </w:r>
          </w:p>
        </w:tc>
        <w:tc>
          <w:tcPr>
            <w:tcW w:w="1980" w:type="dxa"/>
            <w:noWrap/>
            <w:hideMark/>
          </w:tcPr>
          <w:p w14:paraId="6065F98E" w14:textId="77777777" w:rsidR="002F2232" w:rsidRPr="004C4CB8" w:rsidRDefault="002F2232" w:rsidP="004C4CB8">
            <w:pPr>
              <w:rPr>
                <w:rFonts w:ascii="Helvetica" w:hAnsi="Helvetica"/>
                <w:sz w:val="16"/>
                <w:szCs w:val="16"/>
              </w:rPr>
            </w:pPr>
            <w:r w:rsidRPr="004C4CB8">
              <w:rPr>
                <w:rFonts w:ascii="Helvetica" w:hAnsi="Helvetica"/>
                <w:sz w:val="16"/>
                <w:szCs w:val="16"/>
              </w:rPr>
              <w:t>5.66 (4.24, 7.07)</w:t>
            </w:r>
          </w:p>
        </w:tc>
        <w:tc>
          <w:tcPr>
            <w:tcW w:w="2070" w:type="dxa"/>
            <w:noWrap/>
            <w:hideMark/>
          </w:tcPr>
          <w:p w14:paraId="4323AB55" w14:textId="77777777" w:rsidR="002F2232" w:rsidRPr="004C4CB8" w:rsidRDefault="002F2232" w:rsidP="004C4CB8">
            <w:pPr>
              <w:rPr>
                <w:rFonts w:ascii="Helvetica" w:hAnsi="Helvetica"/>
                <w:sz w:val="16"/>
                <w:szCs w:val="16"/>
              </w:rPr>
            </w:pPr>
            <w:r w:rsidRPr="004C4CB8">
              <w:rPr>
                <w:rFonts w:ascii="Helvetica" w:hAnsi="Helvetica"/>
                <w:sz w:val="16"/>
                <w:szCs w:val="16"/>
              </w:rPr>
              <w:t>4.31 (3.13, 5.74)</w:t>
            </w:r>
          </w:p>
        </w:tc>
        <w:tc>
          <w:tcPr>
            <w:tcW w:w="1749" w:type="dxa"/>
            <w:noWrap/>
            <w:hideMark/>
          </w:tcPr>
          <w:p w14:paraId="4A70A130" w14:textId="77777777" w:rsidR="002F2232" w:rsidRPr="004C4CB8" w:rsidRDefault="002F2232" w:rsidP="004C4CB8">
            <w:pPr>
              <w:rPr>
                <w:rFonts w:ascii="Helvetica" w:hAnsi="Helvetica"/>
                <w:sz w:val="16"/>
                <w:szCs w:val="16"/>
              </w:rPr>
            </w:pPr>
            <w:r w:rsidRPr="004C4CB8">
              <w:rPr>
                <w:rFonts w:ascii="Helvetica" w:hAnsi="Helvetica"/>
                <w:sz w:val="16"/>
                <w:szCs w:val="16"/>
              </w:rPr>
              <w:t>1.31 (0.73, 2.25)</w:t>
            </w:r>
          </w:p>
        </w:tc>
      </w:tr>
      <w:tr w:rsidR="007F7DA5" w:rsidRPr="002F2232" w14:paraId="39CA588A" w14:textId="77777777" w:rsidTr="00540B81">
        <w:tc>
          <w:tcPr>
            <w:tcW w:w="1533" w:type="dxa"/>
            <w:noWrap/>
            <w:hideMark/>
          </w:tcPr>
          <w:p w14:paraId="2366BC4E"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3752B0A3"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7A4F2ECF" w14:textId="77777777" w:rsidR="002F2232" w:rsidRPr="004C4CB8" w:rsidRDefault="002F2232" w:rsidP="004C4CB8">
            <w:pPr>
              <w:rPr>
                <w:rFonts w:ascii="Helvetica" w:hAnsi="Helvetica"/>
                <w:sz w:val="16"/>
                <w:szCs w:val="16"/>
              </w:rPr>
            </w:pPr>
            <w:r w:rsidRPr="004C4CB8">
              <w:rPr>
                <w:rFonts w:ascii="Helvetica" w:hAnsi="Helvetica"/>
                <w:sz w:val="16"/>
                <w:szCs w:val="16"/>
              </w:rPr>
              <w:t>Euro V</w:t>
            </w:r>
          </w:p>
        </w:tc>
        <w:tc>
          <w:tcPr>
            <w:tcW w:w="1980" w:type="dxa"/>
            <w:noWrap/>
            <w:hideMark/>
          </w:tcPr>
          <w:p w14:paraId="4AC3B3FC" w14:textId="77777777" w:rsidR="002F2232" w:rsidRPr="004C4CB8" w:rsidRDefault="002F2232" w:rsidP="004C4CB8">
            <w:pPr>
              <w:rPr>
                <w:rFonts w:ascii="Helvetica" w:hAnsi="Helvetica"/>
                <w:sz w:val="16"/>
                <w:szCs w:val="16"/>
              </w:rPr>
            </w:pPr>
            <w:r w:rsidRPr="004C4CB8">
              <w:rPr>
                <w:rFonts w:ascii="Helvetica" w:hAnsi="Helvetica"/>
                <w:sz w:val="16"/>
                <w:szCs w:val="16"/>
              </w:rPr>
              <w:t>4.54 (3.41, 5.68)</w:t>
            </w:r>
          </w:p>
        </w:tc>
        <w:tc>
          <w:tcPr>
            <w:tcW w:w="2070" w:type="dxa"/>
            <w:noWrap/>
            <w:hideMark/>
          </w:tcPr>
          <w:p w14:paraId="50DC9CE4" w14:textId="77777777" w:rsidR="002F2232" w:rsidRPr="004C4CB8" w:rsidRDefault="002F2232" w:rsidP="004C4CB8">
            <w:pPr>
              <w:rPr>
                <w:rFonts w:ascii="Helvetica" w:hAnsi="Helvetica"/>
                <w:sz w:val="16"/>
                <w:szCs w:val="16"/>
              </w:rPr>
            </w:pPr>
            <w:r w:rsidRPr="004C4CB8">
              <w:rPr>
                <w:rFonts w:ascii="Helvetica" w:hAnsi="Helvetica"/>
                <w:sz w:val="16"/>
                <w:szCs w:val="16"/>
              </w:rPr>
              <w:t>2.40 (1.74, 3.20)</w:t>
            </w:r>
          </w:p>
        </w:tc>
        <w:tc>
          <w:tcPr>
            <w:tcW w:w="1749" w:type="dxa"/>
            <w:noWrap/>
            <w:hideMark/>
          </w:tcPr>
          <w:p w14:paraId="3A7BC892" w14:textId="77777777" w:rsidR="002F2232" w:rsidRPr="004C4CB8" w:rsidRDefault="002F2232" w:rsidP="004C4CB8">
            <w:pPr>
              <w:rPr>
                <w:rFonts w:ascii="Helvetica" w:hAnsi="Helvetica"/>
                <w:sz w:val="16"/>
                <w:szCs w:val="16"/>
              </w:rPr>
            </w:pPr>
            <w:r w:rsidRPr="004C4CB8">
              <w:rPr>
                <w:rFonts w:ascii="Helvetica" w:hAnsi="Helvetica"/>
                <w:sz w:val="16"/>
                <w:szCs w:val="16"/>
              </w:rPr>
              <w:t>1.89 (1.06, 3.25)</w:t>
            </w:r>
          </w:p>
        </w:tc>
      </w:tr>
      <w:tr w:rsidR="007F7DA5" w:rsidRPr="002F2232" w14:paraId="0F1A817A" w14:textId="77777777" w:rsidTr="00540B81">
        <w:tc>
          <w:tcPr>
            <w:tcW w:w="1533" w:type="dxa"/>
            <w:noWrap/>
            <w:hideMark/>
          </w:tcPr>
          <w:p w14:paraId="22B37542"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59A6379F"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58B0B603" w14:textId="77777777" w:rsidR="002F2232" w:rsidRPr="004C4CB8" w:rsidRDefault="002F2232" w:rsidP="004C4CB8">
            <w:pPr>
              <w:rPr>
                <w:rFonts w:ascii="Helvetica" w:hAnsi="Helvetica"/>
                <w:sz w:val="16"/>
                <w:szCs w:val="16"/>
              </w:rPr>
            </w:pPr>
            <w:r w:rsidRPr="004C4CB8">
              <w:rPr>
                <w:rFonts w:ascii="Helvetica" w:hAnsi="Helvetica"/>
                <w:sz w:val="16"/>
                <w:szCs w:val="16"/>
              </w:rPr>
              <w:t>Euro VI</w:t>
            </w:r>
          </w:p>
        </w:tc>
        <w:tc>
          <w:tcPr>
            <w:tcW w:w="1980" w:type="dxa"/>
            <w:noWrap/>
            <w:hideMark/>
          </w:tcPr>
          <w:p w14:paraId="0E437679" w14:textId="77777777" w:rsidR="002F2232" w:rsidRPr="004C4CB8" w:rsidRDefault="002F2232" w:rsidP="004C4CB8">
            <w:pPr>
              <w:rPr>
                <w:rFonts w:ascii="Helvetica" w:hAnsi="Helvetica"/>
                <w:sz w:val="16"/>
                <w:szCs w:val="16"/>
              </w:rPr>
            </w:pPr>
            <w:r w:rsidRPr="004C4CB8">
              <w:rPr>
                <w:rFonts w:ascii="Helvetica" w:hAnsi="Helvetica"/>
                <w:sz w:val="16"/>
                <w:szCs w:val="16"/>
              </w:rPr>
              <w:t>0.54 (0.29, 0.91)</w:t>
            </w:r>
          </w:p>
        </w:tc>
        <w:tc>
          <w:tcPr>
            <w:tcW w:w="2070" w:type="dxa"/>
            <w:noWrap/>
            <w:hideMark/>
          </w:tcPr>
          <w:p w14:paraId="4D24AA37" w14:textId="77777777" w:rsidR="002F2232" w:rsidRPr="004C4CB8" w:rsidRDefault="002F2232" w:rsidP="004C4CB8">
            <w:pPr>
              <w:rPr>
                <w:rFonts w:ascii="Helvetica" w:hAnsi="Helvetica"/>
                <w:sz w:val="16"/>
                <w:szCs w:val="16"/>
              </w:rPr>
            </w:pPr>
            <w:r w:rsidRPr="004C4CB8">
              <w:rPr>
                <w:rFonts w:ascii="Helvetica" w:hAnsi="Helvetica"/>
                <w:sz w:val="16"/>
                <w:szCs w:val="16"/>
              </w:rPr>
              <w:t>0.54 (0.39, 0.73)</w:t>
            </w:r>
          </w:p>
        </w:tc>
        <w:tc>
          <w:tcPr>
            <w:tcW w:w="1749" w:type="dxa"/>
            <w:noWrap/>
            <w:hideMark/>
          </w:tcPr>
          <w:p w14:paraId="12A2EAE8" w14:textId="77777777" w:rsidR="002F2232" w:rsidRPr="004C4CB8" w:rsidRDefault="002F2232" w:rsidP="004C4CB8">
            <w:pPr>
              <w:rPr>
                <w:rFonts w:ascii="Helvetica" w:hAnsi="Helvetica"/>
                <w:sz w:val="16"/>
                <w:szCs w:val="16"/>
              </w:rPr>
            </w:pPr>
            <w:r w:rsidRPr="004C4CB8">
              <w:rPr>
                <w:rFonts w:ascii="Helvetica" w:hAnsi="Helvetica"/>
                <w:sz w:val="16"/>
                <w:szCs w:val="16"/>
              </w:rPr>
              <w:t>1 (0.40, 2.29)</w:t>
            </w:r>
          </w:p>
        </w:tc>
      </w:tr>
      <w:tr w:rsidR="007F7DA5" w:rsidRPr="002F2232" w14:paraId="68FD9B66" w14:textId="77777777" w:rsidTr="00540B81">
        <w:tc>
          <w:tcPr>
            <w:tcW w:w="1533" w:type="dxa"/>
            <w:noWrap/>
            <w:hideMark/>
          </w:tcPr>
          <w:p w14:paraId="06E5EBD5"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3D94FAEF"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176B7147" w14:textId="77777777" w:rsidR="002F2232" w:rsidRPr="004C4CB8" w:rsidRDefault="002F2232" w:rsidP="004C4CB8">
            <w:pPr>
              <w:rPr>
                <w:rFonts w:ascii="Helvetica" w:hAnsi="Helvetica"/>
                <w:sz w:val="16"/>
                <w:szCs w:val="16"/>
              </w:rPr>
            </w:pPr>
            <w:r w:rsidRPr="004C4CB8">
              <w:rPr>
                <w:rFonts w:ascii="Helvetica" w:hAnsi="Helvetica"/>
                <w:sz w:val="16"/>
                <w:szCs w:val="16"/>
              </w:rPr>
              <w:t>Japan 1997</w:t>
            </w:r>
          </w:p>
        </w:tc>
        <w:tc>
          <w:tcPr>
            <w:tcW w:w="1980" w:type="dxa"/>
            <w:noWrap/>
            <w:hideMark/>
          </w:tcPr>
          <w:p w14:paraId="0FE56B17" w14:textId="77777777" w:rsidR="002F2232" w:rsidRPr="004C4CB8" w:rsidRDefault="002F2232" w:rsidP="004C4CB8">
            <w:pPr>
              <w:rPr>
                <w:rFonts w:ascii="Helvetica" w:hAnsi="Helvetica"/>
                <w:sz w:val="16"/>
                <w:szCs w:val="16"/>
              </w:rPr>
            </w:pPr>
            <w:r w:rsidRPr="004C4CB8">
              <w:rPr>
                <w:rFonts w:ascii="Helvetica" w:hAnsi="Helvetica"/>
                <w:sz w:val="16"/>
                <w:szCs w:val="16"/>
              </w:rPr>
              <w:t>7.83 (5.87, 9.80)</w:t>
            </w:r>
          </w:p>
        </w:tc>
        <w:tc>
          <w:tcPr>
            <w:tcW w:w="2070" w:type="dxa"/>
            <w:noWrap/>
            <w:hideMark/>
          </w:tcPr>
          <w:p w14:paraId="6F4A10F8" w14:textId="77777777" w:rsidR="002F2232" w:rsidRPr="004C4CB8" w:rsidRDefault="002F2232" w:rsidP="004C4CB8">
            <w:pPr>
              <w:rPr>
                <w:rFonts w:ascii="Helvetica" w:hAnsi="Helvetica"/>
                <w:sz w:val="16"/>
                <w:szCs w:val="16"/>
              </w:rPr>
            </w:pPr>
            <w:r w:rsidRPr="004C4CB8">
              <w:rPr>
                <w:rFonts w:ascii="Helvetica" w:hAnsi="Helvetica"/>
                <w:sz w:val="16"/>
                <w:szCs w:val="16"/>
              </w:rPr>
              <w:t>5.70 (4.14, 7.60)</w:t>
            </w:r>
          </w:p>
        </w:tc>
        <w:tc>
          <w:tcPr>
            <w:tcW w:w="1749" w:type="dxa"/>
            <w:noWrap/>
            <w:hideMark/>
          </w:tcPr>
          <w:p w14:paraId="0779DC1B" w14:textId="77777777" w:rsidR="002F2232" w:rsidRPr="004C4CB8" w:rsidRDefault="002F2232" w:rsidP="004C4CB8">
            <w:pPr>
              <w:rPr>
                <w:rFonts w:ascii="Helvetica" w:hAnsi="Helvetica"/>
                <w:sz w:val="16"/>
                <w:szCs w:val="16"/>
              </w:rPr>
            </w:pPr>
            <w:r w:rsidRPr="004C4CB8">
              <w:rPr>
                <w:rFonts w:ascii="Helvetica" w:hAnsi="Helvetica"/>
                <w:sz w:val="16"/>
                <w:szCs w:val="16"/>
              </w:rPr>
              <w:t>1.37 (0.77, 2.36)</w:t>
            </w:r>
          </w:p>
        </w:tc>
      </w:tr>
      <w:tr w:rsidR="007F7DA5" w:rsidRPr="002F2232" w14:paraId="5965F796" w14:textId="77777777" w:rsidTr="00540B81">
        <w:tc>
          <w:tcPr>
            <w:tcW w:w="1533" w:type="dxa"/>
            <w:noWrap/>
            <w:hideMark/>
          </w:tcPr>
          <w:p w14:paraId="643F7C9B"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729C3D5E"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6EEB3109" w14:textId="77777777" w:rsidR="002F2232" w:rsidRPr="004C4CB8" w:rsidRDefault="002F2232" w:rsidP="004C4CB8">
            <w:pPr>
              <w:rPr>
                <w:rFonts w:ascii="Helvetica" w:hAnsi="Helvetica"/>
                <w:sz w:val="16"/>
                <w:szCs w:val="16"/>
              </w:rPr>
            </w:pPr>
            <w:r w:rsidRPr="004C4CB8">
              <w:rPr>
                <w:rFonts w:ascii="Helvetica" w:hAnsi="Helvetica"/>
                <w:sz w:val="16"/>
                <w:szCs w:val="16"/>
              </w:rPr>
              <w:t>Japan 2003</w:t>
            </w:r>
          </w:p>
        </w:tc>
        <w:tc>
          <w:tcPr>
            <w:tcW w:w="1980" w:type="dxa"/>
            <w:noWrap/>
            <w:hideMark/>
          </w:tcPr>
          <w:p w14:paraId="4FC52A11" w14:textId="77777777" w:rsidR="002F2232" w:rsidRPr="004C4CB8" w:rsidRDefault="002F2232" w:rsidP="004C4CB8">
            <w:pPr>
              <w:rPr>
                <w:rFonts w:ascii="Helvetica" w:hAnsi="Helvetica"/>
                <w:sz w:val="16"/>
                <w:szCs w:val="16"/>
              </w:rPr>
            </w:pPr>
            <w:r w:rsidRPr="004C4CB8">
              <w:rPr>
                <w:rFonts w:ascii="Helvetica" w:hAnsi="Helvetica"/>
                <w:sz w:val="16"/>
                <w:szCs w:val="16"/>
              </w:rPr>
              <w:t>5.66 (4.24, 7.07)</w:t>
            </w:r>
          </w:p>
        </w:tc>
        <w:tc>
          <w:tcPr>
            <w:tcW w:w="2070" w:type="dxa"/>
            <w:noWrap/>
            <w:hideMark/>
          </w:tcPr>
          <w:p w14:paraId="59EBBB7F" w14:textId="77777777" w:rsidR="002F2232" w:rsidRPr="004C4CB8" w:rsidRDefault="002F2232" w:rsidP="004C4CB8">
            <w:pPr>
              <w:rPr>
                <w:rFonts w:ascii="Helvetica" w:hAnsi="Helvetica"/>
                <w:sz w:val="16"/>
                <w:szCs w:val="16"/>
              </w:rPr>
            </w:pPr>
            <w:r w:rsidRPr="004C4CB8">
              <w:rPr>
                <w:rFonts w:ascii="Helvetica" w:hAnsi="Helvetica"/>
                <w:sz w:val="16"/>
                <w:szCs w:val="16"/>
              </w:rPr>
              <w:t>4.33 (3.14, 5.77)</w:t>
            </w:r>
          </w:p>
        </w:tc>
        <w:tc>
          <w:tcPr>
            <w:tcW w:w="1749" w:type="dxa"/>
            <w:noWrap/>
            <w:hideMark/>
          </w:tcPr>
          <w:p w14:paraId="4384D180" w14:textId="77777777" w:rsidR="002F2232" w:rsidRPr="004C4CB8" w:rsidRDefault="002F2232" w:rsidP="004C4CB8">
            <w:pPr>
              <w:rPr>
                <w:rFonts w:ascii="Helvetica" w:hAnsi="Helvetica"/>
                <w:sz w:val="16"/>
                <w:szCs w:val="16"/>
              </w:rPr>
            </w:pPr>
            <w:r w:rsidRPr="004C4CB8">
              <w:rPr>
                <w:rFonts w:ascii="Helvetica" w:hAnsi="Helvetica"/>
                <w:sz w:val="16"/>
                <w:szCs w:val="16"/>
              </w:rPr>
              <w:t>1.30 (0.73, 2.24)</w:t>
            </w:r>
          </w:p>
        </w:tc>
      </w:tr>
      <w:tr w:rsidR="007F7DA5" w:rsidRPr="002F2232" w14:paraId="12F20AA5" w14:textId="77777777" w:rsidTr="00540B81">
        <w:tc>
          <w:tcPr>
            <w:tcW w:w="1533" w:type="dxa"/>
            <w:noWrap/>
            <w:hideMark/>
          </w:tcPr>
          <w:p w14:paraId="37D81866"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782CD1E6"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6A7D6461" w14:textId="77777777" w:rsidR="002F2232" w:rsidRPr="004C4CB8" w:rsidRDefault="002F2232" w:rsidP="004C4CB8">
            <w:pPr>
              <w:rPr>
                <w:rFonts w:ascii="Helvetica" w:hAnsi="Helvetica"/>
                <w:sz w:val="16"/>
                <w:szCs w:val="16"/>
              </w:rPr>
            </w:pPr>
            <w:r w:rsidRPr="004C4CB8">
              <w:rPr>
                <w:rFonts w:ascii="Helvetica" w:hAnsi="Helvetica"/>
                <w:sz w:val="16"/>
                <w:szCs w:val="16"/>
              </w:rPr>
              <w:t>Japan 2005</w:t>
            </w:r>
          </w:p>
        </w:tc>
        <w:tc>
          <w:tcPr>
            <w:tcW w:w="1980" w:type="dxa"/>
            <w:noWrap/>
            <w:hideMark/>
          </w:tcPr>
          <w:p w14:paraId="6780D8F1" w14:textId="77777777" w:rsidR="002F2232" w:rsidRPr="004C4CB8" w:rsidRDefault="002F2232" w:rsidP="004C4CB8">
            <w:pPr>
              <w:rPr>
                <w:rFonts w:ascii="Helvetica" w:hAnsi="Helvetica"/>
                <w:sz w:val="16"/>
                <w:szCs w:val="16"/>
              </w:rPr>
            </w:pPr>
            <w:r w:rsidRPr="004C4CB8">
              <w:rPr>
                <w:rFonts w:ascii="Helvetica" w:hAnsi="Helvetica"/>
                <w:sz w:val="16"/>
                <w:szCs w:val="16"/>
              </w:rPr>
              <w:t>4.54 (3.41, 5.68)</w:t>
            </w:r>
          </w:p>
        </w:tc>
        <w:tc>
          <w:tcPr>
            <w:tcW w:w="2070" w:type="dxa"/>
            <w:noWrap/>
            <w:hideMark/>
          </w:tcPr>
          <w:p w14:paraId="550F917B" w14:textId="77777777" w:rsidR="002F2232" w:rsidRPr="004C4CB8" w:rsidRDefault="002F2232" w:rsidP="004C4CB8">
            <w:pPr>
              <w:rPr>
                <w:rFonts w:ascii="Helvetica" w:hAnsi="Helvetica"/>
                <w:sz w:val="16"/>
                <w:szCs w:val="16"/>
              </w:rPr>
            </w:pPr>
            <w:r w:rsidRPr="004C4CB8">
              <w:rPr>
                <w:rFonts w:ascii="Helvetica" w:hAnsi="Helvetica"/>
                <w:sz w:val="16"/>
                <w:szCs w:val="16"/>
              </w:rPr>
              <w:t>2.50 (1.81, 3.33)</w:t>
            </w:r>
          </w:p>
        </w:tc>
        <w:tc>
          <w:tcPr>
            <w:tcW w:w="1749" w:type="dxa"/>
            <w:noWrap/>
            <w:hideMark/>
          </w:tcPr>
          <w:p w14:paraId="514D0628" w14:textId="77777777" w:rsidR="002F2232" w:rsidRPr="004C4CB8" w:rsidRDefault="002F2232" w:rsidP="004C4CB8">
            <w:pPr>
              <w:rPr>
                <w:rFonts w:ascii="Helvetica" w:hAnsi="Helvetica"/>
                <w:sz w:val="16"/>
                <w:szCs w:val="16"/>
              </w:rPr>
            </w:pPr>
            <w:r w:rsidRPr="004C4CB8">
              <w:rPr>
                <w:rFonts w:ascii="Helvetica" w:hAnsi="Helvetica"/>
                <w:sz w:val="16"/>
                <w:szCs w:val="16"/>
              </w:rPr>
              <w:t>1.81 (1.02, 3.12)</w:t>
            </w:r>
          </w:p>
        </w:tc>
      </w:tr>
      <w:tr w:rsidR="007F7DA5" w:rsidRPr="002F2232" w14:paraId="34BF84D1" w14:textId="77777777" w:rsidTr="00540B81">
        <w:tc>
          <w:tcPr>
            <w:tcW w:w="1533" w:type="dxa"/>
            <w:noWrap/>
            <w:hideMark/>
          </w:tcPr>
          <w:p w14:paraId="6A8F14CF"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0E1E443C"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3A2C6F04" w14:textId="77777777" w:rsidR="002F2232" w:rsidRPr="004C4CB8" w:rsidRDefault="002F2232" w:rsidP="004C4CB8">
            <w:pPr>
              <w:rPr>
                <w:rFonts w:ascii="Helvetica" w:hAnsi="Helvetica"/>
                <w:sz w:val="16"/>
                <w:szCs w:val="16"/>
              </w:rPr>
            </w:pPr>
            <w:r w:rsidRPr="004C4CB8">
              <w:rPr>
                <w:rFonts w:ascii="Helvetica" w:hAnsi="Helvetica"/>
                <w:sz w:val="16"/>
                <w:szCs w:val="16"/>
              </w:rPr>
              <w:t>Japan 2009</w:t>
            </w:r>
          </w:p>
        </w:tc>
        <w:tc>
          <w:tcPr>
            <w:tcW w:w="1980" w:type="dxa"/>
            <w:noWrap/>
            <w:hideMark/>
          </w:tcPr>
          <w:p w14:paraId="55ABAF4A" w14:textId="77777777" w:rsidR="002F2232" w:rsidRPr="004C4CB8" w:rsidRDefault="002F2232" w:rsidP="004C4CB8">
            <w:pPr>
              <w:rPr>
                <w:rFonts w:ascii="Helvetica" w:hAnsi="Helvetica"/>
                <w:sz w:val="16"/>
                <w:szCs w:val="16"/>
              </w:rPr>
            </w:pPr>
            <w:r w:rsidRPr="004C4CB8">
              <w:rPr>
                <w:rFonts w:ascii="Helvetica" w:hAnsi="Helvetica"/>
                <w:sz w:val="16"/>
                <w:szCs w:val="16"/>
              </w:rPr>
              <w:t>0.84 (0.46, 1.40)</w:t>
            </w:r>
          </w:p>
        </w:tc>
        <w:tc>
          <w:tcPr>
            <w:tcW w:w="2070" w:type="dxa"/>
            <w:noWrap/>
            <w:hideMark/>
          </w:tcPr>
          <w:p w14:paraId="3670849F" w14:textId="77777777" w:rsidR="002F2232" w:rsidRPr="004C4CB8" w:rsidRDefault="002F2232" w:rsidP="004C4CB8">
            <w:pPr>
              <w:rPr>
                <w:rFonts w:ascii="Helvetica" w:hAnsi="Helvetica"/>
                <w:sz w:val="16"/>
                <w:szCs w:val="16"/>
              </w:rPr>
            </w:pPr>
            <w:r w:rsidRPr="004C4CB8">
              <w:rPr>
                <w:rFonts w:ascii="Helvetica" w:hAnsi="Helvetica"/>
                <w:sz w:val="16"/>
                <w:szCs w:val="16"/>
              </w:rPr>
              <w:t>0.84 (0.61, 1.12)</w:t>
            </w:r>
          </w:p>
        </w:tc>
        <w:tc>
          <w:tcPr>
            <w:tcW w:w="1749" w:type="dxa"/>
            <w:noWrap/>
            <w:hideMark/>
          </w:tcPr>
          <w:p w14:paraId="159CA054" w14:textId="77777777" w:rsidR="002F2232" w:rsidRPr="004C4CB8" w:rsidRDefault="002F2232" w:rsidP="004C4CB8">
            <w:pPr>
              <w:rPr>
                <w:rFonts w:ascii="Helvetica" w:hAnsi="Helvetica"/>
                <w:sz w:val="16"/>
                <w:szCs w:val="16"/>
              </w:rPr>
            </w:pPr>
            <w:r w:rsidRPr="004C4CB8">
              <w:rPr>
                <w:rFonts w:ascii="Helvetica" w:hAnsi="Helvetica"/>
                <w:sz w:val="16"/>
                <w:szCs w:val="16"/>
              </w:rPr>
              <w:t>1 (0.40, 2.29)</w:t>
            </w:r>
          </w:p>
        </w:tc>
      </w:tr>
      <w:tr w:rsidR="007F7DA5" w:rsidRPr="002F2232" w14:paraId="644513B6" w14:textId="77777777" w:rsidTr="00540B81">
        <w:tc>
          <w:tcPr>
            <w:tcW w:w="1533" w:type="dxa"/>
            <w:noWrap/>
            <w:hideMark/>
          </w:tcPr>
          <w:p w14:paraId="325718A6"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52596029"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49CAE627" w14:textId="77777777" w:rsidR="002F2232" w:rsidRPr="004C4CB8" w:rsidRDefault="002F2232" w:rsidP="004C4CB8">
            <w:pPr>
              <w:rPr>
                <w:rFonts w:ascii="Helvetica" w:hAnsi="Helvetica"/>
                <w:sz w:val="16"/>
                <w:szCs w:val="16"/>
              </w:rPr>
            </w:pPr>
            <w:r w:rsidRPr="004C4CB8">
              <w:rPr>
                <w:rFonts w:ascii="Helvetica" w:hAnsi="Helvetica"/>
                <w:sz w:val="16"/>
                <w:szCs w:val="16"/>
              </w:rPr>
              <w:t>Japan 2016</w:t>
            </w:r>
          </w:p>
        </w:tc>
        <w:tc>
          <w:tcPr>
            <w:tcW w:w="1980" w:type="dxa"/>
            <w:noWrap/>
            <w:hideMark/>
          </w:tcPr>
          <w:p w14:paraId="07EC372B" w14:textId="77777777" w:rsidR="002F2232" w:rsidRPr="004C4CB8" w:rsidRDefault="002F2232" w:rsidP="004C4CB8">
            <w:pPr>
              <w:rPr>
                <w:rFonts w:ascii="Helvetica" w:hAnsi="Helvetica"/>
                <w:sz w:val="16"/>
                <w:szCs w:val="16"/>
              </w:rPr>
            </w:pPr>
            <w:r w:rsidRPr="004C4CB8">
              <w:rPr>
                <w:rFonts w:ascii="Helvetica" w:hAnsi="Helvetica"/>
                <w:sz w:val="16"/>
                <w:szCs w:val="16"/>
              </w:rPr>
              <w:t>0.43 (0.23, 0.72)</w:t>
            </w:r>
          </w:p>
        </w:tc>
        <w:tc>
          <w:tcPr>
            <w:tcW w:w="2070" w:type="dxa"/>
            <w:noWrap/>
            <w:hideMark/>
          </w:tcPr>
          <w:p w14:paraId="0C0D2DAA" w14:textId="77777777" w:rsidR="002F2232" w:rsidRPr="004C4CB8" w:rsidRDefault="002F2232" w:rsidP="004C4CB8">
            <w:pPr>
              <w:rPr>
                <w:rFonts w:ascii="Helvetica" w:hAnsi="Helvetica"/>
                <w:sz w:val="16"/>
                <w:szCs w:val="16"/>
              </w:rPr>
            </w:pPr>
            <w:r w:rsidRPr="004C4CB8">
              <w:rPr>
                <w:rFonts w:ascii="Helvetica" w:hAnsi="Helvetica"/>
                <w:sz w:val="16"/>
                <w:szCs w:val="16"/>
              </w:rPr>
              <w:t>0.43 (0.31, 0.58)</w:t>
            </w:r>
          </w:p>
        </w:tc>
        <w:tc>
          <w:tcPr>
            <w:tcW w:w="1749" w:type="dxa"/>
            <w:noWrap/>
            <w:hideMark/>
          </w:tcPr>
          <w:p w14:paraId="709D7958" w14:textId="77777777" w:rsidR="002F2232" w:rsidRPr="004C4CB8" w:rsidRDefault="002F2232" w:rsidP="004C4CB8">
            <w:pPr>
              <w:rPr>
                <w:rFonts w:ascii="Helvetica" w:hAnsi="Helvetica"/>
                <w:sz w:val="16"/>
                <w:szCs w:val="16"/>
              </w:rPr>
            </w:pPr>
            <w:r w:rsidRPr="004C4CB8">
              <w:rPr>
                <w:rFonts w:ascii="Helvetica" w:hAnsi="Helvetica"/>
                <w:sz w:val="16"/>
                <w:szCs w:val="16"/>
              </w:rPr>
              <w:t>1 (0.40, 2.29)</w:t>
            </w:r>
          </w:p>
        </w:tc>
      </w:tr>
      <w:tr w:rsidR="007F7DA5" w:rsidRPr="002F2232" w14:paraId="30F9EB3E" w14:textId="77777777" w:rsidTr="00540B81">
        <w:tc>
          <w:tcPr>
            <w:tcW w:w="1533" w:type="dxa"/>
            <w:noWrap/>
            <w:hideMark/>
          </w:tcPr>
          <w:p w14:paraId="491218F0"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565397A3"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5FED29FF" w14:textId="77777777" w:rsidR="002F2232" w:rsidRPr="004C4CB8" w:rsidRDefault="002F2232" w:rsidP="004C4CB8">
            <w:pPr>
              <w:rPr>
                <w:rFonts w:ascii="Helvetica" w:hAnsi="Helvetica"/>
                <w:sz w:val="16"/>
                <w:szCs w:val="16"/>
              </w:rPr>
            </w:pPr>
            <w:r w:rsidRPr="004C4CB8">
              <w:rPr>
                <w:rFonts w:ascii="Helvetica" w:hAnsi="Helvetica"/>
                <w:sz w:val="16"/>
                <w:szCs w:val="16"/>
              </w:rPr>
              <w:t>EPA 1998</w:t>
            </w:r>
          </w:p>
        </w:tc>
        <w:tc>
          <w:tcPr>
            <w:tcW w:w="1980" w:type="dxa"/>
            <w:noWrap/>
            <w:hideMark/>
          </w:tcPr>
          <w:p w14:paraId="2870F70D" w14:textId="77777777" w:rsidR="002F2232" w:rsidRPr="004C4CB8" w:rsidRDefault="002F2232" w:rsidP="004C4CB8">
            <w:pPr>
              <w:rPr>
                <w:rFonts w:ascii="Helvetica" w:hAnsi="Helvetica"/>
                <w:sz w:val="16"/>
                <w:szCs w:val="16"/>
              </w:rPr>
            </w:pPr>
            <w:r w:rsidRPr="004C4CB8">
              <w:rPr>
                <w:rFonts w:ascii="Helvetica" w:hAnsi="Helvetica"/>
                <w:sz w:val="16"/>
                <w:szCs w:val="16"/>
              </w:rPr>
              <w:t>11.6 (8.75, 14.6)</w:t>
            </w:r>
          </w:p>
        </w:tc>
        <w:tc>
          <w:tcPr>
            <w:tcW w:w="2070" w:type="dxa"/>
            <w:noWrap/>
            <w:hideMark/>
          </w:tcPr>
          <w:p w14:paraId="10C27848" w14:textId="77777777" w:rsidR="002F2232" w:rsidRPr="004C4CB8" w:rsidRDefault="002F2232" w:rsidP="004C4CB8">
            <w:pPr>
              <w:rPr>
                <w:rFonts w:ascii="Helvetica" w:hAnsi="Helvetica"/>
                <w:sz w:val="16"/>
                <w:szCs w:val="16"/>
              </w:rPr>
            </w:pPr>
            <w:r w:rsidRPr="004C4CB8">
              <w:rPr>
                <w:rFonts w:ascii="Helvetica" w:hAnsi="Helvetica"/>
                <w:sz w:val="16"/>
                <w:szCs w:val="16"/>
              </w:rPr>
              <w:t>8.16 (5.93, 10.8)</w:t>
            </w:r>
          </w:p>
        </w:tc>
        <w:tc>
          <w:tcPr>
            <w:tcW w:w="1749" w:type="dxa"/>
            <w:noWrap/>
            <w:hideMark/>
          </w:tcPr>
          <w:p w14:paraId="0F8D0B5F" w14:textId="77777777" w:rsidR="002F2232" w:rsidRPr="004C4CB8" w:rsidRDefault="002F2232" w:rsidP="004C4CB8">
            <w:pPr>
              <w:rPr>
                <w:rFonts w:ascii="Helvetica" w:hAnsi="Helvetica"/>
                <w:sz w:val="16"/>
                <w:szCs w:val="16"/>
              </w:rPr>
            </w:pPr>
            <w:r w:rsidRPr="004C4CB8">
              <w:rPr>
                <w:rFonts w:ascii="Helvetica" w:hAnsi="Helvetica"/>
                <w:sz w:val="16"/>
                <w:szCs w:val="16"/>
              </w:rPr>
              <w:t>1.43 (0.80, 2.45)</w:t>
            </w:r>
          </w:p>
        </w:tc>
      </w:tr>
      <w:tr w:rsidR="007F7DA5" w:rsidRPr="002F2232" w14:paraId="6044CC3E" w14:textId="77777777" w:rsidTr="00540B81">
        <w:tc>
          <w:tcPr>
            <w:tcW w:w="1533" w:type="dxa"/>
            <w:noWrap/>
            <w:hideMark/>
          </w:tcPr>
          <w:p w14:paraId="7EC2780B"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05844BFD"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3F63E47A" w14:textId="77777777" w:rsidR="002F2232" w:rsidRPr="004C4CB8" w:rsidRDefault="002F2232" w:rsidP="004C4CB8">
            <w:pPr>
              <w:rPr>
                <w:rFonts w:ascii="Helvetica" w:hAnsi="Helvetica"/>
                <w:sz w:val="16"/>
                <w:szCs w:val="16"/>
              </w:rPr>
            </w:pPr>
            <w:r w:rsidRPr="004C4CB8">
              <w:rPr>
                <w:rFonts w:ascii="Helvetica" w:hAnsi="Helvetica"/>
                <w:sz w:val="16"/>
                <w:szCs w:val="16"/>
              </w:rPr>
              <w:t>EPA 2004</w:t>
            </w:r>
          </w:p>
        </w:tc>
        <w:tc>
          <w:tcPr>
            <w:tcW w:w="1980" w:type="dxa"/>
            <w:noWrap/>
            <w:hideMark/>
          </w:tcPr>
          <w:p w14:paraId="764105AB" w14:textId="77777777" w:rsidR="002F2232" w:rsidRPr="004C4CB8" w:rsidRDefault="002F2232" w:rsidP="004C4CB8">
            <w:pPr>
              <w:rPr>
                <w:rFonts w:ascii="Helvetica" w:hAnsi="Helvetica"/>
                <w:sz w:val="16"/>
                <w:szCs w:val="16"/>
              </w:rPr>
            </w:pPr>
            <w:r w:rsidRPr="004C4CB8">
              <w:rPr>
                <w:rFonts w:ascii="Helvetica" w:hAnsi="Helvetica"/>
                <w:sz w:val="16"/>
                <w:szCs w:val="16"/>
              </w:rPr>
              <w:t>5.84 (4.38, 7.31)</w:t>
            </w:r>
          </w:p>
        </w:tc>
        <w:tc>
          <w:tcPr>
            <w:tcW w:w="2070" w:type="dxa"/>
            <w:noWrap/>
            <w:hideMark/>
          </w:tcPr>
          <w:p w14:paraId="378359CC" w14:textId="77777777" w:rsidR="002F2232" w:rsidRPr="004C4CB8" w:rsidRDefault="002F2232" w:rsidP="004C4CB8">
            <w:pPr>
              <w:rPr>
                <w:rFonts w:ascii="Helvetica" w:hAnsi="Helvetica"/>
                <w:sz w:val="16"/>
                <w:szCs w:val="16"/>
              </w:rPr>
            </w:pPr>
            <w:r w:rsidRPr="004C4CB8">
              <w:rPr>
                <w:rFonts w:ascii="Helvetica" w:hAnsi="Helvetica"/>
                <w:sz w:val="16"/>
                <w:szCs w:val="16"/>
              </w:rPr>
              <w:t>4.01 (2.92, 5.35)</w:t>
            </w:r>
          </w:p>
        </w:tc>
        <w:tc>
          <w:tcPr>
            <w:tcW w:w="1749" w:type="dxa"/>
            <w:noWrap/>
            <w:hideMark/>
          </w:tcPr>
          <w:p w14:paraId="4518B782" w14:textId="77777777" w:rsidR="002F2232" w:rsidRPr="004C4CB8" w:rsidRDefault="002F2232" w:rsidP="004C4CB8">
            <w:pPr>
              <w:rPr>
                <w:rFonts w:ascii="Helvetica" w:hAnsi="Helvetica"/>
                <w:sz w:val="16"/>
                <w:szCs w:val="16"/>
              </w:rPr>
            </w:pPr>
            <w:r w:rsidRPr="004C4CB8">
              <w:rPr>
                <w:rFonts w:ascii="Helvetica" w:hAnsi="Helvetica"/>
                <w:sz w:val="16"/>
                <w:szCs w:val="16"/>
              </w:rPr>
              <w:t>1.45 (0.81, 2.50)</w:t>
            </w:r>
          </w:p>
        </w:tc>
      </w:tr>
      <w:tr w:rsidR="007F7DA5" w:rsidRPr="002F2232" w14:paraId="492B0AB9" w14:textId="77777777" w:rsidTr="00540B81">
        <w:tc>
          <w:tcPr>
            <w:tcW w:w="1533" w:type="dxa"/>
            <w:noWrap/>
            <w:hideMark/>
          </w:tcPr>
          <w:p w14:paraId="4A5C5471"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53205ECC"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1BE19998" w14:textId="77777777" w:rsidR="002F2232" w:rsidRPr="004C4CB8" w:rsidRDefault="002F2232" w:rsidP="004C4CB8">
            <w:pPr>
              <w:rPr>
                <w:rFonts w:ascii="Helvetica" w:hAnsi="Helvetica"/>
                <w:sz w:val="16"/>
                <w:szCs w:val="16"/>
              </w:rPr>
            </w:pPr>
            <w:r w:rsidRPr="004C4CB8">
              <w:rPr>
                <w:rFonts w:ascii="Helvetica" w:hAnsi="Helvetica"/>
                <w:sz w:val="16"/>
                <w:szCs w:val="16"/>
              </w:rPr>
              <w:t>EPA 2007</w:t>
            </w:r>
          </w:p>
        </w:tc>
        <w:tc>
          <w:tcPr>
            <w:tcW w:w="1980" w:type="dxa"/>
            <w:noWrap/>
            <w:hideMark/>
          </w:tcPr>
          <w:p w14:paraId="38CE1BC2" w14:textId="77777777" w:rsidR="002F2232" w:rsidRPr="004C4CB8" w:rsidRDefault="002F2232" w:rsidP="004C4CB8">
            <w:pPr>
              <w:rPr>
                <w:rFonts w:ascii="Helvetica" w:hAnsi="Helvetica"/>
                <w:sz w:val="16"/>
                <w:szCs w:val="16"/>
              </w:rPr>
            </w:pPr>
            <w:r w:rsidRPr="004C4CB8">
              <w:rPr>
                <w:rFonts w:ascii="Helvetica" w:hAnsi="Helvetica"/>
                <w:sz w:val="16"/>
                <w:szCs w:val="16"/>
              </w:rPr>
              <w:t>4.17 (3.13, 5.22)</w:t>
            </w:r>
          </w:p>
        </w:tc>
        <w:tc>
          <w:tcPr>
            <w:tcW w:w="2070" w:type="dxa"/>
            <w:noWrap/>
            <w:hideMark/>
          </w:tcPr>
          <w:p w14:paraId="560BBC83" w14:textId="77777777" w:rsidR="002F2232" w:rsidRPr="004C4CB8" w:rsidRDefault="002F2232" w:rsidP="004C4CB8">
            <w:pPr>
              <w:rPr>
                <w:rFonts w:ascii="Helvetica" w:hAnsi="Helvetica"/>
                <w:sz w:val="16"/>
                <w:szCs w:val="16"/>
              </w:rPr>
            </w:pPr>
            <w:r w:rsidRPr="004C4CB8">
              <w:rPr>
                <w:rFonts w:ascii="Helvetica" w:hAnsi="Helvetica"/>
                <w:sz w:val="16"/>
                <w:szCs w:val="16"/>
              </w:rPr>
              <w:t>2.36 (1.71, 3.15)</w:t>
            </w:r>
          </w:p>
        </w:tc>
        <w:tc>
          <w:tcPr>
            <w:tcW w:w="1749" w:type="dxa"/>
            <w:noWrap/>
            <w:hideMark/>
          </w:tcPr>
          <w:p w14:paraId="1B4BE208" w14:textId="77777777" w:rsidR="002F2232" w:rsidRPr="004C4CB8" w:rsidRDefault="002F2232" w:rsidP="004C4CB8">
            <w:pPr>
              <w:rPr>
                <w:rFonts w:ascii="Helvetica" w:hAnsi="Helvetica"/>
                <w:sz w:val="16"/>
                <w:szCs w:val="16"/>
              </w:rPr>
            </w:pPr>
            <w:r w:rsidRPr="004C4CB8">
              <w:rPr>
                <w:rFonts w:ascii="Helvetica" w:hAnsi="Helvetica"/>
                <w:sz w:val="16"/>
                <w:szCs w:val="16"/>
              </w:rPr>
              <w:t>1.76 (0.99, 3.03)</w:t>
            </w:r>
          </w:p>
        </w:tc>
      </w:tr>
      <w:tr w:rsidR="007F7DA5" w:rsidRPr="002F2232" w14:paraId="7908AAD4" w14:textId="77777777" w:rsidTr="00540B81">
        <w:tc>
          <w:tcPr>
            <w:tcW w:w="1533" w:type="dxa"/>
            <w:noWrap/>
            <w:hideMark/>
          </w:tcPr>
          <w:p w14:paraId="13472F6E" w14:textId="77777777" w:rsidR="002F2232" w:rsidRPr="004C4CB8" w:rsidRDefault="002F2232" w:rsidP="004C4CB8">
            <w:pPr>
              <w:rPr>
                <w:rFonts w:ascii="Helvetica" w:hAnsi="Helvetica"/>
                <w:sz w:val="16"/>
                <w:szCs w:val="16"/>
              </w:rPr>
            </w:pPr>
            <w:r w:rsidRPr="004C4CB8">
              <w:rPr>
                <w:rFonts w:ascii="Helvetica" w:hAnsi="Helvetica"/>
                <w:sz w:val="16"/>
                <w:szCs w:val="16"/>
              </w:rPr>
              <w:t>HHDT</w:t>
            </w:r>
          </w:p>
        </w:tc>
        <w:tc>
          <w:tcPr>
            <w:tcW w:w="822" w:type="dxa"/>
            <w:noWrap/>
            <w:hideMark/>
          </w:tcPr>
          <w:p w14:paraId="2CF348BB"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0C3A0980" w14:textId="77777777" w:rsidR="002F2232" w:rsidRPr="004C4CB8" w:rsidRDefault="002F2232" w:rsidP="004C4CB8">
            <w:pPr>
              <w:rPr>
                <w:rFonts w:ascii="Helvetica" w:hAnsi="Helvetica"/>
                <w:sz w:val="16"/>
                <w:szCs w:val="16"/>
              </w:rPr>
            </w:pPr>
            <w:r w:rsidRPr="004C4CB8">
              <w:rPr>
                <w:rFonts w:ascii="Helvetica" w:hAnsi="Helvetica"/>
                <w:sz w:val="16"/>
                <w:szCs w:val="16"/>
              </w:rPr>
              <w:t>EPA 2010</w:t>
            </w:r>
          </w:p>
        </w:tc>
        <w:tc>
          <w:tcPr>
            <w:tcW w:w="1980" w:type="dxa"/>
            <w:noWrap/>
            <w:hideMark/>
          </w:tcPr>
          <w:p w14:paraId="298B25A1" w14:textId="77777777" w:rsidR="002F2232" w:rsidRPr="004C4CB8" w:rsidRDefault="002F2232" w:rsidP="004C4CB8">
            <w:pPr>
              <w:rPr>
                <w:rFonts w:ascii="Helvetica" w:hAnsi="Helvetica"/>
                <w:sz w:val="16"/>
                <w:szCs w:val="16"/>
              </w:rPr>
            </w:pPr>
            <w:r w:rsidRPr="004C4CB8">
              <w:rPr>
                <w:rFonts w:ascii="Helvetica" w:hAnsi="Helvetica"/>
                <w:sz w:val="16"/>
                <w:szCs w:val="16"/>
              </w:rPr>
              <w:t>0.72 (0.54, 0.91)</w:t>
            </w:r>
          </w:p>
        </w:tc>
        <w:tc>
          <w:tcPr>
            <w:tcW w:w="2070" w:type="dxa"/>
            <w:noWrap/>
            <w:hideMark/>
          </w:tcPr>
          <w:p w14:paraId="5A2F58D2" w14:textId="77777777" w:rsidR="002F2232" w:rsidRPr="004C4CB8" w:rsidRDefault="002F2232" w:rsidP="004C4CB8">
            <w:pPr>
              <w:rPr>
                <w:rFonts w:ascii="Helvetica" w:hAnsi="Helvetica"/>
                <w:sz w:val="16"/>
                <w:szCs w:val="16"/>
              </w:rPr>
            </w:pPr>
            <w:r w:rsidRPr="004C4CB8">
              <w:rPr>
                <w:rFonts w:ascii="Helvetica" w:hAnsi="Helvetica"/>
                <w:sz w:val="16"/>
                <w:szCs w:val="16"/>
              </w:rPr>
              <w:t>0.36 (0.26, 0.48)</w:t>
            </w:r>
          </w:p>
        </w:tc>
        <w:tc>
          <w:tcPr>
            <w:tcW w:w="1749" w:type="dxa"/>
            <w:noWrap/>
            <w:hideMark/>
          </w:tcPr>
          <w:p w14:paraId="656F4721" w14:textId="77777777" w:rsidR="002F2232" w:rsidRPr="004C4CB8" w:rsidRDefault="002F2232" w:rsidP="004C4CB8">
            <w:pPr>
              <w:rPr>
                <w:rFonts w:ascii="Helvetica" w:hAnsi="Helvetica"/>
                <w:sz w:val="16"/>
                <w:szCs w:val="16"/>
              </w:rPr>
            </w:pPr>
            <w:r w:rsidRPr="004C4CB8">
              <w:rPr>
                <w:rFonts w:ascii="Helvetica" w:hAnsi="Helvetica"/>
                <w:sz w:val="16"/>
                <w:szCs w:val="16"/>
              </w:rPr>
              <w:t>2.00 (1.12, 3.44)</w:t>
            </w:r>
          </w:p>
        </w:tc>
      </w:tr>
      <w:tr w:rsidR="007F7DA5" w:rsidRPr="002F2232" w14:paraId="5DEF962C" w14:textId="77777777" w:rsidTr="00540B81">
        <w:tc>
          <w:tcPr>
            <w:tcW w:w="1533" w:type="dxa"/>
            <w:noWrap/>
            <w:hideMark/>
          </w:tcPr>
          <w:p w14:paraId="5C8E9228"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6489EE35"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1A8453C1" w14:textId="77777777" w:rsidR="002F2232" w:rsidRPr="004C4CB8" w:rsidRDefault="002F2232" w:rsidP="004C4CB8">
            <w:pPr>
              <w:rPr>
                <w:rFonts w:ascii="Helvetica" w:hAnsi="Helvetica"/>
                <w:sz w:val="16"/>
                <w:szCs w:val="16"/>
              </w:rPr>
            </w:pPr>
            <w:r w:rsidRPr="004C4CB8">
              <w:rPr>
                <w:rFonts w:ascii="Helvetica" w:hAnsi="Helvetica"/>
                <w:sz w:val="16"/>
                <w:szCs w:val="16"/>
              </w:rPr>
              <w:t>Euro III</w:t>
            </w:r>
          </w:p>
        </w:tc>
        <w:tc>
          <w:tcPr>
            <w:tcW w:w="1980" w:type="dxa"/>
            <w:noWrap/>
            <w:hideMark/>
          </w:tcPr>
          <w:p w14:paraId="618DC730" w14:textId="77777777" w:rsidR="002F2232" w:rsidRPr="004C4CB8" w:rsidRDefault="002F2232" w:rsidP="004C4CB8">
            <w:pPr>
              <w:rPr>
                <w:rFonts w:ascii="Helvetica" w:hAnsi="Helvetica"/>
                <w:sz w:val="16"/>
                <w:szCs w:val="16"/>
              </w:rPr>
            </w:pPr>
            <w:r w:rsidRPr="004C4CB8">
              <w:rPr>
                <w:rFonts w:ascii="Helvetica" w:hAnsi="Helvetica"/>
                <w:sz w:val="16"/>
                <w:szCs w:val="16"/>
              </w:rPr>
              <w:t>12.5 (11.1, 13.8)</w:t>
            </w:r>
          </w:p>
        </w:tc>
        <w:tc>
          <w:tcPr>
            <w:tcW w:w="2070" w:type="dxa"/>
            <w:noWrap/>
            <w:hideMark/>
          </w:tcPr>
          <w:p w14:paraId="171F5F7F" w14:textId="77777777" w:rsidR="002F2232" w:rsidRPr="004C4CB8" w:rsidRDefault="002F2232" w:rsidP="004C4CB8">
            <w:pPr>
              <w:rPr>
                <w:rFonts w:ascii="Helvetica" w:hAnsi="Helvetica"/>
                <w:sz w:val="16"/>
                <w:szCs w:val="16"/>
              </w:rPr>
            </w:pPr>
            <w:r w:rsidRPr="004C4CB8">
              <w:rPr>
                <w:rFonts w:ascii="Helvetica" w:hAnsi="Helvetica"/>
                <w:sz w:val="16"/>
                <w:szCs w:val="16"/>
              </w:rPr>
              <w:t>4.24 (3.08, 5.65)</w:t>
            </w:r>
          </w:p>
        </w:tc>
        <w:tc>
          <w:tcPr>
            <w:tcW w:w="1749" w:type="dxa"/>
            <w:noWrap/>
            <w:hideMark/>
          </w:tcPr>
          <w:p w14:paraId="299F438F" w14:textId="77777777" w:rsidR="002F2232" w:rsidRPr="004C4CB8" w:rsidRDefault="002F2232" w:rsidP="004C4CB8">
            <w:pPr>
              <w:rPr>
                <w:rFonts w:ascii="Helvetica" w:hAnsi="Helvetica"/>
                <w:sz w:val="16"/>
                <w:szCs w:val="16"/>
              </w:rPr>
            </w:pPr>
            <w:r w:rsidRPr="004C4CB8">
              <w:rPr>
                <w:rFonts w:ascii="Helvetica" w:hAnsi="Helvetica"/>
                <w:sz w:val="16"/>
                <w:szCs w:val="16"/>
              </w:rPr>
              <w:t>2.94 (1.97, 4.47)</w:t>
            </w:r>
          </w:p>
        </w:tc>
      </w:tr>
      <w:tr w:rsidR="007F7DA5" w:rsidRPr="002F2232" w14:paraId="0790BBC5" w14:textId="77777777" w:rsidTr="00540B81">
        <w:tc>
          <w:tcPr>
            <w:tcW w:w="1533" w:type="dxa"/>
            <w:noWrap/>
            <w:hideMark/>
          </w:tcPr>
          <w:p w14:paraId="4B60EBED"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6047CA0C"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3D1F1E3A" w14:textId="77777777" w:rsidR="002F2232" w:rsidRPr="004C4CB8" w:rsidRDefault="002F2232" w:rsidP="004C4CB8">
            <w:pPr>
              <w:rPr>
                <w:rFonts w:ascii="Helvetica" w:hAnsi="Helvetica"/>
                <w:sz w:val="16"/>
                <w:szCs w:val="16"/>
              </w:rPr>
            </w:pPr>
            <w:r w:rsidRPr="004C4CB8">
              <w:rPr>
                <w:rFonts w:ascii="Helvetica" w:hAnsi="Helvetica"/>
                <w:sz w:val="16"/>
                <w:szCs w:val="16"/>
              </w:rPr>
              <w:t>Euro IV</w:t>
            </w:r>
          </w:p>
        </w:tc>
        <w:tc>
          <w:tcPr>
            <w:tcW w:w="1980" w:type="dxa"/>
            <w:noWrap/>
            <w:hideMark/>
          </w:tcPr>
          <w:p w14:paraId="6DD7782D" w14:textId="77777777" w:rsidR="002F2232" w:rsidRPr="004C4CB8" w:rsidRDefault="002F2232" w:rsidP="004C4CB8">
            <w:pPr>
              <w:rPr>
                <w:rFonts w:ascii="Helvetica" w:hAnsi="Helvetica"/>
                <w:sz w:val="16"/>
                <w:szCs w:val="16"/>
              </w:rPr>
            </w:pPr>
            <w:r w:rsidRPr="004C4CB8">
              <w:rPr>
                <w:rFonts w:ascii="Helvetica" w:hAnsi="Helvetica"/>
                <w:sz w:val="16"/>
                <w:szCs w:val="16"/>
              </w:rPr>
              <w:t>11.8 (9.80, 13.8)</w:t>
            </w:r>
          </w:p>
        </w:tc>
        <w:tc>
          <w:tcPr>
            <w:tcW w:w="2070" w:type="dxa"/>
            <w:noWrap/>
            <w:hideMark/>
          </w:tcPr>
          <w:p w14:paraId="7E2A3FC5" w14:textId="77777777" w:rsidR="002F2232" w:rsidRPr="004C4CB8" w:rsidRDefault="002F2232" w:rsidP="004C4CB8">
            <w:pPr>
              <w:rPr>
                <w:rFonts w:ascii="Helvetica" w:hAnsi="Helvetica"/>
                <w:sz w:val="16"/>
                <w:szCs w:val="16"/>
              </w:rPr>
            </w:pPr>
            <w:r w:rsidRPr="004C4CB8">
              <w:rPr>
                <w:rFonts w:ascii="Helvetica" w:hAnsi="Helvetica"/>
                <w:sz w:val="16"/>
                <w:szCs w:val="16"/>
              </w:rPr>
              <w:t>2.98 (2.16, 3.97)</w:t>
            </w:r>
          </w:p>
        </w:tc>
        <w:tc>
          <w:tcPr>
            <w:tcW w:w="1749" w:type="dxa"/>
            <w:noWrap/>
            <w:hideMark/>
          </w:tcPr>
          <w:p w14:paraId="35DD5849" w14:textId="77777777" w:rsidR="002F2232" w:rsidRPr="004C4CB8" w:rsidRDefault="002F2232" w:rsidP="004C4CB8">
            <w:pPr>
              <w:rPr>
                <w:rFonts w:ascii="Helvetica" w:hAnsi="Helvetica"/>
                <w:sz w:val="16"/>
                <w:szCs w:val="16"/>
              </w:rPr>
            </w:pPr>
            <w:r w:rsidRPr="004C4CB8">
              <w:rPr>
                <w:rFonts w:ascii="Helvetica" w:hAnsi="Helvetica"/>
                <w:sz w:val="16"/>
                <w:szCs w:val="16"/>
              </w:rPr>
              <w:t>3.95 (2.46, 6.36)</w:t>
            </w:r>
          </w:p>
        </w:tc>
      </w:tr>
      <w:tr w:rsidR="007F7DA5" w:rsidRPr="002F2232" w14:paraId="2FAD7B9D" w14:textId="77777777" w:rsidTr="00540B81">
        <w:tc>
          <w:tcPr>
            <w:tcW w:w="1533" w:type="dxa"/>
            <w:noWrap/>
            <w:hideMark/>
          </w:tcPr>
          <w:p w14:paraId="56802079"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0C6AACBC"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7371558D" w14:textId="77777777" w:rsidR="002F2232" w:rsidRPr="004C4CB8" w:rsidRDefault="002F2232" w:rsidP="004C4CB8">
            <w:pPr>
              <w:rPr>
                <w:rFonts w:ascii="Helvetica" w:hAnsi="Helvetica"/>
                <w:sz w:val="16"/>
                <w:szCs w:val="16"/>
              </w:rPr>
            </w:pPr>
            <w:r w:rsidRPr="004C4CB8">
              <w:rPr>
                <w:rFonts w:ascii="Helvetica" w:hAnsi="Helvetica"/>
                <w:sz w:val="16"/>
                <w:szCs w:val="16"/>
              </w:rPr>
              <w:t>Euro V</w:t>
            </w:r>
          </w:p>
        </w:tc>
        <w:tc>
          <w:tcPr>
            <w:tcW w:w="1980" w:type="dxa"/>
            <w:noWrap/>
            <w:hideMark/>
          </w:tcPr>
          <w:p w14:paraId="5DEBF756" w14:textId="77777777" w:rsidR="002F2232" w:rsidRPr="004C4CB8" w:rsidRDefault="002F2232" w:rsidP="004C4CB8">
            <w:pPr>
              <w:rPr>
                <w:rFonts w:ascii="Helvetica" w:hAnsi="Helvetica"/>
                <w:sz w:val="16"/>
                <w:szCs w:val="16"/>
              </w:rPr>
            </w:pPr>
            <w:r w:rsidRPr="004C4CB8">
              <w:rPr>
                <w:rFonts w:ascii="Helvetica" w:hAnsi="Helvetica"/>
                <w:sz w:val="16"/>
                <w:szCs w:val="16"/>
              </w:rPr>
              <w:t>7.45 (5.58, 9.31)</w:t>
            </w:r>
          </w:p>
        </w:tc>
        <w:tc>
          <w:tcPr>
            <w:tcW w:w="2070" w:type="dxa"/>
            <w:noWrap/>
            <w:hideMark/>
          </w:tcPr>
          <w:p w14:paraId="407C747C" w14:textId="77777777" w:rsidR="002F2232" w:rsidRPr="004C4CB8" w:rsidRDefault="002F2232" w:rsidP="004C4CB8">
            <w:pPr>
              <w:rPr>
                <w:rFonts w:ascii="Helvetica" w:hAnsi="Helvetica"/>
                <w:sz w:val="16"/>
                <w:szCs w:val="16"/>
              </w:rPr>
            </w:pPr>
            <w:r w:rsidRPr="004C4CB8">
              <w:rPr>
                <w:rFonts w:ascii="Helvetica" w:hAnsi="Helvetica"/>
                <w:sz w:val="16"/>
                <w:szCs w:val="16"/>
              </w:rPr>
              <w:t>1.66 (1.20, 2.21)</w:t>
            </w:r>
          </w:p>
        </w:tc>
        <w:tc>
          <w:tcPr>
            <w:tcW w:w="1749" w:type="dxa"/>
            <w:noWrap/>
            <w:hideMark/>
          </w:tcPr>
          <w:p w14:paraId="018D9583" w14:textId="77777777" w:rsidR="002F2232" w:rsidRPr="004C4CB8" w:rsidRDefault="002F2232" w:rsidP="004C4CB8">
            <w:pPr>
              <w:rPr>
                <w:rFonts w:ascii="Helvetica" w:hAnsi="Helvetica"/>
                <w:sz w:val="16"/>
                <w:szCs w:val="16"/>
              </w:rPr>
            </w:pPr>
            <w:r w:rsidRPr="004C4CB8">
              <w:rPr>
                <w:rFonts w:ascii="Helvetica" w:hAnsi="Helvetica"/>
                <w:sz w:val="16"/>
                <w:szCs w:val="16"/>
              </w:rPr>
              <w:t>4.48 (2.52, 7.71)</w:t>
            </w:r>
          </w:p>
        </w:tc>
      </w:tr>
      <w:tr w:rsidR="007F7DA5" w:rsidRPr="002F2232" w14:paraId="5F166B31" w14:textId="77777777" w:rsidTr="00540B81">
        <w:tc>
          <w:tcPr>
            <w:tcW w:w="1533" w:type="dxa"/>
            <w:noWrap/>
            <w:hideMark/>
          </w:tcPr>
          <w:p w14:paraId="2D6BF248"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213A74A2" w14:textId="77777777" w:rsidR="002F2232" w:rsidRPr="004C4CB8" w:rsidRDefault="002F2232" w:rsidP="004C4CB8">
            <w:pPr>
              <w:rPr>
                <w:rFonts w:ascii="Helvetica" w:hAnsi="Helvetica"/>
                <w:sz w:val="16"/>
                <w:szCs w:val="16"/>
              </w:rPr>
            </w:pPr>
            <w:r w:rsidRPr="004C4CB8">
              <w:rPr>
                <w:rFonts w:ascii="Helvetica" w:hAnsi="Helvetica"/>
                <w:sz w:val="16"/>
                <w:szCs w:val="16"/>
              </w:rPr>
              <w:t>China</w:t>
            </w:r>
          </w:p>
        </w:tc>
        <w:tc>
          <w:tcPr>
            <w:tcW w:w="1243" w:type="dxa"/>
            <w:noWrap/>
            <w:hideMark/>
          </w:tcPr>
          <w:p w14:paraId="5A993D16" w14:textId="77777777" w:rsidR="002F2232" w:rsidRPr="004C4CB8" w:rsidRDefault="002F2232" w:rsidP="004C4CB8">
            <w:pPr>
              <w:rPr>
                <w:rFonts w:ascii="Helvetica" w:hAnsi="Helvetica"/>
                <w:sz w:val="16"/>
                <w:szCs w:val="16"/>
              </w:rPr>
            </w:pPr>
            <w:r w:rsidRPr="004C4CB8">
              <w:rPr>
                <w:rFonts w:ascii="Helvetica" w:hAnsi="Helvetica"/>
                <w:sz w:val="16"/>
                <w:szCs w:val="16"/>
              </w:rPr>
              <w:t>Euro VI</w:t>
            </w:r>
          </w:p>
        </w:tc>
        <w:tc>
          <w:tcPr>
            <w:tcW w:w="1980" w:type="dxa"/>
            <w:noWrap/>
            <w:hideMark/>
          </w:tcPr>
          <w:p w14:paraId="43C94919" w14:textId="77777777" w:rsidR="002F2232" w:rsidRPr="004C4CB8" w:rsidRDefault="002F2232" w:rsidP="004C4CB8">
            <w:pPr>
              <w:rPr>
                <w:rFonts w:ascii="Helvetica" w:hAnsi="Helvetica"/>
                <w:sz w:val="16"/>
                <w:szCs w:val="16"/>
              </w:rPr>
            </w:pPr>
            <w:r w:rsidRPr="004C4CB8">
              <w:rPr>
                <w:rFonts w:ascii="Helvetica" w:hAnsi="Helvetica"/>
                <w:sz w:val="16"/>
                <w:szCs w:val="16"/>
              </w:rPr>
              <w:t>0.61 (0.33, 1.01)</w:t>
            </w:r>
          </w:p>
        </w:tc>
        <w:tc>
          <w:tcPr>
            <w:tcW w:w="2070" w:type="dxa"/>
            <w:noWrap/>
            <w:hideMark/>
          </w:tcPr>
          <w:p w14:paraId="1C062CFC" w14:textId="77777777" w:rsidR="002F2232" w:rsidRPr="004C4CB8" w:rsidRDefault="002F2232" w:rsidP="004C4CB8">
            <w:pPr>
              <w:rPr>
                <w:rFonts w:ascii="Helvetica" w:hAnsi="Helvetica"/>
                <w:sz w:val="16"/>
                <w:szCs w:val="16"/>
              </w:rPr>
            </w:pPr>
            <w:r w:rsidRPr="004C4CB8">
              <w:rPr>
                <w:rFonts w:ascii="Helvetica" w:hAnsi="Helvetica"/>
                <w:sz w:val="16"/>
                <w:szCs w:val="16"/>
              </w:rPr>
              <w:t>0.40 (0.29, 0.54)</w:t>
            </w:r>
          </w:p>
        </w:tc>
        <w:tc>
          <w:tcPr>
            <w:tcW w:w="1749" w:type="dxa"/>
            <w:noWrap/>
            <w:hideMark/>
          </w:tcPr>
          <w:p w14:paraId="33F87E6A" w14:textId="77777777" w:rsidR="002F2232" w:rsidRPr="004C4CB8" w:rsidRDefault="002F2232" w:rsidP="004C4CB8">
            <w:pPr>
              <w:rPr>
                <w:rFonts w:ascii="Helvetica" w:hAnsi="Helvetica"/>
                <w:sz w:val="16"/>
                <w:szCs w:val="16"/>
              </w:rPr>
            </w:pPr>
            <w:r w:rsidRPr="004C4CB8">
              <w:rPr>
                <w:rFonts w:ascii="Helvetica" w:hAnsi="Helvetica"/>
                <w:sz w:val="16"/>
                <w:szCs w:val="16"/>
              </w:rPr>
              <w:t>1.5 (0.61, 3.43)</w:t>
            </w:r>
          </w:p>
        </w:tc>
      </w:tr>
      <w:tr w:rsidR="007F7DA5" w:rsidRPr="002F2232" w14:paraId="6FE2ECAB" w14:textId="77777777" w:rsidTr="00540B81">
        <w:tc>
          <w:tcPr>
            <w:tcW w:w="1533" w:type="dxa"/>
            <w:noWrap/>
            <w:hideMark/>
          </w:tcPr>
          <w:p w14:paraId="7A1B29F6"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7F25C989"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67B180AE" w14:textId="77777777" w:rsidR="002F2232" w:rsidRPr="004C4CB8" w:rsidRDefault="002F2232" w:rsidP="004C4CB8">
            <w:pPr>
              <w:rPr>
                <w:rFonts w:ascii="Helvetica" w:hAnsi="Helvetica"/>
                <w:sz w:val="16"/>
                <w:szCs w:val="16"/>
              </w:rPr>
            </w:pPr>
            <w:r w:rsidRPr="004C4CB8">
              <w:rPr>
                <w:rFonts w:ascii="Helvetica" w:hAnsi="Helvetica"/>
                <w:sz w:val="16"/>
                <w:szCs w:val="16"/>
              </w:rPr>
              <w:t>Euro III</w:t>
            </w:r>
          </w:p>
        </w:tc>
        <w:tc>
          <w:tcPr>
            <w:tcW w:w="1980" w:type="dxa"/>
            <w:noWrap/>
            <w:hideMark/>
          </w:tcPr>
          <w:p w14:paraId="1FA2936A" w14:textId="77777777" w:rsidR="002F2232" w:rsidRPr="004C4CB8" w:rsidRDefault="002F2232" w:rsidP="004C4CB8">
            <w:pPr>
              <w:rPr>
                <w:rFonts w:ascii="Helvetica" w:hAnsi="Helvetica"/>
                <w:sz w:val="16"/>
                <w:szCs w:val="16"/>
              </w:rPr>
            </w:pPr>
            <w:r w:rsidRPr="004C4CB8">
              <w:rPr>
                <w:rFonts w:ascii="Helvetica" w:hAnsi="Helvetica"/>
                <w:sz w:val="16"/>
                <w:szCs w:val="16"/>
              </w:rPr>
              <w:t>10.0 (7.55, 12.5)</w:t>
            </w:r>
          </w:p>
        </w:tc>
        <w:tc>
          <w:tcPr>
            <w:tcW w:w="2070" w:type="dxa"/>
            <w:noWrap/>
            <w:hideMark/>
          </w:tcPr>
          <w:p w14:paraId="3AFE1B2E" w14:textId="77777777" w:rsidR="002F2232" w:rsidRPr="004C4CB8" w:rsidRDefault="002F2232" w:rsidP="004C4CB8">
            <w:pPr>
              <w:rPr>
                <w:rFonts w:ascii="Helvetica" w:hAnsi="Helvetica"/>
                <w:sz w:val="16"/>
                <w:szCs w:val="16"/>
              </w:rPr>
            </w:pPr>
            <w:r w:rsidRPr="004C4CB8">
              <w:rPr>
                <w:rFonts w:ascii="Helvetica" w:hAnsi="Helvetica"/>
                <w:sz w:val="16"/>
                <w:szCs w:val="16"/>
              </w:rPr>
              <w:t>4.80 (3.49, 6.41)</w:t>
            </w:r>
          </w:p>
        </w:tc>
        <w:tc>
          <w:tcPr>
            <w:tcW w:w="1749" w:type="dxa"/>
            <w:noWrap/>
            <w:hideMark/>
          </w:tcPr>
          <w:p w14:paraId="41658D1A" w14:textId="77777777" w:rsidR="002F2232" w:rsidRPr="004C4CB8" w:rsidRDefault="002F2232" w:rsidP="004C4CB8">
            <w:pPr>
              <w:rPr>
                <w:rFonts w:ascii="Helvetica" w:hAnsi="Helvetica"/>
                <w:sz w:val="16"/>
                <w:szCs w:val="16"/>
              </w:rPr>
            </w:pPr>
            <w:r w:rsidRPr="004C4CB8">
              <w:rPr>
                <w:rFonts w:ascii="Helvetica" w:hAnsi="Helvetica"/>
                <w:sz w:val="16"/>
                <w:szCs w:val="16"/>
              </w:rPr>
              <w:t>2.09 (1.17, 3.59)</w:t>
            </w:r>
          </w:p>
        </w:tc>
      </w:tr>
      <w:tr w:rsidR="007F7DA5" w:rsidRPr="002F2232" w14:paraId="44367997" w14:textId="77777777" w:rsidTr="00540B81">
        <w:tc>
          <w:tcPr>
            <w:tcW w:w="1533" w:type="dxa"/>
            <w:noWrap/>
            <w:hideMark/>
          </w:tcPr>
          <w:p w14:paraId="6F9E4E3C"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272C4637"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688E6D8A" w14:textId="77777777" w:rsidR="002F2232" w:rsidRPr="004C4CB8" w:rsidRDefault="002F2232" w:rsidP="004C4CB8">
            <w:pPr>
              <w:rPr>
                <w:rFonts w:ascii="Helvetica" w:hAnsi="Helvetica"/>
                <w:sz w:val="16"/>
                <w:szCs w:val="16"/>
              </w:rPr>
            </w:pPr>
            <w:r w:rsidRPr="004C4CB8">
              <w:rPr>
                <w:rFonts w:ascii="Helvetica" w:hAnsi="Helvetica"/>
                <w:sz w:val="16"/>
                <w:szCs w:val="16"/>
              </w:rPr>
              <w:t>Euro IV</w:t>
            </w:r>
          </w:p>
        </w:tc>
        <w:tc>
          <w:tcPr>
            <w:tcW w:w="1980" w:type="dxa"/>
            <w:noWrap/>
            <w:hideMark/>
          </w:tcPr>
          <w:p w14:paraId="3B0D44DD" w14:textId="77777777" w:rsidR="002F2232" w:rsidRPr="004C4CB8" w:rsidRDefault="002F2232" w:rsidP="004C4CB8">
            <w:pPr>
              <w:rPr>
                <w:rFonts w:ascii="Helvetica" w:hAnsi="Helvetica"/>
                <w:sz w:val="16"/>
                <w:szCs w:val="16"/>
              </w:rPr>
            </w:pPr>
            <w:r w:rsidRPr="004C4CB8">
              <w:rPr>
                <w:rFonts w:ascii="Helvetica" w:hAnsi="Helvetica"/>
                <w:sz w:val="16"/>
                <w:szCs w:val="16"/>
              </w:rPr>
              <w:t>7.25 (5.43, 9.06)</w:t>
            </w:r>
          </w:p>
        </w:tc>
        <w:tc>
          <w:tcPr>
            <w:tcW w:w="2070" w:type="dxa"/>
            <w:noWrap/>
            <w:hideMark/>
          </w:tcPr>
          <w:p w14:paraId="0717A430" w14:textId="77777777" w:rsidR="002F2232" w:rsidRPr="004C4CB8" w:rsidRDefault="002F2232" w:rsidP="004C4CB8">
            <w:pPr>
              <w:rPr>
                <w:rFonts w:ascii="Helvetica" w:hAnsi="Helvetica"/>
                <w:sz w:val="16"/>
                <w:szCs w:val="16"/>
              </w:rPr>
            </w:pPr>
            <w:r w:rsidRPr="004C4CB8">
              <w:rPr>
                <w:rFonts w:ascii="Helvetica" w:hAnsi="Helvetica"/>
                <w:sz w:val="16"/>
                <w:szCs w:val="16"/>
              </w:rPr>
              <w:t>3.27 (2.37, 4.36)</w:t>
            </w:r>
          </w:p>
        </w:tc>
        <w:tc>
          <w:tcPr>
            <w:tcW w:w="1749" w:type="dxa"/>
            <w:noWrap/>
            <w:hideMark/>
          </w:tcPr>
          <w:p w14:paraId="31026702" w14:textId="77777777" w:rsidR="002F2232" w:rsidRPr="004C4CB8" w:rsidRDefault="002F2232" w:rsidP="004C4CB8">
            <w:pPr>
              <w:rPr>
                <w:rFonts w:ascii="Helvetica" w:hAnsi="Helvetica"/>
                <w:sz w:val="16"/>
                <w:szCs w:val="16"/>
              </w:rPr>
            </w:pPr>
            <w:r w:rsidRPr="004C4CB8">
              <w:rPr>
                <w:rFonts w:ascii="Helvetica" w:hAnsi="Helvetica"/>
                <w:sz w:val="16"/>
                <w:szCs w:val="16"/>
              </w:rPr>
              <w:t>2.21 (1.24, 3.81)</w:t>
            </w:r>
          </w:p>
        </w:tc>
      </w:tr>
      <w:tr w:rsidR="007F7DA5" w:rsidRPr="002F2232" w14:paraId="7DDE8D46" w14:textId="77777777" w:rsidTr="00540B81">
        <w:tc>
          <w:tcPr>
            <w:tcW w:w="1533" w:type="dxa"/>
            <w:noWrap/>
            <w:hideMark/>
          </w:tcPr>
          <w:p w14:paraId="78E362BB"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464F87B6"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74161A9E" w14:textId="77777777" w:rsidR="002F2232" w:rsidRPr="004C4CB8" w:rsidRDefault="002F2232" w:rsidP="004C4CB8">
            <w:pPr>
              <w:rPr>
                <w:rFonts w:ascii="Helvetica" w:hAnsi="Helvetica"/>
                <w:sz w:val="16"/>
                <w:szCs w:val="16"/>
              </w:rPr>
            </w:pPr>
            <w:r w:rsidRPr="004C4CB8">
              <w:rPr>
                <w:rFonts w:ascii="Helvetica" w:hAnsi="Helvetica"/>
                <w:sz w:val="16"/>
                <w:szCs w:val="16"/>
              </w:rPr>
              <w:t>Euro V</w:t>
            </w:r>
          </w:p>
        </w:tc>
        <w:tc>
          <w:tcPr>
            <w:tcW w:w="1980" w:type="dxa"/>
            <w:noWrap/>
            <w:hideMark/>
          </w:tcPr>
          <w:p w14:paraId="0F0826DF" w14:textId="77777777" w:rsidR="002F2232" w:rsidRPr="004C4CB8" w:rsidRDefault="002F2232" w:rsidP="004C4CB8">
            <w:pPr>
              <w:rPr>
                <w:rFonts w:ascii="Helvetica" w:hAnsi="Helvetica"/>
                <w:sz w:val="16"/>
                <w:szCs w:val="16"/>
              </w:rPr>
            </w:pPr>
            <w:r w:rsidRPr="004C4CB8">
              <w:rPr>
                <w:rFonts w:ascii="Helvetica" w:hAnsi="Helvetica"/>
                <w:sz w:val="16"/>
                <w:szCs w:val="16"/>
              </w:rPr>
              <w:t>7.01 (5.26, 8.77)</w:t>
            </w:r>
          </w:p>
        </w:tc>
        <w:tc>
          <w:tcPr>
            <w:tcW w:w="2070" w:type="dxa"/>
            <w:noWrap/>
            <w:hideMark/>
          </w:tcPr>
          <w:p w14:paraId="46C7FC13" w14:textId="77777777" w:rsidR="002F2232" w:rsidRPr="004C4CB8" w:rsidRDefault="002F2232" w:rsidP="004C4CB8">
            <w:pPr>
              <w:rPr>
                <w:rFonts w:ascii="Helvetica" w:hAnsi="Helvetica"/>
                <w:sz w:val="16"/>
                <w:szCs w:val="16"/>
              </w:rPr>
            </w:pPr>
            <w:r w:rsidRPr="004C4CB8">
              <w:rPr>
                <w:rFonts w:ascii="Helvetica" w:hAnsi="Helvetica"/>
                <w:sz w:val="16"/>
                <w:szCs w:val="16"/>
              </w:rPr>
              <w:t>1.79 (1.30, 2.38)</w:t>
            </w:r>
          </w:p>
        </w:tc>
        <w:tc>
          <w:tcPr>
            <w:tcW w:w="1749" w:type="dxa"/>
            <w:noWrap/>
            <w:hideMark/>
          </w:tcPr>
          <w:p w14:paraId="011E2E30" w14:textId="77777777" w:rsidR="002F2232" w:rsidRPr="004C4CB8" w:rsidRDefault="002F2232" w:rsidP="004C4CB8">
            <w:pPr>
              <w:rPr>
                <w:rFonts w:ascii="Helvetica" w:hAnsi="Helvetica"/>
                <w:sz w:val="16"/>
                <w:szCs w:val="16"/>
              </w:rPr>
            </w:pPr>
            <w:r w:rsidRPr="004C4CB8">
              <w:rPr>
                <w:rFonts w:ascii="Helvetica" w:hAnsi="Helvetica"/>
                <w:sz w:val="16"/>
                <w:szCs w:val="16"/>
              </w:rPr>
              <w:t>3.92 (2.20, 6.73)</w:t>
            </w:r>
          </w:p>
        </w:tc>
      </w:tr>
      <w:tr w:rsidR="007F7DA5" w:rsidRPr="002F2232" w14:paraId="7E60682F" w14:textId="77777777" w:rsidTr="00540B81">
        <w:tc>
          <w:tcPr>
            <w:tcW w:w="1533" w:type="dxa"/>
            <w:noWrap/>
            <w:hideMark/>
          </w:tcPr>
          <w:p w14:paraId="5DDEAC37"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4281B40A" w14:textId="77777777" w:rsidR="002F2232" w:rsidRPr="004C4CB8" w:rsidRDefault="002F2232" w:rsidP="004C4CB8">
            <w:pPr>
              <w:rPr>
                <w:rFonts w:ascii="Helvetica" w:hAnsi="Helvetica"/>
                <w:sz w:val="16"/>
                <w:szCs w:val="16"/>
              </w:rPr>
            </w:pPr>
            <w:r w:rsidRPr="004C4CB8">
              <w:rPr>
                <w:rFonts w:ascii="Helvetica" w:hAnsi="Helvetica"/>
                <w:sz w:val="16"/>
                <w:szCs w:val="16"/>
              </w:rPr>
              <w:t>EU</w:t>
            </w:r>
          </w:p>
        </w:tc>
        <w:tc>
          <w:tcPr>
            <w:tcW w:w="1243" w:type="dxa"/>
            <w:noWrap/>
            <w:hideMark/>
          </w:tcPr>
          <w:p w14:paraId="04E4B95B" w14:textId="77777777" w:rsidR="002F2232" w:rsidRPr="004C4CB8" w:rsidRDefault="002F2232" w:rsidP="004C4CB8">
            <w:pPr>
              <w:rPr>
                <w:rFonts w:ascii="Helvetica" w:hAnsi="Helvetica"/>
                <w:sz w:val="16"/>
                <w:szCs w:val="16"/>
              </w:rPr>
            </w:pPr>
            <w:r w:rsidRPr="004C4CB8">
              <w:rPr>
                <w:rFonts w:ascii="Helvetica" w:hAnsi="Helvetica"/>
                <w:sz w:val="16"/>
                <w:szCs w:val="16"/>
              </w:rPr>
              <w:t>Euro VI</w:t>
            </w:r>
          </w:p>
        </w:tc>
        <w:tc>
          <w:tcPr>
            <w:tcW w:w="1980" w:type="dxa"/>
            <w:noWrap/>
            <w:hideMark/>
          </w:tcPr>
          <w:p w14:paraId="55A783BE" w14:textId="77777777" w:rsidR="002F2232" w:rsidRPr="004C4CB8" w:rsidRDefault="002F2232" w:rsidP="004C4CB8">
            <w:pPr>
              <w:rPr>
                <w:rFonts w:ascii="Helvetica" w:hAnsi="Helvetica"/>
                <w:sz w:val="16"/>
                <w:szCs w:val="16"/>
              </w:rPr>
            </w:pPr>
            <w:r w:rsidRPr="004C4CB8">
              <w:rPr>
                <w:rFonts w:ascii="Helvetica" w:hAnsi="Helvetica"/>
                <w:sz w:val="16"/>
                <w:szCs w:val="16"/>
              </w:rPr>
              <w:t>0.61 (0.33, 1.01)</w:t>
            </w:r>
          </w:p>
        </w:tc>
        <w:tc>
          <w:tcPr>
            <w:tcW w:w="2070" w:type="dxa"/>
            <w:noWrap/>
            <w:hideMark/>
          </w:tcPr>
          <w:p w14:paraId="1675E5E5" w14:textId="77777777" w:rsidR="002F2232" w:rsidRPr="004C4CB8" w:rsidRDefault="002F2232" w:rsidP="004C4CB8">
            <w:pPr>
              <w:rPr>
                <w:rFonts w:ascii="Helvetica" w:hAnsi="Helvetica"/>
                <w:sz w:val="16"/>
                <w:szCs w:val="16"/>
              </w:rPr>
            </w:pPr>
            <w:r w:rsidRPr="004C4CB8">
              <w:rPr>
                <w:rFonts w:ascii="Helvetica" w:hAnsi="Helvetica"/>
                <w:sz w:val="16"/>
                <w:szCs w:val="16"/>
              </w:rPr>
              <w:t>0.40 (0.29, 0.54)</w:t>
            </w:r>
          </w:p>
        </w:tc>
        <w:tc>
          <w:tcPr>
            <w:tcW w:w="1749" w:type="dxa"/>
            <w:noWrap/>
            <w:hideMark/>
          </w:tcPr>
          <w:p w14:paraId="44013BD0" w14:textId="77777777" w:rsidR="002F2232" w:rsidRPr="004C4CB8" w:rsidRDefault="002F2232" w:rsidP="004C4CB8">
            <w:pPr>
              <w:rPr>
                <w:rFonts w:ascii="Helvetica" w:hAnsi="Helvetica"/>
                <w:sz w:val="16"/>
                <w:szCs w:val="16"/>
              </w:rPr>
            </w:pPr>
            <w:r w:rsidRPr="004C4CB8">
              <w:rPr>
                <w:rFonts w:ascii="Helvetica" w:hAnsi="Helvetica"/>
                <w:sz w:val="16"/>
                <w:szCs w:val="16"/>
              </w:rPr>
              <w:t>1.5 (0.61, 3.43)</w:t>
            </w:r>
          </w:p>
        </w:tc>
      </w:tr>
      <w:tr w:rsidR="007F7DA5" w:rsidRPr="002F2232" w14:paraId="2BB0AB4C" w14:textId="77777777" w:rsidTr="00540B81">
        <w:tc>
          <w:tcPr>
            <w:tcW w:w="1533" w:type="dxa"/>
            <w:noWrap/>
            <w:hideMark/>
          </w:tcPr>
          <w:p w14:paraId="5389DA2B"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6A8390A4"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5450C86E" w14:textId="77777777" w:rsidR="002F2232" w:rsidRPr="004C4CB8" w:rsidRDefault="002F2232" w:rsidP="004C4CB8">
            <w:pPr>
              <w:rPr>
                <w:rFonts w:ascii="Helvetica" w:hAnsi="Helvetica"/>
                <w:sz w:val="16"/>
                <w:szCs w:val="16"/>
              </w:rPr>
            </w:pPr>
            <w:r w:rsidRPr="004C4CB8">
              <w:rPr>
                <w:rFonts w:ascii="Helvetica" w:hAnsi="Helvetica"/>
                <w:sz w:val="16"/>
                <w:szCs w:val="16"/>
              </w:rPr>
              <w:t>Japan 1997</w:t>
            </w:r>
          </w:p>
        </w:tc>
        <w:tc>
          <w:tcPr>
            <w:tcW w:w="1980" w:type="dxa"/>
            <w:noWrap/>
            <w:hideMark/>
          </w:tcPr>
          <w:p w14:paraId="3A261088" w14:textId="77777777" w:rsidR="002F2232" w:rsidRPr="004C4CB8" w:rsidRDefault="002F2232" w:rsidP="004C4CB8">
            <w:pPr>
              <w:rPr>
                <w:rFonts w:ascii="Helvetica" w:hAnsi="Helvetica"/>
                <w:sz w:val="16"/>
                <w:szCs w:val="16"/>
              </w:rPr>
            </w:pPr>
            <w:r w:rsidRPr="004C4CB8">
              <w:rPr>
                <w:rFonts w:ascii="Helvetica" w:hAnsi="Helvetica"/>
                <w:sz w:val="16"/>
                <w:szCs w:val="16"/>
              </w:rPr>
              <w:t>10.0 (7.55, 12.5)</w:t>
            </w:r>
          </w:p>
        </w:tc>
        <w:tc>
          <w:tcPr>
            <w:tcW w:w="2070" w:type="dxa"/>
            <w:noWrap/>
            <w:hideMark/>
          </w:tcPr>
          <w:p w14:paraId="615512D0" w14:textId="77777777" w:rsidR="002F2232" w:rsidRPr="004C4CB8" w:rsidRDefault="002F2232" w:rsidP="004C4CB8">
            <w:pPr>
              <w:rPr>
                <w:rFonts w:ascii="Helvetica" w:hAnsi="Helvetica"/>
                <w:sz w:val="16"/>
                <w:szCs w:val="16"/>
              </w:rPr>
            </w:pPr>
            <w:r w:rsidRPr="004C4CB8">
              <w:rPr>
                <w:rFonts w:ascii="Helvetica" w:hAnsi="Helvetica"/>
                <w:sz w:val="16"/>
                <w:szCs w:val="16"/>
              </w:rPr>
              <w:t>4.39 (3.19, 5.85)</w:t>
            </w:r>
          </w:p>
        </w:tc>
        <w:tc>
          <w:tcPr>
            <w:tcW w:w="1749" w:type="dxa"/>
            <w:noWrap/>
            <w:hideMark/>
          </w:tcPr>
          <w:p w14:paraId="17BF9480" w14:textId="77777777" w:rsidR="002F2232" w:rsidRPr="004C4CB8" w:rsidRDefault="002F2232" w:rsidP="004C4CB8">
            <w:pPr>
              <w:rPr>
                <w:rFonts w:ascii="Helvetica" w:hAnsi="Helvetica"/>
                <w:sz w:val="16"/>
                <w:szCs w:val="16"/>
              </w:rPr>
            </w:pPr>
            <w:r w:rsidRPr="004C4CB8">
              <w:rPr>
                <w:rFonts w:ascii="Helvetica" w:hAnsi="Helvetica"/>
                <w:sz w:val="16"/>
                <w:szCs w:val="16"/>
              </w:rPr>
              <w:t>2.29 (1.29, 3.94)</w:t>
            </w:r>
          </w:p>
        </w:tc>
      </w:tr>
      <w:tr w:rsidR="007F7DA5" w:rsidRPr="002F2232" w14:paraId="4AFEE674" w14:textId="77777777" w:rsidTr="00540B81">
        <w:tc>
          <w:tcPr>
            <w:tcW w:w="1533" w:type="dxa"/>
            <w:noWrap/>
            <w:hideMark/>
          </w:tcPr>
          <w:p w14:paraId="33A85050"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5B1DCE66"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218407E2" w14:textId="77777777" w:rsidR="002F2232" w:rsidRPr="004C4CB8" w:rsidRDefault="002F2232" w:rsidP="004C4CB8">
            <w:pPr>
              <w:rPr>
                <w:rFonts w:ascii="Helvetica" w:hAnsi="Helvetica"/>
                <w:sz w:val="16"/>
                <w:szCs w:val="16"/>
              </w:rPr>
            </w:pPr>
            <w:r w:rsidRPr="004C4CB8">
              <w:rPr>
                <w:rFonts w:ascii="Helvetica" w:hAnsi="Helvetica"/>
                <w:sz w:val="16"/>
                <w:szCs w:val="16"/>
              </w:rPr>
              <w:t>Japan 2003</w:t>
            </w:r>
          </w:p>
        </w:tc>
        <w:tc>
          <w:tcPr>
            <w:tcW w:w="1980" w:type="dxa"/>
            <w:noWrap/>
            <w:hideMark/>
          </w:tcPr>
          <w:p w14:paraId="612F20FF" w14:textId="77777777" w:rsidR="002F2232" w:rsidRPr="004C4CB8" w:rsidRDefault="002F2232" w:rsidP="004C4CB8">
            <w:pPr>
              <w:rPr>
                <w:rFonts w:ascii="Helvetica" w:hAnsi="Helvetica"/>
                <w:sz w:val="16"/>
                <w:szCs w:val="16"/>
              </w:rPr>
            </w:pPr>
            <w:r w:rsidRPr="004C4CB8">
              <w:rPr>
                <w:rFonts w:ascii="Helvetica" w:hAnsi="Helvetica"/>
                <w:sz w:val="16"/>
                <w:szCs w:val="16"/>
              </w:rPr>
              <w:t>7.25 (5.43, 9.06)</w:t>
            </w:r>
          </w:p>
        </w:tc>
        <w:tc>
          <w:tcPr>
            <w:tcW w:w="2070" w:type="dxa"/>
            <w:noWrap/>
            <w:hideMark/>
          </w:tcPr>
          <w:p w14:paraId="6811C3CE" w14:textId="77777777" w:rsidR="002F2232" w:rsidRPr="004C4CB8" w:rsidRDefault="002F2232" w:rsidP="004C4CB8">
            <w:pPr>
              <w:rPr>
                <w:rFonts w:ascii="Helvetica" w:hAnsi="Helvetica"/>
                <w:sz w:val="16"/>
                <w:szCs w:val="16"/>
              </w:rPr>
            </w:pPr>
            <w:r w:rsidRPr="004C4CB8">
              <w:rPr>
                <w:rFonts w:ascii="Helvetica" w:hAnsi="Helvetica"/>
                <w:sz w:val="16"/>
                <w:szCs w:val="16"/>
              </w:rPr>
              <w:t>3.29 (2.39, 4.39)</w:t>
            </w:r>
          </w:p>
        </w:tc>
        <w:tc>
          <w:tcPr>
            <w:tcW w:w="1749" w:type="dxa"/>
            <w:noWrap/>
            <w:hideMark/>
          </w:tcPr>
          <w:p w14:paraId="0C91A8A1" w14:textId="77777777" w:rsidR="002F2232" w:rsidRPr="004C4CB8" w:rsidRDefault="002F2232" w:rsidP="004C4CB8">
            <w:pPr>
              <w:rPr>
                <w:rFonts w:ascii="Helvetica" w:hAnsi="Helvetica"/>
                <w:sz w:val="16"/>
                <w:szCs w:val="16"/>
              </w:rPr>
            </w:pPr>
            <w:r w:rsidRPr="004C4CB8">
              <w:rPr>
                <w:rFonts w:ascii="Helvetica" w:hAnsi="Helvetica"/>
                <w:sz w:val="16"/>
                <w:szCs w:val="16"/>
              </w:rPr>
              <w:t>2.20 (1.23, 3.78)</w:t>
            </w:r>
          </w:p>
        </w:tc>
      </w:tr>
      <w:tr w:rsidR="007F7DA5" w:rsidRPr="002F2232" w14:paraId="3DCC02E7" w14:textId="77777777" w:rsidTr="00540B81">
        <w:tc>
          <w:tcPr>
            <w:tcW w:w="1533" w:type="dxa"/>
            <w:noWrap/>
            <w:hideMark/>
          </w:tcPr>
          <w:p w14:paraId="2FDBD24C"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1F1F8581"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17515BD1" w14:textId="77777777" w:rsidR="002F2232" w:rsidRPr="004C4CB8" w:rsidRDefault="002F2232" w:rsidP="004C4CB8">
            <w:pPr>
              <w:rPr>
                <w:rFonts w:ascii="Helvetica" w:hAnsi="Helvetica"/>
                <w:sz w:val="16"/>
                <w:szCs w:val="16"/>
              </w:rPr>
            </w:pPr>
            <w:r w:rsidRPr="004C4CB8">
              <w:rPr>
                <w:rFonts w:ascii="Helvetica" w:hAnsi="Helvetica"/>
                <w:sz w:val="16"/>
                <w:szCs w:val="16"/>
              </w:rPr>
              <w:t>Japan 2005</w:t>
            </w:r>
          </w:p>
        </w:tc>
        <w:tc>
          <w:tcPr>
            <w:tcW w:w="1980" w:type="dxa"/>
            <w:noWrap/>
            <w:hideMark/>
          </w:tcPr>
          <w:p w14:paraId="273C0C03" w14:textId="77777777" w:rsidR="002F2232" w:rsidRPr="004C4CB8" w:rsidRDefault="002F2232" w:rsidP="004C4CB8">
            <w:pPr>
              <w:rPr>
                <w:rFonts w:ascii="Helvetica" w:hAnsi="Helvetica"/>
                <w:sz w:val="16"/>
                <w:szCs w:val="16"/>
              </w:rPr>
            </w:pPr>
            <w:r w:rsidRPr="004C4CB8">
              <w:rPr>
                <w:rFonts w:ascii="Helvetica" w:hAnsi="Helvetica"/>
                <w:sz w:val="16"/>
                <w:szCs w:val="16"/>
              </w:rPr>
              <w:t>7.01 (5.26, 8.77)</w:t>
            </w:r>
          </w:p>
        </w:tc>
        <w:tc>
          <w:tcPr>
            <w:tcW w:w="2070" w:type="dxa"/>
            <w:noWrap/>
            <w:hideMark/>
          </w:tcPr>
          <w:p w14:paraId="45A59393" w14:textId="77777777" w:rsidR="002F2232" w:rsidRPr="004C4CB8" w:rsidRDefault="002F2232" w:rsidP="004C4CB8">
            <w:pPr>
              <w:rPr>
                <w:rFonts w:ascii="Helvetica" w:hAnsi="Helvetica"/>
                <w:sz w:val="16"/>
                <w:szCs w:val="16"/>
              </w:rPr>
            </w:pPr>
            <w:r w:rsidRPr="004C4CB8">
              <w:rPr>
                <w:rFonts w:ascii="Helvetica" w:hAnsi="Helvetica"/>
                <w:sz w:val="16"/>
                <w:szCs w:val="16"/>
              </w:rPr>
              <w:t>1.89 (1.37, 2.52)</w:t>
            </w:r>
          </w:p>
        </w:tc>
        <w:tc>
          <w:tcPr>
            <w:tcW w:w="1749" w:type="dxa"/>
            <w:noWrap/>
            <w:hideMark/>
          </w:tcPr>
          <w:p w14:paraId="7C1B48FD" w14:textId="77777777" w:rsidR="002F2232" w:rsidRPr="004C4CB8" w:rsidRDefault="002F2232" w:rsidP="004C4CB8">
            <w:pPr>
              <w:rPr>
                <w:rFonts w:ascii="Helvetica" w:hAnsi="Helvetica"/>
                <w:sz w:val="16"/>
                <w:szCs w:val="16"/>
              </w:rPr>
            </w:pPr>
            <w:r w:rsidRPr="004C4CB8">
              <w:rPr>
                <w:rFonts w:ascii="Helvetica" w:hAnsi="Helvetica"/>
                <w:sz w:val="16"/>
                <w:szCs w:val="16"/>
              </w:rPr>
              <w:t>3.70 (2.08, 6.36)</w:t>
            </w:r>
          </w:p>
        </w:tc>
      </w:tr>
      <w:tr w:rsidR="007F7DA5" w:rsidRPr="002F2232" w14:paraId="13595D45" w14:textId="77777777" w:rsidTr="00540B81">
        <w:tc>
          <w:tcPr>
            <w:tcW w:w="1533" w:type="dxa"/>
            <w:noWrap/>
            <w:hideMark/>
          </w:tcPr>
          <w:p w14:paraId="56982E76"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273B36D7"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25B3A502" w14:textId="77777777" w:rsidR="002F2232" w:rsidRPr="004C4CB8" w:rsidRDefault="002F2232" w:rsidP="004C4CB8">
            <w:pPr>
              <w:rPr>
                <w:rFonts w:ascii="Helvetica" w:hAnsi="Helvetica"/>
                <w:sz w:val="16"/>
                <w:szCs w:val="16"/>
              </w:rPr>
            </w:pPr>
            <w:r w:rsidRPr="004C4CB8">
              <w:rPr>
                <w:rFonts w:ascii="Helvetica" w:hAnsi="Helvetica"/>
                <w:sz w:val="16"/>
                <w:szCs w:val="16"/>
              </w:rPr>
              <w:t>Japan 2009</w:t>
            </w:r>
          </w:p>
        </w:tc>
        <w:tc>
          <w:tcPr>
            <w:tcW w:w="1980" w:type="dxa"/>
            <w:noWrap/>
            <w:hideMark/>
          </w:tcPr>
          <w:p w14:paraId="77CDFB77" w14:textId="77777777" w:rsidR="002F2232" w:rsidRPr="004C4CB8" w:rsidRDefault="002F2232" w:rsidP="004C4CB8">
            <w:pPr>
              <w:rPr>
                <w:rFonts w:ascii="Helvetica" w:hAnsi="Helvetica"/>
                <w:sz w:val="16"/>
                <w:szCs w:val="16"/>
              </w:rPr>
            </w:pPr>
            <w:r w:rsidRPr="004C4CB8">
              <w:rPr>
                <w:rFonts w:ascii="Helvetica" w:hAnsi="Helvetica"/>
                <w:sz w:val="16"/>
                <w:szCs w:val="16"/>
              </w:rPr>
              <w:t>0.93 (0.50, 1.55)</w:t>
            </w:r>
          </w:p>
        </w:tc>
        <w:tc>
          <w:tcPr>
            <w:tcW w:w="2070" w:type="dxa"/>
            <w:noWrap/>
            <w:hideMark/>
          </w:tcPr>
          <w:p w14:paraId="3434F7D9" w14:textId="77777777" w:rsidR="002F2232" w:rsidRPr="004C4CB8" w:rsidRDefault="002F2232" w:rsidP="004C4CB8">
            <w:pPr>
              <w:rPr>
                <w:rFonts w:ascii="Helvetica" w:hAnsi="Helvetica"/>
                <w:sz w:val="16"/>
                <w:szCs w:val="16"/>
              </w:rPr>
            </w:pPr>
            <w:r w:rsidRPr="004C4CB8">
              <w:rPr>
                <w:rFonts w:ascii="Helvetica" w:hAnsi="Helvetica"/>
                <w:sz w:val="16"/>
                <w:szCs w:val="16"/>
              </w:rPr>
              <w:t>0.62 (0.45, 0.82)</w:t>
            </w:r>
          </w:p>
        </w:tc>
        <w:tc>
          <w:tcPr>
            <w:tcW w:w="1749" w:type="dxa"/>
            <w:noWrap/>
            <w:hideMark/>
          </w:tcPr>
          <w:p w14:paraId="6F14FDCC" w14:textId="77777777" w:rsidR="002F2232" w:rsidRPr="004C4CB8" w:rsidRDefault="002F2232" w:rsidP="004C4CB8">
            <w:pPr>
              <w:rPr>
                <w:rFonts w:ascii="Helvetica" w:hAnsi="Helvetica"/>
                <w:sz w:val="16"/>
                <w:szCs w:val="16"/>
              </w:rPr>
            </w:pPr>
            <w:r w:rsidRPr="004C4CB8">
              <w:rPr>
                <w:rFonts w:ascii="Helvetica" w:hAnsi="Helvetica"/>
                <w:sz w:val="16"/>
                <w:szCs w:val="16"/>
              </w:rPr>
              <w:t>1.5 (0.61, 3.43)</w:t>
            </w:r>
          </w:p>
        </w:tc>
      </w:tr>
      <w:tr w:rsidR="007F7DA5" w:rsidRPr="002F2232" w14:paraId="6B3CED50" w14:textId="77777777" w:rsidTr="00540B81">
        <w:tc>
          <w:tcPr>
            <w:tcW w:w="1533" w:type="dxa"/>
            <w:noWrap/>
            <w:hideMark/>
          </w:tcPr>
          <w:p w14:paraId="665BD1BE"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6B8A5045" w14:textId="77777777" w:rsidR="002F2232" w:rsidRPr="004C4CB8" w:rsidRDefault="002F2232" w:rsidP="004C4CB8">
            <w:pPr>
              <w:rPr>
                <w:rFonts w:ascii="Helvetica" w:hAnsi="Helvetica"/>
                <w:sz w:val="16"/>
                <w:szCs w:val="16"/>
              </w:rPr>
            </w:pPr>
            <w:r w:rsidRPr="004C4CB8">
              <w:rPr>
                <w:rFonts w:ascii="Helvetica" w:hAnsi="Helvetica"/>
                <w:sz w:val="16"/>
                <w:szCs w:val="16"/>
              </w:rPr>
              <w:t>Japan</w:t>
            </w:r>
          </w:p>
        </w:tc>
        <w:tc>
          <w:tcPr>
            <w:tcW w:w="1243" w:type="dxa"/>
            <w:noWrap/>
            <w:hideMark/>
          </w:tcPr>
          <w:p w14:paraId="343656A3" w14:textId="77777777" w:rsidR="002F2232" w:rsidRPr="004C4CB8" w:rsidRDefault="002F2232" w:rsidP="004C4CB8">
            <w:pPr>
              <w:rPr>
                <w:rFonts w:ascii="Helvetica" w:hAnsi="Helvetica"/>
                <w:sz w:val="16"/>
                <w:szCs w:val="16"/>
              </w:rPr>
            </w:pPr>
            <w:r w:rsidRPr="004C4CB8">
              <w:rPr>
                <w:rFonts w:ascii="Helvetica" w:hAnsi="Helvetica"/>
                <w:sz w:val="16"/>
                <w:szCs w:val="16"/>
              </w:rPr>
              <w:t>Japan 2016</w:t>
            </w:r>
          </w:p>
        </w:tc>
        <w:tc>
          <w:tcPr>
            <w:tcW w:w="1980" w:type="dxa"/>
            <w:noWrap/>
            <w:hideMark/>
          </w:tcPr>
          <w:p w14:paraId="23A67087" w14:textId="77777777" w:rsidR="002F2232" w:rsidRPr="004C4CB8" w:rsidRDefault="002F2232" w:rsidP="004C4CB8">
            <w:pPr>
              <w:rPr>
                <w:rFonts w:ascii="Helvetica" w:hAnsi="Helvetica"/>
                <w:sz w:val="16"/>
                <w:szCs w:val="16"/>
              </w:rPr>
            </w:pPr>
            <w:r w:rsidRPr="004C4CB8">
              <w:rPr>
                <w:rFonts w:ascii="Helvetica" w:hAnsi="Helvetica"/>
                <w:sz w:val="16"/>
                <w:szCs w:val="16"/>
              </w:rPr>
              <w:t>0.48 (0.26, 0.80)</w:t>
            </w:r>
          </w:p>
        </w:tc>
        <w:tc>
          <w:tcPr>
            <w:tcW w:w="2070" w:type="dxa"/>
            <w:noWrap/>
            <w:hideMark/>
          </w:tcPr>
          <w:p w14:paraId="43379F31" w14:textId="77777777" w:rsidR="002F2232" w:rsidRPr="004C4CB8" w:rsidRDefault="002F2232" w:rsidP="004C4CB8">
            <w:pPr>
              <w:rPr>
                <w:rFonts w:ascii="Helvetica" w:hAnsi="Helvetica"/>
                <w:sz w:val="16"/>
                <w:szCs w:val="16"/>
              </w:rPr>
            </w:pPr>
            <w:r w:rsidRPr="004C4CB8">
              <w:rPr>
                <w:rFonts w:ascii="Helvetica" w:hAnsi="Helvetica"/>
                <w:sz w:val="16"/>
                <w:szCs w:val="16"/>
              </w:rPr>
              <w:t>0.32 (0.23, 0.42)</w:t>
            </w:r>
          </w:p>
        </w:tc>
        <w:tc>
          <w:tcPr>
            <w:tcW w:w="1749" w:type="dxa"/>
            <w:noWrap/>
            <w:hideMark/>
          </w:tcPr>
          <w:p w14:paraId="47E304D3" w14:textId="77777777" w:rsidR="002F2232" w:rsidRPr="004C4CB8" w:rsidRDefault="002F2232" w:rsidP="004C4CB8">
            <w:pPr>
              <w:rPr>
                <w:rFonts w:ascii="Helvetica" w:hAnsi="Helvetica"/>
                <w:sz w:val="16"/>
                <w:szCs w:val="16"/>
              </w:rPr>
            </w:pPr>
            <w:r w:rsidRPr="004C4CB8">
              <w:rPr>
                <w:rFonts w:ascii="Helvetica" w:hAnsi="Helvetica"/>
                <w:sz w:val="16"/>
                <w:szCs w:val="16"/>
              </w:rPr>
              <w:t>1.5 (0.61, 3.43)</w:t>
            </w:r>
          </w:p>
        </w:tc>
      </w:tr>
      <w:tr w:rsidR="007F7DA5" w:rsidRPr="002F2232" w14:paraId="504390B1" w14:textId="77777777" w:rsidTr="00540B81">
        <w:tc>
          <w:tcPr>
            <w:tcW w:w="1533" w:type="dxa"/>
            <w:noWrap/>
            <w:hideMark/>
          </w:tcPr>
          <w:p w14:paraId="1B690E06"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284BCEAD"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7F449C29" w14:textId="77777777" w:rsidR="002F2232" w:rsidRPr="004C4CB8" w:rsidRDefault="002F2232" w:rsidP="004C4CB8">
            <w:pPr>
              <w:rPr>
                <w:rFonts w:ascii="Helvetica" w:hAnsi="Helvetica"/>
                <w:sz w:val="16"/>
                <w:szCs w:val="16"/>
              </w:rPr>
            </w:pPr>
            <w:r w:rsidRPr="004C4CB8">
              <w:rPr>
                <w:rFonts w:ascii="Helvetica" w:hAnsi="Helvetica"/>
                <w:sz w:val="16"/>
                <w:szCs w:val="16"/>
              </w:rPr>
              <w:t>EPA 1998</w:t>
            </w:r>
          </w:p>
        </w:tc>
        <w:tc>
          <w:tcPr>
            <w:tcW w:w="1980" w:type="dxa"/>
            <w:noWrap/>
            <w:hideMark/>
          </w:tcPr>
          <w:p w14:paraId="0627BE85" w14:textId="77777777" w:rsidR="002F2232" w:rsidRPr="004C4CB8" w:rsidRDefault="002F2232" w:rsidP="004C4CB8">
            <w:pPr>
              <w:rPr>
                <w:rFonts w:ascii="Helvetica" w:hAnsi="Helvetica"/>
                <w:sz w:val="16"/>
                <w:szCs w:val="16"/>
              </w:rPr>
            </w:pPr>
            <w:r w:rsidRPr="004C4CB8">
              <w:rPr>
                <w:rFonts w:ascii="Helvetica" w:hAnsi="Helvetica"/>
                <w:sz w:val="16"/>
                <w:szCs w:val="16"/>
              </w:rPr>
              <w:t>12.8 (12.4, 13.3)</w:t>
            </w:r>
          </w:p>
        </w:tc>
        <w:tc>
          <w:tcPr>
            <w:tcW w:w="2070" w:type="dxa"/>
            <w:noWrap/>
            <w:hideMark/>
          </w:tcPr>
          <w:p w14:paraId="3DC49DE7" w14:textId="77777777" w:rsidR="002F2232" w:rsidRPr="004C4CB8" w:rsidRDefault="002F2232" w:rsidP="004C4CB8">
            <w:pPr>
              <w:rPr>
                <w:rFonts w:ascii="Helvetica" w:hAnsi="Helvetica"/>
                <w:sz w:val="16"/>
                <w:szCs w:val="16"/>
              </w:rPr>
            </w:pPr>
            <w:r w:rsidRPr="004C4CB8">
              <w:rPr>
                <w:rFonts w:ascii="Helvetica" w:hAnsi="Helvetica"/>
                <w:sz w:val="16"/>
                <w:szCs w:val="16"/>
              </w:rPr>
              <w:t>6.03 (4.39, 8.05)</w:t>
            </w:r>
          </w:p>
        </w:tc>
        <w:tc>
          <w:tcPr>
            <w:tcW w:w="1749" w:type="dxa"/>
            <w:noWrap/>
            <w:hideMark/>
          </w:tcPr>
          <w:p w14:paraId="3AEA797D" w14:textId="77777777" w:rsidR="002F2232" w:rsidRPr="004C4CB8" w:rsidRDefault="002F2232" w:rsidP="004C4CB8">
            <w:pPr>
              <w:rPr>
                <w:rFonts w:ascii="Helvetica" w:hAnsi="Helvetica"/>
                <w:sz w:val="16"/>
                <w:szCs w:val="16"/>
              </w:rPr>
            </w:pPr>
            <w:r w:rsidRPr="004C4CB8">
              <w:rPr>
                <w:rFonts w:ascii="Helvetica" w:hAnsi="Helvetica"/>
                <w:sz w:val="16"/>
                <w:szCs w:val="16"/>
              </w:rPr>
              <w:t>2.13 (1.54, 3.02)</w:t>
            </w:r>
          </w:p>
        </w:tc>
      </w:tr>
      <w:tr w:rsidR="007F7DA5" w:rsidRPr="002F2232" w14:paraId="5E685C0B" w14:textId="77777777" w:rsidTr="00540B81">
        <w:tc>
          <w:tcPr>
            <w:tcW w:w="1533" w:type="dxa"/>
            <w:noWrap/>
            <w:hideMark/>
          </w:tcPr>
          <w:p w14:paraId="4B12BFCD"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2954EBB9"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39E3E04A" w14:textId="77777777" w:rsidR="002F2232" w:rsidRPr="004C4CB8" w:rsidRDefault="002F2232" w:rsidP="004C4CB8">
            <w:pPr>
              <w:rPr>
                <w:rFonts w:ascii="Helvetica" w:hAnsi="Helvetica"/>
                <w:sz w:val="16"/>
                <w:szCs w:val="16"/>
              </w:rPr>
            </w:pPr>
            <w:r w:rsidRPr="004C4CB8">
              <w:rPr>
                <w:rFonts w:ascii="Helvetica" w:hAnsi="Helvetica"/>
                <w:sz w:val="16"/>
                <w:szCs w:val="16"/>
              </w:rPr>
              <w:t>EPA 2004</w:t>
            </w:r>
          </w:p>
        </w:tc>
        <w:tc>
          <w:tcPr>
            <w:tcW w:w="1980" w:type="dxa"/>
            <w:noWrap/>
            <w:hideMark/>
          </w:tcPr>
          <w:p w14:paraId="762046AE" w14:textId="77777777" w:rsidR="002F2232" w:rsidRPr="004C4CB8" w:rsidRDefault="002F2232" w:rsidP="004C4CB8">
            <w:pPr>
              <w:rPr>
                <w:rFonts w:ascii="Helvetica" w:hAnsi="Helvetica"/>
                <w:sz w:val="16"/>
                <w:szCs w:val="16"/>
              </w:rPr>
            </w:pPr>
            <w:r w:rsidRPr="004C4CB8">
              <w:rPr>
                <w:rFonts w:ascii="Helvetica" w:hAnsi="Helvetica"/>
                <w:sz w:val="16"/>
                <w:szCs w:val="16"/>
              </w:rPr>
              <w:t>8.41 (7.96, 8.84)</w:t>
            </w:r>
          </w:p>
        </w:tc>
        <w:tc>
          <w:tcPr>
            <w:tcW w:w="2070" w:type="dxa"/>
            <w:noWrap/>
            <w:hideMark/>
          </w:tcPr>
          <w:p w14:paraId="4F446C35" w14:textId="77777777" w:rsidR="002F2232" w:rsidRPr="004C4CB8" w:rsidRDefault="002F2232" w:rsidP="004C4CB8">
            <w:pPr>
              <w:rPr>
                <w:rFonts w:ascii="Helvetica" w:hAnsi="Helvetica"/>
                <w:sz w:val="16"/>
                <w:szCs w:val="16"/>
              </w:rPr>
            </w:pPr>
            <w:r w:rsidRPr="004C4CB8">
              <w:rPr>
                <w:rFonts w:ascii="Helvetica" w:hAnsi="Helvetica"/>
                <w:sz w:val="16"/>
                <w:szCs w:val="16"/>
              </w:rPr>
              <w:t>2.95 (2.14, 3.93)</w:t>
            </w:r>
          </w:p>
        </w:tc>
        <w:tc>
          <w:tcPr>
            <w:tcW w:w="1749" w:type="dxa"/>
            <w:noWrap/>
            <w:hideMark/>
          </w:tcPr>
          <w:p w14:paraId="0EF815C8" w14:textId="77777777" w:rsidR="002F2232" w:rsidRPr="004C4CB8" w:rsidRDefault="002F2232" w:rsidP="004C4CB8">
            <w:pPr>
              <w:rPr>
                <w:rFonts w:ascii="Helvetica" w:hAnsi="Helvetica"/>
                <w:sz w:val="16"/>
                <w:szCs w:val="16"/>
              </w:rPr>
            </w:pPr>
            <w:r w:rsidRPr="004C4CB8">
              <w:rPr>
                <w:rFonts w:ascii="Helvetica" w:hAnsi="Helvetica"/>
                <w:sz w:val="16"/>
                <w:szCs w:val="16"/>
              </w:rPr>
              <w:t>2.85 (2.02, 4.12)</w:t>
            </w:r>
          </w:p>
        </w:tc>
      </w:tr>
      <w:tr w:rsidR="007F7DA5" w:rsidRPr="002F2232" w14:paraId="247B6AE5" w14:textId="77777777" w:rsidTr="00540B81">
        <w:tc>
          <w:tcPr>
            <w:tcW w:w="1533" w:type="dxa"/>
            <w:noWrap/>
            <w:hideMark/>
          </w:tcPr>
          <w:p w14:paraId="649FE949"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65C586CF"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65D1A59D" w14:textId="77777777" w:rsidR="002F2232" w:rsidRPr="004C4CB8" w:rsidRDefault="002F2232" w:rsidP="004C4CB8">
            <w:pPr>
              <w:rPr>
                <w:rFonts w:ascii="Helvetica" w:hAnsi="Helvetica"/>
                <w:sz w:val="16"/>
                <w:szCs w:val="16"/>
              </w:rPr>
            </w:pPr>
            <w:r w:rsidRPr="004C4CB8">
              <w:rPr>
                <w:rFonts w:ascii="Helvetica" w:hAnsi="Helvetica"/>
                <w:sz w:val="16"/>
                <w:szCs w:val="16"/>
              </w:rPr>
              <w:t>EPA 2007</w:t>
            </w:r>
          </w:p>
        </w:tc>
        <w:tc>
          <w:tcPr>
            <w:tcW w:w="1980" w:type="dxa"/>
            <w:noWrap/>
            <w:hideMark/>
          </w:tcPr>
          <w:p w14:paraId="36CB5FE3" w14:textId="77777777" w:rsidR="002F2232" w:rsidRPr="004C4CB8" w:rsidRDefault="002F2232" w:rsidP="004C4CB8">
            <w:pPr>
              <w:rPr>
                <w:rFonts w:ascii="Helvetica" w:hAnsi="Helvetica"/>
                <w:sz w:val="16"/>
                <w:szCs w:val="16"/>
              </w:rPr>
            </w:pPr>
            <w:r w:rsidRPr="004C4CB8">
              <w:rPr>
                <w:rFonts w:ascii="Helvetica" w:hAnsi="Helvetica"/>
                <w:sz w:val="16"/>
                <w:szCs w:val="16"/>
              </w:rPr>
              <w:t>4.08 (3.41, 4.78)</w:t>
            </w:r>
          </w:p>
        </w:tc>
        <w:tc>
          <w:tcPr>
            <w:tcW w:w="2070" w:type="dxa"/>
            <w:noWrap/>
            <w:hideMark/>
          </w:tcPr>
          <w:p w14:paraId="332A57DD" w14:textId="77777777" w:rsidR="002F2232" w:rsidRPr="004C4CB8" w:rsidRDefault="002F2232" w:rsidP="004C4CB8">
            <w:pPr>
              <w:rPr>
                <w:rFonts w:ascii="Helvetica" w:hAnsi="Helvetica"/>
                <w:sz w:val="16"/>
                <w:szCs w:val="16"/>
              </w:rPr>
            </w:pPr>
            <w:r w:rsidRPr="004C4CB8">
              <w:rPr>
                <w:rFonts w:ascii="Helvetica" w:hAnsi="Helvetica"/>
                <w:sz w:val="16"/>
                <w:szCs w:val="16"/>
              </w:rPr>
              <w:t>1.70 (1.24, 2.27)</w:t>
            </w:r>
          </w:p>
        </w:tc>
        <w:tc>
          <w:tcPr>
            <w:tcW w:w="1749" w:type="dxa"/>
            <w:noWrap/>
            <w:hideMark/>
          </w:tcPr>
          <w:p w14:paraId="7A798F4D" w14:textId="77777777" w:rsidR="002F2232" w:rsidRPr="004C4CB8" w:rsidRDefault="002F2232" w:rsidP="004C4CB8">
            <w:pPr>
              <w:rPr>
                <w:rFonts w:ascii="Helvetica" w:hAnsi="Helvetica"/>
                <w:sz w:val="16"/>
                <w:szCs w:val="16"/>
              </w:rPr>
            </w:pPr>
            <w:r w:rsidRPr="004C4CB8">
              <w:rPr>
                <w:rFonts w:ascii="Helvetica" w:hAnsi="Helvetica"/>
                <w:sz w:val="16"/>
                <w:szCs w:val="16"/>
              </w:rPr>
              <w:t>2.39 (1.49, 3.84)</w:t>
            </w:r>
          </w:p>
        </w:tc>
      </w:tr>
      <w:tr w:rsidR="007F7DA5" w:rsidRPr="002F2232" w14:paraId="2F564404" w14:textId="77777777" w:rsidTr="00540B81">
        <w:tc>
          <w:tcPr>
            <w:tcW w:w="1533" w:type="dxa"/>
            <w:noWrap/>
            <w:hideMark/>
          </w:tcPr>
          <w:p w14:paraId="2DC098A7" w14:textId="77777777" w:rsidR="002F2232" w:rsidRPr="004C4CB8" w:rsidRDefault="002F2232" w:rsidP="004C4CB8">
            <w:pPr>
              <w:rPr>
                <w:rFonts w:ascii="Helvetica" w:hAnsi="Helvetica"/>
                <w:sz w:val="16"/>
                <w:szCs w:val="16"/>
              </w:rPr>
            </w:pPr>
            <w:r w:rsidRPr="004C4CB8">
              <w:rPr>
                <w:rFonts w:ascii="Helvetica" w:hAnsi="Helvetica"/>
                <w:sz w:val="16"/>
                <w:szCs w:val="16"/>
              </w:rPr>
              <w:t>Bus</w:t>
            </w:r>
          </w:p>
        </w:tc>
        <w:tc>
          <w:tcPr>
            <w:tcW w:w="822" w:type="dxa"/>
            <w:noWrap/>
            <w:hideMark/>
          </w:tcPr>
          <w:p w14:paraId="50AD00C1" w14:textId="77777777" w:rsidR="002F2232" w:rsidRPr="004C4CB8" w:rsidRDefault="002F2232" w:rsidP="004C4CB8">
            <w:pPr>
              <w:rPr>
                <w:rFonts w:ascii="Helvetica" w:hAnsi="Helvetica"/>
                <w:sz w:val="16"/>
                <w:szCs w:val="16"/>
              </w:rPr>
            </w:pPr>
            <w:r w:rsidRPr="004C4CB8">
              <w:rPr>
                <w:rFonts w:ascii="Helvetica" w:hAnsi="Helvetica"/>
                <w:sz w:val="16"/>
                <w:szCs w:val="16"/>
              </w:rPr>
              <w:t>US</w:t>
            </w:r>
          </w:p>
        </w:tc>
        <w:tc>
          <w:tcPr>
            <w:tcW w:w="1243" w:type="dxa"/>
            <w:noWrap/>
            <w:hideMark/>
          </w:tcPr>
          <w:p w14:paraId="1802CDE6" w14:textId="77777777" w:rsidR="002F2232" w:rsidRPr="004C4CB8" w:rsidRDefault="002F2232" w:rsidP="004C4CB8">
            <w:pPr>
              <w:rPr>
                <w:rFonts w:ascii="Helvetica" w:hAnsi="Helvetica"/>
                <w:sz w:val="16"/>
                <w:szCs w:val="16"/>
              </w:rPr>
            </w:pPr>
            <w:r w:rsidRPr="004C4CB8">
              <w:rPr>
                <w:rFonts w:ascii="Helvetica" w:hAnsi="Helvetica"/>
                <w:sz w:val="16"/>
                <w:szCs w:val="16"/>
              </w:rPr>
              <w:t>EPA 2010</w:t>
            </w:r>
          </w:p>
        </w:tc>
        <w:tc>
          <w:tcPr>
            <w:tcW w:w="1980" w:type="dxa"/>
            <w:noWrap/>
            <w:hideMark/>
          </w:tcPr>
          <w:p w14:paraId="3EA1A59B" w14:textId="77777777" w:rsidR="002F2232" w:rsidRPr="004C4CB8" w:rsidRDefault="002F2232" w:rsidP="004C4CB8">
            <w:pPr>
              <w:rPr>
                <w:rFonts w:ascii="Helvetica" w:hAnsi="Helvetica"/>
                <w:sz w:val="16"/>
                <w:szCs w:val="16"/>
              </w:rPr>
            </w:pPr>
            <w:r w:rsidRPr="004C4CB8">
              <w:rPr>
                <w:rFonts w:ascii="Helvetica" w:hAnsi="Helvetica"/>
                <w:sz w:val="16"/>
                <w:szCs w:val="16"/>
              </w:rPr>
              <w:t>0.93 (0.70, 1.17)</w:t>
            </w:r>
          </w:p>
        </w:tc>
        <w:tc>
          <w:tcPr>
            <w:tcW w:w="2070" w:type="dxa"/>
            <w:noWrap/>
            <w:hideMark/>
          </w:tcPr>
          <w:p w14:paraId="5A5AF5DC" w14:textId="77777777" w:rsidR="002F2232" w:rsidRPr="004C4CB8" w:rsidRDefault="002F2232" w:rsidP="004C4CB8">
            <w:pPr>
              <w:rPr>
                <w:rFonts w:ascii="Helvetica" w:hAnsi="Helvetica"/>
                <w:sz w:val="16"/>
                <w:szCs w:val="16"/>
              </w:rPr>
            </w:pPr>
            <w:r w:rsidRPr="004C4CB8">
              <w:rPr>
                <w:rFonts w:ascii="Helvetica" w:hAnsi="Helvetica"/>
                <w:sz w:val="16"/>
                <w:szCs w:val="16"/>
              </w:rPr>
              <w:t>0.26 (0.19, 0.35)</w:t>
            </w:r>
          </w:p>
        </w:tc>
        <w:tc>
          <w:tcPr>
            <w:tcW w:w="1749" w:type="dxa"/>
            <w:noWrap/>
            <w:hideMark/>
          </w:tcPr>
          <w:p w14:paraId="6E96EEDB" w14:textId="77777777" w:rsidR="002F2232" w:rsidRPr="004C4CB8" w:rsidRDefault="002F2232" w:rsidP="004C4CB8">
            <w:pPr>
              <w:rPr>
                <w:rFonts w:ascii="Helvetica" w:hAnsi="Helvetica"/>
                <w:sz w:val="16"/>
                <w:szCs w:val="16"/>
              </w:rPr>
            </w:pPr>
            <w:r w:rsidRPr="004C4CB8">
              <w:rPr>
                <w:rFonts w:ascii="Helvetica" w:hAnsi="Helvetica"/>
                <w:sz w:val="16"/>
                <w:szCs w:val="16"/>
              </w:rPr>
              <w:t>3.51 (1.97, 6.04)</w:t>
            </w:r>
          </w:p>
        </w:tc>
      </w:tr>
    </w:tbl>
    <w:p w14:paraId="514716D9" w14:textId="1B3CDC96" w:rsidR="00B30518" w:rsidRPr="00973A3E" w:rsidRDefault="00973A3E" w:rsidP="004C4CB8">
      <w:pPr>
        <w:rPr>
          <w:sz w:val="20"/>
          <w:szCs w:val="20"/>
        </w:rPr>
      </w:pPr>
      <w:r w:rsidRPr="00973A3E">
        <w:rPr>
          <w:sz w:val="20"/>
          <w:szCs w:val="20"/>
        </w:rPr>
        <w:t>Values in parentheses indicate uncertainty ranges, calculated as described in the Methods.</w:t>
      </w:r>
    </w:p>
    <w:sectPr w:rsidR="00B30518" w:rsidRPr="00973A3E" w:rsidSect="00963C3C">
      <w:headerReference w:type="default" r:id="rId43"/>
      <w:footerReference w:type="default" r:id="rId4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B2339" w14:textId="77777777" w:rsidR="00A306CB" w:rsidRDefault="00A306CB" w:rsidP="005330A7">
      <w:pPr>
        <w:spacing w:after="0" w:line="240" w:lineRule="auto"/>
      </w:pPr>
      <w:r>
        <w:separator/>
      </w:r>
    </w:p>
  </w:endnote>
  <w:endnote w:type="continuationSeparator" w:id="0">
    <w:p w14:paraId="51FCF694" w14:textId="77777777" w:rsidR="00A306CB" w:rsidRDefault="00A306CB" w:rsidP="005330A7">
      <w:pPr>
        <w:spacing w:after="0" w:line="240" w:lineRule="auto"/>
      </w:pPr>
      <w:r>
        <w:continuationSeparator/>
      </w:r>
    </w:p>
  </w:endnote>
  <w:endnote w:type="continuationNotice" w:id="1">
    <w:p w14:paraId="55117DC1" w14:textId="77777777" w:rsidR="00A306CB" w:rsidRDefault="00A30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253613"/>
      <w:docPartObj>
        <w:docPartGallery w:val="Page Numbers (Bottom of Page)"/>
        <w:docPartUnique/>
      </w:docPartObj>
    </w:sdtPr>
    <w:sdtEndPr>
      <w:rPr>
        <w:noProof/>
      </w:rPr>
    </w:sdtEndPr>
    <w:sdtContent>
      <w:p w14:paraId="1ADD7EDB" w14:textId="45795AA9" w:rsidR="0081621F" w:rsidRDefault="0081621F">
        <w:pPr>
          <w:pStyle w:val="Footer"/>
          <w:jc w:val="center"/>
        </w:pPr>
        <w:r>
          <w:fldChar w:fldCharType="begin"/>
        </w:r>
        <w:r>
          <w:instrText xml:space="preserve"> PAGE   \* MERGEFORMAT </w:instrText>
        </w:r>
        <w:r>
          <w:fldChar w:fldCharType="separate"/>
        </w:r>
        <w:r w:rsidR="008F43B2">
          <w:rPr>
            <w:noProof/>
          </w:rPr>
          <w:t>40</w:t>
        </w:r>
        <w:r>
          <w:rPr>
            <w:noProof/>
          </w:rPr>
          <w:fldChar w:fldCharType="end"/>
        </w:r>
      </w:p>
    </w:sdtContent>
  </w:sdt>
  <w:p w14:paraId="3E585633" w14:textId="77777777" w:rsidR="0081621F" w:rsidRDefault="00816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5887B" w14:textId="77777777" w:rsidR="00A306CB" w:rsidRDefault="00A306CB" w:rsidP="005330A7">
      <w:pPr>
        <w:spacing w:after="0" w:line="240" w:lineRule="auto"/>
      </w:pPr>
      <w:r>
        <w:separator/>
      </w:r>
    </w:p>
  </w:footnote>
  <w:footnote w:type="continuationSeparator" w:id="0">
    <w:p w14:paraId="5CD7B530" w14:textId="77777777" w:rsidR="00A306CB" w:rsidRDefault="00A306CB" w:rsidP="005330A7">
      <w:pPr>
        <w:spacing w:after="0" w:line="240" w:lineRule="auto"/>
      </w:pPr>
      <w:r>
        <w:continuationSeparator/>
      </w:r>
    </w:p>
  </w:footnote>
  <w:footnote w:type="continuationNotice" w:id="1">
    <w:p w14:paraId="1C1F300B" w14:textId="77777777" w:rsidR="00A306CB" w:rsidRDefault="00A306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8F80E" w14:textId="77777777" w:rsidR="0081621F" w:rsidRDefault="00816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DF0"/>
    <w:multiLevelType w:val="hybridMultilevel"/>
    <w:tmpl w:val="0F1C19B8"/>
    <w:lvl w:ilvl="0" w:tplc="0FCAF744">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73C9C"/>
    <w:multiLevelType w:val="hybridMultilevel"/>
    <w:tmpl w:val="C270D1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85307"/>
    <w:multiLevelType w:val="hybridMultilevel"/>
    <w:tmpl w:val="DA84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90F51"/>
    <w:multiLevelType w:val="hybridMultilevel"/>
    <w:tmpl w:val="89646704"/>
    <w:lvl w:ilvl="0" w:tplc="591E516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F6415"/>
    <w:multiLevelType w:val="multilevel"/>
    <w:tmpl w:val="526EA60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7D9677A"/>
    <w:multiLevelType w:val="hybridMultilevel"/>
    <w:tmpl w:val="110C4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FE1722"/>
    <w:multiLevelType w:val="hybridMultilevel"/>
    <w:tmpl w:val="444E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435176"/>
    <w:multiLevelType w:val="hybridMultilevel"/>
    <w:tmpl w:val="0340FFD6"/>
    <w:lvl w:ilvl="0" w:tplc="1A1265F6">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E854BF"/>
    <w:multiLevelType w:val="hybridMultilevel"/>
    <w:tmpl w:val="CD9A1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0968F4"/>
    <w:multiLevelType w:val="hybridMultilevel"/>
    <w:tmpl w:val="53BA8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9"/>
  </w:num>
  <w:num w:numId="5">
    <w:abstractNumId w:val="7"/>
  </w:num>
  <w:num w:numId="6">
    <w:abstractNumId w:val="0"/>
  </w:num>
  <w:num w:numId="7">
    <w:abstractNumId w:val="5"/>
  </w:num>
  <w:num w:numId="8">
    <w:abstractNumId w:val="1"/>
  </w:num>
  <w:num w:numId="9">
    <w:abstractNumId w:val="8"/>
  </w:num>
  <w:num w:numId="10">
    <w:abstractNumId w:val="6"/>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844"/>
    <w:rsid w:val="000017D1"/>
    <w:rsid w:val="000019D1"/>
    <w:rsid w:val="00001EA7"/>
    <w:rsid w:val="00002765"/>
    <w:rsid w:val="00002B56"/>
    <w:rsid w:val="00002F61"/>
    <w:rsid w:val="00003DB5"/>
    <w:rsid w:val="00004394"/>
    <w:rsid w:val="00004842"/>
    <w:rsid w:val="00004BEF"/>
    <w:rsid w:val="000057A7"/>
    <w:rsid w:val="00005D67"/>
    <w:rsid w:val="0000719D"/>
    <w:rsid w:val="0000722D"/>
    <w:rsid w:val="00007A39"/>
    <w:rsid w:val="00007AD4"/>
    <w:rsid w:val="0001067F"/>
    <w:rsid w:val="000107D8"/>
    <w:rsid w:val="00010AC6"/>
    <w:rsid w:val="000111B8"/>
    <w:rsid w:val="00011385"/>
    <w:rsid w:val="00011CBA"/>
    <w:rsid w:val="00012186"/>
    <w:rsid w:val="000122F4"/>
    <w:rsid w:val="00012424"/>
    <w:rsid w:val="00012713"/>
    <w:rsid w:val="00012B85"/>
    <w:rsid w:val="000130D5"/>
    <w:rsid w:val="00013EB8"/>
    <w:rsid w:val="000144F4"/>
    <w:rsid w:val="000148C6"/>
    <w:rsid w:val="00014A6F"/>
    <w:rsid w:val="00014CD7"/>
    <w:rsid w:val="000153B0"/>
    <w:rsid w:val="00015CB9"/>
    <w:rsid w:val="00015E49"/>
    <w:rsid w:val="000179A9"/>
    <w:rsid w:val="00017CE5"/>
    <w:rsid w:val="00020690"/>
    <w:rsid w:val="0002154B"/>
    <w:rsid w:val="00022278"/>
    <w:rsid w:val="0002452F"/>
    <w:rsid w:val="000251EF"/>
    <w:rsid w:val="000258F3"/>
    <w:rsid w:val="00025B38"/>
    <w:rsid w:val="000272CD"/>
    <w:rsid w:val="00027882"/>
    <w:rsid w:val="000301C6"/>
    <w:rsid w:val="00030F33"/>
    <w:rsid w:val="000310BB"/>
    <w:rsid w:val="000316AE"/>
    <w:rsid w:val="0003191E"/>
    <w:rsid w:val="00031C66"/>
    <w:rsid w:val="00031F8D"/>
    <w:rsid w:val="0003212F"/>
    <w:rsid w:val="00032843"/>
    <w:rsid w:val="00033443"/>
    <w:rsid w:val="0003349C"/>
    <w:rsid w:val="00033685"/>
    <w:rsid w:val="00033C2F"/>
    <w:rsid w:val="0003507D"/>
    <w:rsid w:val="00035CAD"/>
    <w:rsid w:val="00036316"/>
    <w:rsid w:val="00040E2E"/>
    <w:rsid w:val="00041020"/>
    <w:rsid w:val="000442F5"/>
    <w:rsid w:val="00044859"/>
    <w:rsid w:val="000453B5"/>
    <w:rsid w:val="00046590"/>
    <w:rsid w:val="0004772E"/>
    <w:rsid w:val="00047891"/>
    <w:rsid w:val="0005075F"/>
    <w:rsid w:val="00050B91"/>
    <w:rsid w:val="00050DC0"/>
    <w:rsid w:val="00051310"/>
    <w:rsid w:val="0005206F"/>
    <w:rsid w:val="00052155"/>
    <w:rsid w:val="000521FF"/>
    <w:rsid w:val="00052B32"/>
    <w:rsid w:val="00053B12"/>
    <w:rsid w:val="00053CC2"/>
    <w:rsid w:val="00054729"/>
    <w:rsid w:val="00054E0B"/>
    <w:rsid w:val="00054FBE"/>
    <w:rsid w:val="0005531E"/>
    <w:rsid w:val="0005535C"/>
    <w:rsid w:val="000557FE"/>
    <w:rsid w:val="0005582C"/>
    <w:rsid w:val="000558BD"/>
    <w:rsid w:val="00055E2F"/>
    <w:rsid w:val="000561CA"/>
    <w:rsid w:val="00056209"/>
    <w:rsid w:val="0005731F"/>
    <w:rsid w:val="00061021"/>
    <w:rsid w:val="00061126"/>
    <w:rsid w:val="000614DF"/>
    <w:rsid w:val="000620CF"/>
    <w:rsid w:val="00062364"/>
    <w:rsid w:val="00062436"/>
    <w:rsid w:val="00062586"/>
    <w:rsid w:val="00062FFF"/>
    <w:rsid w:val="0006566C"/>
    <w:rsid w:val="00066A36"/>
    <w:rsid w:val="00066DA3"/>
    <w:rsid w:val="00067659"/>
    <w:rsid w:val="0007029A"/>
    <w:rsid w:val="000718D0"/>
    <w:rsid w:val="00073FD4"/>
    <w:rsid w:val="00075A18"/>
    <w:rsid w:val="00076B96"/>
    <w:rsid w:val="000770CD"/>
    <w:rsid w:val="00077F0D"/>
    <w:rsid w:val="00080AEC"/>
    <w:rsid w:val="00080FE1"/>
    <w:rsid w:val="0008112B"/>
    <w:rsid w:val="00081BD8"/>
    <w:rsid w:val="00081F03"/>
    <w:rsid w:val="000839C9"/>
    <w:rsid w:val="00084661"/>
    <w:rsid w:val="00084E70"/>
    <w:rsid w:val="00085C60"/>
    <w:rsid w:val="00085ECC"/>
    <w:rsid w:val="00086E9B"/>
    <w:rsid w:val="00087850"/>
    <w:rsid w:val="00087927"/>
    <w:rsid w:val="000920DA"/>
    <w:rsid w:val="0009216D"/>
    <w:rsid w:val="00092199"/>
    <w:rsid w:val="0009235C"/>
    <w:rsid w:val="000935C6"/>
    <w:rsid w:val="00093B9C"/>
    <w:rsid w:val="00096D2F"/>
    <w:rsid w:val="00097848"/>
    <w:rsid w:val="00097CF5"/>
    <w:rsid w:val="000A0234"/>
    <w:rsid w:val="000A118E"/>
    <w:rsid w:val="000A1687"/>
    <w:rsid w:val="000A1951"/>
    <w:rsid w:val="000A3760"/>
    <w:rsid w:val="000A5BF1"/>
    <w:rsid w:val="000A5C30"/>
    <w:rsid w:val="000A60F2"/>
    <w:rsid w:val="000A6515"/>
    <w:rsid w:val="000A6C55"/>
    <w:rsid w:val="000A6D54"/>
    <w:rsid w:val="000A6D8D"/>
    <w:rsid w:val="000A7072"/>
    <w:rsid w:val="000A7A99"/>
    <w:rsid w:val="000B05BF"/>
    <w:rsid w:val="000B0B59"/>
    <w:rsid w:val="000B1E0A"/>
    <w:rsid w:val="000B21FF"/>
    <w:rsid w:val="000B2450"/>
    <w:rsid w:val="000B28D4"/>
    <w:rsid w:val="000B30AD"/>
    <w:rsid w:val="000B4B21"/>
    <w:rsid w:val="000B5B23"/>
    <w:rsid w:val="000B63D3"/>
    <w:rsid w:val="000B6594"/>
    <w:rsid w:val="000C0C85"/>
    <w:rsid w:val="000C1308"/>
    <w:rsid w:val="000C25C3"/>
    <w:rsid w:val="000C3460"/>
    <w:rsid w:val="000C3FDB"/>
    <w:rsid w:val="000C4F4F"/>
    <w:rsid w:val="000C52B7"/>
    <w:rsid w:val="000C5CB3"/>
    <w:rsid w:val="000C5FAD"/>
    <w:rsid w:val="000C6ED9"/>
    <w:rsid w:val="000D173A"/>
    <w:rsid w:val="000D1F65"/>
    <w:rsid w:val="000D30F4"/>
    <w:rsid w:val="000D3167"/>
    <w:rsid w:val="000D3B34"/>
    <w:rsid w:val="000D6559"/>
    <w:rsid w:val="000D79A4"/>
    <w:rsid w:val="000E1327"/>
    <w:rsid w:val="000E2FDB"/>
    <w:rsid w:val="000E4440"/>
    <w:rsid w:val="000E44BB"/>
    <w:rsid w:val="000E4926"/>
    <w:rsid w:val="000E4C60"/>
    <w:rsid w:val="000E5406"/>
    <w:rsid w:val="000E6CF3"/>
    <w:rsid w:val="000E7263"/>
    <w:rsid w:val="000E7593"/>
    <w:rsid w:val="000F088A"/>
    <w:rsid w:val="000F0A38"/>
    <w:rsid w:val="000F111D"/>
    <w:rsid w:val="000F1E78"/>
    <w:rsid w:val="000F2591"/>
    <w:rsid w:val="000F4047"/>
    <w:rsid w:val="000F4FC8"/>
    <w:rsid w:val="000F53E8"/>
    <w:rsid w:val="000F5B29"/>
    <w:rsid w:val="000F60FB"/>
    <w:rsid w:val="000F786F"/>
    <w:rsid w:val="000F7ED9"/>
    <w:rsid w:val="001003DD"/>
    <w:rsid w:val="00100B78"/>
    <w:rsid w:val="00101021"/>
    <w:rsid w:val="00103F9E"/>
    <w:rsid w:val="001046E3"/>
    <w:rsid w:val="00104D78"/>
    <w:rsid w:val="00105036"/>
    <w:rsid w:val="00105550"/>
    <w:rsid w:val="00105F6C"/>
    <w:rsid w:val="0010611E"/>
    <w:rsid w:val="001077D1"/>
    <w:rsid w:val="0011139C"/>
    <w:rsid w:val="001116A2"/>
    <w:rsid w:val="001125A2"/>
    <w:rsid w:val="00112CD5"/>
    <w:rsid w:val="00114C9C"/>
    <w:rsid w:val="0011524C"/>
    <w:rsid w:val="001157A2"/>
    <w:rsid w:val="00115949"/>
    <w:rsid w:val="001162E3"/>
    <w:rsid w:val="00116F40"/>
    <w:rsid w:val="001171A1"/>
    <w:rsid w:val="00117429"/>
    <w:rsid w:val="00117F83"/>
    <w:rsid w:val="00120811"/>
    <w:rsid w:val="00120FCA"/>
    <w:rsid w:val="00121518"/>
    <w:rsid w:val="00121DE9"/>
    <w:rsid w:val="00121F83"/>
    <w:rsid w:val="001231D9"/>
    <w:rsid w:val="00123C4A"/>
    <w:rsid w:val="00123FD6"/>
    <w:rsid w:val="00125119"/>
    <w:rsid w:val="00125289"/>
    <w:rsid w:val="00125BE0"/>
    <w:rsid w:val="00126E9C"/>
    <w:rsid w:val="0012787D"/>
    <w:rsid w:val="00131561"/>
    <w:rsid w:val="00131B5D"/>
    <w:rsid w:val="001335C3"/>
    <w:rsid w:val="00133819"/>
    <w:rsid w:val="00135368"/>
    <w:rsid w:val="00135616"/>
    <w:rsid w:val="0013672C"/>
    <w:rsid w:val="001403B1"/>
    <w:rsid w:val="00140404"/>
    <w:rsid w:val="00140B46"/>
    <w:rsid w:val="00140BD2"/>
    <w:rsid w:val="00140C10"/>
    <w:rsid w:val="00140CA9"/>
    <w:rsid w:val="0014132E"/>
    <w:rsid w:val="00143529"/>
    <w:rsid w:val="00143F85"/>
    <w:rsid w:val="00144DFC"/>
    <w:rsid w:val="0014624A"/>
    <w:rsid w:val="00146648"/>
    <w:rsid w:val="001471A1"/>
    <w:rsid w:val="00150273"/>
    <w:rsid w:val="00150948"/>
    <w:rsid w:val="00150B03"/>
    <w:rsid w:val="00151C23"/>
    <w:rsid w:val="0015209B"/>
    <w:rsid w:val="0015246D"/>
    <w:rsid w:val="001526A8"/>
    <w:rsid w:val="00152A20"/>
    <w:rsid w:val="001540E3"/>
    <w:rsid w:val="0015519F"/>
    <w:rsid w:val="001563CF"/>
    <w:rsid w:val="00160253"/>
    <w:rsid w:val="00160512"/>
    <w:rsid w:val="001608FC"/>
    <w:rsid w:val="00161061"/>
    <w:rsid w:val="00161E37"/>
    <w:rsid w:val="001623B0"/>
    <w:rsid w:val="00162B63"/>
    <w:rsid w:val="00162E73"/>
    <w:rsid w:val="001639BB"/>
    <w:rsid w:val="00163E5E"/>
    <w:rsid w:val="0016435A"/>
    <w:rsid w:val="00166561"/>
    <w:rsid w:val="001667E2"/>
    <w:rsid w:val="00166953"/>
    <w:rsid w:val="00170171"/>
    <w:rsid w:val="0017044D"/>
    <w:rsid w:val="00170E2E"/>
    <w:rsid w:val="00171DA8"/>
    <w:rsid w:val="00172AE8"/>
    <w:rsid w:val="00172C1D"/>
    <w:rsid w:val="001738F5"/>
    <w:rsid w:val="00174401"/>
    <w:rsid w:val="00174907"/>
    <w:rsid w:val="00176547"/>
    <w:rsid w:val="00176554"/>
    <w:rsid w:val="001775A9"/>
    <w:rsid w:val="00180835"/>
    <w:rsid w:val="00180B28"/>
    <w:rsid w:val="00180D54"/>
    <w:rsid w:val="00180D8D"/>
    <w:rsid w:val="001812FE"/>
    <w:rsid w:val="0018221C"/>
    <w:rsid w:val="0018237E"/>
    <w:rsid w:val="001831CF"/>
    <w:rsid w:val="00183CD4"/>
    <w:rsid w:val="00183E7D"/>
    <w:rsid w:val="001854C1"/>
    <w:rsid w:val="00185D13"/>
    <w:rsid w:val="00185ECA"/>
    <w:rsid w:val="001860C8"/>
    <w:rsid w:val="00187AC5"/>
    <w:rsid w:val="001905C4"/>
    <w:rsid w:val="001919E4"/>
    <w:rsid w:val="001933C7"/>
    <w:rsid w:val="00193EF7"/>
    <w:rsid w:val="0019476D"/>
    <w:rsid w:val="00194800"/>
    <w:rsid w:val="001948CC"/>
    <w:rsid w:val="00194A46"/>
    <w:rsid w:val="00195688"/>
    <w:rsid w:val="00195F35"/>
    <w:rsid w:val="001963D4"/>
    <w:rsid w:val="001976BD"/>
    <w:rsid w:val="001A04E4"/>
    <w:rsid w:val="001A0775"/>
    <w:rsid w:val="001A1286"/>
    <w:rsid w:val="001A19FA"/>
    <w:rsid w:val="001A1AF0"/>
    <w:rsid w:val="001A255E"/>
    <w:rsid w:val="001A3973"/>
    <w:rsid w:val="001A3DD2"/>
    <w:rsid w:val="001A4276"/>
    <w:rsid w:val="001A53FF"/>
    <w:rsid w:val="001A6FF4"/>
    <w:rsid w:val="001A7127"/>
    <w:rsid w:val="001A7209"/>
    <w:rsid w:val="001B09AC"/>
    <w:rsid w:val="001B0F83"/>
    <w:rsid w:val="001B1431"/>
    <w:rsid w:val="001B17CD"/>
    <w:rsid w:val="001B204B"/>
    <w:rsid w:val="001B3954"/>
    <w:rsid w:val="001B4006"/>
    <w:rsid w:val="001B4397"/>
    <w:rsid w:val="001B5380"/>
    <w:rsid w:val="001B6E3D"/>
    <w:rsid w:val="001B7038"/>
    <w:rsid w:val="001B71D9"/>
    <w:rsid w:val="001B7808"/>
    <w:rsid w:val="001C0E65"/>
    <w:rsid w:val="001C27A1"/>
    <w:rsid w:val="001C2A1F"/>
    <w:rsid w:val="001C45F7"/>
    <w:rsid w:val="001C47D8"/>
    <w:rsid w:val="001C48F4"/>
    <w:rsid w:val="001C4E8E"/>
    <w:rsid w:val="001C4F26"/>
    <w:rsid w:val="001C524C"/>
    <w:rsid w:val="001C5642"/>
    <w:rsid w:val="001C575A"/>
    <w:rsid w:val="001C5E0D"/>
    <w:rsid w:val="001C61CC"/>
    <w:rsid w:val="001C622F"/>
    <w:rsid w:val="001C6853"/>
    <w:rsid w:val="001C6C66"/>
    <w:rsid w:val="001C6D45"/>
    <w:rsid w:val="001C7F81"/>
    <w:rsid w:val="001D04F5"/>
    <w:rsid w:val="001D0F20"/>
    <w:rsid w:val="001D121F"/>
    <w:rsid w:val="001D3522"/>
    <w:rsid w:val="001D3994"/>
    <w:rsid w:val="001D39E3"/>
    <w:rsid w:val="001D4690"/>
    <w:rsid w:val="001D4A8B"/>
    <w:rsid w:val="001D562D"/>
    <w:rsid w:val="001D6785"/>
    <w:rsid w:val="001D730C"/>
    <w:rsid w:val="001D7763"/>
    <w:rsid w:val="001D7CFD"/>
    <w:rsid w:val="001E0DB1"/>
    <w:rsid w:val="001E11FE"/>
    <w:rsid w:val="001E1E09"/>
    <w:rsid w:val="001E5B03"/>
    <w:rsid w:val="001F004A"/>
    <w:rsid w:val="001F0052"/>
    <w:rsid w:val="001F08A2"/>
    <w:rsid w:val="001F0962"/>
    <w:rsid w:val="001F0A59"/>
    <w:rsid w:val="001F1024"/>
    <w:rsid w:val="001F1544"/>
    <w:rsid w:val="001F1F68"/>
    <w:rsid w:val="001F3B26"/>
    <w:rsid w:val="001F3CE2"/>
    <w:rsid w:val="001F3D2A"/>
    <w:rsid w:val="001F587F"/>
    <w:rsid w:val="001F5AB8"/>
    <w:rsid w:val="002005E4"/>
    <w:rsid w:val="00200AFF"/>
    <w:rsid w:val="00203378"/>
    <w:rsid w:val="00204564"/>
    <w:rsid w:val="00204D3F"/>
    <w:rsid w:val="002056C6"/>
    <w:rsid w:val="00205B01"/>
    <w:rsid w:val="00206816"/>
    <w:rsid w:val="00211563"/>
    <w:rsid w:val="00212E9A"/>
    <w:rsid w:val="00212FDE"/>
    <w:rsid w:val="00214154"/>
    <w:rsid w:val="00215517"/>
    <w:rsid w:val="00215714"/>
    <w:rsid w:val="002164F3"/>
    <w:rsid w:val="002172D2"/>
    <w:rsid w:val="00217657"/>
    <w:rsid w:val="002215BF"/>
    <w:rsid w:val="00222104"/>
    <w:rsid w:val="00222C37"/>
    <w:rsid w:val="00224C97"/>
    <w:rsid w:val="002252AE"/>
    <w:rsid w:val="00225D6F"/>
    <w:rsid w:val="00226156"/>
    <w:rsid w:val="00226CC8"/>
    <w:rsid w:val="00227ABE"/>
    <w:rsid w:val="00227C5F"/>
    <w:rsid w:val="00227E95"/>
    <w:rsid w:val="00227EB4"/>
    <w:rsid w:val="0023126E"/>
    <w:rsid w:val="00231946"/>
    <w:rsid w:val="00232370"/>
    <w:rsid w:val="002325A6"/>
    <w:rsid w:val="002325C7"/>
    <w:rsid w:val="00232EA3"/>
    <w:rsid w:val="0023423F"/>
    <w:rsid w:val="0023449B"/>
    <w:rsid w:val="00234C5B"/>
    <w:rsid w:val="00234EC4"/>
    <w:rsid w:val="00234F10"/>
    <w:rsid w:val="002353CA"/>
    <w:rsid w:val="0023632D"/>
    <w:rsid w:val="00236F17"/>
    <w:rsid w:val="00240D50"/>
    <w:rsid w:val="00240E33"/>
    <w:rsid w:val="00241519"/>
    <w:rsid w:val="00241DD8"/>
    <w:rsid w:val="00241F3F"/>
    <w:rsid w:val="0024210A"/>
    <w:rsid w:val="00242586"/>
    <w:rsid w:val="00243630"/>
    <w:rsid w:val="002437FC"/>
    <w:rsid w:val="00244C79"/>
    <w:rsid w:val="002451B7"/>
    <w:rsid w:val="0024762E"/>
    <w:rsid w:val="00247A83"/>
    <w:rsid w:val="0025137C"/>
    <w:rsid w:val="00251760"/>
    <w:rsid w:val="00251855"/>
    <w:rsid w:val="00251D8B"/>
    <w:rsid w:val="0025208E"/>
    <w:rsid w:val="002523E4"/>
    <w:rsid w:val="0025286A"/>
    <w:rsid w:val="00252A96"/>
    <w:rsid w:val="00252AD6"/>
    <w:rsid w:val="002534E1"/>
    <w:rsid w:val="00253B98"/>
    <w:rsid w:val="00254202"/>
    <w:rsid w:val="00254911"/>
    <w:rsid w:val="0025495E"/>
    <w:rsid w:val="00254E3D"/>
    <w:rsid w:val="00254F50"/>
    <w:rsid w:val="00255D79"/>
    <w:rsid w:val="0025602E"/>
    <w:rsid w:val="00257EAD"/>
    <w:rsid w:val="0026049A"/>
    <w:rsid w:val="0026065A"/>
    <w:rsid w:val="0026117D"/>
    <w:rsid w:val="00261242"/>
    <w:rsid w:val="00261795"/>
    <w:rsid w:val="00261D0F"/>
    <w:rsid w:val="00262BBE"/>
    <w:rsid w:val="00262F2A"/>
    <w:rsid w:val="00263CFF"/>
    <w:rsid w:val="00264B3C"/>
    <w:rsid w:val="00264C0D"/>
    <w:rsid w:val="0026503D"/>
    <w:rsid w:val="0026586E"/>
    <w:rsid w:val="00265DC6"/>
    <w:rsid w:val="002662A8"/>
    <w:rsid w:val="002676CF"/>
    <w:rsid w:val="00267977"/>
    <w:rsid w:val="00270C50"/>
    <w:rsid w:val="00271813"/>
    <w:rsid w:val="002724C7"/>
    <w:rsid w:val="00272B13"/>
    <w:rsid w:val="00272BB8"/>
    <w:rsid w:val="00273BC9"/>
    <w:rsid w:val="002740C1"/>
    <w:rsid w:val="002745A8"/>
    <w:rsid w:val="00274819"/>
    <w:rsid w:val="00274F0F"/>
    <w:rsid w:val="00275AF5"/>
    <w:rsid w:val="00275C1C"/>
    <w:rsid w:val="0027609F"/>
    <w:rsid w:val="002768FE"/>
    <w:rsid w:val="00276FDA"/>
    <w:rsid w:val="002770D2"/>
    <w:rsid w:val="00277E85"/>
    <w:rsid w:val="00280485"/>
    <w:rsid w:val="00280AAB"/>
    <w:rsid w:val="00280B31"/>
    <w:rsid w:val="002817B4"/>
    <w:rsid w:val="00282C6A"/>
    <w:rsid w:val="0028366A"/>
    <w:rsid w:val="002838E0"/>
    <w:rsid w:val="00283C2F"/>
    <w:rsid w:val="002843AB"/>
    <w:rsid w:val="002856B1"/>
    <w:rsid w:val="002859A9"/>
    <w:rsid w:val="00286234"/>
    <w:rsid w:val="00287D7D"/>
    <w:rsid w:val="00292636"/>
    <w:rsid w:val="0029331E"/>
    <w:rsid w:val="00293352"/>
    <w:rsid w:val="00293750"/>
    <w:rsid w:val="0029521E"/>
    <w:rsid w:val="00295D76"/>
    <w:rsid w:val="002965C7"/>
    <w:rsid w:val="00296649"/>
    <w:rsid w:val="00296E9C"/>
    <w:rsid w:val="0029711F"/>
    <w:rsid w:val="00297257"/>
    <w:rsid w:val="002A1CC4"/>
    <w:rsid w:val="002A1FED"/>
    <w:rsid w:val="002A2577"/>
    <w:rsid w:val="002A261A"/>
    <w:rsid w:val="002A2DFD"/>
    <w:rsid w:val="002A3418"/>
    <w:rsid w:val="002A353B"/>
    <w:rsid w:val="002A359C"/>
    <w:rsid w:val="002A3E0F"/>
    <w:rsid w:val="002A46EC"/>
    <w:rsid w:val="002A48A2"/>
    <w:rsid w:val="002A491F"/>
    <w:rsid w:val="002A499E"/>
    <w:rsid w:val="002A4E30"/>
    <w:rsid w:val="002A4FA9"/>
    <w:rsid w:val="002A5A81"/>
    <w:rsid w:val="002A5E84"/>
    <w:rsid w:val="002A6BA1"/>
    <w:rsid w:val="002A6E62"/>
    <w:rsid w:val="002A7573"/>
    <w:rsid w:val="002B0559"/>
    <w:rsid w:val="002B0639"/>
    <w:rsid w:val="002B0A2F"/>
    <w:rsid w:val="002B1329"/>
    <w:rsid w:val="002B14BF"/>
    <w:rsid w:val="002B1B10"/>
    <w:rsid w:val="002B25EC"/>
    <w:rsid w:val="002B3C4B"/>
    <w:rsid w:val="002B3D86"/>
    <w:rsid w:val="002B3EF8"/>
    <w:rsid w:val="002B4F74"/>
    <w:rsid w:val="002B5933"/>
    <w:rsid w:val="002B6225"/>
    <w:rsid w:val="002B6B71"/>
    <w:rsid w:val="002B6B87"/>
    <w:rsid w:val="002B7594"/>
    <w:rsid w:val="002B7AF0"/>
    <w:rsid w:val="002C06A0"/>
    <w:rsid w:val="002C0A6F"/>
    <w:rsid w:val="002C0D81"/>
    <w:rsid w:val="002C2C3A"/>
    <w:rsid w:val="002C5BCF"/>
    <w:rsid w:val="002C5DE4"/>
    <w:rsid w:val="002C657E"/>
    <w:rsid w:val="002C6EAD"/>
    <w:rsid w:val="002C73A9"/>
    <w:rsid w:val="002C7C3D"/>
    <w:rsid w:val="002D0415"/>
    <w:rsid w:val="002D0B3D"/>
    <w:rsid w:val="002D426A"/>
    <w:rsid w:val="002D485E"/>
    <w:rsid w:val="002D4E58"/>
    <w:rsid w:val="002D587F"/>
    <w:rsid w:val="002D60AD"/>
    <w:rsid w:val="002D68EF"/>
    <w:rsid w:val="002D6C80"/>
    <w:rsid w:val="002E07D3"/>
    <w:rsid w:val="002E1585"/>
    <w:rsid w:val="002E1D55"/>
    <w:rsid w:val="002E21A5"/>
    <w:rsid w:val="002E253D"/>
    <w:rsid w:val="002E3249"/>
    <w:rsid w:val="002E511A"/>
    <w:rsid w:val="002E61F7"/>
    <w:rsid w:val="002F079F"/>
    <w:rsid w:val="002F094D"/>
    <w:rsid w:val="002F1DA4"/>
    <w:rsid w:val="002F2106"/>
    <w:rsid w:val="002F2232"/>
    <w:rsid w:val="002F2AF7"/>
    <w:rsid w:val="002F2B13"/>
    <w:rsid w:val="002F3473"/>
    <w:rsid w:val="002F3B28"/>
    <w:rsid w:val="002F41A8"/>
    <w:rsid w:val="002F4370"/>
    <w:rsid w:val="002F5B40"/>
    <w:rsid w:val="002F64BD"/>
    <w:rsid w:val="002F675E"/>
    <w:rsid w:val="002F67E1"/>
    <w:rsid w:val="003012A1"/>
    <w:rsid w:val="003018F2"/>
    <w:rsid w:val="00302179"/>
    <w:rsid w:val="00302916"/>
    <w:rsid w:val="00302A24"/>
    <w:rsid w:val="00302A2C"/>
    <w:rsid w:val="00303E4E"/>
    <w:rsid w:val="003057DA"/>
    <w:rsid w:val="00305E2B"/>
    <w:rsid w:val="00307510"/>
    <w:rsid w:val="00307821"/>
    <w:rsid w:val="00312452"/>
    <w:rsid w:val="003133BF"/>
    <w:rsid w:val="00313456"/>
    <w:rsid w:val="003136B8"/>
    <w:rsid w:val="003142B3"/>
    <w:rsid w:val="003143C4"/>
    <w:rsid w:val="00315699"/>
    <w:rsid w:val="00315889"/>
    <w:rsid w:val="00315FC0"/>
    <w:rsid w:val="00316D4B"/>
    <w:rsid w:val="00317324"/>
    <w:rsid w:val="0031779E"/>
    <w:rsid w:val="00320516"/>
    <w:rsid w:val="00320517"/>
    <w:rsid w:val="00320A37"/>
    <w:rsid w:val="00320D81"/>
    <w:rsid w:val="00321507"/>
    <w:rsid w:val="003215C8"/>
    <w:rsid w:val="003216C7"/>
    <w:rsid w:val="00322263"/>
    <w:rsid w:val="003269A5"/>
    <w:rsid w:val="00326C7A"/>
    <w:rsid w:val="00327452"/>
    <w:rsid w:val="00333296"/>
    <w:rsid w:val="003332CA"/>
    <w:rsid w:val="00333425"/>
    <w:rsid w:val="0033457A"/>
    <w:rsid w:val="00334796"/>
    <w:rsid w:val="003349C5"/>
    <w:rsid w:val="00334F32"/>
    <w:rsid w:val="00335094"/>
    <w:rsid w:val="003356C5"/>
    <w:rsid w:val="00336971"/>
    <w:rsid w:val="00337606"/>
    <w:rsid w:val="003414C2"/>
    <w:rsid w:val="00341934"/>
    <w:rsid w:val="003426AA"/>
    <w:rsid w:val="00342894"/>
    <w:rsid w:val="0034339F"/>
    <w:rsid w:val="0034345A"/>
    <w:rsid w:val="00343649"/>
    <w:rsid w:val="0034404A"/>
    <w:rsid w:val="003441A6"/>
    <w:rsid w:val="0034464E"/>
    <w:rsid w:val="00345584"/>
    <w:rsid w:val="00345629"/>
    <w:rsid w:val="00345C74"/>
    <w:rsid w:val="00346957"/>
    <w:rsid w:val="00346D95"/>
    <w:rsid w:val="00347305"/>
    <w:rsid w:val="003475DA"/>
    <w:rsid w:val="00347B44"/>
    <w:rsid w:val="0035037D"/>
    <w:rsid w:val="00350495"/>
    <w:rsid w:val="00350783"/>
    <w:rsid w:val="00351A1E"/>
    <w:rsid w:val="00351F0D"/>
    <w:rsid w:val="003522C2"/>
    <w:rsid w:val="00352988"/>
    <w:rsid w:val="0035373D"/>
    <w:rsid w:val="003537B8"/>
    <w:rsid w:val="00353E5B"/>
    <w:rsid w:val="003551F4"/>
    <w:rsid w:val="0035636C"/>
    <w:rsid w:val="00356C6D"/>
    <w:rsid w:val="00357A32"/>
    <w:rsid w:val="00360338"/>
    <w:rsid w:val="00361153"/>
    <w:rsid w:val="003612EF"/>
    <w:rsid w:val="00363988"/>
    <w:rsid w:val="0036408E"/>
    <w:rsid w:val="003651E7"/>
    <w:rsid w:val="00366774"/>
    <w:rsid w:val="0036746D"/>
    <w:rsid w:val="0036752C"/>
    <w:rsid w:val="003675DA"/>
    <w:rsid w:val="003675E5"/>
    <w:rsid w:val="0037004B"/>
    <w:rsid w:val="00370359"/>
    <w:rsid w:val="00370637"/>
    <w:rsid w:val="00371B89"/>
    <w:rsid w:val="00372D3D"/>
    <w:rsid w:val="003731A2"/>
    <w:rsid w:val="003736BA"/>
    <w:rsid w:val="003757A6"/>
    <w:rsid w:val="0037603E"/>
    <w:rsid w:val="003762FA"/>
    <w:rsid w:val="00376828"/>
    <w:rsid w:val="00376F73"/>
    <w:rsid w:val="00380982"/>
    <w:rsid w:val="003809B1"/>
    <w:rsid w:val="00380E39"/>
    <w:rsid w:val="003816E9"/>
    <w:rsid w:val="00381D5A"/>
    <w:rsid w:val="003828D0"/>
    <w:rsid w:val="00382A77"/>
    <w:rsid w:val="003837E9"/>
    <w:rsid w:val="00383AAD"/>
    <w:rsid w:val="00383B79"/>
    <w:rsid w:val="00383DAD"/>
    <w:rsid w:val="003853B8"/>
    <w:rsid w:val="00386A30"/>
    <w:rsid w:val="00386EC3"/>
    <w:rsid w:val="00387466"/>
    <w:rsid w:val="00387591"/>
    <w:rsid w:val="00387CC5"/>
    <w:rsid w:val="00387CEA"/>
    <w:rsid w:val="00387D8F"/>
    <w:rsid w:val="0039175A"/>
    <w:rsid w:val="0039218C"/>
    <w:rsid w:val="003933FA"/>
    <w:rsid w:val="0039346B"/>
    <w:rsid w:val="00393720"/>
    <w:rsid w:val="00394E09"/>
    <w:rsid w:val="00396349"/>
    <w:rsid w:val="00396400"/>
    <w:rsid w:val="00396C13"/>
    <w:rsid w:val="0039708C"/>
    <w:rsid w:val="003978B4"/>
    <w:rsid w:val="00397CE8"/>
    <w:rsid w:val="00397E0B"/>
    <w:rsid w:val="00397F86"/>
    <w:rsid w:val="003A04AA"/>
    <w:rsid w:val="003A16A8"/>
    <w:rsid w:val="003A199D"/>
    <w:rsid w:val="003A235D"/>
    <w:rsid w:val="003A26D3"/>
    <w:rsid w:val="003A40F4"/>
    <w:rsid w:val="003A48B2"/>
    <w:rsid w:val="003A4D8F"/>
    <w:rsid w:val="003A5D56"/>
    <w:rsid w:val="003A759B"/>
    <w:rsid w:val="003B0BC0"/>
    <w:rsid w:val="003B18CE"/>
    <w:rsid w:val="003B1D59"/>
    <w:rsid w:val="003B2D5A"/>
    <w:rsid w:val="003B371C"/>
    <w:rsid w:val="003B374E"/>
    <w:rsid w:val="003B3B9D"/>
    <w:rsid w:val="003B3D38"/>
    <w:rsid w:val="003B4C60"/>
    <w:rsid w:val="003B5446"/>
    <w:rsid w:val="003B5BAA"/>
    <w:rsid w:val="003B5E45"/>
    <w:rsid w:val="003B618D"/>
    <w:rsid w:val="003B6EF6"/>
    <w:rsid w:val="003B7345"/>
    <w:rsid w:val="003C0C10"/>
    <w:rsid w:val="003C11A5"/>
    <w:rsid w:val="003C12BF"/>
    <w:rsid w:val="003C34DB"/>
    <w:rsid w:val="003C3C76"/>
    <w:rsid w:val="003C48F4"/>
    <w:rsid w:val="003C5A2E"/>
    <w:rsid w:val="003C5ED6"/>
    <w:rsid w:val="003C65D0"/>
    <w:rsid w:val="003D0046"/>
    <w:rsid w:val="003D07B8"/>
    <w:rsid w:val="003D16BF"/>
    <w:rsid w:val="003D2063"/>
    <w:rsid w:val="003D2AE0"/>
    <w:rsid w:val="003D2DDB"/>
    <w:rsid w:val="003D37AA"/>
    <w:rsid w:val="003D3809"/>
    <w:rsid w:val="003D3EE8"/>
    <w:rsid w:val="003D4B1B"/>
    <w:rsid w:val="003D5773"/>
    <w:rsid w:val="003D5B03"/>
    <w:rsid w:val="003D695D"/>
    <w:rsid w:val="003D698F"/>
    <w:rsid w:val="003D7A57"/>
    <w:rsid w:val="003D7B49"/>
    <w:rsid w:val="003E13B1"/>
    <w:rsid w:val="003E1628"/>
    <w:rsid w:val="003E1E2E"/>
    <w:rsid w:val="003E21C6"/>
    <w:rsid w:val="003E25F6"/>
    <w:rsid w:val="003E3F87"/>
    <w:rsid w:val="003E5228"/>
    <w:rsid w:val="003E6450"/>
    <w:rsid w:val="003E6602"/>
    <w:rsid w:val="003F0B14"/>
    <w:rsid w:val="003F1B7A"/>
    <w:rsid w:val="003F22B8"/>
    <w:rsid w:val="003F243A"/>
    <w:rsid w:val="003F287A"/>
    <w:rsid w:val="003F45FE"/>
    <w:rsid w:val="003F4AA2"/>
    <w:rsid w:val="003F601C"/>
    <w:rsid w:val="003F636D"/>
    <w:rsid w:val="003F7B95"/>
    <w:rsid w:val="00400346"/>
    <w:rsid w:val="00400D70"/>
    <w:rsid w:val="00401503"/>
    <w:rsid w:val="0040172B"/>
    <w:rsid w:val="00402FE1"/>
    <w:rsid w:val="00403AB6"/>
    <w:rsid w:val="00404418"/>
    <w:rsid w:val="0040451E"/>
    <w:rsid w:val="00405616"/>
    <w:rsid w:val="00405A83"/>
    <w:rsid w:val="00405B4D"/>
    <w:rsid w:val="00406B0A"/>
    <w:rsid w:val="00406E4E"/>
    <w:rsid w:val="00407DC0"/>
    <w:rsid w:val="00410740"/>
    <w:rsid w:val="00410B1E"/>
    <w:rsid w:val="00411D1E"/>
    <w:rsid w:val="0041497E"/>
    <w:rsid w:val="00414C41"/>
    <w:rsid w:val="00414C73"/>
    <w:rsid w:val="004166FC"/>
    <w:rsid w:val="00416A4C"/>
    <w:rsid w:val="004204BA"/>
    <w:rsid w:val="00420FC0"/>
    <w:rsid w:val="00422BD2"/>
    <w:rsid w:val="00424DB3"/>
    <w:rsid w:val="004251F5"/>
    <w:rsid w:val="0042527F"/>
    <w:rsid w:val="004254DD"/>
    <w:rsid w:val="00425F04"/>
    <w:rsid w:val="00427844"/>
    <w:rsid w:val="00427DC0"/>
    <w:rsid w:val="004303AE"/>
    <w:rsid w:val="004317B5"/>
    <w:rsid w:val="00431C58"/>
    <w:rsid w:val="00431D66"/>
    <w:rsid w:val="00432BD4"/>
    <w:rsid w:val="00432EED"/>
    <w:rsid w:val="00434904"/>
    <w:rsid w:val="00434E09"/>
    <w:rsid w:val="0043516E"/>
    <w:rsid w:val="004353AC"/>
    <w:rsid w:val="00435530"/>
    <w:rsid w:val="004365F0"/>
    <w:rsid w:val="004408D1"/>
    <w:rsid w:val="004419ED"/>
    <w:rsid w:val="00442102"/>
    <w:rsid w:val="00443EDA"/>
    <w:rsid w:val="00444826"/>
    <w:rsid w:val="0044507C"/>
    <w:rsid w:val="00445917"/>
    <w:rsid w:val="0044648F"/>
    <w:rsid w:val="00446F7B"/>
    <w:rsid w:val="0044787C"/>
    <w:rsid w:val="00447AC9"/>
    <w:rsid w:val="00447DE7"/>
    <w:rsid w:val="00451CB1"/>
    <w:rsid w:val="00451D50"/>
    <w:rsid w:val="00451DA3"/>
    <w:rsid w:val="00452158"/>
    <w:rsid w:val="00452A78"/>
    <w:rsid w:val="00452EBA"/>
    <w:rsid w:val="00453691"/>
    <w:rsid w:val="00454787"/>
    <w:rsid w:val="00454AAD"/>
    <w:rsid w:val="00455A0C"/>
    <w:rsid w:val="00455A3F"/>
    <w:rsid w:val="00456061"/>
    <w:rsid w:val="00456D74"/>
    <w:rsid w:val="00456FA2"/>
    <w:rsid w:val="004576DB"/>
    <w:rsid w:val="00457A4F"/>
    <w:rsid w:val="00461EFD"/>
    <w:rsid w:val="004636D9"/>
    <w:rsid w:val="0046386F"/>
    <w:rsid w:val="00463C56"/>
    <w:rsid w:val="00463EB0"/>
    <w:rsid w:val="004650A0"/>
    <w:rsid w:val="00465864"/>
    <w:rsid w:val="004658DC"/>
    <w:rsid w:val="004659F6"/>
    <w:rsid w:val="00466044"/>
    <w:rsid w:val="00467323"/>
    <w:rsid w:val="004678B6"/>
    <w:rsid w:val="00467DB1"/>
    <w:rsid w:val="00470F43"/>
    <w:rsid w:val="00471AEB"/>
    <w:rsid w:val="00472BF0"/>
    <w:rsid w:val="0047382D"/>
    <w:rsid w:val="00473B5D"/>
    <w:rsid w:val="00474E6D"/>
    <w:rsid w:val="00475055"/>
    <w:rsid w:val="00475863"/>
    <w:rsid w:val="00476AC9"/>
    <w:rsid w:val="004804DE"/>
    <w:rsid w:val="00480E50"/>
    <w:rsid w:val="00482D14"/>
    <w:rsid w:val="00483982"/>
    <w:rsid w:val="004839AF"/>
    <w:rsid w:val="00485720"/>
    <w:rsid w:val="00485E55"/>
    <w:rsid w:val="00485EC4"/>
    <w:rsid w:val="00486463"/>
    <w:rsid w:val="00486563"/>
    <w:rsid w:val="00487F9C"/>
    <w:rsid w:val="004908E3"/>
    <w:rsid w:val="00491EBC"/>
    <w:rsid w:val="004926D9"/>
    <w:rsid w:val="00492D90"/>
    <w:rsid w:val="004939FC"/>
    <w:rsid w:val="00493E08"/>
    <w:rsid w:val="00494D51"/>
    <w:rsid w:val="004951AF"/>
    <w:rsid w:val="00495373"/>
    <w:rsid w:val="00495B76"/>
    <w:rsid w:val="00496682"/>
    <w:rsid w:val="004978F0"/>
    <w:rsid w:val="00497B72"/>
    <w:rsid w:val="004A085F"/>
    <w:rsid w:val="004A1BAA"/>
    <w:rsid w:val="004A2762"/>
    <w:rsid w:val="004A2E26"/>
    <w:rsid w:val="004A34DE"/>
    <w:rsid w:val="004A4B66"/>
    <w:rsid w:val="004A519B"/>
    <w:rsid w:val="004A57A6"/>
    <w:rsid w:val="004A58FF"/>
    <w:rsid w:val="004A70A6"/>
    <w:rsid w:val="004B044E"/>
    <w:rsid w:val="004B083E"/>
    <w:rsid w:val="004B16BA"/>
    <w:rsid w:val="004B17B9"/>
    <w:rsid w:val="004B19DF"/>
    <w:rsid w:val="004B21B9"/>
    <w:rsid w:val="004B27BB"/>
    <w:rsid w:val="004B2ED0"/>
    <w:rsid w:val="004B46F3"/>
    <w:rsid w:val="004B4877"/>
    <w:rsid w:val="004B4887"/>
    <w:rsid w:val="004B4A89"/>
    <w:rsid w:val="004B4B32"/>
    <w:rsid w:val="004B4FE6"/>
    <w:rsid w:val="004B5BE0"/>
    <w:rsid w:val="004B621E"/>
    <w:rsid w:val="004B6356"/>
    <w:rsid w:val="004B6B08"/>
    <w:rsid w:val="004B77C4"/>
    <w:rsid w:val="004C01DF"/>
    <w:rsid w:val="004C0603"/>
    <w:rsid w:val="004C0802"/>
    <w:rsid w:val="004C11DF"/>
    <w:rsid w:val="004C202B"/>
    <w:rsid w:val="004C250C"/>
    <w:rsid w:val="004C3083"/>
    <w:rsid w:val="004C3C03"/>
    <w:rsid w:val="004C4067"/>
    <w:rsid w:val="004C47B8"/>
    <w:rsid w:val="004C4CB8"/>
    <w:rsid w:val="004C5895"/>
    <w:rsid w:val="004C5E33"/>
    <w:rsid w:val="004C718C"/>
    <w:rsid w:val="004C733F"/>
    <w:rsid w:val="004C7836"/>
    <w:rsid w:val="004C7D53"/>
    <w:rsid w:val="004D215A"/>
    <w:rsid w:val="004D2C90"/>
    <w:rsid w:val="004D2E6A"/>
    <w:rsid w:val="004D3C53"/>
    <w:rsid w:val="004D3C93"/>
    <w:rsid w:val="004D3D2E"/>
    <w:rsid w:val="004D40AA"/>
    <w:rsid w:val="004D4466"/>
    <w:rsid w:val="004D4823"/>
    <w:rsid w:val="004D5136"/>
    <w:rsid w:val="004D585D"/>
    <w:rsid w:val="004D64EB"/>
    <w:rsid w:val="004D6A34"/>
    <w:rsid w:val="004D7D0E"/>
    <w:rsid w:val="004E0C7D"/>
    <w:rsid w:val="004E1EBD"/>
    <w:rsid w:val="004E2F4C"/>
    <w:rsid w:val="004E2FA2"/>
    <w:rsid w:val="004E333C"/>
    <w:rsid w:val="004E4974"/>
    <w:rsid w:val="004E5686"/>
    <w:rsid w:val="004E668C"/>
    <w:rsid w:val="004E6D3B"/>
    <w:rsid w:val="004E71E2"/>
    <w:rsid w:val="004E72B6"/>
    <w:rsid w:val="004E798F"/>
    <w:rsid w:val="004F0939"/>
    <w:rsid w:val="004F2114"/>
    <w:rsid w:val="004F3A71"/>
    <w:rsid w:val="004F3C2D"/>
    <w:rsid w:val="004F40AB"/>
    <w:rsid w:val="004F434F"/>
    <w:rsid w:val="004F5B6F"/>
    <w:rsid w:val="004F6D03"/>
    <w:rsid w:val="005002EC"/>
    <w:rsid w:val="005005A8"/>
    <w:rsid w:val="0050095A"/>
    <w:rsid w:val="00500E43"/>
    <w:rsid w:val="00501BEE"/>
    <w:rsid w:val="00502644"/>
    <w:rsid w:val="00502C69"/>
    <w:rsid w:val="005043D4"/>
    <w:rsid w:val="005044F1"/>
    <w:rsid w:val="005046F7"/>
    <w:rsid w:val="0050584C"/>
    <w:rsid w:val="00506318"/>
    <w:rsid w:val="0050686F"/>
    <w:rsid w:val="00506E9A"/>
    <w:rsid w:val="00510529"/>
    <w:rsid w:val="00511BFC"/>
    <w:rsid w:val="00511FBC"/>
    <w:rsid w:val="0051238A"/>
    <w:rsid w:val="0051320B"/>
    <w:rsid w:val="00514654"/>
    <w:rsid w:val="005147C0"/>
    <w:rsid w:val="0051482C"/>
    <w:rsid w:val="0051498A"/>
    <w:rsid w:val="00515A77"/>
    <w:rsid w:val="00515F25"/>
    <w:rsid w:val="005165D5"/>
    <w:rsid w:val="00517BA5"/>
    <w:rsid w:val="00517BED"/>
    <w:rsid w:val="00517ED7"/>
    <w:rsid w:val="005208B6"/>
    <w:rsid w:val="005219FC"/>
    <w:rsid w:val="0052414E"/>
    <w:rsid w:val="00524344"/>
    <w:rsid w:val="005247E3"/>
    <w:rsid w:val="00524FFD"/>
    <w:rsid w:val="005270D7"/>
    <w:rsid w:val="00531A93"/>
    <w:rsid w:val="00531C47"/>
    <w:rsid w:val="00532021"/>
    <w:rsid w:val="00532D22"/>
    <w:rsid w:val="00532F9C"/>
    <w:rsid w:val="005330A7"/>
    <w:rsid w:val="00533416"/>
    <w:rsid w:val="00533A98"/>
    <w:rsid w:val="00533B48"/>
    <w:rsid w:val="00534010"/>
    <w:rsid w:val="00535BCA"/>
    <w:rsid w:val="00535D38"/>
    <w:rsid w:val="00535FBD"/>
    <w:rsid w:val="005401D7"/>
    <w:rsid w:val="00540B81"/>
    <w:rsid w:val="005416A7"/>
    <w:rsid w:val="005420AE"/>
    <w:rsid w:val="00542376"/>
    <w:rsid w:val="00542A00"/>
    <w:rsid w:val="00543D76"/>
    <w:rsid w:val="00543FBB"/>
    <w:rsid w:val="00546160"/>
    <w:rsid w:val="00546B5B"/>
    <w:rsid w:val="00546B80"/>
    <w:rsid w:val="00546C03"/>
    <w:rsid w:val="00547A51"/>
    <w:rsid w:val="00547EEB"/>
    <w:rsid w:val="005501FF"/>
    <w:rsid w:val="00550385"/>
    <w:rsid w:val="0055039A"/>
    <w:rsid w:val="0055218F"/>
    <w:rsid w:val="00552924"/>
    <w:rsid w:val="00552B8A"/>
    <w:rsid w:val="0055360F"/>
    <w:rsid w:val="0055441A"/>
    <w:rsid w:val="00555534"/>
    <w:rsid w:val="005557FA"/>
    <w:rsid w:val="005603E5"/>
    <w:rsid w:val="0056146B"/>
    <w:rsid w:val="00561A56"/>
    <w:rsid w:val="00562AD2"/>
    <w:rsid w:val="00563107"/>
    <w:rsid w:val="00563A52"/>
    <w:rsid w:val="00563AD7"/>
    <w:rsid w:val="00563D3C"/>
    <w:rsid w:val="005644D0"/>
    <w:rsid w:val="00564670"/>
    <w:rsid w:val="00565FD4"/>
    <w:rsid w:val="00567917"/>
    <w:rsid w:val="00567F7C"/>
    <w:rsid w:val="00570F64"/>
    <w:rsid w:val="00570FB2"/>
    <w:rsid w:val="00571A17"/>
    <w:rsid w:val="00571E58"/>
    <w:rsid w:val="00571F15"/>
    <w:rsid w:val="005722B9"/>
    <w:rsid w:val="0057375D"/>
    <w:rsid w:val="005738E1"/>
    <w:rsid w:val="00573AAF"/>
    <w:rsid w:val="00574930"/>
    <w:rsid w:val="005754EC"/>
    <w:rsid w:val="00577069"/>
    <w:rsid w:val="005771CF"/>
    <w:rsid w:val="00580ECE"/>
    <w:rsid w:val="00581844"/>
    <w:rsid w:val="00581B24"/>
    <w:rsid w:val="005839AB"/>
    <w:rsid w:val="00583ECD"/>
    <w:rsid w:val="0058455F"/>
    <w:rsid w:val="00584B1D"/>
    <w:rsid w:val="00584E9F"/>
    <w:rsid w:val="0058515E"/>
    <w:rsid w:val="00586EBD"/>
    <w:rsid w:val="00587997"/>
    <w:rsid w:val="005905BE"/>
    <w:rsid w:val="00590900"/>
    <w:rsid w:val="00590B56"/>
    <w:rsid w:val="005918DD"/>
    <w:rsid w:val="00592F88"/>
    <w:rsid w:val="00593CA0"/>
    <w:rsid w:val="0059478B"/>
    <w:rsid w:val="0059717E"/>
    <w:rsid w:val="00597FAF"/>
    <w:rsid w:val="005A0896"/>
    <w:rsid w:val="005A1153"/>
    <w:rsid w:val="005A1E4A"/>
    <w:rsid w:val="005A243C"/>
    <w:rsid w:val="005A2AA9"/>
    <w:rsid w:val="005A3505"/>
    <w:rsid w:val="005A3647"/>
    <w:rsid w:val="005A5C83"/>
    <w:rsid w:val="005A7D2D"/>
    <w:rsid w:val="005B0317"/>
    <w:rsid w:val="005B0AE1"/>
    <w:rsid w:val="005B2622"/>
    <w:rsid w:val="005B2851"/>
    <w:rsid w:val="005B28C7"/>
    <w:rsid w:val="005B2DB2"/>
    <w:rsid w:val="005B5290"/>
    <w:rsid w:val="005B5665"/>
    <w:rsid w:val="005B5700"/>
    <w:rsid w:val="005B5D3D"/>
    <w:rsid w:val="005B70EA"/>
    <w:rsid w:val="005C1B07"/>
    <w:rsid w:val="005C1F2E"/>
    <w:rsid w:val="005C25AC"/>
    <w:rsid w:val="005C36F3"/>
    <w:rsid w:val="005C3D4D"/>
    <w:rsid w:val="005C42F9"/>
    <w:rsid w:val="005C4447"/>
    <w:rsid w:val="005C4EE8"/>
    <w:rsid w:val="005C5C42"/>
    <w:rsid w:val="005C67F0"/>
    <w:rsid w:val="005C71A3"/>
    <w:rsid w:val="005D0704"/>
    <w:rsid w:val="005D080A"/>
    <w:rsid w:val="005D114B"/>
    <w:rsid w:val="005D14AB"/>
    <w:rsid w:val="005D183F"/>
    <w:rsid w:val="005D1A29"/>
    <w:rsid w:val="005D270C"/>
    <w:rsid w:val="005D29D4"/>
    <w:rsid w:val="005D3A5C"/>
    <w:rsid w:val="005D48F1"/>
    <w:rsid w:val="005D564D"/>
    <w:rsid w:val="005D6D58"/>
    <w:rsid w:val="005D6E63"/>
    <w:rsid w:val="005E0057"/>
    <w:rsid w:val="005E050F"/>
    <w:rsid w:val="005E07E0"/>
    <w:rsid w:val="005E0920"/>
    <w:rsid w:val="005E1309"/>
    <w:rsid w:val="005E2E62"/>
    <w:rsid w:val="005E3051"/>
    <w:rsid w:val="005E44E3"/>
    <w:rsid w:val="005E4F5E"/>
    <w:rsid w:val="005E592F"/>
    <w:rsid w:val="005E69C1"/>
    <w:rsid w:val="005F017F"/>
    <w:rsid w:val="005F03D9"/>
    <w:rsid w:val="005F053B"/>
    <w:rsid w:val="005F09EC"/>
    <w:rsid w:val="005F150F"/>
    <w:rsid w:val="005F1BD7"/>
    <w:rsid w:val="005F1EFB"/>
    <w:rsid w:val="005F5E34"/>
    <w:rsid w:val="005F5F41"/>
    <w:rsid w:val="006006D3"/>
    <w:rsid w:val="00600E5A"/>
    <w:rsid w:val="00601527"/>
    <w:rsid w:val="00603368"/>
    <w:rsid w:val="00603DFF"/>
    <w:rsid w:val="006044AE"/>
    <w:rsid w:val="0060482C"/>
    <w:rsid w:val="00605065"/>
    <w:rsid w:val="006055B9"/>
    <w:rsid w:val="00605E70"/>
    <w:rsid w:val="0060625F"/>
    <w:rsid w:val="006066BE"/>
    <w:rsid w:val="006067F0"/>
    <w:rsid w:val="00606C54"/>
    <w:rsid w:val="006078C6"/>
    <w:rsid w:val="0061107C"/>
    <w:rsid w:val="006120CF"/>
    <w:rsid w:val="006127DB"/>
    <w:rsid w:val="006138E3"/>
    <w:rsid w:val="0061391A"/>
    <w:rsid w:val="00614042"/>
    <w:rsid w:val="006143B0"/>
    <w:rsid w:val="006147C7"/>
    <w:rsid w:val="00615EC9"/>
    <w:rsid w:val="00615FEC"/>
    <w:rsid w:val="00616D3C"/>
    <w:rsid w:val="00617EAC"/>
    <w:rsid w:val="006204D2"/>
    <w:rsid w:val="00620610"/>
    <w:rsid w:val="00620655"/>
    <w:rsid w:val="0062154F"/>
    <w:rsid w:val="006238B9"/>
    <w:rsid w:val="00625FC9"/>
    <w:rsid w:val="0062650E"/>
    <w:rsid w:val="006267F6"/>
    <w:rsid w:val="00626E9E"/>
    <w:rsid w:val="00630083"/>
    <w:rsid w:val="0063099C"/>
    <w:rsid w:val="006316E9"/>
    <w:rsid w:val="00632120"/>
    <w:rsid w:val="00632314"/>
    <w:rsid w:val="00633876"/>
    <w:rsid w:val="00633C31"/>
    <w:rsid w:val="00633C60"/>
    <w:rsid w:val="00634763"/>
    <w:rsid w:val="00635A37"/>
    <w:rsid w:val="00635B0E"/>
    <w:rsid w:val="00635F59"/>
    <w:rsid w:val="006364E3"/>
    <w:rsid w:val="00636656"/>
    <w:rsid w:val="006378C5"/>
    <w:rsid w:val="006401D8"/>
    <w:rsid w:val="0064031B"/>
    <w:rsid w:val="0064040D"/>
    <w:rsid w:val="00640500"/>
    <w:rsid w:val="00640583"/>
    <w:rsid w:val="00640E33"/>
    <w:rsid w:val="006413FF"/>
    <w:rsid w:val="00642989"/>
    <w:rsid w:val="006430C5"/>
    <w:rsid w:val="00643616"/>
    <w:rsid w:val="0064377D"/>
    <w:rsid w:val="006444CE"/>
    <w:rsid w:val="006448A3"/>
    <w:rsid w:val="00644F71"/>
    <w:rsid w:val="00645D6D"/>
    <w:rsid w:val="00646228"/>
    <w:rsid w:val="00646460"/>
    <w:rsid w:val="00646AB3"/>
    <w:rsid w:val="00647272"/>
    <w:rsid w:val="00647B72"/>
    <w:rsid w:val="00650903"/>
    <w:rsid w:val="00650C45"/>
    <w:rsid w:val="00650E82"/>
    <w:rsid w:val="0065467A"/>
    <w:rsid w:val="006559F0"/>
    <w:rsid w:val="00655C8E"/>
    <w:rsid w:val="006572A5"/>
    <w:rsid w:val="006572F5"/>
    <w:rsid w:val="006577F5"/>
    <w:rsid w:val="00657DC4"/>
    <w:rsid w:val="006608FE"/>
    <w:rsid w:val="00660996"/>
    <w:rsid w:val="00660B90"/>
    <w:rsid w:val="00660E8F"/>
    <w:rsid w:val="00661337"/>
    <w:rsid w:val="0066222B"/>
    <w:rsid w:val="0066241B"/>
    <w:rsid w:val="00662934"/>
    <w:rsid w:val="00663022"/>
    <w:rsid w:val="00663B38"/>
    <w:rsid w:val="00664137"/>
    <w:rsid w:val="00664437"/>
    <w:rsid w:val="0066491A"/>
    <w:rsid w:val="0066612C"/>
    <w:rsid w:val="00666E5A"/>
    <w:rsid w:val="006701D7"/>
    <w:rsid w:val="00672375"/>
    <w:rsid w:val="00672C1E"/>
    <w:rsid w:val="00672E5F"/>
    <w:rsid w:val="006730D6"/>
    <w:rsid w:val="00673625"/>
    <w:rsid w:val="00673822"/>
    <w:rsid w:val="0067410C"/>
    <w:rsid w:val="0067691F"/>
    <w:rsid w:val="00676FDA"/>
    <w:rsid w:val="00677D10"/>
    <w:rsid w:val="00680D17"/>
    <w:rsid w:val="00681756"/>
    <w:rsid w:val="00681A9B"/>
    <w:rsid w:val="00682BA4"/>
    <w:rsid w:val="0068405B"/>
    <w:rsid w:val="00685421"/>
    <w:rsid w:val="006855BD"/>
    <w:rsid w:val="0068574E"/>
    <w:rsid w:val="00685D3A"/>
    <w:rsid w:val="00686CC4"/>
    <w:rsid w:val="00686FF1"/>
    <w:rsid w:val="006870D8"/>
    <w:rsid w:val="006873A7"/>
    <w:rsid w:val="00687437"/>
    <w:rsid w:val="0069065B"/>
    <w:rsid w:val="00691B8B"/>
    <w:rsid w:val="00692BDC"/>
    <w:rsid w:val="00692C61"/>
    <w:rsid w:val="0069403C"/>
    <w:rsid w:val="006947FC"/>
    <w:rsid w:val="00695821"/>
    <w:rsid w:val="00696F0E"/>
    <w:rsid w:val="006A0086"/>
    <w:rsid w:val="006A188C"/>
    <w:rsid w:val="006A216C"/>
    <w:rsid w:val="006A2589"/>
    <w:rsid w:val="006A39D6"/>
    <w:rsid w:val="006A5DFA"/>
    <w:rsid w:val="006A66F5"/>
    <w:rsid w:val="006A696B"/>
    <w:rsid w:val="006B08CF"/>
    <w:rsid w:val="006B2A76"/>
    <w:rsid w:val="006B335D"/>
    <w:rsid w:val="006B4412"/>
    <w:rsid w:val="006B45CA"/>
    <w:rsid w:val="006B4D97"/>
    <w:rsid w:val="006B6780"/>
    <w:rsid w:val="006B6D2F"/>
    <w:rsid w:val="006B711E"/>
    <w:rsid w:val="006C05E3"/>
    <w:rsid w:val="006C0EA6"/>
    <w:rsid w:val="006C2086"/>
    <w:rsid w:val="006C30C4"/>
    <w:rsid w:val="006C30FE"/>
    <w:rsid w:val="006C341A"/>
    <w:rsid w:val="006C3551"/>
    <w:rsid w:val="006C36E7"/>
    <w:rsid w:val="006C3810"/>
    <w:rsid w:val="006C65E9"/>
    <w:rsid w:val="006C6A9A"/>
    <w:rsid w:val="006D13D7"/>
    <w:rsid w:val="006D217D"/>
    <w:rsid w:val="006D29BE"/>
    <w:rsid w:val="006D2E4A"/>
    <w:rsid w:val="006D3047"/>
    <w:rsid w:val="006D369A"/>
    <w:rsid w:val="006D4418"/>
    <w:rsid w:val="006D504A"/>
    <w:rsid w:val="006D6A8C"/>
    <w:rsid w:val="006D7A2A"/>
    <w:rsid w:val="006D7A90"/>
    <w:rsid w:val="006E0711"/>
    <w:rsid w:val="006E0C6B"/>
    <w:rsid w:val="006E0FEE"/>
    <w:rsid w:val="006E1041"/>
    <w:rsid w:val="006E263A"/>
    <w:rsid w:val="006E3960"/>
    <w:rsid w:val="006E3FF0"/>
    <w:rsid w:val="006E4F40"/>
    <w:rsid w:val="006E5078"/>
    <w:rsid w:val="006E5E7F"/>
    <w:rsid w:val="006E6448"/>
    <w:rsid w:val="006E68AB"/>
    <w:rsid w:val="006E6CEA"/>
    <w:rsid w:val="006E775B"/>
    <w:rsid w:val="006F02CE"/>
    <w:rsid w:val="006F09AA"/>
    <w:rsid w:val="006F0D66"/>
    <w:rsid w:val="006F17B0"/>
    <w:rsid w:val="006F196F"/>
    <w:rsid w:val="006F3C3A"/>
    <w:rsid w:val="006F418A"/>
    <w:rsid w:val="006F43B2"/>
    <w:rsid w:val="006F509F"/>
    <w:rsid w:val="006F5C3A"/>
    <w:rsid w:val="006F5CCB"/>
    <w:rsid w:val="006F658E"/>
    <w:rsid w:val="006F6637"/>
    <w:rsid w:val="006F7BAF"/>
    <w:rsid w:val="0070057B"/>
    <w:rsid w:val="0070074B"/>
    <w:rsid w:val="007010F0"/>
    <w:rsid w:val="00702953"/>
    <w:rsid w:val="00703EFD"/>
    <w:rsid w:val="00704FEF"/>
    <w:rsid w:val="00705146"/>
    <w:rsid w:val="00706CA9"/>
    <w:rsid w:val="00707A15"/>
    <w:rsid w:val="00707DB6"/>
    <w:rsid w:val="00710C64"/>
    <w:rsid w:val="00710D03"/>
    <w:rsid w:val="00710F94"/>
    <w:rsid w:val="007112B9"/>
    <w:rsid w:val="0071271F"/>
    <w:rsid w:val="00712B81"/>
    <w:rsid w:val="00712C3A"/>
    <w:rsid w:val="00712F1E"/>
    <w:rsid w:val="0071340F"/>
    <w:rsid w:val="00713496"/>
    <w:rsid w:val="00713CDF"/>
    <w:rsid w:val="00713D57"/>
    <w:rsid w:val="0071648C"/>
    <w:rsid w:val="007168DF"/>
    <w:rsid w:val="007179DC"/>
    <w:rsid w:val="00717E6F"/>
    <w:rsid w:val="00720255"/>
    <w:rsid w:val="00720470"/>
    <w:rsid w:val="00720BB6"/>
    <w:rsid w:val="00721280"/>
    <w:rsid w:val="00721CFC"/>
    <w:rsid w:val="00721EFE"/>
    <w:rsid w:val="00722844"/>
    <w:rsid w:val="007242A1"/>
    <w:rsid w:val="0072499B"/>
    <w:rsid w:val="007256C8"/>
    <w:rsid w:val="00726A64"/>
    <w:rsid w:val="00727EB0"/>
    <w:rsid w:val="00730927"/>
    <w:rsid w:val="00730A00"/>
    <w:rsid w:val="00731AF4"/>
    <w:rsid w:val="00732B29"/>
    <w:rsid w:val="00733187"/>
    <w:rsid w:val="007333EB"/>
    <w:rsid w:val="007336D9"/>
    <w:rsid w:val="00733830"/>
    <w:rsid w:val="00733F2A"/>
    <w:rsid w:val="00734E6D"/>
    <w:rsid w:val="00736041"/>
    <w:rsid w:val="0073633A"/>
    <w:rsid w:val="0073661C"/>
    <w:rsid w:val="00736BA2"/>
    <w:rsid w:val="00740603"/>
    <w:rsid w:val="007414CD"/>
    <w:rsid w:val="0074173C"/>
    <w:rsid w:val="00741741"/>
    <w:rsid w:val="0074196D"/>
    <w:rsid w:val="00741B4D"/>
    <w:rsid w:val="00741C6C"/>
    <w:rsid w:val="007426E7"/>
    <w:rsid w:val="00742A46"/>
    <w:rsid w:val="00742DF4"/>
    <w:rsid w:val="00743E6F"/>
    <w:rsid w:val="00743F05"/>
    <w:rsid w:val="007442F0"/>
    <w:rsid w:val="00744488"/>
    <w:rsid w:val="00744663"/>
    <w:rsid w:val="00744862"/>
    <w:rsid w:val="00744CD5"/>
    <w:rsid w:val="00750409"/>
    <w:rsid w:val="00751993"/>
    <w:rsid w:val="00751FED"/>
    <w:rsid w:val="00752574"/>
    <w:rsid w:val="00753017"/>
    <w:rsid w:val="007532C6"/>
    <w:rsid w:val="00755954"/>
    <w:rsid w:val="00755A7D"/>
    <w:rsid w:val="00756494"/>
    <w:rsid w:val="0075754D"/>
    <w:rsid w:val="0076052A"/>
    <w:rsid w:val="007605A5"/>
    <w:rsid w:val="0076077D"/>
    <w:rsid w:val="00761C7B"/>
    <w:rsid w:val="00761C86"/>
    <w:rsid w:val="00762448"/>
    <w:rsid w:val="00762F51"/>
    <w:rsid w:val="007639FD"/>
    <w:rsid w:val="00763F0B"/>
    <w:rsid w:val="0076590B"/>
    <w:rsid w:val="007663E9"/>
    <w:rsid w:val="00766473"/>
    <w:rsid w:val="007667E9"/>
    <w:rsid w:val="00767235"/>
    <w:rsid w:val="0076795B"/>
    <w:rsid w:val="0077059B"/>
    <w:rsid w:val="00770636"/>
    <w:rsid w:val="0077177D"/>
    <w:rsid w:val="0077181C"/>
    <w:rsid w:val="00771C27"/>
    <w:rsid w:val="007728B4"/>
    <w:rsid w:val="007737E8"/>
    <w:rsid w:val="00774143"/>
    <w:rsid w:val="00774153"/>
    <w:rsid w:val="007742CB"/>
    <w:rsid w:val="007743B1"/>
    <w:rsid w:val="00775037"/>
    <w:rsid w:val="00775062"/>
    <w:rsid w:val="007750AD"/>
    <w:rsid w:val="00775146"/>
    <w:rsid w:val="00775C19"/>
    <w:rsid w:val="00775DF9"/>
    <w:rsid w:val="007768CF"/>
    <w:rsid w:val="0077796C"/>
    <w:rsid w:val="0078069F"/>
    <w:rsid w:val="0078080F"/>
    <w:rsid w:val="0078125A"/>
    <w:rsid w:val="007814F1"/>
    <w:rsid w:val="00781A6C"/>
    <w:rsid w:val="0078402F"/>
    <w:rsid w:val="007851C6"/>
    <w:rsid w:val="00786F0F"/>
    <w:rsid w:val="00790FFB"/>
    <w:rsid w:val="00791739"/>
    <w:rsid w:val="007919F8"/>
    <w:rsid w:val="00792D91"/>
    <w:rsid w:val="007933CF"/>
    <w:rsid w:val="007938FD"/>
    <w:rsid w:val="00794610"/>
    <w:rsid w:val="0079596D"/>
    <w:rsid w:val="00795BC1"/>
    <w:rsid w:val="007964A2"/>
    <w:rsid w:val="00796807"/>
    <w:rsid w:val="0079737D"/>
    <w:rsid w:val="00797905"/>
    <w:rsid w:val="007A04FA"/>
    <w:rsid w:val="007A0550"/>
    <w:rsid w:val="007A1E96"/>
    <w:rsid w:val="007A2308"/>
    <w:rsid w:val="007A38EB"/>
    <w:rsid w:val="007A3CCC"/>
    <w:rsid w:val="007A5005"/>
    <w:rsid w:val="007A7B8C"/>
    <w:rsid w:val="007A7C36"/>
    <w:rsid w:val="007B0C0F"/>
    <w:rsid w:val="007B18D8"/>
    <w:rsid w:val="007B2802"/>
    <w:rsid w:val="007B3A0D"/>
    <w:rsid w:val="007B4D90"/>
    <w:rsid w:val="007B61D4"/>
    <w:rsid w:val="007B61F1"/>
    <w:rsid w:val="007B7641"/>
    <w:rsid w:val="007C2D39"/>
    <w:rsid w:val="007C3039"/>
    <w:rsid w:val="007C33EE"/>
    <w:rsid w:val="007C3DF8"/>
    <w:rsid w:val="007C4C37"/>
    <w:rsid w:val="007C52D3"/>
    <w:rsid w:val="007C5C84"/>
    <w:rsid w:val="007C6006"/>
    <w:rsid w:val="007C7552"/>
    <w:rsid w:val="007C7FD0"/>
    <w:rsid w:val="007D0A76"/>
    <w:rsid w:val="007D0D21"/>
    <w:rsid w:val="007D11B4"/>
    <w:rsid w:val="007D1CB6"/>
    <w:rsid w:val="007D1F7D"/>
    <w:rsid w:val="007D1FED"/>
    <w:rsid w:val="007D3DC8"/>
    <w:rsid w:val="007D54C5"/>
    <w:rsid w:val="007D5BB4"/>
    <w:rsid w:val="007D62A9"/>
    <w:rsid w:val="007D6D52"/>
    <w:rsid w:val="007D7A21"/>
    <w:rsid w:val="007E1ABF"/>
    <w:rsid w:val="007E2FE3"/>
    <w:rsid w:val="007E39F1"/>
    <w:rsid w:val="007E41F4"/>
    <w:rsid w:val="007E48A3"/>
    <w:rsid w:val="007E4CC7"/>
    <w:rsid w:val="007E4E42"/>
    <w:rsid w:val="007E4F91"/>
    <w:rsid w:val="007E61D1"/>
    <w:rsid w:val="007E64FA"/>
    <w:rsid w:val="007E6784"/>
    <w:rsid w:val="007E6C3A"/>
    <w:rsid w:val="007E6DFC"/>
    <w:rsid w:val="007E6F82"/>
    <w:rsid w:val="007E70F4"/>
    <w:rsid w:val="007F0B1D"/>
    <w:rsid w:val="007F0E81"/>
    <w:rsid w:val="007F0EB0"/>
    <w:rsid w:val="007F381D"/>
    <w:rsid w:val="007F5E0A"/>
    <w:rsid w:val="007F6073"/>
    <w:rsid w:val="007F6B7E"/>
    <w:rsid w:val="007F6C40"/>
    <w:rsid w:val="007F7DA5"/>
    <w:rsid w:val="00800245"/>
    <w:rsid w:val="00800D94"/>
    <w:rsid w:val="00801995"/>
    <w:rsid w:val="00802CB5"/>
    <w:rsid w:val="0080362A"/>
    <w:rsid w:val="00803E07"/>
    <w:rsid w:val="00806734"/>
    <w:rsid w:val="00806CA3"/>
    <w:rsid w:val="00806D02"/>
    <w:rsid w:val="008117CB"/>
    <w:rsid w:val="0081621F"/>
    <w:rsid w:val="00817222"/>
    <w:rsid w:val="00820A57"/>
    <w:rsid w:val="00821121"/>
    <w:rsid w:val="00821EB1"/>
    <w:rsid w:val="00822509"/>
    <w:rsid w:val="00825C69"/>
    <w:rsid w:val="00827041"/>
    <w:rsid w:val="008279F6"/>
    <w:rsid w:val="00827C76"/>
    <w:rsid w:val="00830124"/>
    <w:rsid w:val="00830610"/>
    <w:rsid w:val="00831D6A"/>
    <w:rsid w:val="00831E24"/>
    <w:rsid w:val="0083285F"/>
    <w:rsid w:val="00833397"/>
    <w:rsid w:val="00834C6B"/>
    <w:rsid w:val="00834EE2"/>
    <w:rsid w:val="00837A3B"/>
    <w:rsid w:val="00837E9C"/>
    <w:rsid w:val="008412CC"/>
    <w:rsid w:val="0084156C"/>
    <w:rsid w:val="00841728"/>
    <w:rsid w:val="0084330C"/>
    <w:rsid w:val="00844322"/>
    <w:rsid w:val="00844DFF"/>
    <w:rsid w:val="008453A4"/>
    <w:rsid w:val="00845B81"/>
    <w:rsid w:val="00846193"/>
    <w:rsid w:val="008467A5"/>
    <w:rsid w:val="00846837"/>
    <w:rsid w:val="00846C42"/>
    <w:rsid w:val="00846C65"/>
    <w:rsid w:val="008509F4"/>
    <w:rsid w:val="00850A04"/>
    <w:rsid w:val="00852516"/>
    <w:rsid w:val="00852730"/>
    <w:rsid w:val="00853519"/>
    <w:rsid w:val="00853BC1"/>
    <w:rsid w:val="00853F17"/>
    <w:rsid w:val="008543B8"/>
    <w:rsid w:val="00854EB3"/>
    <w:rsid w:val="008558D3"/>
    <w:rsid w:val="00855ABD"/>
    <w:rsid w:val="0085650C"/>
    <w:rsid w:val="00857E6D"/>
    <w:rsid w:val="008611BD"/>
    <w:rsid w:val="00861548"/>
    <w:rsid w:val="008619D2"/>
    <w:rsid w:val="00862095"/>
    <w:rsid w:val="0086266D"/>
    <w:rsid w:val="0086278D"/>
    <w:rsid w:val="008633FE"/>
    <w:rsid w:val="00864D10"/>
    <w:rsid w:val="00865ADC"/>
    <w:rsid w:val="008660EE"/>
    <w:rsid w:val="008661E2"/>
    <w:rsid w:val="00867A06"/>
    <w:rsid w:val="0087038D"/>
    <w:rsid w:val="00870481"/>
    <w:rsid w:val="008705A9"/>
    <w:rsid w:val="00870742"/>
    <w:rsid w:val="0087190B"/>
    <w:rsid w:val="00872E7A"/>
    <w:rsid w:val="008731DA"/>
    <w:rsid w:val="00874457"/>
    <w:rsid w:val="0087570D"/>
    <w:rsid w:val="00875F51"/>
    <w:rsid w:val="00876589"/>
    <w:rsid w:val="00876EF6"/>
    <w:rsid w:val="0087756B"/>
    <w:rsid w:val="00880073"/>
    <w:rsid w:val="00880287"/>
    <w:rsid w:val="008804CA"/>
    <w:rsid w:val="00880F1E"/>
    <w:rsid w:val="00881356"/>
    <w:rsid w:val="00882C47"/>
    <w:rsid w:val="0088397B"/>
    <w:rsid w:val="00883E2E"/>
    <w:rsid w:val="00884262"/>
    <w:rsid w:val="00885288"/>
    <w:rsid w:val="0088696B"/>
    <w:rsid w:val="00886DE3"/>
    <w:rsid w:val="008873AE"/>
    <w:rsid w:val="008908FD"/>
    <w:rsid w:val="00890DAF"/>
    <w:rsid w:val="00891912"/>
    <w:rsid w:val="0089193F"/>
    <w:rsid w:val="008926B1"/>
    <w:rsid w:val="00893213"/>
    <w:rsid w:val="00893743"/>
    <w:rsid w:val="00893BB5"/>
    <w:rsid w:val="00893FCF"/>
    <w:rsid w:val="00894EC8"/>
    <w:rsid w:val="00896387"/>
    <w:rsid w:val="00896426"/>
    <w:rsid w:val="0089730E"/>
    <w:rsid w:val="00897498"/>
    <w:rsid w:val="00897F16"/>
    <w:rsid w:val="008A2DCB"/>
    <w:rsid w:val="008A3A1B"/>
    <w:rsid w:val="008A3B11"/>
    <w:rsid w:val="008A40F5"/>
    <w:rsid w:val="008A47E5"/>
    <w:rsid w:val="008A4ABE"/>
    <w:rsid w:val="008A5D2C"/>
    <w:rsid w:val="008A755E"/>
    <w:rsid w:val="008B0FA7"/>
    <w:rsid w:val="008B140E"/>
    <w:rsid w:val="008B1663"/>
    <w:rsid w:val="008B1798"/>
    <w:rsid w:val="008B2F80"/>
    <w:rsid w:val="008B495E"/>
    <w:rsid w:val="008B52AE"/>
    <w:rsid w:val="008B58D1"/>
    <w:rsid w:val="008B71C0"/>
    <w:rsid w:val="008B73B6"/>
    <w:rsid w:val="008C15E4"/>
    <w:rsid w:val="008C1968"/>
    <w:rsid w:val="008C3300"/>
    <w:rsid w:val="008C4ABA"/>
    <w:rsid w:val="008C4E27"/>
    <w:rsid w:val="008C6BFB"/>
    <w:rsid w:val="008C6FA3"/>
    <w:rsid w:val="008D00AF"/>
    <w:rsid w:val="008D185F"/>
    <w:rsid w:val="008D2032"/>
    <w:rsid w:val="008D22BD"/>
    <w:rsid w:val="008D2A20"/>
    <w:rsid w:val="008D3DC2"/>
    <w:rsid w:val="008D486C"/>
    <w:rsid w:val="008D520C"/>
    <w:rsid w:val="008D5233"/>
    <w:rsid w:val="008D5ABF"/>
    <w:rsid w:val="008D65A4"/>
    <w:rsid w:val="008D672A"/>
    <w:rsid w:val="008D68AB"/>
    <w:rsid w:val="008D6FB4"/>
    <w:rsid w:val="008D7CBF"/>
    <w:rsid w:val="008E042F"/>
    <w:rsid w:val="008E0572"/>
    <w:rsid w:val="008E0E7E"/>
    <w:rsid w:val="008E17D9"/>
    <w:rsid w:val="008E2D41"/>
    <w:rsid w:val="008E3316"/>
    <w:rsid w:val="008E552B"/>
    <w:rsid w:val="008E597D"/>
    <w:rsid w:val="008E5BC4"/>
    <w:rsid w:val="008E6E9E"/>
    <w:rsid w:val="008E7004"/>
    <w:rsid w:val="008F037A"/>
    <w:rsid w:val="008F0F3C"/>
    <w:rsid w:val="008F16B6"/>
    <w:rsid w:val="008F36BC"/>
    <w:rsid w:val="008F3A80"/>
    <w:rsid w:val="008F43B2"/>
    <w:rsid w:val="008F5595"/>
    <w:rsid w:val="008F65E6"/>
    <w:rsid w:val="008F66EF"/>
    <w:rsid w:val="008F69FF"/>
    <w:rsid w:val="008F6D77"/>
    <w:rsid w:val="008F799E"/>
    <w:rsid w:val="008F7E1D"/>
    <w:rsid w:val="0090044B"/>
    <w:rsid w:val="00900766"/>
    <w:rsid w:val="009010A9"/>
    <w:rsid w:val="009018E0"/>
    <w:rsid w:val="0090209D"/>
    <w:rsid w:val="009024C1"/>
    <w:rsid w:val="00902724"/>
    <w:rsid w:val="0090593A"/>
    <w:rsid w:val="00905ABD"/>
    <w:rsid w:val="009067D3"/>
    <w:rsid w:val="00910B8B"/>
    <w:rsid w:val="00911680"/>
    <w:rsid w:val="009118D5"/>
    <w:rsid w:val="00911B63"/>
    <w:rsid w:val="00913185"/>
    <w:rsid w:val="00913C2B"/>
    <w:rsid w:val="00913CE7"/>
    <w:rsid w:val="00913E13"/>
    <w:rsid w:val="00914289"/>
    <w:rsid w:val="00915BBA"/>
    <w:rsid w:val="0091606C"/>
    <w:rsid w:val="00916AB0"/>
    <w:rsid w:val="00916EA2"/>
    <w:rsid w:val="00917275"/>
    <w:rsid w:val="00922DAF"/>
    <w:rsid w:val="00923A99"/>
    <w:rsid w:val="00923E5D"/>
    <w:rsid w:val="00924DD5"/>
    <w:rsid w:val="00924F97"/>
    <w:rsid w:val="00925060"/>
    <w:rsid w:val="00925204"/>
    <w:rsid w:val="00925567"/>
    <w:rsid w:val="00925AF7"/>
    <w:rsid w:val="00925CB2"/>
    <w:rsid w:val="00925EEF"/>
    <w:rsid w:val="009264D3"/>
    <w:rsid w:val="009267A7"/>
    <w:rsid w:val="00926A25"/>
    <w:rsid w:val="009271CD"/>
    <w:rsid w:val="009313EA"/>
    <w:rsid w:val="0093174B"/>
    <w:rsid w:val="00931EFF"/>
    <w:rsid w:val="00931F62"/>
    <w:rsid w:val="00932A0F"/>
    <w:rsid w:val="00932B7B"/>
    <w:rsid w:val="00933508"/>
    <w:rsid w:val="00934B6A"/>
    <w:rsid w:val="009358C6"/>
    <w:rsid w:val="0093735D"/>
    <w:rsid w:val="00937653"/>
    <w:rsid w:val="00937DB5"/>
    <w:rsid w:val="00940658"/>
    <w:rsid w:val="0094065B"/>
    <w:rsid w:val="009406DE"/>
    <w:rsid w:val="00940B3C"/>
    <w:rsid w:val="00941F73"/>
    <w:rsid w:val="009428C6"/>
    <w:rsid w:val="009444A3"/>
    <w:rsid w:val="00945FD9"/>
    <w:rsid w:val="009461FF"/>
    <w:rsid w:val="009474F3"/>
    <w:rsid w:val="00947A1E"/>
    <w:rsid w:val="00947C72"/>
    <w:rsid w:val="00950DC5"/>
    <w:rsid w:val="009527E0"/>
    <w:rsid w:val="00953090"/>
    <w:rsid w:val="00953539"/>
    <w:rsid w:val="0095395E"/>
    <w:rsid w:val="0095461D"/>
    <w:rsid w:val="009557FD"/>
    <w:rsid w:val="00956A9A"/>
    <w:rsid w:val="00957154"/>
    <w:rsid w:val="0095720F"/>
    <w:rsid w:val="009575C8"/>
    <w:rsid w:val="009600CF"/>
    <w:rsid w:val="00960254"/>
    <w:rsid w:val="00960586"/>
    <w:rsid w:val="00960EC5"/>
    <w:rsid w:val="00961042"/>
    <w:rsid w:val="0096134F"/>
    <w:rsid w:val="00961F5B"/>
    <w:rsid w:val="00963A92"/>
    <w:rsid w:val="00963C3C"/>
    <w:rsid w:val="00966760"/>
    <w:rsid w:val="009673BC"/>
    <w:rsid w:val="00967E1A"/>
    <w:rsid w:val="00970371"/>
    <w:rsid w:val="00970CEE"/>
    <w:rsid w:val="009710E9"/>
    <w:rsid w:val="009712A8"/>
    <w:rsid w:val="00971E2A"/>
    <w:rsid w:val="00971EAC"/>
    <w:rsid w:val="00972621"/>
    <w:rsid w:val="00972931"/>
    <w:rsid w:val="009729EF"/>
    <w:rsid w:val="009734B9"/>
    <w:rsid w:val="00973761"/>
    <w:rsid w:val="00973A3E"/>
    <w:rsid w:val="00974B50"/>
    <w:rsid w:val="00975001"/>
    <w:rsid w:val="00975257"/>
    <w:rsid w:val="0097635B"/>
    <w:rsid w:val="009769E9"/>
    <w:rsid w:val="0098095E"/>
    <w:rsid w:val="00981BBB"/>
    <w:rsid w:val="009834AA"/>
    <w:rsid w:val="00983F07"/>
    <w:rsid w:val="009863B2"/>
    <w:rsid w:val="00986872"/>
    <w:rsid w:val="00986FDD"/>
    <w:rsid w:val="0099012E"/>
    <w:rsid w:val="0099033F"/>
    <w:rsid w:val="0099052A"/>
    <w:rsid w:val="00990E7D"/>
    <w:rsid w:val="00991B76"/>
    <w:rsid w:val="0099203E"/>
    <w:rsid w:val="0099288F"/>
    <w:rsid w:val="00992F45"/>
    <w:rsid w:val="009930CF"/>
    <w:rsid w:val="00993CA6"/>
    <w:rsid w:val="00995294"/>
    <w:rsid w:val="00995606"/>
    <w:rsid w:val="009970FD"/>
    <w:rsid w:val="009A00A2"/>
    <w:rsid w:val="009A0717"/>
    <w:rsid w:val="009A09A3"/>
    <w:rsid w:val="009A300F"/>
    <w:rsid w:val="009A346B"/>
    <w:rsid w:val="009A3827"/>
    <w:rsid w:val="009A3FA6"/>
    <w:rsid w:val="009A42C0"/>
    <w:rsid w:val="009A4E56"/>
    <w:rsid w:val="009A59F8"/>
    <w:rsid w:val="009A5AC4"/>
    <w:rsid w:val="009A6A4E"/>
    <w:rsid w:val="009A7CF3"/>
    <w:rsid w:val="009B0F66"/>
    <w:rsid w:val="009B16A1"/>
    <w:rsid w:val="009B1A8D"/>
    <w:rsid w:val="009B2B9A"/>
    <w:rsid w:val="009B2D21"/>
    <w:rsid w:val="009B2E1E"/>
    <w:rsid w:val="009B33EE"/>
    <w:rsid w:val="009B4AB1"/>
    <w:rsid w:val="009B531B"/>
    <w:rsid w:val="009B644E"/>
    <w:rsid w:val="009B7478"/>
    <w:rsid w:val="009C0571"/>
    <w:rsid w:val="009C06C5"/>
    <w:rsid w:val="009C141A"/>
    <w:rsid w:val="009C192C"/>
    <w:rsid w:val="009C1E22"/>
    <w:rsid w:val="009C39CF"/>
    <w:rsid w:val="009C4303"/>
    <w:rsid w:val="009C5270"/>
    <w:rsid w:val="009C53D6"/>
    <w:rsid w:val="009C596B"/>
    <w:rsid w:val="009C769A"/>
    <w:rsid w:val="009D1E96"/>
    <w:rsid w:val="009D29FB"/>
    <w:rsid w:val="009D3CC2"/>
    <w:rsid w:val="009D3DF0"/>
    <w:rsid w:val="009D4037"/>
    <w:rsid w:val="009D49FA"/>
    <w:rsid w:val="009D49FF"/>
    <w:rsid w:val="009D6298"/>
    <w:rsid w:val="009D7417"/>
    <w:rsid w:val="009D7558"/>
    <w:rsid w:val="009E08CC"/>
    <w:rsid w:val="009E0BA8"/>
    <w:rsid w:val="009E19BF"/>
    <w:rsid w:val="009E1DC5"/>
    <w:rsid w:val="009E2214"/>
    <w:rsid w:val="009E2B90"/>
    <w:rsid w:val="009E386E"/>
    <w:rsid w:val="009E3B28"/>
    <w:rsid w:val="009E3D60"/>
    <w:rsid w:val="009E4C50"/>
    <w:rsid w:val="009E4D49"/>
    <w:rsid w:val="009E62DA"/>
    <w:rsid w:val="009E72B2"/>
    <w:rsid w:val="009F0225"/>
    <w:rsid w:val="009F09D6"/>
    <w:rsid w:val="009F0A0B"/>
    <w:rsid w:val="009F0A9D"/>
    <w:rsid w:val="009F15AC"/>
    <w:rsid w:val="009F1BC3"/>
    <w:rsid w:val="009F1FBF"/>
    <w:rsid w:val="009F2407"/>
    <w:rsid w:val="009F2894"/>
    <w:rsid w:val="009F3C34"/>
    <w:rsid w:val="009F3CFB"/>
    <w:rsid w:val="009F3F8C"/>
    <w:rsid w:val="009F4354"/>
    <w:rsid w:val="009F4592"/>
    <w:rsid w:val="009F4FE3"/>
    <w:rsid w:val="009F66B9"/>
    <w:rsid w:val="009F79F6"/>
    <w:rsid w:val="00A00C03"/>
    <w:rsid w:val="00A011EA"/>
    <w:rsid w:val="00A01AE3"/>
    <w:rsid w:val="00A01D17"/>
    <w:rsid w:val="00A01E1F"/>
    <w:rsid w:val="00A020DC"/>
    <w:rsid w:val="00A024EA"/>
    <w:rsid w:val="00A02E87"/>
    <w:rsid w:val="00A02FB4"/>
    <w:rsid w:val="00A034C2"/>
    <w:rsid w:val="00A038E0"/>
    <w:rsid w:val="00A053BC"/>
    <w:rsid w:val="00A05CEF"/>
    <w:rsid w:val="00A05F54"/>
    <w:rsid w:val="00A0772E"/>
    <w:rsid w:val="00A07C0A"/>
    <w:rsid w:val="00A10FD0"/>
    <w:rsid w:val="00A1168B"/>
    <w:rsid w:val="00A131FE"/>
    <w:rsid w:val="00A1351E"/>
    <w:rsid w:val="00A15223"/>
    <w:rsid w:val="00A1609B"/>
    <w:rsid w:val="00A16A55"/>
    <w:rsid w:val="00A17727"/>
    <w:rsid w:val="00A17AC0"/>
    <w:rsid w:val="00A17B02"/>
    <w:rsid w:val="00A17ECF"/>
    <w:rsid w:val="00A209BA"/>
    <w:rsid w:val="00A20A84"/>
    <w:rsid w:val="00A211C1"/>
    <w:rsid w:val="00A212D5"/>
    <w:rsid w:val="00A215C4"/>
    <w:rsid w:val="00A238FC"/>
    <w:rsid w:val="00A2490C"/>
    <w:rsid w:val="00A24FFC"/>
    <w:rsid w:val="00A2659B"/>
    <w:rsid w:val="00A26F9D"/>
    <w:rsid w:val="00A279F9"/>
    <w:rsid w:val="00A30207"/>
    <w:rsid w:val="00A306CB"/>
    <w:rsid w:val="00A30825"/>
    <w:rsid w:val="00A31058"/>
    <w:rsid w:val="00A3283C"/>
    <w:rsid w:val="00A328F7"/>
    <w:rsid w:val="00A32A75"/>
    <w:rsid w:val="00A32F88"/>
    <w:rsid w:val="00A346AD"/>
    <w:rsid w:val="00A348D5"/>
    <w:rsid w:val="00A35397"/>
    <w:rsid w:val="00A35DC3"/>
    <w:rsid w:val="00A36FB9"/>
    <w:rsid w:val="00A378F4"/>
    <w:rsid w:val="00A40955"/>
    <w:rsid w:val="00A414BB"/>
    <w:rsid w:val="00A43984"/>
    <w:rsid w:val="00A43A6E"/>
    <w:rsid w:val="00A43F90"/>
    <w:rsid w:val="00A46670"/>
    <w:rsid w:val="00A5192E"/>
    <w:rsid w:val="00A51DAA"/>
    <w:rsid w:val="00A52B02"/>
    <w:rsid w:val="00A52E02"/>
    <w:rsid w:val="00A5378B"/>
    <w:rsid w:val="00A538D4"/>
    <w:rsid w:val="00A53C1D"/>
    <w:rsid w:val="00A544EE"/>
    <w:rsid w:val="00A54E8A"/>
    <w:rsid w:val="00A55233"/>
    <w:rsid w:val="00A55375"/>
    <w:rsid w:val="00A555CA"/>
    <w:rsid w:val="00A55DC6"/>
    <w:rsid w:val="00A56E4C"/>
    <w:rsid w:val="00A571EA"/>
    <w:rsid w:val="00A6013E"/>
    <w:rsid w:val="00A609E3"/>
    <w:rsid w:val="00A60B8C"/>
    <w:rsid w:val="00A60FDB"/>
    <w:rsid w:val="00A613F4"/>
    <w:rsid w:val="00A61ABA"/>
    <w:rsid w:val="00A64449"/>
    <w:rsid w:val="00A64DC6"/>
    <w:rsid w:val="00A65082"/>
    <w:rsid w:val="00A659B9"/>
    <w:rsid w:val="00A66258"/>
    <w:rsid w:val="00A66B10"/>
    <w:rsid w:val="00A67328"/>
    <w:rsid w:val="00A6799E"/>
    <w:rsid w:val="00A67D63"/>
    <w:rsid w:val="00A71024"/>
    <w:rsid w:val="00A7186C"/>
    <w:rsid w:val="00A71F1F"/>
    <w:rsid w:val="00A727E6"/>
    <w:rsid w:val="00A74268"/>
    <w:rsid w:val="00A762FB"/>
    <w:rsid w:val="00A80606"/>
    <w:rsid w:val="00A80F00"/>
    <w:rsid w:val="00A81939"/>
    <w:rsid w:val="00A81E91"/>
    <w:rsid w:val="00A81F75"/>
    <w:rsid w:val="00A82016"/>
    <w:rsid w:val="00A822A0"/>
    <w:rsid w:val="00A82310"/>
    <w:rsid w:val="00A83254"/>
    <w:rsid w:val="00A83E92"/>
    <w:rsid w:val="00A83F04"/>
    <w:rsid w:val="00A844ED"/>
    <w:rsid w:val="00A85064"/>
    <w:rsid w:val="00A85AF8"/>
    <w:rsid w:val="00A86C56"/>
    <w:rsid w:val="00A902EE"/>
    <w:rsid w:val="00A90A86"/>
    <w:rsid w:val="00A90FD1"/>
    <w:rsid w:val="00A914FF"/>
    <w:rsid w:val="00A92AD1"/>
    <w:rsid w:val="00A9333D"/>
    <w:rsid w:val="00A93CB8"/>
    <w:rsid w:val="00A93EE3"/>
    <w:rsid w:val="00A946D1"/>
    <w:rsid w:val="00A948E9"/>
    <w:rsid w:val="00A9562A"/>
    <w:rsid w:val="00A95B16"/>
    <w:rsid w:val="00A95EB8"/>
    <w:rsid w:val="00A960DE"/>
    <w:rsid w:val="00A963E7"/>
    <w:rsid w:val="00A97891"/>
    <w:rsid w:val="00A97BDF"/>
    <w:rsid w:val="00AA054A"/>
    <w:rsid w:val="00AA05DB"/>
    <w:rsid w:val="00AA05E1"/>
    <w:rsid w:val="00AA1200"/>
    <w:rsid w:val="00AA135D"/>
    <w:rsid w:val="00AA1BAA"/>
    <w:rsid w:val="00AA1E2E"/>
    <w:rsid w:val="00AA245A"/>
    <w:rsid w:val="00AA2B7C"/>
    <w:rsid w:val="00AA4B5E"/>
    <w:rsid w:val="00AA4D10"/>
    <w:rsid w:val="00AA57D8"/>
    <w:rsid w:val="00AA7BFB"/>
    <w:rsid w:val="00AB1A58"/>
    <w:rsid w:val="00AB33AA"/>
    <w:rsid w:val="00AB35A2"/>
    <w:rsid w:val="00AB485C"/>
    <w:rsid w:val="00AB5EDD"/>
    <w:rsid w:val="00AB6957"/>
    <w:rsid w:val="00AB748D"/>
    <w:rsid w:val="00AB7B16"/>
    <w:rsid w:val="00AC068E"/>
    <w:rsid w:val="00AC0A04"/>
    <w:rsid w:val="00AC0C77"/>
    <w:rsid w:val="00AC0C85"/>
    <w:rsid w:val="00AC140B"/>
    <w:rsid w:val="00AC1E13"/>
    <w:rsid w:val="00AC23EE"/>
    <w:rsid w:val="00AC2D23"/>
    <w:rsid w:val="00AC2F06"/>
    <w:rsid w:val="00AC3994"/>
    <w:rsid w:val="00AC3FDD"/>
    <w:rsid w:val="00AC4F80"/>
    <w:rsid w:val="00AC5521"/>
    <w:rsid w:val="00AC6B76"/>
    <w:rsid w:val="00AC7297"/>
    <w:rsid w:val="00AC7C3D"/>
    <w:rsid w:val="00AC7FCA"/>
    <w:rsid w:val="00AD0E35"/>
    <w:rsid w:val="00AD14E7"/>
    <w:rsid w:val="00AD1857"/>
    <w:rsid w:val="00AD1D96"/>
    <w:rsid w:val="00AD227B"/>
    <w:rsid w:val="00AD276E"/>
    <w:rsid w:val="00AD2928"/>
    <w:rsid w:val="00AD43E4"/>
    <w:rsid w:val="00AD4901"/>
    <w:rsid w:val="00AD4A87"/>
    <w:rsid w:val="00AD6985"/>
    <w:rsid w:val="00AE0FA5"/>
    <w:rsid w:val="00AE1076"/>
    <w:rsid w:val="00AE1D26"/>
    <w:rsid w:val="00AE1FAD"/>
    <w:rsid w:val="00AE21CB"/>
    <w:rsid w:val="00AE23EB"/>
    <w:rsid w:val="00AE2B5C"/>
    <w:rsid w:val="00AE2EAB"/>
    <w:rsid w:val="00AE3079"/>
    <w:rsid w:val="00AE4E94"/>
    <w:rsid w:val="00AE4F9E"/>
    <w:rsid w:val="00AE53F3"/>
    <w:rsid w:val="00AE56B5"/>
    <w:rsid w:val="00AE5A03"/>
    <w:rsid w:val="00AE5BCE"/>
    <w:rsid w:val="00AE5EF9"/>
    <w:rsid w:val="00AE5EFE"/>
    <w:rsid w:val="00AE638B"/>
    <w:rsid w:val="00AE63D5"/>
    <w:rsid w:val="00AE6A6D"/>
    <w:rsid w:val="00AE774B"/>
    <w:rsid w:val="00AE7A2C"/>
    <w:rsid w:val="00AE7EA5"/>
    <w:rsid w:val="00AF037A"/>
    <w:rsid w:val="00AF0538"/>
    <w:rsid w:val="00AF0924"/>
    <w:rsid w:val="00AF25C9"/>
    <w:rsid w:val="00AF3016"/>
    <w:rsid w:val="00AF399A"/>
    <w:rsid w:val="00AF39A7"/>
    <w:rsid w:val="00AF4770"/>
    <w:rsid w:val="00AF4C35"/>
    <w:rsid w:val="00AF513C"/>
    <w:rsid w:val="00AF5A77"/>
    <w:rsid w:val="00AF6059"/>
    <w:rsid w:val="00B00332"/>
    <w:rsid w:val="00B004CE"/>
    <w:rsid w:val="00B00A1A"/>
    <w:rsid w:val="00B01308"/>
    <w:rsid w:val="00B0269E"/>
    <w:rsid w:val="00B03812"/>
    <w:rsid w:val="00B038A3"/>
    <w:rsid w:val="00B05F20"/>
    <w:rsid w:val="00B06057"/>
    <w:rsid w:val="00B06CF1"/>
    <w:rsid w:val="00B070FF"/>
    <w:rsid w:val="00B07326"/>
    <w:rsid w:val="00B1001D"/>
    <w:rsid w:val="00B109EE"/>
    <w:rsid w:val="00B10A5A"/>
    <w:rsid w:val="00B10FC5"/>
    <w:rsid w:val="00B112D7"/>
    <w:rsid w:val="00B1229A"/>
    <w:rsid w:val="00B12716"/>
    <w:rsid w:val="00B13FF7"/>
    <w:rsid w:val="00B14263"/>
    <w:rsid w:val="00B14474"/>
    <w:rsid w:val="00B145E6"/>
    <w:rsid w:val="00B147F7"/>
    <w:rsid w:val="00B14F6C"/>
    <w:rsid w:val="00B154F3"/>
    <w:rsid w:val="00B155C4"/>
    <w:rsid w:val="00B15AEF"/>
    <w:rsid w:val="00B16ACA"/>
    <w:rsid w:val="00B16CAE"/>
    <w:rsid w:val="00B16D8B"/>
    <w:rsid w:val="00B16EC6"/>
    <w:rsid w:val="00B177A0"/>
    <w:rsid w:val="00B20949"/>
    <w:rsid w:val="00B2109C"/>
    <w:rsid w:val="00B2119F"/>
    <w:rsid w:val="00B215D9"/>
    <w:rsid w:val="00B21EEA"/>
    <w:rsid w:val="00B21F33"/>
    <w:rsid w:val="00B225D1"/>
    <w:rsid w:val="00B225E0"/>
    <w:rsid w:val="00B22839"/>
    <w:rsid w:val="00B233B3"/>
    <w:rsid w:val="00B23D73"/>
    <w:rsid w:val="00B24324"/>
    <w:rsid w:val="00B24459"/>
    <w:rsid w:val="00B24C01"/>
    <w:rsid w:val="00B2507B"/>
    <w:rsid w:val="00B257BF"/>
    <w:rsid w:val="00B2645D"/>
    <w:rsid w:val="00B26935"/>
    <w:rsid w:val="00B26E08"/>
    <w:rsid w:val="00B26EA2"/>
    <w:rsid w:val="00B275D9"/>
    <w:rsid w:val="00B2772F"/>
    <w:rsid w:val="00B30518"/>
    <w:rsid w:val="00B30E4D"/>
    <w:rsid w:val="00B31E06"/>
    <w:rsid w:val="00B327C6"/>
    <w:rsid w:val="00B32813"/>
    <w:rsid w:val="00B34127"/>
    <w:rsid w:val="00B34225"/>
    <w:rsid w:val="00B34923"/>
    <w:rsid w:val="00B354CA"/>
    <w:rsid w:val="00B35703"/>
    <w:rsid w:val="00B364AA"/>
    <w:rsid w:val="00B36998"/>
    <w:rsid w:val="00B37330"/>
    <w:rsid w:val="00B37742"/>
    <w:rsid w:val="00B4175E"/>
    <w:rsid w:val="00B41B2A"/>
    <w:rsid w:val="00B4223E"/>
    <w:rsid w:val="00B43A86"/>
    <w:rsid w:val="00B45F12"/>
    <w:rsid w:val="00B4686A"/>
    <w:rsid w:val="00B5009A"/>
    <w:rsid w:val="00B512B3"/>
    <w:rsid w:val="00B523B4"/>
    <w:rsid w:val="00B524E9"/>
    <w:rsid w:val="00B532C8"/>
    <w:rsid w:val="00B54684"/>
    <w:rsid w:val="00B570DD"/>
    <w:rsid w:val="00B578AE"/>
    <w:rsid w:val="00B61237"/>
    <w:rsid w:val="00B62215"/>
    <w:rsid w:val="00B62224"/>
    <w:rsid w:val="00B6261F"/>
    <w:rsid w:val="00B6300C"/>
    <w:rsid w:val="00B631D4"/>
    <w:rsid w:val="00B64231"/>
    <w:rsid w:val="00B64512"/>
    <w:rsid w:val="00B645F9"/>
    <w:rsid w:val="00B64A64"/>
    <w:rsid w:val="00B64B1C"/>
    <w:rsid w:val="00B6614D"/>
    <w:rsid w:val="00B6797A"/>
    <w:rsid w:val="00B67BB7"/>
    <w:rsid w:val="00B67E9A"/>
    <w:rsid w:val="00B705AA"/>
    <w:rsid w:val="00B70F00"/>
    <w:rsid w:val="00B71725"/>
    <w:rsid w:val="00B71920"/>
    <w:rsid w:val="00B721A3"/>
    <w:rsid w:val="00B723C2"/>
    <w:rsid w:val="00B74271"/>
    <w:rsid w:val="00B754AC"/>
    <w:rsid w:val="00B80DA4"/>
    <w:rsid w:val="00B816A6"/>
    <w:rsid w:val="00B82ACB"/>
    <w:rsid w:val="00B83B41"/>
    <w:rsid w:val="00B84733"/>
    <w:rsid w:val="00B8560C"/>
    <w:rsid w:val="00B87870"/>
    <w:rsid w:val="00B90D20"/>
    <w:rsid w:val="00B92758"/>
    <w:rsid w:val="00B92985"/>
    <w:rsid w:val="00B9331A"/>
    <w:rsid w:val="00B94053"/>
    <w:rsid w:val="00B940E7"/>
    <w:rsid w:val="00B94828"/>
    <w:rsid w:val="00B952D7"/>
    <w:rsid w:val="00B95E97"/>
    <w:rsid w:val="00B96363"/>
    <w:rsid w:val="00B96377"/>
    <w:rsid w:val="00B96934"/>
    <w:rsid w:val="00B96D6C"/>
    <w:rsid w:val="00BA12CE"/>
    <w:rsid w:val="00BA2171"/>
    <w:rsid w:val="00BA2358"/>
    <w:rsid w:val="00BA24CB"/>
    <w:rsid w:val="00BA27AA"/>
    <w:rsid w:val="00BA298B"/>
    <w:rsid w:val="00BA34BE"/>
    <w:rsid w:val="00BA55B8"/>
    <w:rsid w:val="00BA67DE"/>
    <w:rsid w:val="00BA6A8D"/>
    <w:rsid w:val="00BA6CAC"/>
    <w:rsid w:val="00BA7246"/>
    <w:rsid w:val="00BA72DB"/>
    <w:rsid w:val="00BA7391"/>
    <w:rsid w:val="00BA7CCE"/>
    <w:rsid w:val="00BA7D70"/>
    <w:rsid w:val="00BB2406"/>
    <w:rsid w:val="00BB27CA"/>
    <w:rsid w:val="00BB37AE"/>
    <w:rsid w:val="00BB3CB2"/>
    <w:rsid w:val="00BB3EDC"/>
    <w:rsid w:val="00BB496E"/>
    <w:rsid w:val="00BB4CEB"/>
    <w:rsid w:val="00BB55E4"/>
    <w:rsid w:val="00BB5B42"/>
    <w:rsid w:val="00BB627C"/>
    <w:rsid w:val="00BB62FA"/>
    <w:rsid w:val="00BC06A6"/>
    <w:rsid w:val="00BC1660"/>
    <w:rsid w:val="00BC1BDE"/>
    <w:rsid w:val="00BC2E71"/>
    <w:rsid w:val="00BC3E44"/>
    <w:rsid w:val="00BC4357"/>
    <w:rsid w:val="00BC4488"/>
    <w:rsid w:val="00BC48D4"/>
    <w:rsid w:val="00BC4FE5"/>
    <w:rsid w:val="00BC604D"/>
    <w:rsid w:val="00BC6362"/>
    <w:rsid w:val="00BC64D5"/>
    <w:rsid w:val="00BD0015"/>
    <w:rsid w:val="00BD006B"/>
    <w:rsid w:val="00BD0212"/>
    <w:rsid w:val="00BD04CB"/>
    <w:rsid w:val="00BD33D0"/>
    <w:rsid w:val="00BD4276"/>
    <w:rsid w:val="00BD42FE"/>
    <w:rsid w:val="00BD44B2"/>
    <w:rsid w:val="00BD4A34"/>
    <w:rsid w:val="00BD56B6"/>
    <w:rsid w:val="00BD66C9"/>
    <w:rsid w:val="00BD7FB4"/>
    <w:rsid w:val="00BE0704"/>
    <w:rsid w:val="00BE1643"/>
    <w:rsid w:val="00BE175F"/>
    <w:rsid w:val="00BE1856"/>
    <w:rsid w:val="00BE1A19"/>
    <w:rsid w:val="00BE1DF1"/>
    <w:rsid w:val="00BE1E21"/>
    <w:rsid w:val="00BE2012"/>
    <w:rsid w:val="00BE2428"/>
    <w:rsid w:val="00BE2968"/>
    <w:rsid w:val="00BE29A2"/>
    <w:rsid w:val="00BE2DB4"/>
    <w:rsid w:val="00BE3AE4"/>
    <w:rsid w:val="00BE5D62"/>
    <w:rsid w:val="00BE6156"/>
    <w:rsid w:val="00BE647C"/>
    <w:rsid w:val="00BE6A9C"/>
    <w:rsid w:val="00BE6E86"/>
    <w:rsid w:val="00BE76FB"/>
    <w:rsid w:val="00BF0987"/>
    <w:rsid w:val="00BF0FCD"/>
    <w:rsid w:val="00BF16FA"/>
    <w:rsid w:val="00BF2086"/>
    <w:rsid w:val="00BF21BE"/>
    <w:rsid w:val="00BF2685"/>
    <w:rsid w:val="00BF28BF"/>
    <w:rsid w:val="00BF44D5"/>
    <w:rsid w:val="00BF4641"/>
    <w:rsid w:val="00BF6509"/>
    <w:rsid w:val="00BF6E89"/>
    <w:rsid w:val="00BF76BB"/>
    <w:rsid w:val="00BF78EB"/>
    <w:rsid w:val="00C00002"/>
    <w:rsid w:val="00C005D4"/>
    <w:rsid w:val="00C00825"/>
    <w:rsid w:val="00C00DD3"/>
    <w:rsid w:val="00C024BE"/>
    <w:rsid w:val="00C03111"/>
    <w:rsid w:val="00C032AC"/>
    <w:rsid w:val="00C03474"/>
    <w:rsid w:val="00C03715"/>
    <w:rsid w:val="00C039DB"/>
    <w:rsid w:val="00C05AC6"/>
    <w:rsid w:val="00C05B38"/>
    <w:rsid w:val="00C06DC8"/>
    <w:rsid w:val="00C07CAF"/>
    <w:rsid w:val="00C10795"/>
    <w:rsid w:val="00C10FBC"/>
    <w:rsid w:val="00C1157C"/>
    <w:rsid w:val="00C12836"/>
    <w:rsid w:val="00C12F22"/>
    <w:rsid w:val="00C1341B"/>
    <w:rsid w:val="00C13CD8"/>
    <w:rsid w:val="00C14A07"/>
    <w:rsid w:val="00C15565"/>
    <w:rsid w:val="00C16D1C"/>
    <w:rsid w:val="00C16E82"/>
    <w:rsid w:val="00C178BA"/>
    <w:rsid w:val="00C20003"/>
    <w:rsid w:val="00C208CA"/>
    <w:rsid w:val="00C2162A"/>
    <w:rsid w:val="00C22108"/>
    <w:rsid w:val="00C2346E"/>
    <w:rsid w:val="00C27166"/>
    <w:rsid w:val="00C2727C"/>
    <w:rsid w:val="00C27471"/>
    <w:rsid w:val="00C27793"/>
    <w:rsid w:val="00C311CE"/>
    <w:rsid w:val="00C31CE5"/>
    <w:rsid w:val="00C31D1C"/>
    <w:rsid w:val="00C3644E"/>
    <w:rsid w:val="00C36D1F"/>
    <w:rsid w:val="00C37625"/>
    <w:rsid w:val="00C37BBB"/>
    <w:rsid w:val="00C37DF4"/>
    <w:rsid w:val="00C41051"/>
    <w:rsid w:val="00C4261C"/>
    <w:rsid w:val="00C4284F"/>
    <w:rsid w:val="00C428DC"/>
    <w:rsid w:val="00C42B8D"/>
    <w:rsid w:val="00C434DD"/>
    <w:rsid w:val="00C439E5"/>
    <w:rsid w:val="00C43D54"/>
    <w:rsid w:val="00C4413B"/>
    <w:rsid w:val="00C44322"/>
    <w:rsid w:val="00C44B19"/>
    <w:rsid w:val="00C46D94"/>
    <w:rsid w:val="00C47CFD"/>
    <w:rsid w:val="00C47EB2"/>
    <w:rsid w:val="00C50140"/>
    <w:rsid w:val="00C52790"/>
    <w:rsid w:val="00C53147"/>
    <w:rsid w:val="00C531E5"/>
    <w:rsid w:val="00C537A3"/>
    <w:rsid w:val="00C53B56"/>
    <w:rsid w:val="00C53F31"/>
    <w:rsid w:val="00C54916"/>
    <w:rsid w:val="00C5500E"/>
    <w:rsid w:val="00C55B3C"/>
    <w:rsid w:val="00C560CF"/>
    <w:rsid w:val="00C563B1"/>
    <w:rsid w:val="00C56467"/>
    <w:rsid w:val="00C56A21"/>
    <w:rsid w:val="00C57365"/>
    <w:rsid w:val="00C57CBE"/>
    <w:rsid w:val="00C57F8D"/>
    <w:rsid w:val="00C60225"/>
    <w:rsid w:val="00C6050F"/>
    <w:rsid w:val="00C60949"/>
    <w:rsid w:val="00C61E6B"/>
    <w:rsid w:val="00C620F0"/>
    <w:rsid w:val="00C6376B"/>
    <w:rsid w:val="00C64200"/>
    <w:rsid w:val="00C64476"/>
    <w:rsid w:val="00C64882"/>
    <w:rsid w:val="00C651FF"/>
    <w:rsid w:val="00C65BA4"/>
    <w:rsid w:val="00C65DC7"/>
    <w:rsid w:val="00C6608C"/>
    <w:rsid w:val="00C6738F"/>
    <w:rsid w:val="00C67768"/>
    <w:rsid w:val="00C723F9"/>
    <w:rsid w:val="00C727F5"/>
    <w:rsid w:val="00C72AF2"/>
    <w:rsid w:val="00C7312F"/>
    <w:rsid w:val="00C73956"/>
    <w:rsid w:val="00C74E22"/>
    <w:rsid w:val="00C75B53"/>
    <w:rsid w:val="00C76D02"/>
    <w:rsid w:val="00C76D54"/>
    <w:rsid w:val="00C76D5F"/>
    <w:rsid w:val="00C77478"/>
    <w:rsid w:val="00C8033F"/>
    <w:rsid w:val="00C80506"/>
    <w:rsid w:val="00C82D86"/>
    <w:rsid w:val="00C847E9"/>
    <w:rsid w:val="00C857C8"/>
    <w:rsid w:val="00C85FBE"/>
    <w:rsid w:val="00C86371"/>
    <w:rsid w:val="00C86E5C"/>
    <w:rsid w:val="00C86F37"/>
    <w:rsid w:val="00C87779"/>
    <w:rsid w:val="00C91E1A"/>
    <w:rsid w:val="00C9295C"/>
    <w:rsid w:val="00C92973"/>
    <w:rsid w:val="00C92B53"/>
    <w:rsid w:val="00C92D69"/>
    <w:rsid w:val="00C92DF1"/>
    <w:rsid w:val="00C92EA5"/>
    <w:rsid w:val="00C939F2"/>
    <w:rsid w:val="00C93A07"/>
    <w:rsid w:val="00C93DC8"/>
    <w:rsid w:val="00C94134"/>
    <w:rsid w:val="00C96908"/>
    <w:rsid w:val="00CA1A01"/>
    <w:rsid w:val="00CA24B6"/>
    <w:rsid w:val="00CA3FE9"/>
    <w:rsid w:val="00CA4304"/>
    <w:rsid w:val="00CA5715"/>
    <w:rsid w:val="00CA5D6A"/>
    <w:rsid w:val="00CA6351"/>
    <w:rsid w:val="00CA6403"/>
    <w:rsid w:val="00CA676B"/>
    <w:rsid w:val="00CA6C5E"/>
    <w:rsid w:val="00CA7B8B"/>
    <w:rsid w:val="00CB0353"/>
    <w:rsid w:val="00CB0487"/>
    <w:rsid w:val="00CB0536"/>
    <w:rsid w:val="00CB193E"/>
    <w:rsid w:val="00CB1CA5"/>
    <w:rsid w:val="00CB3944"/>
    <w:rsid w:val="00CB6EAA"/>
    <w:rsid w:val="00CC031D"/>
    <w:rsid w:val="00CC038D"/>
    <w:rsid w:val="00CC058A"/>
    <w:rsid w:val="00CC0FC7"/>
    <w:rsid w:val="00CC10FB"/>
    <w:rsid w:val="00CC26D0"/>
    <w:rsid w:val="00CC3E11"/>
    <w:rsid w:val="00CC4343"/>
    <w:rsid w:val="00CC5C9A"/>
    <w:rsid w:val="00CC5EA5"/>
    <w:rsid w:val="00CC64BB"/>
    <w:rsid w:val="00CC6993"/>
    <w:rsid w:val="00CC7481"/>
    <w:rsid w:val="00CC757C"/>
    <w:rsid w:val="00CC7652"/>
    <w:rsid w:val="00CD0008"/>
    <w:rsid w:val="00CD01BA"/>
    <w:rsid w:val="00CD1610"/>
    <w:rsid w:val="00CD2DAE"/>
    <w:rsid w:val="00CD2EBB"/>
    <w:rsid w:val="00CD30DB"/>
    <w:rsid w:val="00CD315D"/>
    <w:rsid w:val="00CD3772"/>
    <w:rsid w:val="00CD4517"/>
    <w:rsid w:val="00CD55BD"/>
    <w:rsid w:val="00CD5FE7"/>
    <w:rsid w:val="00CD6969"/>
    <w:rsid w:val="00CD6B8C"/>
    <w:rsid w:val="00CD764A"/>
    <w:rsid w:val="00CE0F01"/>
    <w:rsid w:val="00CE2CFF"/>
    <w:rsid w:val="00CE327B"/>
    <w:rsid w:val="00CE394A"/>
    <w:rsid w:val="00CE3B00"/>
    <w:rsid w:val="00CE57BA"/>
    <w:rsid w:val="00CE62ED"/>
    <w:rsid w:val="00CE6FED"/>
    <w:rsid w:val="00CE7DED"/>
    <w:rsid w:val="00CF084C"/>
    <w:rsid w:val="00CF0B09"/>
    <w:rsid w:val="00CF0E67"/>
    <w:rsid w:val="00CF0EBC"/>
    <w:rsid w:val="00CF19F3"/>
    <w:rsid w:val="00CF3285"/>
    <w:rsid w:val="00CF3E83"/>
    <w:rsid w:val="00CF3F0A"/>
    <w:rsid w:val="00CF75F5"/>
    <w:rsid w:val="00D018E8"/>
    <w:rsid w:val="00D01FCE"/>
    <w:rsid w:val="00D0213B"/>
    <w:rsid w:val="00D02497"/>
    <w:rsid w:val="00D025A7"/>
    <w:rsid w:val="00D049DA"/>
    <w:rsid w:val="00D04FD0"/>
    <w:rsid w:val="00D05221"/>
    <w:rsid w:val="00D064AE"/>
    <w:rsid w:val="00D06C98"/>
    <w:rsid w:val="00D079B3"/>
    <w:rsid w:val="00D07F9B"/>
    <w:rsid w:val="00D105DF"/>
    <w:rsid w:val="00D1154A"/>
    <w:rsid w:val="00D11D79"/>
    <w:rsid w:val="00D121BB"/>
    <w:rsid w:val="00D12EB2"/>
    <w:rsid w:val="00D138C1"/>
    <w:rsid w:val="00D14CAA"/>
    <w:rsid w:val="00D15996"/>
    <w:rsid w:val="00D15C00"/>
    <w:rsid w:val="00D166F7"/>
    <w:rsid w:val="00D1735C"/>
    <w:rsid w:val="00D20160"/>
    <w:rsid w:val="00D212EE"/>
    <w:rsid w:val="00D216BA"/>
    <w:rsid w:val="00D218F7"/>
    <w:rsid w:val="00D236F8"/>
    <w:rsid w:val="00D23D6B"/>
    <w:rsid w:val="00D24589"/>
    <w:rsid w:val="00D2573C"/>
    <w:rsid w:val="00D25E75"/>
    <w:rsid w:val="00D25F00"/>
    <w:rsid w:val="00D26322"/>
    <w:rsid w:val="00D26D1E"/>
    <w:rsid w:val="00D2750D"/>
    <w:rsid w:val="00D3003D"/>
    <w:rsid w:val="00D3042E"/>
    <w:rsid w:val="00D30F98"/>
    <w:rsid w:val="00D3249A"/>
    <w:rsid w:val="00D3264F"/>
    <w:rsid w:val="00D33875"/>
    <w:rsid w:val="00D33BD8"/>
    <w:rsid w:val="00D3514E"/>
    <w:rsid w:val="00D35CD8"/>
    <w:rsid w:val="00D3651A"/>
    <w:rsid w:val="00D3656A"/>
    <w:rsid w:val="00D36F22"/>
    <w:rsid w:val="00D375F9"/>
    <w:rsid w:val="00D40B28"/>
    <w:rsid w:val="00D41870"/>
    <w:rsid w:val="00D41AEA"/>
    <w:rsid w:val="00D41EBE"/>
    <w:rsid w:val="00D42588"/>
    <w:rsid w:val="00D425B8"/>
    <w:rsid w:val="00D42BF4"/>
    <w:rsid w:val="00D42CC3"/>
    <w:rsid w:val="00D42D13"/>
    <w:rsid w:val="00D42EED"/>
    <w:rsid w:val="00D44984"/>
    <w:rsid w:val="00D44B04"/>
    <w:rsid w:val="00D45339"/>
    <w:rsid w:val="00D45395"/>
    <w:rsid w:val="00D45B2F"/>
    <w:rsid w:val="00D45C42"/>
    <w:rsid w:val="00D45EFB"/>
    <w:rsid w:val="00D46211"/>
    <w:rsid w:val="00D466D0"/>
    <w:rsid w:val="00D466DD"/>
    <w:rsid w:val="00D47D5E"/>
    <w:rsid w:val="00D47FE3"/>
    <w:rsid w:val="00D50504"/>
    <w:rsid w:val="00D50759"/>
    <w:rsid w:val="00D51265"/>
    <w:rsid w:val="00D521B2"/>
    <w:rsid w:val="00D532E7"/>
    <w:rsid w:val="00D53D7A"/>
    <w:rsid w:val="00D552B7"/>
    <w:rsid w:val="00D55E1D"/>
    <w:rsid w:val="00D56681"/>
    <w:rsid w:val="00D56B62"/>
    <w:rsid w:val="00D56CE6"/>
    <w:rsid w:val="00D577DA"/>
    <w:rsid w:val="00D60C5C"/>
    <w:rsid w:val="00D61BB0"/>
    <w:rsid w:val="00D61F65"/>
    <w:rsid w:val="00D62377"/>
    <w:rsid w:val="00D62686"/>
    <w:rsid w:val="00D62C99"/>
    <w:rsid w:val="00D6328B"/>
    <w:rsid w:val="00D67944"/>
    <w:rsid w:val="00D701D3"/>
    <w:rsid w:val="00D71087"/>
    <w:rsid w:val="00D72669"/>
    <w:rsid w:val="00D73912"/>
    <w:rsid w:val="00D74034"/>
    <w:rsid w:val="00D75A70"/>
    <w:rsid w:val="00D765C4"/>
    <w:rsid w:val="00D7662C"/>
    <w:rsid w:val="00D7696D"/>
    <w:rsid w:val="00D771E6"/>
    <w:rsid w:val="00D77BAD"/>
    <w:rsid w:val="00D800DD"/>
    <w:rsid w:val="00D80425"/>
    <w:rsid w:val="00D82C6C"/>
    <w:rsid w:val="00D839E2"/>
    <w:rsid w:val="00D8461B"/>
    <w:rsid w:val="00D87904"/>
    <w:rsid w:val="00D87951"/>
    <w:rsid w:val="00D87E14"/>
    <w:rsid w:val="00D91BEF"/>
    <w:rsid w:val="00D928A8"/>
    <w:rsid w:val="00D932B2"/>
    <w:rsid w:val="00D93310"/>
    <w:rsid w:val="00D936F6"/>
    <w:rsid w:val="00D93CD7"/>
    <w:rsid w:val="00D9444D"/>
    <w:rsid w:val="00D95488"/>
    <w:rsid w:val="00D954FF"/>
    <w:rsid w:val="00D969AD"/>
    <w:rsid w:val="00D9733D"/>
    <w:rsid w:val="00D97A3D"/>
    <w:rsid w:val="00DA0C05"/>
    <w:rsid w:val="00DA4D8B"/>
    <w:rsid w:val="00DA538E"/>
    <w:rsid w:val="00DA5839"/>
    <w:rsid w:val="00DA673E"/>
    <w:rsid w:val="00DA7257"/>
    <w:rsid w:val="00DA7D46"/>
    <w:rsid w:val="00DB18FC"/>
    <w:rsid w:val="00DB21F9"/>
    <w:rsid w:val="00DB2604"/>
    <w:rsid w:val="00DB2941"/>
    <w:rsid w:val="00DB33EC"/>
    <w:rsid w:val="00DB3739"/>
    <w:rsid w:val="00DB3B22"/>
    <w:rsid w:val="00DB3B61"/>
    <w:rsid w:val="00DB3BBC"/>
    <w:rsid w:val="00DB3EBD"/>
    <w:rsid w:val="00DB4F03"/>
    <w:rsid w:val="00DB5975"/>
    <w:rsid w:val="00DB5D80"/>
    <w:rsid w:val="00DB601B"/>
    <w:rsid w:val="00DC09B9"/>
    <w:rsid w:val="00DC0A21"/>
    <w:rsid w:val="00DC2661"/>
    <w:rsid w:val="00DC282C"/>
    <w:rsid w:val="00DC2F0C"/>
    <w:rsid w:val="00DC3398"/>
    <w:rsid w:val="00DC3AE1"/>
    <w:rsid w:val="00DC4AA0"/>
    <w:rsid w:val="00DC4D16"/>
    <w:rsid w:val="00DC6942"/>
    <w:rsid w:val="00DC6943"/>
    <w:rsid w:val="00DC6B78"/>
    <w:rsid w:val="00DC73CC"/>
    <w:rsid w:val="00DC75F8"/>
    <w:rsid w:val="00DC7CCA"/>
    <w:rsid w:val="00DD01E6"/>
    <w:rsid w:val="00DD04F9"/>
    <w:rsid w:val="00DD184F"/>
    <w:rsid w:val="00DD1B44"/>
    <w:rsid w:val="00DD1C6C"/>
    <w:rsid w:val="00DD2451"/>
    <w:rsid w:val="00DD25E1"/>
    <w:rsid w:val="00DD2712"/>
    <w:rsid w:val="00DD297F"/>
    <w:rsid w:val="00DD31B0"/>
    <w:rsid w:val="00DD31F3"/>
    <w:rsid w:val="00DD40F5"/>
    <w:rsid w:val="00DD42A2"/>
    <w:rsid w:val="00DD42E4"/>
    <w:rsid w:val="00DD6B25"/>
    <w:rsid w:val="00DE022C"/>
    <w:rsid w:val="00DE08B1"/>
    <w:rsid w:val="00DE2E68"/>
    <w:rsid w:val="00DE2FDA"/>
    <w:rsid w:val="00DE34BD"/>
    <w:rsid w:val="00DE4865"/>
    <w:rsid w:val="00DE4F6C"/>
    <w:rsid w:val="00DE5076"/>
    <w:rsid w:val="00DE518A"/>
    <w:rsid w:val="00DE5AE4"/>
    <w:rsid w:val="00DE5B28"/>
    <w:rsid w:val="00DE624F"/>
    <w:rsid w:val="00DE66C0"/>
    <w:rsid w:val="00DE6BAB"/>
    <w:rsid w:val="00DE6CD0"/>
    <w:rsid w:val="00DE7587"/>
    <w:rsid w:val="00DE7A99"/>
    <w:rsid w:val="00DF065F"/>
    <w:rsid w:val="00DF23C2"/>
    <w:rsid w:val="00DF2D01"/>
    <w:rsid w:val="00DF3BFD"/>
    <w:rsid w:val="00DF3E1C"/>
    <w:rsid w:val="00E0086A"/>
    <w:rsid w:val="00E00885"/>
    <w:rsid w:val="00E00D18"/>
    <w:rsid w:val="00E0187C"/>
    <w:rsid w:val="00E019F7"/>
    <w:rsid w:val="00E02060"/>
    <w:rsid w:val="00E022A7"/>
    <w:rsid w:val="00E02EE9"/>
    <w:rsid w:val="00E03BCE"/>
    <w:rsid w:val="00E0407F"/>
    <w:rsid w:val="00E05A8E"/>
    <w:rsid w:val="00E05BFE"/>
    <w:rsid w:val="00E05C03"/>
    <w:rsid w:val="00E05D55"/>
    <w:rsid w:val="00E05F17"/>
    <w:rsid w:val="00E06193"/>
    <w:rsid w:val="00E1052D"/>
    <w:rsid w:val="00E11518"/>
    <w:rsid w:val="00E120C8"/>
    <w:rsid w:val="00E121DE"/>
    <w:rsid w:val="00E12B7E"/>
    <w:rsid w:val="00E139E7"/>
    <w:rsid w:val="00E144B9"/>
    <w:rsid w:val="00E1497C"/>
    <w:rsid w:val="00E1670A"/>
    <w:rsid w:val="00E16716"/>
    <w:rsid w:val="00E168D6"/>
    <w:rsid w:val="00E17B11"/>
    <w:rsid w:val="00E17F57"/>
    <w:rsid w:val="00E20B40"/>
    <w:rsid w:val="00E20C64"/>
    <w:rsid w:val="00E20E9C"/>
    <w:rsid w:val="00E24BB7"/>
    <w:rsid w:val="00E25635"/>
    <w:rsid w:val="00E257FE"/>
    <w:rsid w:val="00E25AF2"/>
    <w:rsid w:val="00E26388"/>
    <w:rsid w:val="00E264CB"/>
    <w:rsid w:val="00E26C44"/>
    <w:rsid w:val="00E26EC4"/>
    <w:rsid w:val="00E2748B"/>
    <w:rsid w:val="00E27792"/>
    <w:rsid w:val="00E3003A"/>
    <w:rsid w:val="00E301C4"/>
    <w:rsid w:val="00E30C4A"/>
    <w:rsid w:val="00E30CA7"/>
    <w:rsid w:val="00E31A66"/>
    <w:rsid w:val="00E31A70"/>
    <w:rsid w:val="00E31F52"/>
    <w:rsid w:val="00E320B4"/>
    <w:rsid w:val="00E33601"/>
    <w:rsid w:val="00E33679"/>
    <w:rsid w:val="00E34B9D"/>
    <w:rsid w:val="00E34DF4"/>
    <w:rsid w:val="00E351EE"/>
    <w:rsid w:val="00E3556E"/>
    <w:rsid w:val="00E366B0"/>
    <w:rsid w:val="00E36A4D"/>
    <w:rsid w:val="00E3750A"/>
    <w:rsid w:val="00E40BD6"/>
    <w:rsid w:val="00E42EE4"/>
    <w:rsid w:val="00E432ED"/>
    <w:rsid w:val="00E43415"/>
    <w:rsid w:val="00E43581"/>
    <w:rsid w:val="00E438CA"/>
    <w:rsid w:val="00E44BA5"/>
    <w:rsid w:val="00E44F7C"/>
    <w:rsid w:val="00E4530E"/>
    <w:rsid w:val="00E459EC"/>
    <w:rsid w:val="00E462A4"/>
    <w:rsid w:val="00E467A3"/>
    <w:rsid w:val="00E46D1B"/>
    <w:rsid w:val="00E46D3B"/>
    <w:rsid w:val="00E46E3A"/>
    <w:rsid w:val="00E46E64"/>
    <w:rsid w:val="00E47F8D"/>
    <w:rsid w:val="00E47FA7"/>
    <w:rsid w:val="00E50A28"/>
    <w:rsid w:val="00E51769"/>
    <w:rsid w:val="00E51B67"/>
    <w:rsid w:val="00E527FD"/>
    <w:rsid w:val="00E5316B"/>
    <w:rsid w:val="00E53330"/>
    <w:rsid w:val="00E53DB7"/>
    <w:rsid w:val="00E53DFA"/>
    <w:rsid w:val="00E5449A"/>
    <w:rsid w:val="00E54A52"/>
    <w:rsid w:val="00E557E7"/>
    <w:rsid w:val="00E55A62"/>
    <w:rsid w:val="00E55CAB"/>
    <w:rsid w:val="00E5774D"/>
    <w:rsid w:val="00E57C9B"/>
    <w:rsid w:val="00E57F37"/>
    <w:rsid w:val="00E602AE"/>
    <w:rsid w:val="00E60697"/>
    <w:rsid w:val="00E606B0"/>
    <w:rsid w:val="00E60EA2"/>
    <w:rsid w:val="00E61EFB"/>
    <w:rsid w:val="00E655D1"/>
    <w:rsid w:val="00E66DDE"/>
    <w:rsid w:val="00E7007E"/>
    <w:rsid w:val="00E70BBE"/>
    <w:rsid w:val="00E71678"/>
    <w:rsid w:val="00E71829"/>
    <w:rsid w:val="00E72109"/>
    <w:rsid w:val="00E72AA5"/>
    <w:rsid w:val="00E73F4B"/>
    <w:rsid w:val="00E74B44"/>
    <w:rsid w:val="00E76C2B"/>
    <w:rsid w:val="00E76FD3"/>
    <w:rsid w:val="00E774DC"/>
    <w:rsid w:val="00E775A8"/>
    <w:rsid w:val="00E7764B"/>
    <w:rsid w:val="00E81E73"/>
    <w:rsid w:val="00E84B8E"/>
    <w:rsid w:val="00E859D6"/>
    <w:rsid w:val="00E85D0F"/>
    <w:rsid w:val="00E85ECB"/>
    <w:rsid w:val="00E86D86"/>
    <w:rsid w:val="00E86E98"/>
    <w:rsid w:val="00E877A5"/>
    <w:rsid w:val="00E9055B"/>
    <w:rsid w:val="00E90621"/>
    <w:rsid w:val="00E90855"/>
    <w:rsid w:val="00E90A7A"/>
    <w:rsid w:val="00E91646"/>
    <w:rsid w:val="00E91CBD"/>
    <w:rsid w:val="00E927EA"/>
    <w:rsid w:val="00E92D76"/>
    <w:rsid w:val="00E93292"/>
    <w:rsid w:val="00E9380D"/>
    <w:rsid w:val="00E93E45"/>
    <w:rsid w:val="00E94C8F"/>
    <w:rsid w:val="00E94F13"/>
    <w:rsid w:val="00E94F57"/>
    <w:rsid w:val="00E95017"/>
    <w:rsid w:val="00E95648"/>
    <w:rsid w:val="00E964E1"/>
    <w:rsid w:val="00E9701B"/>
    <w:rsid w:val="00E972B7"/>
    <w:rsid w:val="00E97836"/>
    <w:rsid w:val="00EA10C5"/>
    <w:rsid w:val="00EA2806"/>
    <w:rsid w:val="00EA33EE"/>
    <w:rsid w:val="00EA46D9"/>
    <w:rsid w:val="00EA4B29"/>
    <w:rsid w:val="00EA5E98"/>
    <w:rsid w:val="00EA7A1C"/>
    <w:rsid w:val="00EA7D37"/>
    <w:rsid w:val="00EB069D"/>
    <w:rsid w:val="00EB08D2"/>
    <w:rsid w:val="00EB1985"/>
    <w:rsid w:val="00EB1A62"/>
    <w:rsid w:val="00EB23B4"/>
    <w:rsid w:val="00EB41B6"/>
    <w:rsid w:val="00EB4F72"/>
    <w:rsid w:val="00EB4F8A"/>
    <w:rsid w:val="00EB4FD1"/>
    <w:rsid w:val="00EB5046"/>
    <w:rsid w:val="00EB605C"/>
    <w:rsid w:val="00EB6070"/>
    <w:rsid w:val="00EB68CD"/>
    <w:rsid w:val="00EB7399"/>
    <w:rsid w:val="00EB77F7"/>
    <w:rsid w:val="00EB79F1"/>
    <w:rsid w:val="00EB7AAC"/>
    <w:rsid w:val="00EC07C7"/>
    <w:rsid w:val="00EC11CF"/>
    <w:rsid w:val="00EC20B8"/>
    <w:rsid w:val="00EC2B20"/>
    <w:rsid w:val="00EC2CD5"/>
    <w:rsid w:val="00EC453E"/>
    <w:rsid w:val="00EC4B96"/>
    <w:rsid w:val="00EC4CA7"/>
    <w:rsid w:val="00EC52B0"/>
    <w:rsid w:val="00EC5584"/>
    <w:rsid w:val="00EC5CE3"/>
    <w:rsid w:val="00EC7A50"/>
    <w:rsid w:val="00EC7BD2"/>
    <w:rsid w:val="00EC7F6B"/>
    <w:rsid w:val="00ED1A1B"/>
    <w:rsid w:val="00ED3ED8"/>
    <w:rsid w:val="00ED424C"/>
    <w:rsid w:val="00ED4AF3"/>
    <w:rsid w:val="00ED52E0"/>
    <w:rsid w:val="00ED610A"/>
    <w:rsid w:val="00ED693E"/>
    <w:rsid w:val="00ED6F84"/>
    <w:rsid w:val="00ED704E"/>
    <w:rsid w:val="00ED7716"/>
    <w:rsid w:val="00ED7949"/>
    <w:rsid w:val="00ED7E19"/>
    <w:rsid w:val="00ED7FC0"/>
    <w:rsid w:val="00EE123D"/>
    <w:rsid w:val="00EE3A07"/>
    <w:rsid w:val="00EE41D4"/>
    <w:rsid w:val="00EE5483"/>
    <w:rsid w:val="00EE5513"/>
    <w:rsid w:val="00EE767C"/>
    <w:rsid w:val="00EE7AEE"/>
    <w:rsid w:val="00EF0357"/>
    <w:rsid w:val="00EF071A"/>
    <w:rsid w:val="00EF0FCA"/>
    <w:rsid w:val="00EF13EB"/>
    <w:rsid w:val="00EF1704"/>
    <w:rsid w:val="00EF1AF4"/>
    <w:rsid w:val="00EF231E"/>
    <w:rsid w:val="00EF25F4"/>
    <w:rsid w:val="00EF3129"/>
    <w:rsid w:val="00EF3CCB"/>
    <w:rsid w:val="00EF4281"/>
    <w:rsid w:val="00EF517B"/>
    <w:rsid w:val="00EF5AC5"/>
    <w:rsid w:val="00EF5B50"/>
    <w:rsid w:val="00F00973"/>
    <w:rsid w:val="00F02822"/>
    <w:rsid w:val="00F0289F"/>
    <w:rsid w:val="00F03FA7"/>
    <w:rsid w:val="00F04906"/>
    <w:rsid w:val="00F04FD0"/>
    <w:rsid w:val="00F06296"/>
    <w:rsid w:val="00F06780"/>
    <w:rsid w:val="00F075F5"/>
    <w:rsid w:val="00F10018"/>
    <w:rsid w:val="00F10934"/>
    <w:rsid w:val="00F10B16"/>
    <w:rsid w:val="00F11EA1"/>
    <w:rsid w:val="00F1209C"/>
    <w:rsid w:val="00F12347"/>
    <w:rsid w:val="00F129CF"/>
    <w:rsid w:val="00F12D84"/>
    <w:rsid w:val="00F12EAF"/>
    <w:rsid w:val="00F1386B"/>
    <w:rsid w:val="00F14DCC"/>
    <w:rsid w:val="00F15B36"/>
    <w:rsid w:val="00F15D54"/>
    <w:rsid w:val="00F16194"/>
    <w:rsid w:val="00F169C7"/>
    <w:rsid w:val="00F174DD"/>
    <w:rsid w:val="00F175BC"/>
    <w:rsid w:val="00F17B4C"/>
    <w:rsid w:val="00F17DC4"/>
    <w:rsid w:val="00F2085F"/>
    <w:rsid w:val="00F2128F"/>
    <w:rsid w:val="00F21A10"/>
    <w:rsid w:val="00F22182"/>
    <w:rsid w:val="00F227F8"/>
    <w:rsid w:val="00F24057"/>
    <w:rsid w:val="00F247D3"/>
    <w:rsid w:val="00F249A0"/>
    <w:rsid w:val="00F24E3F"/>
    <w:rsid w:val="00F25D41"/>
    <w:rsid w:val="00F26073"/>
    <w:rsid w:val="00F260FD"/>
    <w:rsid w:val="00F26832"/>
    <w:rsid w:val="00F26CA0"/>
    <w:rsid w:val="00F275AA"/>
    <w:rsid w:val="00F327A1"/>
    <w:rsid w:val="00F32ADB"/>
    <w:rsid w:val="00F33348"/>
    <w:rsid w:val="00F33498"/>
    <w:rsid w:val="00F360BA"/>
    <w:rsid w:val="00F361CD"/>
    <w:rsid w:val="00F369BF"/>
    <w:rsid w:val="00F37725"/>
    <w:rsid w:val="00F400A2"/>
    <w:rsid w:val="00F40AB5"/>
    <w:rsid w:val="00F40EA1"/>
    <w:rsid w:val="00F42816"/>
    <w:rsid w:val="00F42C05"/>
    <w:rsid w:val="00F43E33"/>
    <w:rsid w:val="00F4450B"/>
    <w:rsid w:val="00F448B9"/>
    <w:rsid w:val="00F45614"/>
    <w:rsid w:val="00F468F3"/>
    <w:rsid w:val="00F46F27"/>
    <w:rsid w:val="00F47D48"/>
    <w:rsid w:val="00F50814"/>
    <w:rsid w:val="00F50C3F"/>
    <w:rsid w:val="00F50D0D"/>
    <w:rsid w:val="00F510FA"/>
    <w:rsid w:val="00F51A2D"/>
    <w:rsid w:val="00F51FD1"/>
    <w:rsid w:val="00F53029"/>
    <w:rsid w:val="00F53ADE"/>
    <w:rsid w:val="00F53D18"/>
    <w:rsid w:val="00F53F26"/>
    <w:rsid w:val="00F550C8"/>
    <w:rsid w:val="00F5645A"/>
    <w:rsid w:val="00F56639"/>
    <w:rsid w:val="00F5671A"/>
    <w:rsid w:val="00F5691F"/>
    <w:rsid w:val="00F57273"/>
    <w:rsid w:val="00F6074F"/>
    <w:rsid w:val="00F6146B"/>
    <w:rsid w:val="00F61FB9"/>
    <w:rsid w:val="00F63DA7"/>
    <w:rsid w:val="00F645C1"/>
    <w:rsid w:val="00F646D5"/>
    <w:rsid w:val="00F64750"/>
    <w:rsid w:val="00F64FA6"/>
    <w:rsid w:val="00F6548B"/>
    <w:rsid w:val="00F6690F"/>
    <w:rsid w:val="00F6706E"/>
    <w:rsid w:val="00F67EF5"/>
    <w:rsid w:val="00F70769"/>
    <w:rsid w:val="00F70A62"/>
    <w:rsid w:val="00F70AEF"/>
    <w:rsid w:val="00F7152A"/>
    <w:rsid w:val="00F71E6F"/>
    <w:rsid w:val="00F7222F"/>
    <w:rsid w:val="00F72DD9"/>
    <w:rsid w:val="00F7313D"/>
    <w:rsid w:val="00F7362F"/>
    <w:rsid w:val="00F74CA8"/>
    <w:rsid w:val="00F74D44"/>
    <w:rsid w:val="00F75888"/>
    <w:rsid w:val="00F768A8"/>
    <w:rsid w:val="00F773E1"/>
    <w:rsid w:val="00F77D17"/>
    <w:rsid w:val="00F801FE"/>
    <w:rsid w:val="00F81A0A"/>
    <w:rsid w:val="00F81D2E"/>
    <w:rsid w:val="00F81DAA"/>
    <w:rsid w:val="00F82394"/>
    <w:rsid w:val="00F82697"/>
    <w:rsid w:val="00F82963"/>
    <w:rsid w:val="00F830E8"/>
    <w:rsid w:val="00F837D0"/>
    <w:rsid w:val="00F84363"/>
    <w:rsid w:val="00F8522A"/>
    <w:rsid w:val="00F8591E"/>
    <w:rsid w:val="00F87B90"/>
    <w:rsid w:val="00F90BEC"/>
    <w:rsid w:val="00F91ADB"/>
    <w:rsid w:val="00F92F3D"/>
    <w:rsid w:val="00F93F8E"/>
    <w:rsid w:val="00F950B2"/>
    <w:rsid w:val="00F95366"/>
    <w:rsid w:val="00F959F9"/>
    <w:rsid w:val="00F96129"/>
    <w:rsid w:val="00F963D8"/>
    <w:rsid w:val="00F96EEC"/>
    <w:rsid w:val="00F9738B"/>
    <w:rsid w:val="00F97581"/>
    <w:rsid w:val="00F975CB"/>
    <w:rsid w:val="00F97FD4"/>
    <w:rsid w:val="00FA1915"/>
    <w:rsid w:val="00FA2389"/>
    <w:rsid w:val="00FA2DDA"/>
    <w:rsid w:val="00FA3298"/>
    <w:rsid w:val="00FA3A9D"/>
    <w:rsid w:val="00FA437D"/>
    <w:rsid w:val="00FA4525"/>
    <w:rsid w:val="00FA4616"/>
    <w:rsid w:val="00FA6106"/>
    <w:rsid w:val="00FB068A"/>
    <w:rsid w:val="00FB1158"/>
    <w:rsid w:val="00FB14A5"/>
    <w:rsid w:val="00FB1762"/>
    <w:rsid w:val="00FB179A"/>
    <w:rsid w:val="00FB1853"/>
    <w:rsid w:val="00FB1E63"/>
    <w:rsid w:val="00FB2242"/>
    <w:rsid w:val="00FB22D0"/>
    <w:rsid w:val="00FB3619"/>
    <w:rsid w:val="00FB37C6"/>
    <w:rsid w:val="00FB3FD7"/>
    <w:rsid w:val="00FB5357"/>
    <w:rsid w:val="00FB5D66"/>
    <w:rsid w:val="00FB5DEB"/>
    <w:rsid w:val="00FB6AB4"/>
    <w:rsid w:val="00FC036B"/>
    <w:rsid w:val="00FC05FC"/>
    <w:rsid w:val="00FC0895"/>
    <w:rsid w:val="00FC22AB"/>
    <w:rsid w:val="00FC41CC"/>
    <w:rsid w:val="00FC4329"/>
    <w:rsid w:val="00FC5656"/>
    <w:rsid w:val="00FC5F59"/>
    <w:rsid w:val="00FC627B"/>
    <w:rsid w:val="00FC706D"/>
    <w:rsid w:val="00FC7091"/>
    <w:rsid w:val="00FC762C"/>
    <w:rsid w:val="00FD0A67"/>
    <w:rsid w:val="00FD0FA2"/>
    <w:rsid w:val="00FD10C7"/>
    <w:rsid w:val="00FD1270"/>
    <w:rsid w:val="00FD184A"/>
    <w:rsid w:val="00FD2D60"/>
    <w:rsid w:val="00FD35E7"/>
    <w:rsid w:val="00FD3ACF"/>
    <w:rsid w:val="00FD4617"/>
    <w:rsid w:val="00FD4A17"/>
    <w:rsid w:val="00FD531C"/>
    <w:rsid w:val="00FD5C58"/>
    <w:rsid w:val="00FD5D65"/>
    <w:rsid w:val="00FD6C8F"/>
    <w:rsid w:val="00FD7AE3"/>
    <w:rsid w:val="00FD7BB3"/>
    <w:rsid w:val="00FE0664"/>
    <w:rsid w:val="00FE093E"/>
    <w:rsid w:val="00FE120E"/>
    <w:rsid w:val="00FE1730"/>
    <w:rsid w:val="00FE3A06"/>
    <w:rsid w:val="00FE3AC7"/>
    <w:rsid w:val="00FE3E3D"/>
    <w:rsid w:val="00FE43CF"/>
    <w:rsid w:val="00FE473D"/>
    <w:rsid w:val="00FE492B"/>
    <w:rsid w:val="00FE4FD8"/>
    <w:rsid w:val="00FE50F9"/>
    <w:rsid w:val="00FE52DC"/>
    <w:rsid w:val="00FE584A"/>
    <w:rsid w:val="00FE6C7F"/>
    <w:rsid w:val="00FE6C85"/>
    <w:rsid w:val="00FE744A"/>
    <w:rsid w:val="00FF0A55"/>
    <w:rsid w:val="00FF2140"/>
    <w:rsid w:val="00FF2667"/>
    <w:rsid w:val="00FF2BF8"/>
    <w:rsid w:val="00FF3A6D"/>
    <w:rsid w:val="00FF6645"/>
    <w:rsid w:val="00FF6D8B"/>
    <w:rsid w:val="00FF72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7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308"/>
    <w:pPr>
      <w:spacing w:before="480" w:after="0" w:line="276" w:lineRule="auto"/>
      <w:ind w:left="432" w:hanging="432"/>
      <w:contextualSpacing/>
      <w:outlineLvl w:val="0"/>
    </w:pPr>
    <w:rPr>
      <w:rFonts w:eastAsiaTheme="majorEastAsia" w:cstheme="majorBidi"/>
      <w:b/>
      <w:bCs/>
      <w:sz w:val="28"/>
      <w:szCs w:val="28"/>
      <w:lang w:val="en-NZ" w:eastAsia="en-NZ"/>
    </w:rPr>
  </w:style>
  <w:style w:type="paragraph" w:styleId="Heading2">
    <w:name w:val="heading 2"/>
    <w:basedOn w:val="Normal"/>
    <w:next w:val="Normal"/>
    <w:link w:val="Heading2Char"/>
    <w:uiPriority w:val="9"/>
    <w:unhideWhenUsed/>
    <w:qFormat/>
    <w:rsid w:val="000C1308"/>
    <w:pPr>
      <w:numPr>
        <w:ilvl w:val="1"/>
        <w:numId w:val="3"/>
      </w:numPr>
      <w:spacing w:before="200" w:after="0" w:line="276" w:lineRule="auto"/>
      <w:outlineLvl w:val="1"/>
    </w:pPr>
    <w:rPr>
      <w:rFonts w:eastAsiaTheme="majorEastAsia" w:cstheme="majorBidi"/>
      <w:b/>
      <w:bCs/>
      <w:sz w:val="24"/>
      <w:szCs w:val="26"/>
      <w:lang w:val="en-NZ" w:eastAsia="en-NZ"/>
    </w:rPr>
  </w:style>
  <w:style w:type="paragraph" w:styleId="Heading3">
    <w:name w:val="heading 3"/>
    <w:basedOn w:val="Normal"/>
    <w:next w:val="Normal"/>
    <w:link w:val="Heading3Char"/>
    <w:uiPriority w:val="9"/>
    <w:unhideWhenUsed/>
    <w:qFormat/>
    <w:rsid w:val="000C1308"/>
    <w:pPr>
      <w:numPr>
        <w:ilvl w:val="2"/>
        <w:numId w:val="3"/>
      </w:numPr>
      <w:spacing w:before="200" w:after="0" w:line="271" w:lineRule="auto"/>
      <w:outlineLvl w:val="2"/>
    </w:pPr>
    <w:rPr>
      <w:rFonts w:eastAsiaTheme="majorEastAsia" w:cstheme="majorBidi"/>
      <w:b/>
      <w:bCs/>
      <w:sz w:val="24"/>
      <w:u w:val="single"/>
      <w:lang w:val="en-NZ" w:eastAsia="en-NZ"/>
    </w:rPr>
  </w:style>
  <w:style w:type="paragraph" w:styleId="Heading4">
    <w:name w:val="heading 4"/>
    <w:basedOn w:val="Normal"/>
    <w:next w:val="Normal"/>
    <w:link w:val="Heading4Char"/>
    <w:uiPriority w:val="9"/>
    <w:semiHidden/>
    <w:unhideWhenUsed/>
    <w:qFormat/>
    <w:rsid w:val="000C1308"/>
    <w:pPr>
      <w:numPr>
        <w:ilvl w:val="3"/>
        <w:numId w:val="3"/>
      </w:numPr>
      <w:spacing w:before="200" w:after="0" w:line="276" w:lineRule="auto"/>
      <w:outlineLvl w:val="3"/>
    </w:pPr>
    <w:rPr>
      <w:rFonts w:asciiTheme="majorHAnsi" w:eastAsiaTheme="majorEastAsia" w:hAnsiTheme="majorHAnsi" w:cstheme="majorBidi"/>
      <w:b/>
      <w:bCs/>
      <w:i/>
      <w:iCs/>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308"/>
    <w:rPr>
      <w:rFonts w:eastAsiaTheme="majorEastAsia" w:cstheme="majorBidi"/>
      <w:b/>
      <w:bCs/>
      <w:sz w:val="28"/>
      <w:szCs w:val="28"/>
      <w:lang w:val="en-NZ" w:eastAsia="en-NZ"/>
    </w:rPr>
  </w:style>
  <w:style w:type="character" w:customStyle="1" w:styleId="Heading2Char">
    <w:name w:val="Heading 2 Char"/>
    <w:basedOn w:val="DefaultParagraphFont"/>
    <w:link w:val="Heading2"/>
    <w:uiPriority w:val="9"/>
    <w:rsid w:val="000C1308"/>
    <w:rPr>
      <w:rFonts w:eastAsiaTheme="majorEastAsia" w:cstheme="majorBidi"/>
      <w:b/>
      <w:bCs/>
      <w:sz w:val="24"/>
      <w:szCs w:val="26"/>
      <w:lang w:val="en-NZ" w:eastAsia="en-NZ"/>
    </w:rPr>
  </w:style>
  <w:style w:type="character" w:customStyle="1" w:styleId="Heading3Char">
    <w:name w:val="Heading 3 Char"/>
    <w:basedOn w:val="DefaultParagraphFont"/>
    <w:link w:val="Heading3"/>
    <w:uiPriority w:val="9"/>
    <w:rsid w:val="000C1308"/>
    <w:rPr>
      <w:rFonts w:eastAsiaTheme="majorEastAsia" w:cstheme="majorBidi"/>
      <w:b/>
      <w:bCs/>
      <w:sz w:val="24"/>
      <w:u w:val="single"/>
      <w:lang w:val="en-NZ" w:eastAsia="en-NZ"/>
    </w:rPr>
  </w:style>
  <w:style w:type="character" w:customStyle="1" w:styleId="Heading4Char">
    <w:name w:val="Heading 4 Char"/>
    <w:basedOn w:val="DefaultParagraphFont"/>
    <w:link w:val="Heading4"/>
    <w:uiPriority w:val="9"/>
    <w:semiHidden/>
    <w:rsid w:val="000C1308"/>
    <w:rPr>
      <w:rFonts w:asciiTheme="majorHAnsi" w:eastAsiaTheme="majorEastAsia" w:hAnsiTheme="majorHAnsi" w:cstheme="majorBidi"/>
      <w:b/>
      <w:bCs/>
      <w:i/>
      <w:iCs/>
      <w:lang w:val="en-NZ" w:eastAsia="en-NZ"/>
    </w:rPr>
  </w:style>
  <w:style w:type="paragraph" w:styleId="Header">
    <w:name w:val="header"/>
    <w:basedOn w:val="Normal"/>
    <w:link w:val="HeaderChar"/>
    <w:uiPriority w:val="99"/>
    <w:unhideWhenUsed/>
    <w:rsid w:val="000C1308"/>
    <w:pPr>
      <w:tabs>
        <w:tab w:val="center" w:pos="4680"/>
        <w:tab w:val="right" w:pos="9360"/>
      </w:tabs>
      <w:spacing w:after="0" w:line="240" w:lineRule="auto"/>
    </w:pPr>
    <w:rPr>
      <w:rFonts w:eastAsiaTheme="minorEastAsia"/>
      <w:lang w:val="en-NZ" w:eastAsia="en-NZ"/>
    </w:rPr>
  </w:style>
  <w:style w:type="character" w:customStyle="1" w:styleId="HeaderChar">
    <w:name w:val="Header Char"/>
    <w:basedOn w:val="DefaultParagraphFont"/>
    <w:link w:val="Header"/>
    <w:uiPriority w:val="99"/>
    <w:rsid w:val="000C1308"/>
    <w:rPr>
      <w:rFonts w:eastAsiaTheme="minorEastAsia"/>
      <w:lang w:val="en-NZ" w:eastAsia="en-NZ"/>
    </w:rPr>
  </w:style>
  <w:style w:type="character" w:styleId="Hyperlink">
    <w:name w:val="Hyperlink"/>
    <w:basedOn w:val="DefaultParagraphFont"/>
    <w:uiPriority w:val="99"/>
    <w:unhideWhenUsed/>
    <w:rsid w:val="0058515E"/>
    <w:rPr>
      <w:color w:val="0563C1" w:themeColor="hyperlink"/>
      <w:u w:val="single"/>
    </w:rPr>
  </w:style>
  <w:style w:type="paragraph" w:styleId="ListParagraph">
    <w:name w:val="List Paragraph"/>
    <w:aliases w:val="Bullet,List Paragraph1"/>
    <w:basedOn w:val="Normal"/>
    <w:uiPriority w:val="34"/>
    <w:qFormat/>
    <w:rsid w:val="0058515E"/>
    <w:pPr>
      <w:ind w:left="720"/>
      <w:contextualSpacing/>
    </w:pPr>
  </w:style>
  <w:style w:type="paragraph" w:styleId="Caption">
    <w:name w:val="caption"/>
    <w:basedOn w:val="Normal"/>
    <w:next w:val="Normal"/>
    <w:uiPriority w:val="35"/>
    <w:unhideWhenUsed/>
    <w:qFormat/>
    <w:rsid w:val="0058515E"/>
    <w:pPr>
      <w:spacing w:after="120" w:line="240" w:lineRule="auto"/>
    </w:pPr>
    <w:rPr>
      <w:rFonts w:ascii="Helvetica" w:eastAsiaTheme="minorEastAsia" w:hAnsi="Helvetica" w:cs="Times New Roman"/>
      <w:b/>
      <w:bCs/>
      <w:sz w:val="18"/>
      <w:szCs w:val="18"/>
    </w:rPr>
  </w:style>
  <w:style w:type="table" w:styleId="TableGrid">
    <w:name w:val="Table Grid"/>
    <w:basedOn w:val="TableNormal"/>
    <w:uiPriority w:val="59"/>
    <w:rsid w:val="0058515E"/>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A7"/>
    <w:rPr>
      <w:rFonts w:ascii="Segoe UI" w:hAnsi="Segoe UI" w:cs="Segoe UI"/>
      <w:sz w:val="18"/>
      <w:szCs w:val="18"/>
    </w:rPr>
  </w:style>
  <w:style w:type="paragraph" w:styleId="Footer">
    <w:name w:val="footer"/>
    <w:basedOn w:val="Normal"/>
    <w:link w:val="FooterChar"/>
    <w:uiPriority w:val="99"/>
    <w:unhideWhenUsed/>
    <w:rsid w:val="00533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0A7"/>
  </w:style>
  <w:style w:type="character" w:styleId="CommentReference">
    <w:name w:val="annotation reference"/>
    <w:basedOn w:val="DefaultParagraphFont"/>
    <w:uiPriority w:val="99"/>
    <w:semiHidden/>
    <w:unhideWhenUsed/>
    <w:rsid w:val="007B61D4"/>
    <w:rPr>
      <w:sz w:val="18"/>
      <w:szCs w:val="18"/>
    </w:rPr>
  </w:style>
  <w:style w:type="paragraph" w:styleId="CommentText">
    <w:name w:val="annotation text"/>
    <w:basedOn w:val="Normal"/>
    <w:link w:val="CommentTextChar"/>
    <w:uiPriority w:val="99"/>
    <w:unhideWhenUsed/>
    <w:rsid w:val="007B61D4"/>
    <w:pPr>
      <w:spacing w:line="240" w:lineRule="auto"/>
    </w:pPr>
    <w:rPr>
      <w:sz w:val="24"/>
      <w:szCs w:val="24"/>
    </w:rPr>
  </w:style>
  <w:style w:type="character" w:customStyle="1" w:styleId="CommentTextChar">
    <w:name w:val="Comment Text Char"/>
    <w:basedOn w:val="DefaultParagraphFont"/>
    <w:link w:val="CommentText"/>
    <w:uiPriority w:val="99"/>
    <w:rsid w:val="007B61D4"/>
    <w:rPr>
      <w:sz w:val="24"/>
      <w:szCs w:val="24"/>
    </w:rPr>
  </w:style>
  <w:style w:type="table" w:customStyle="1" w:styleId="PlainTable21">
    <w:name w:val="Plain Table 21"/>
    <w:basedOn w:val="TableNormal"/>
    <w:uiPriority w:val="42"/>
    <w:rsid w:val="00007A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qFormat/>
    <w:rsid w:val="00397F86"/>
    <w:pPr>
      <w:spacing w:after="0" w:line="240" w:lineRule="auto"/>
    </w:pPr>
    <w:rPr>
      <w:sz w:val="20"/>
      <w:szCs w:val="20"/>
    </w:rPr>
  </w:style>
  <w:style w:type="character" w:customStyle="1" w:styleId="FootnoteTextChar">
    <w:name w:val="Footnote Text Char"/>
    <w:basedOn w:val="DefaultParagraphFont"/>
    <w:link w:val="FootnoteText"/>
    <w:uiPriority w:val="99"/>
    <w:rsid w:val="00397F86"/>
    <w:rPr>
      <w:sz w:val="20"/>
      <w:szCs w:val="20"/>
    </w:rPr>
  </w:style>
  <w:style w:type="character" w:styleId="FootnoteReference">
    <w:name w:val="footnote reference"/>
    <w:aliases w:val="(Footnote Reference)"/>
    <w:basedOn w:val="DefaultParagraphFont"/>
    <w:uiPriority w:val="99"/>
    <w:unhideWhenUsed/>
    <w:rsid w:val="00397F86"/>
    <w:rPr>
      <w:vertAlign w:val="superscript"/>
    </w:rPr>
  </w:style>
  <w:style w:type="table" w:customStyle="1" w:styleId="PlainTable211">
    <w:name w:val="Plain Table 211"/>
    <w:basedOn w:val="TableNormal"/>
    <w:uiPriority w:val="42"/>
    <w:rsid w:val="007A38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A38EB"/>
    <w:rPr>
      <w:color w:val="954F72" w:themeColor="followedHyperlink"/>
      <w:u w:val="single"/>
    </w:rPr>
  </w:style>
  <w:style w:type="character" w:styleId="LineNumber">
    <w:name w:val="line number"/>
    <w:basedOn w:val="DefaultParagraphFont"/>
    <w:uiPriority w:val="99"/>
    <w:semiHidden/>
    <w:unhideWhenUsed/>
    <w:rsid w:val="00963C3C"/>
  </w:style>
  <w:style w:type="paragraph" w:styleId="CommentSubject">
    <w:name w:val="annotation subject"/>
    <w:basedOn w:val="CommentText"/>
    <w:next w:val="CommentText"/>
    <w:link w:val="CommentSubjectChar"/>
    <w:uiPriority w:val="99"/>
    <w:semiHidden/>
    <w:unhideWhenUsed/>
    <w:rsid w:val="00D06C98"/>
    <w:rPr>
      <w:b/>
      <w:bCs/>
      <w:sz w:val="20"/>
      <w:szCs w:val="20"/>
    </w:rPr>
  </w:style>
  <w:style w:type="character" w:customStyle="1" w:styleId="CommentSubjectChar">
    <w:name w:val="Comment Subject Char"/>
    <w:basedOn w:val="CommentTextChar"/>
    <w:link w:val="CommentSubject"/>
    <w:uiPriority w:val="99"/>
    <w:semiHidden/>
    <w:rsid w:val="00D06C98"/>
    <w:rPr>
      <w:b/>
      <w:bCs/>
      <w:sz w:val="20"/>
      <w:szCs w:val="20"/>
    </w:rPr>
  </w:style>
  <w:style w:type="paragraph" w:styleId="Revision">
    <w:name w:val="Revision"/>
    <w:hidden/>
    <w:uiPriority w:val="99"/>
    <w:semiHidden/>
    <w:rsid w:val="00CA24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7598">
      <w:bodyDiv w:val="1"/>
      <w:marLeft w:val="0"/>
      <w:marRight w:val="0"/>
      <w:marTop w:val="0"/>
      <w:marBottom w:val="0"/>
      <w:divBdr>
        <w:top w:val="none" w:sz="0" w:space="0" w:color="auto"/>
        <w:left w:val="none" w:sz="0" w:space="0" w:color="auto"/>
        <w:bottom w:val="none" w:sz="0" w:space="0" w:color="auto"/>
        <w:right w:val="none" w:sz="0" w:space="0" w:color="auto"/>
      </w:divBdr>
    </w:div>
    <w:div w:id="274945981">
      <w:bodyDiv w:val="1"/>
      <w:marLeft w:val="0"/>
      <w:marRight w:val="0"/>
      <w:marTop w:val="0"/>
      <w:marBottom w:val="0"/>
      <w:divBdr>
        <w:top w:val="none" w:sz="0" w:space="0" w:color="auto"/>
        <w:left w:val="none" w:sz="0" w:space="0" w:color="auto"/>
        <w:bottom w:val="none" w:sz="0" w:space="0" w:color="auto"/>
        <w:right w:val="none" w:sz="0" w:space="0" w:color="auto"/>
      </w:divBdr>
    </w:div>
    <w:div w:id="278799211">
      <w:bodyDiv w:val="1"/>
      <w:marLeft w:val="0"/>
      <w:marRight w:val="0"/>
      <w:marTop w:val="0"/>
      <w:marBottom w:val="0"/>
      <w:divBdr>
        <w:top w:val="none" w:sz="0" w:space="0" w:color="auto"/>
        <w:left w:val="none" w:sz="0" w:space="0" w:color="auto"/>
        <w:bottom w:val="none" w:sz="0" w:space="0" w:color="auto"/>
        <w:right w:val="none" w:sz="0" w:space="0" w:color="auto"/>
      </w:divBdr>
    </w:div>
    <w:div w:id="582641284">
      <w:bodyDiv w:val="1"/>
      <w:marLeft w:val="0"/>
      <w:marRight w:val="0"/>
      <w:marTop w:val="0"/>
      <w:marBottom w:val="0"/>
      <w:divBdr>
        <w:top w:val="none" w:sz="0" w:space="0" w:color="auto"/>
        <w:left w:val="none" w:sz="0" w:space="0" w:color="auto"/>
        <w:bottom w:val="none" w:sz="0" w:space="0" w:color="auto"/>
        <w:right w:val="none" w:sz="0" w:space="0" w:color="auto"/>
      </w:divBdr>
    </w:div>
    <w:div w:id="607741734">
      <w:bodyDiv w:val="1"/>
      <w:marLeft w:val="0"/>
      <w:marRight w:val="0"/>
      <w:marTop w:val="0"/>
      <w:marBottom w:val="0"/>
      <w:divBdr>
        <w:top w:val="none" w:sz="0" w:space="0" w:color="auto"/>
        <w:left w:val="none" w:sz="0" w:space="0" w:color="auto"/>
        <w:bottom w:val="none" w:sz="0" w:space="0" w:color="auto"/>
        <w:right w:val="none" w:sz="0" w:space="0" w:color="auto"/>
      </w:divBdr>
    </w:div>
    <w:div w:id="1041514287">
      <w:bodyDiv w:val="1"/>
      <w:marLeft w:val="0"/>
      <w:marRight w:val="0"/>
      <w:marTop w:val="0"/>
      <w:marBottom w:val="0"/>
      <w:divBdr>
        <w:top w:val="none" w:sz="0" w:space="0" w:color="auto"/>
        <w:left w:val="none" w:sz="0" w:space="0" w:color="auto"/>
        <w:bottom w:val="none" w:sz="0" w:space="0" w:color="auto"/>
        <w:right w:val="none" w:sz="0" w:space="0" w:color="auto"/>
      </w:divBdr>
    </w:div>
    <w:div w:id="1254508735">
      <w:bodyDiv w:val="1"/>
      <w:marLeft w:val="0"/>
      <w:marRight w:val="0"/>
      <w:marTop w:val="0"/>
      <w:marBottom w:val="0"/>
      <w:divBdr>
        <w:top w:val="none" w:sz="0" w:space="0" w:color="auto"/>
        <w:left w:val="none" w:sz="0" w:space="0" w:color="auto"/>
        <w:bottom w:val="none" w:sz="0" w:space="0" w:color="auto"/>
        <w:right w:val="none" w:sz="0" w:space="0" w:color="auto"/>
      </w:divBdr>
    </w:div>
    <w:div w:id="1454056065">
      <w:bodyDiv w:val="1"/>
      <w:marLeft w:val="0"/>
      <w:marRight w:val="0"/>
      <w:marTop w:val="0"/>
      <w:marBottom w:val="0"/>
      <w:divBdr>
        <w:top w:val="none" w:sz="0" w:space="0" w:color="auto"/>
        <w:left w:val="none" w:sz="0" w:space="0" w:color="auto"/>
        <w:bottom w:val="none" w:sz="0" w:space="0" w:color="auto"/>
        <w:right w:val="none" w:sz="0" w:space="0" w:color="auto"/>
      </w:divBdr>
    </w:div>
    <w:div w:id="1523201783">
      <w:bodyDiv w:val="1"/>
      <w:marLeft w:val="0"/>
      <w:marRight w:val="0"/>
      <w:marTop w:val="0"/>
      <w:marBottom w:val="0"/>
      <w:divBdr>
        <w:top w:val="none" w:sz="0" w:space="0" w:color="auto"/>
        <w:left w:val="none" w:sz="0" w:space="0" w:color="auto"/>
        <w:bottom w:val="none" w:sz="0" w:space="0" w:color="auto"/>
        <w:right w:val="none" w:sz="0" w:space="0" w:color="auto"/>
      </w:divBdr>
    </w:div>
    <w:div w:id="1583568419">
      <w:bodyDiv w:val="1"/>
      <w:marLeft w:val="0"/>
      <w:marRight w:val="0"/>
      <w:marTop w:val="0"/>
      <w:marBottom w:val="0"/>
      <w:divBdr>
        <w:top w:val="none" w:sz="0" w:space="0" w:color="auto"/>
        <w:left w:val="none" w:sz="0" w:space="0" w:color="auto"/>
        <w:bottom w:val="none" w:sz="0" w:space="0" w:color="auto"/>
        <w:right w:val="none" w:sz="0" w:space="0" w:color="auto"/>
      </w:divBdr>
    </w:div>
    <w:div w:id="1660428741">
      <w:bodyDiv w:val="1"/>
      <w:marLeft w:val="0"/>
      <w:marRight w:val="0"/>
      <w:marTop w:val="0"/>
      <w:marBottom w:val="0"/>
      <w:divBdr>
        <w:top w:val="none" w:sz="0" w:space="0" w:color="auto"/>
        <w:left w:val="none" w:sz="0" w:space="0" w:color="auto"/>
        <w:bottom w:val="none" w:sz="0" w:space="0" w:color="auto"/>
        <w:right w:val="none" w:sz="0" w:space="0" w:color="auto"/>
      </w:divBdr>
    </w:div>
    <w:div w:id="1817457081">
      <w:bodyDiv w:val="1"/>
      <w:marLeft w:val="0"/>
      <w:marRight w:val="0"/>
      <w:marTop w:val="0"/>
      <w:marBottom w:val="0"/>
      <w:divBdr>
        <w:top w:val="none" w:sz="0" w:space="0" w:color="auto"/>
        <w:left w:val="none" w:sz="0" w:space="0" w:color="auto"/>
        <w:bottom w:val="none" w:sz="0" w:space="0" w:color="auto"/>
        <w:right w:val="none" w:sz="0" w:space="0" w:color="auto"/>
      </w:divBdr>
    </w:div>
    <w:div w:id="19059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uments.worldbank.org/curated/en/984261468327002120/Transport-for-health-the-global-burden-of-disease-from-motorized-road-transport" TargetMode="External"/><Relationship Id="rId13" Type="http://schemas.openxmlformats.org/officeDocument/2006/relationships/hyperlink" Target="http://www.wsj.com/articles/some-japanese-diesel-cars-on-road-emissions-higher-than-in-lab-tests-1457082484" TargetMode="External"/><Relationship Id="rId18" Type="http://schemas.openxmlformats.org/officeDocument/2006/relationships/hyperlink" Target="http://www.theicct.org/policies-reduce-fuel-consumption-air-pollution-and-carbon-emissions-vehicles-g20-nations" TargetMode="External"/><Relationship Id="rId26" Type="http://schemas.openxmlformats.org/officeDocument/2006/relationships/hyperlink" Target="https://www.epa.gov/moves/moves2014a-latest-version-motor-vehicle-emission-simulator-moves"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eur-lex.europa.eu/legal-content/EN/TXT/?uri=uriserv:OJ.L_.2016.109.01.0001.01.ENG" TargetMode="External"/><Relationship Id="rId34" Type="http://schemas.openxmlformats.org/officeDocument/2006/relationships/image" Target="media/image2.emf"/><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ov.uk/government/uploads/system/uploads/attachment_data/file/518437/vehicle-emissions-testing-programme.pdf" TargetMode="External"/><Relationship Id="rId17" Type="http://schemas.openxmlformats.org/officeDocument/2006/relationships/hyperlink" Target="http://www.theicct.org/urban-cycle-nox-emissions-euro-ivv-trucks-and-buses" TargetMode="External"/><Relationship Id="rId25" Type="http://schemas.openxmlformats.org/officeDocument/2006/relationships/hyperlink" Target="http://emisia.com/products/sibyl" TargetMode="External"/><Relationship Id="rId33" Type="http://schemas.openxmlformats.org/officeDocument/2006/relationships/image" Target="media/image1.png"/><Relationship Id="rId38" Type="http://schemas.openxmlformats.org/officeDocument/2006/relationships/chart" Target="charts/chart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heicct.org/urban-cycle-nox-emissions-euro-ivv-trucks-and-buses" TargetMode="External"/><Relationship Id="rId20" Type="http://schemas.openxmlformats.org/officeDocument/2006/relationships/hyperlink" Target="http://www.arb.ca.gov/msprog/onroad/optionnox/optionnox.htm" TargetMode="External"/><Relationship Id="rId29" Type="http://schemas.openxmlformats.org/officeDocument/2006/relationships/hyperlink" Target="http://www.eia.gov/forecasts/aeo/data/browser/"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cct.org/sites/default/files/publications/ICCT_PEMS-study_diesel-cars_20141013.pdf" TargetMode="External"/><Relationship Id="rId24" Type="http://schemas.openxmlformats.org/officeDocument/2006/relationships/hyperlink" Target="http://www.theicct.org/global-transportation-roadmap-model" TargetMode="External"/><Relationship Id="rId32" Type="http://schemas.openxmlformats.org/officeDocument/2006/relationships/hyperlink" Target="http://www.ccacoalition.org/es/file/638" TargetMode="External"/><Relationship Id="rId37" Type="http://schemas.openxmlformats.org/officeDocument/2006/relationships/image" Target="media/image5.emf"/><Relationship Id="rId40" Type="http://schemas.openxmlformats.org/officeDocument/2006/relationships/image" Target="media/image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icct.org/comparing-real-world-nox-euro-iv-v-vi-mar2015" TargetMode="External"/><Relationship Id="rId23" Type="http://schemas.openxmlformats.org/officeDocument/2006/relationships/hyperlink" Target="http://ghdx.healthdata.org/gbd-results-tool" TargetMode="External"/><Relationship Id="rId28" Type="http://schemas.openxmlformats.org/officeDocument/2006/relationships/hyperlink" Target="http://publications.tno.nl/publication/34620020/ksRDF3/TNO-2016-R10304.pdf" TargetMode="External"/><Relationship Id="rId36" Type="http://schemas.openxmlformats.org/officeDocument/2006/relationships/image" Target="media/image4.png"/><Relationship Id="rId10" Type="http://schemas.openxmlformats.org/officeDocument/2006/relationships/hyperlink" Target="https://www.epa.gov/sites/production/files/2015-10/documents/vw-nov-caa-09-18-15.pdf" TargetMode="External"/><Relationship Id="rId19" Type="http://schemas.openxmlformats.org/officeDocument/2006/relationships/hyperlink" Target="http://www.theicct.org/us-tier-3-vehicle-emissions-and-fuel-quality-standards-final-rule" TargetMode="External"/><Relationship Id="rId31" Type="http://schemas.openxmlformats.org/officeDocument/2006/relationships/hyperlink" Target="https://www.arb.ca.gov/newsrel/arb_iuc_2015_09_25_final_signed_letter.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iasa.ac.at/web/home/research/researchPrograms/air/Global_emissions.html" TargetMode="External"/><Relationship Id="rId14" Type="http://schemas.openxmlformats.org/officeDocument/2006/relationships/hyperlink" Target="http://www.theicct.org/sites/default/files/publications/Brazil%20P-7%20Briefing%20Paper%20Final_revised.pdf" TargetMode="External"/><Relationship Id="rId22" Type="http://schemas.openxmlformats.org/officeDocument/2006/relationships/hyperlink" Target="http://www.theicct.org/sites/default/files/publications/ICCT_real-world-NOX-RDE-2015-2030_dec2016.pdf" TargetMode="External"/><Relationship Id="rId27" Type="http://schemas.openxmlformats.org/officeDocument/2006/relationships/hyperlink" Target="http://ibis.wvu.edu/" TargetMode="External"/><Relationship Id="rId30" Type="http://schemas.openxmlformats.org/officeDocument/2006/relationships/hyperlink" Target="http://www.theicct.org/sites/default/files/publications/WVU_LDDV_in-use_ICCT_Report_Final_may2014.pdf" TargetMode="External"/><Relationship Id="rId35" Type="http://schemas.openxmlformats.org/officeDocument/2006/relationships/image" Target="media/image3.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30996614479"/>
          <c:y val="5.88987912551832E-2"/>
          <c:w val="0.83884515980726304"/>
          <c:h val="0.66183991059380598"/>
        </c:manualLayout>
      </c:layout>
      <c:barChart>
        <c:barDir val="col"/>
        <c:grouping val="clustered"/>
        <c:varyColors val="0"/>
        <c:ser>
          <c:idx val="0"/>
          <c:order val="0"/>
          <c:tx>
            <c:strRef>
              <c:f>Sheet1!$A$7</c:f>
              <c:strCache>
                <c:ptCount val="1"/>
                <c:pt idx="0">
                  <c:v>Aerosol </c:v>
                </c:pt>
              </c:strCache>
            </c:strRef>
          </c:tx>
          <c:spPr>
            <a:solidFill>
              <a:schemeClr val="accent1"/>
            </a:solidFill>
            <a:ln>
              <a:noFill/>
            </a:ln>
            <a:effectLst/>
          </c:spPr>
          <c:invertIfNegative val="0"/>
          <c:errBars>
            <c:errBarType val="both"/>
            <c:errValType val="cust"/>
            <c:noEndCap val="0"/>
            <c:plus>
              <c:numRef>
                <c:f>(Sheet1!$D$7,Sheet1!$G$7,Sheet1!$J$7,Sheet1!$M$7)</c:f>
                <c:numCache>
                  <c:formatCode>General</c:formatCode>
                  <c:ptCount val="4"/>
                  <c:pt idx="0">
                    <c:v>5.6</c:v>
                  </c:pt>
                  <c:pt idx="1">
                    <c:v>14.06</c:v>
                  </c:pt>
                  <c:pt idx="2">
                    <c:v>16.559999999999999</c:v>
                  </c:pt>
                  <c:pt idx="3">
                    <c:v>19.919999999999991</c:v>
                  </c:pt>
                </c:numCache>
              </c:numRef>
            </c:plus>
            <c:minus>
              <c:numRef>
                <c:f>(Sheet1!$C$7,Sheet1!$F$7,Sheet1!$I$7,Sheet1!$L$7)</c:f>
                <c:numCache>
                  <c:formatCode>General</c:formatCode>
                  <c:ptCount val="4"/>
                  <c:pt idx="0">
                    <c:v>7.7</c:v>
                  </c:pt>
                  <c:pt idx="1">
                    <c:v>10.25</c:v>
                  </c:pt>
                  <c:pt idx="2">
                    <c:v>12.06</c:v>
                  </c:pt>
                  <c:pt idx="3">
                    <c:v>14.52</c:v>
                  </c:pt>
                </c:numCache>
              </c:numRef>
            </c:minus>
            <c:spPr>
              <a:noFill/>
              <a:ln w="9525" cap="flat" cmpd="sng" algn="ctr">
                <a:solidFill>
                  <a:schemeClr val="tx1">
                    <a:lumMod val="65000"/>
                    <a:lumOff val="35000"/>
                  </a:schemeClr>
                </a:solidFill>
                <a:round/>
              </a:ln>
              <a:effectLst/>
            </c:spPr>
          </c:errBars>
          <c:cat>
            <c:strRef>
              <c:f>(Sheet1!$B$6,Sheet1!$E$6,Sheet1!$H$6,Sheet1!$K$6)</c:f>
              <c:strCache>
                <c:ptCount val="4"/>
                <c:pt idx="0">
                  <c:v>Baseline – Limit 2015</c:v>
                </c:pt>
                <c:pt idx="1">
                  <c:v>Euro 6/VI - Baseline 2040</c:v>
                </c:pt>
                <c:pt idx="2">
                  <c:v>Strong RDE - Baseline 2040</c:v>
                </c:pt>
                <c:pt idx="3">
                  <c:v>NextGen - Baseline 2040</c:v>
                </c:pt>
              </c:strCache>
            </c:strRef>
          </c:cat>
          <c:val>
            <c:numRef>
              <c:f>(Sheet1!$B$7,Sheet1!$E$7,Sheet1!$H$7,Sheet1!$K$7)</c:f>
              <c:numCache>
                <c:formatCode>General</c:formatCode>
                <c:ptCount val="4"/>
                <c:pt idx="0">
                  <c:v>-7.94</c:v>
                </c:pt>
                <c:pt idx="1">
                  <c:v>14.53</c:v>
                </c:pt>
                <c:pt idx="2">
                  <c:v>17.11</c:v>
                </c:pt>
                <c:pt idx="3">
                  <c:v>20.59</c:v>
                </c:pt>
              </c:numCache>
            </c:numRef>
          </c:val>
          <c:extLst>
            <c:ext xmlns:c16="http://schemas.microsoft.com/office/drawing/2014/chart" uri="{C3380CC4-5D6E-409C-BE32-E72D297353CC}">
              <c16:uniqueId val="{00000000-4A1C-4604-A86D-BF1A47FD7721}"/>
            </c:ext>
          </c:extLst>
        </c:ser>
        <c:ser>
          <c:idx val="1"/>
          <c:order val="1"/>
          <c:tx>
            <c:strRef>
              <c:f>Sheet1!$A$8</c:f>
              <c:strCache>
                <c:ptCount val="1"/>
                <c:pt idx="0">
                  <c:v>Ozone</c:v>
                </c:pt>
              </c:strCache>
            </c:strRef>
          </c:tx>
          <c:spPr>
            <a:solidFill>
              <a:schemeClr val="accent2"/>
            </a:solidFill>
            <a:ln>
              <a:noFill/>
            </a:ln>
            <a:effectLst/>
          </c:spPr>
          <c:invertIfNegative val="0"/>
          <c:errBars>
            <c:errBarType val="both"/>
            <c:errValType val="cust"/>
            <c:noEndCap val="0"/>
            <c:plus>
              <c:numRef>
                <c:f>(Sheet1!$D$8,Sheet1!$G$8,Sheet1!$J$8,Sheet1!$M$8)</c:f>
                <c:numCache>
                  <c:formatCode>General</c:formatCode>
                  <c:ptCount val="4"/>
                  <c:pt idx="0">
                    <c:v>0.62</c:v>
                  </c:pt>
                  <c:pt idx="1">
                    <c:v>1.35</c:v>
                  </c:pt>
                  <c:pt idx="2">
                    <c:v>1.53</c:v>
                  </c:pt>
                  <c:pt idx="3">
                    <c:v>1.83</c:v>
                  </c:pt>
                </c:numCache>
              </c:numRef>
            </c:plus>
            <c:minus>
              <c:numRef>
                <c:f>(Sheet1!$C$8,Sheet1!$F$8,Sheet1!$I$8,Sheet1!$L$8)</c:f>
                <c:numCache>
                  <c:formatCode>General</c:formatCode>
                  <c:ptCount val="4"/>
                  <c:pt idx="0">
                    <c:v>0.62</c:v>
                  </c:pt>
                  <c:pt idx="1">
                    <c:v>1.35</c:v>
                  </c:pt>
                  <c:pt idx="2">
                    <c:v>1.53</c:v>
                  </c:pt>
                  <c:pt idx="3">
                    <c:v>1.83</c:v>
                  </c:pt>
                </c:numCache>
              </c:numRef>
            </c:minus>
            <c:spPr>
              <a:noFill/>
              <a:ln w="9525" cap="flat" cmpd="sng" algn="ctr">
                <a:solidFill>
                  <a:schemeClr val="tx1">
                    <a:lumMod val="65000"/>
                    <a:lumOff val="35000"/>
                  </a:schemeClr>
                </a:solidFill>
                <a:round/>
              </a:ln>
              <a:effectLst/>
            </c:spPr>
          </c:errBars>
          <c:cat>
            <c:strRef>
              <c:f>(Sheet1!$B$6,Sheet1!$E$6,Sheet1!$H$6,Sheet1!$K$6)</c:f>
              <c:strCache>
                <c:ptCount val="4"/>
                <c:pt idx="0">
                  <c:v>Baseline – Limit 2015</c:v>
                </c:pt>
                <c:pt idx="1">
                  <c:v>Euro 6/VI - Baseline 2040</c:v>
                </c:pt>
                <c:pt idx="2">
                  <c:v>Strong RDE - Baseline 2040</c:v>
                </c:pt>
                <c:pt idx="3">
                  <c:v>NextGen - Baseline 2040</c:v>
                </c:pt>
              </c:strCache>
            </c:strRef>
          </c:cat>
          <c:val>
            <c:numRef>
              <c:f>(Sheet1!$B$8,Sheet1!$E$8,Sheet1!$H$8,Sheet1!$K$8)</c:f>
              <c:numCache>
                <c:formatCode>General</c:formatCode>
                <c:ptCount val="4"/>
                <c:pt idx="0">
                  <c:v>2.68</c:v>
                </c:pt>
                <c:pt idx="1">
                  <c:v>-6.03</c:v>
                </c:pt>
                <c:pt idx="2">
                  <c:v>-6.89</c:v>
                </c:pt>
                <c:pt idx="3">
                  <c:v>-8.2800000000000011</c:v>
                </c:pt>
              </c:numCache>
            </c:numRef>
          </c:val>
          <c:extLst>
            <c:ext xmlns:c16="http://schemas.microsoft.com/office/drawing/2014/chart" uri="{C3380CC4-5D6E-409C-BE32-E72D297353CC}">
              <c16:uniqueId val="{00000001-4A1C-4604-A86D-BF1A47FD7721}"/>
            </c:ext>
          </c:extLst>
        </c:ser>
        <c:ser>
          <c:idx val="2"/>
          <c:order val="2"/>
          <c:tx>
            <c:strRef>
              <c:f>Sheet1!$A$9</c:f>
              <c:strCache>
                <c:ptCount val="1"/>
                <c:pt idx="0">
                  <c:v>Methane</c:v>
                </c:pt>
              </c:strCache>
            </c:strRef>
          </c:tx>
          <c:spPr>
            <a:solidFill>
              <a:schemeClr val="accent3"/>
            </a:solidFill>
            <a:ln>
              <a:noFill/>
            </a:ln>
            <a:effectLst/>
          </c:spPr>
          <c:invertIfNegative val="0"/>
          <c:errBars>
            <c:errBarType val="both"/>
            <c:errValType val="cust"/>
            <c:noEndCap val="0"/>
            <c:plus>
              <c:numRef>
                <c:f>(Sheet1!$D$9,Sheet1!$G$9,Sheet1!$J$9,Sheet1!$M$9)</c:f>
                <c:numCache>
                  <c:formatCode>General</c:formatCode>
                  <c:ptCount val="4"/>
                  <c:pt idx="0">
                    <c:v>0.62</c:v>
                  </c:pt>
                  <c:pt idx="1">
                    <c:v>1.35</c:v>
                  </c:pt>
                  <c:pt idx="2">
                    <c:v>1.53</c:v>
                  </c:pt>
                  <c:pt idx="3">
                    <c:v>1.83</c:v>
                  </c:pt>
                </c:numCache>
              </c:numRef>
            </c:plus>
            <c:minus>
              <c:numRef>
                <c:f>(Sheet1!$C$9,Sheet1!$F$9,Sheet1!$I$9,Sheet1!$L$9)</c:f>
                <c:numCache>
                  <c:formatCode>General</c:formatCode>
                  <c:ptCount val="4"/>
                  <c:pt idx="0">
                    <c:v>0.62</c:v>
                  </c:pt>
                  <c:pt idx="1">
                    <c:v>1.35</c:v>
                  </c:pt>
                  <c:pt idx="2">
                    <c:v>1.53</c:v>
                  </c:pt>
                  <c:pt idx="3">
                    <c:v>1.83</c:v>
                  </c:pt>
                </c:numCache>
              </c:numRef>
            </c:minus>
            <c:spPr>
              <a:noFill/>
              <a:ln w="9525" cap="flat" cmpd="sng" algn="ctr">
                <a:solidFill>
                  <a:schemeClr val="tx1">
                    <a:lumMod val="65000"/>
                    <a:lumOff val="35000"/>
                  </a:schemeClr>
                </a:solidFill>
                <a:round/>
              </a:ln>
              <a:effectLst/>
            </c:spPr>
          </c:errBars>
          <c:cat>
            <c:strRef>
              <c:f>(Sheet1!$B$6,Sheet1!$E$6,Sheet1!$H$6,Sheet1!$K$6)</c:f>
              <c:strCache>
                <c:ptCount val="4"/>
                <c:pt idx="0">
                  <c:v>Baseline – Limit 2015</c:v>
                </c:pt>
                <c:pt idx="1">
                  <c:v>Euro 6/VI - Baseline 2040</c:v>
                </c:pt>
                <c:pt idx="2">
                  <c:v>Strong RDE - Baseline 2040</c:v>
                </c:pt>
                <c:pt idx="3">
                  <c:v>NextGen - Baseline 2040</c:v>
                </c:pt>
              </c:strCache>
            </c:strRef>
          </c:cat>
          <c:val>
            <c:numRef>
              <c:f>(Sheet1!$B$9,Sheet1!$E$9,Sheet1!$H$9,Sheet1!$K$9)</c:f>
              <c:numCache>
                <c:formatCode>General</c:formatCode>
                <c:ptCount val="4"/>
                <c:pt idx="0">
                  <c:v>-3.43</c:v>
                </c:pt>
                <c:pt idx="1">
                  <c:v>7.24</c:v>
                </c:pt>
                <c:pt idx="2">
                  <c:v>8.32</c:v>
                </c:pt>
                <c:pt idx="3">
                  <c:v>10.050000000000001</c:v>
                </c:pt>
              </c:numCache>
            </c:numRef>
          </c:val>
          <c:extLst>
            <c:ext xmlns:c16="http://schemas.microsoft.com/office/drawing/2014/chart" uri="{C3380CC4-5D6E-409C-BE32-E72D297353CC}">
              <c16:uniqueId val="{00000002-4A1C-4604-A86D-BF1A47FD7721}"/>
            </c:ext>
          </c:extLst>
        </c:ser>
        <c:ser>
          <c:idx val="3"/>
          <c:order val="3"/>
          <c:tx>
            <c:strRef>
              <c:f>Sheet1!$A$10</c:f>
              <c:strCache>
                <c:ptCount val="1"/>
                <c:pt idx="0">
                  <c:v>Total</c:v>
                </c:pt>
              </c:strCache>
            </c:strRef>
          </c:tx>
          <c:spPr>
            <a:solidFill>
              <a:schemeClr val="accent4"/>
            </a:solidFill>
            <a:ln>
              <a:noFill/>
            </a:ln>
            <a:effectLst/>
          </c:spPr>
          <c:invertIfNegative val="0"/>
          <c:errBars>
            <c:errBarType val="both"/>
            <c:errValType val="cust"/>
            <c:noEndCap val="0"/>
            <c:plus>
              <c:numRef>
                <c:f>(Sheet1!$D$10,Sheet1!$G$10,Sheet1!$J$10,Sheet1!$M$10)</c:f>
                <c:numCache>
                  <c:formatCode>General</c:formatCode>
                  <c:ptCount val="4"/>
                  <c:pt idx="0">
                    <c:v>5.6199999999999957</c:v>
                  </c:pt>
                  <c:pt idx="1">
                    <c:v>14.29</c:v>
                  </c:pt>
                  <c:pt idx="2">
                    <c:v>16.88</c:v>
                  </c:pt>
                  <c:pt idx="3">
                    <c:v>20.38</c:v>
                  </c:pt>
                </c:numCache>
              </c:numRef>
            </c:plus>
            <c:minus>
              <c:numRef>
                <c:f>(Sheet1!$C$10,Sheet1!$F$10,Sheet1!$I$10,Sheet1!$L$10)</c:f>
                <c:numCache>
                  <c:formatCode>General</c:formatCode>
                  <c:ptCount val="4"/>
                  <c:pt idx="0">
                    <c:v>7.7000000000000011</c:v>
                  </c:pt>
                  <c:pt idx="1">
                    <c:v>10.56</c:v>
                  </c:pt>
                  <c:pt idx="2">
                    <c:v>12.51</c:v>
                  </c:pt>
                  <c:pt idx="3">
                    <c:v>15.37</c:v>
                  </c:pt>
                </c:numCache>
              </c:numRef>
            </c:minus>
            <c:spPr>
              <a:noFill/>
              <a:ln w="9525" cap="flat" cmpd="sng" algn="ctr">
                <a:solidFill>
                  <a:schemeClr val="tx1">
                    <a:lumMod val="65000"/>
                    <a:lumOff val="35000"/>
                  </a:schemeClr>
                </a:solidFill>
                <a:round/>
              </a:ln>
              <a:effectLst/>
            </c:spPr>
          </c:errBars>
          <c:cat>
            <c:strRef>
              <c:f>(Sheet1!$B$6,Sheet1!$E$6,Sheet1!$H$6,Sheet1!$K$6)</c:f>
              <c:strCache>
                <c:ptCount val="4"/>
                <c:pt idx="0">
                  <c:v>Baseline – Limit 2015</c:v>
                </c:pt>
                <c:pt idx="1">
                  <c:v>Euro 6/VI - Baseline 2040</c:v>
                </c:pt>
                <c:pt idx="2">
                  <c:v>Strong RDE - Baseline 2040</c:v>
                </c:pt>
                <c:pt idx="3">
                  <c:v>NextGen - Baseline 2040</c:v>
                </c:pt>
              </c:strCache>
            </c:strRef>
          </c:cat>
          <c:val>
            <c:numRef>
              <c:f>(Sheet1!$B$10,Sheet1!$E$10,Sheet1!$H$10,Sheet1!$K$10)</c:f>
              <c:numCache>
                <c:formatCode>General</c:formatCode>
                <c:ptCount val="4"/>
                <c:pt idx="0">
                  <c:v>-8.69</c:v>
                </c:pt>
                <c:pt idx="1">
                  <c:v>15.74</c:v>
                </c:pt>
                <c:pt idx="2">
                  <c:v>18.54</c:v>
                </c:pt>
                <c:pt idx="3">
                  <c:v>22.46</c:v>
                </c:pt>
              </c:numCache>
            </c:numRef>
          </c:val>
          <c:extLst>
            <c:ext xmlns:c16="http://schemas.microsoft.com/office/drawing/2014/chart" uri="{C3380CC4-5D6E-409C-BE32-E72D297353CC}">
              <c16:uniqueId val="{00000003-4A1C-4604-A86D-BF1A47FD7721}"/>
            </c:ext>
          </c:extLst>
        </c:ser>
        <c:dLbls>
          <c:showLegendKey val="0"/>
          <c:showVal val="0"/>
          <c:showCatName val="0"/>
          <c:showSerName val="0"/>
          <c:showPercent val="0"/>
          <c:showBubbleSize val="0"/>
        </c:dLbls>
        <c:gapWidth val="219"/>
        <c:overlap val="-27"/>
        <c:axId val="2070858680"/>
        <c:axId val="2070862536"/>
      </c:barChart>
      <c:catAx>
        <c:axId val="2070858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70862536"/>
        <c:crosses val="autoZero"/>
        <c:auto val="1"/>
        <c:lblAlgn val="ctr"/>
        <c:lblOffset val="100"/>
        <c:noMultiLvlLbl val="0"/>
      </c:catAx>
      <c:valAx>
        <c:axId val="2070862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Radiative forcing (mW/m2)</a:t>
                </a:r>
              </a:p>
            </c:rich>
          </c:tx>
          <c:layout>
            <c:manualLayout>
              <c:xMode val="edge"/>
              <c:yMode val="edge"/>
              <c:x val="8.5470085470085496E-3"/>
              <c:y val="8.317449467397540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7085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D9846-B896-4B02-8ABD-185EB1D0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9721</Words>
  <Characters>55410</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2017-01-22T01:38:00Z</dcterms:created>
  <dcterms:modified xsi:type="dcterms:W3CDTF">2017-01-22T01:38:00Z</dcterms:modified>
</cp:coreProperties>
</file>