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344E2" w14:textId="6399128E" w:rsidR="00B116B8" w:rsidRPr="00EC5244" w:rsidRDefault="00EE6A58" w:rsidP="00B116B8">
      <w:pPr>
        <w:pStyle w:val="BATitle"/>
        <w:jc w:val="left"/>
        <w:rPr>
          <w:sz w:val="40"/>
          <w:szCs w:val="40"/>
          <w:lang w:val="en-CA" w:eastAsia="ja-JP"/>
        </w:rPr>
      </w:pPr>
      <w:r w:rsidRPr="00EC5244">
        <w:rPr>
          <w:sz w:val="40"/>
          <w:szCs w:val="40"/>
          <w:lang w:val="en-CA"/>
        </w:rPr>
        <w:t>Unifying h</w:t>
      </w:r>
      <w:r w:rsidR="001C44D4" w:rsidRPr="00EC5244">
        <w:rPr>
          <w:sz w:val="40"/>
          <w:szCs w:val="40"/>
          <w:lang w:val="en-CA"/>
        </w:rPr>
        <w:t>ydrotropy</w:t>
      </w:r>
      <w:r w:rsidR="0097233D" w:rsidRPr="00EC5244">
        <w:rPr>
          <w:sz w:val="40"/>
          <w:szCs w:val="40"/>
          <w:lang w:val="en-CA"/>
        </w:rPr>
        <w:t xml:space="preserve"> under</w:t>
      </w:r>
      <w:r w:rsidR="008A3FA6" w:rsidRPr="00EC5244">
        <w:rPr>
          <w:sz w:val="40"/>
          <w:szCs w:val="40"/>
          <w:lang w:val="en-CA"/>
        </w:rPr>
        <w:t xml:space="preserve"> </w:t>
      </w:r>
      <w:r w:rsidR="00037B47" w:rsidRPr="00EC5244">
        <w:rPr>
          <w:sz w:val="40"/>
          <w:szCs w:val="40"/>
          <w:lang w:val="en-CA"/>
        </w:rPr>
        <w:t>Gibbs</w:t>
      </w:r>
      <w:r w:rsidR="001C44D4" w:rsidRPr="00EC5244">
        <w:rPr>
          <w:sz w:val="40"/>
          <w:szCs w:val="40"/>
          <w:lang w:val="en-CA"/>
        </w:rPr>
        <w:t xml:space="preserve"> phase rule</w:t>
      </w:r>
    </w:p>
    <w:p w14:paraId="64162F9F" w14:textId="03F00E3E" w:rsidR="00B116B8" w:rsidRPr="00EC5244" w:rsidRDefault="00D44889" w:rsidP="00B116B8">
      <w:pPr>
        <w:pStyle w:val="BBAuthorName"/>
        <w:jc w:val="left"/>
        <w:rPr>
          <w:i w:val="0"/>
          <w:lang w:val="en-CA" w:eastAsia="ja-JP"/>
        </w:rPr>
      </w:pPr>
      <w:r w:rsidRPr="00EC5244">
        <w:rPr>
          <w:i w:val="0"/>
          <w:lang w:val="en-CA" w:eastAsia="ja-JP"/>
        </w:rPr>
        <w:t>Seishi Shimizu</w:t>
      </w:r>
      <w:r w:rsidR="00B116B8" w:rsidRPr="00EC5244">
        <w:rPr>
          <w:i w:val="0"/>
          <w:vertAlign w:val="superscript"/>
          <w:lang w:val="en-CA" w:eastAsia="ja-JP"/>
        </w:rPr>
        <w:t>1,</w:t>
      </w:r>
      <w:r w:rsidR="00BA7881" w:rsidRPr="00EC5244">
        <w:rPr>
          <w:i w:val="0"/>
          <w:vertAlign w:val="superscript"/>
          <w:lang w:val="en-CA" w:eastAsia="ja-JP"/>
        </w:rPr>
        <w:t>*</w:t>
      </w:r>
      <w:r w:rsidR="001B4CC2" w:rsidRPr="00EC5244">
        <w:rPr>
          <w:i w:val="0"/>
          <w:lang w:val="en-CA" w:eastAsia="ja-JP"/>
        </w:rPr>
        <w:t xml:space="preserve"> </w:t>
      </w:r>
      <w:r w:rsidR="001C44D4" w:rsidRPr="00EC5244">
        <w:rPr>
          <w:i w:val="0"/>
          <w:lang w:val="en-CA" w:eastAsia="ja-JP"/>
        </w:rPr>
        <w:t xml:space="preserve">and </w:t>
      </w:r>
      <w:r w:rsidR="00B116B8" w:rsidRPr="00EC5244">
        <w:rPr>
          <w:i w:val="0"/>
          <w:lang w:val="en-CA" w:eastAsia="ja-JP"/>
        </w:rPr>
        <w:t>Nobuyuki Matubayasi</w:t>
      </w:r>
      <w:r w:rsidR="00B116B8" w:rsidRPr="00EC5244">
        <w:rPr>
          <w:i w:val="0"/>
          <w:vertAlign w:val="superscript"/>
          <w:lang w:val="en-CA" w:eastAsia="ja-JP"/>
        </w:rPr>
        <w:t>2,3</w:t>
      </w:r>
    </w:p>
    <w:p w14:paraId="422DD655" w14:textId="77777777" w:rsidR="00B116B8" w:rsidRPr="00EC5244" w:rsidRDefault="00B116B8" w:rsidP="00B116B8">
      <w:pPr>
        <w:pStyle w:val="BCAuthorAddress"/>
        <w:jc w:val="left"/>
        <w:rPr>
          <w:lang w:val="en-CA" w:eastAsia="ja-JP"/>
        </w:rPr>
      </w:pPr>
      <w:r w:rsidRPr="00EC5244">
        <w:rPr>
          <w:vertAlign w:val="superscript"/>
          <w:lang w:val="en-CA" w:eastAsia="ja-JP"/>
        </w:rPr>
        <w:t>1</w:t>
      </w:r>
      <w:r w:rsidRPr="00EC5244">
        <w:rPr>
          <w:lang w:val="en-CA" w:eastAsia="ja-JP"/>
        </w:rPr>
        <w:t>York Structural Biology Laboratory, Department of Chemistry, University of York, Heslington, York YO10 5DD, United Kingdom</w:t>
      </w:r>
    </w:p>
    <w:p w14:paraId="73844E7F" w14:textId="77777777" w:rsidR="00B116B8" w:rsidRPr="00EC5244" w:rsidRDefault="00B116B8" w:rsidP="00B116B8">
      <w:pPr>
        <w:pStyle w:val="BCAuthorAddress"/>
        <w:jc w:val="left"/>
        <w:rPr>
          <w:lang w:val="en-CA" w:eastAsia="ja-JP"/>
        </w:rPr>
      </w:pPr>
      <w:r w:rsidRPr="00EC5244">
        <w:rPr>
          <w:vertAlign w:val="superscript"/>
          <w:lang w:val="en-CA"/>
        </w:rPr>
        <w:t>2</w:t>
      </w:r>
      <w:r w:rsidRPr="00EC5244">
        <w:rPr>
          <w:lang w:val="en-CA"/>
        </w:rPr>
        <w:t>Division of Chemical Engineering, Graduate School of Engineering Science, Osaka University, Toyonaka, Osaka 560-8531, Japan</w:t>
      </w:r>
    </w:p>
    <w:p w14:paraId="473AE4B3" w14:textId="39647E9F" w:rsidR="00BB6DF7" w:rsidRPr="00EC5244" w:rsidRDefault="00B116B8" w:rsidP="00BB6DF7">
      <w:pPr>
        <w:pStyle w:val="BCAuthorAddress"/>
        <w:jc w:val="left"/>
        <w:rPr>
          <w:lang w:val="en-CA"/>
        </w:rPr>
      </w:pPr>
      <w:r w:rsidRPr="00EC5244">
        <w:rPr>
          <w:vertAlign w:val="superscript"/>
          <w:lang w:val="en-CA"/>
        </w:rPr>
        <w:t>3</w:t>
      </w:r>
      <w:r w:rsidRPr="00EC5244">
        <w:rPr>
          <w:lang w:val="en-CA"/>
        </w:rPr>
        <w:t>Elements Strategy Initiative for Catalysts and Batteries, Kyoto University, Katsura, Kyoto 615-8520, Japan</w:t>
      </w:r>
    </w:p>
    <w:p w14:paraId="5F5A5A33" w14:textId="77777777" w:rsidR="00BB6DF7" w:rsidRPr="00EC5244" w:rsidRDefault="00BB6DF7" w:rsidP="00BB6DF7">
      <w:pPr>
        <w:pStyle w:val="BIEmailAddress"/>
        <w:rPr>
          <w:lang w:val="en-CA"/>
        </w:rPr>
      </w:pPr>
    </w:p>
    <w:p w14:paraId="5BDF823C" w14:textId="4833E758" w:rsidR="00B116B8" w:rsidRPr="00EC5244" w:rsidRDefault="00B116B8" w:rsidP="00B116B8">
      <w:pPr>
        <w:pStyle w:val="TAMainText"/>
        <w:ind w:firstLine="0"/>
        <w:rPr>
          <w:lang w:val="en-CA"/>
        </w:rPr>
      </w:pPr>
      <w:r w:rsidRPr="00EC5244">
        <w:rPr>
          <w:b/>
          <w:lang w:val="en-CA"/>
        </w:rPr>
        <w:t>KEYWORDS:</w:t>
      </w:r>
      <w:r w:rsidR="001878D0" w:rsidRPr="00EC5244">
        <w:rPr>
          <w:lang w:val="en-CA"/>
        </w:rPr>
        <w:t xml:space="preserve"> Hydrotropy; </w:t>
      </w:r>
      <w:r w:rsidRPr="00EC5244">
        <w:rPr>
          <w:lang w:val="en-CA"/>
        </w:rPr>
        <w:t xml:space="preserve">Water; Cosolvent; Cooperativity; Minimum Hydrotrope Concentration </w:t>
      </w:r>
    </w:p>
    <w:p w14:paraId="739DAD2B" w14:textId="77777777" w:rsidR="00F94D8D" w:rsidRPr="00EC5244" w:rsidRDefault="00F94D8D" w:rsidP="00B116B8">
      <w:pPr>
        <w:pStyle w:val="TAMainText"/>
        <w:ind w:firstLine="0"/>
        <w:rPr>
          <w:lang w:val="en-CA"/>
        </w:rPr>
      </w:pPr>
    </w:p>
    <w:p w14:paraId="544A2251" w14:textId="77777777" w:rsidR="00B116B8" w:rsidRPr="00EC5244" w:rsidRDefault="00B116B8" w:rsidP="00B116B8">
      <w:pPr>
        <w:pStyle w:val="BGKeywords"/>
        <w:rPr>
          <w:b/>
          <w:lang w:val="en-CA"/>
        </w:rPr>
      </w:pPr>
      <w:r w:rsidRPr="00EC5244">
        <w:rPr>
          <w:b/>
          <w:lang w:val="en-CA"/>
        </w:rPr>
        <w:t>AUTHOR INFORMATION</w:t>
      </w:r>
    </w:p>
    <w:p w14:paraId="3B1358C4" w14:textId="77777777" w:rsidR="00B116B8" w:rsidRPr="00EC5244" w:rsidRDefault="00B116B8" w:rsidP="00B116B8">
      <w:pPr>
        <w:pStyle w:val="FACorrespondingAuthorFootnote"/>
        <w:spacing w:after="0"/>
        <w:jc w:val="left"/>
        <w:rPr>
          <w:b/>
          <w:lang w:val="en-CA"/>
        </w:rPr>
      </w:pPr>
      <w:r w:rsidRPr="00EC5244">
        <w:rPr>
          <w:b/>
          <w:lang w:val="en-CA"/>
        </w:rPr>
        <w:t xml:space="preserve">Corresponding Author: </w:t>
      </w:r>
    </w:p>
    <w:p w14:paraId="70411AC9" w14:textId="77777777" w:rsidR="00B116B8" w:rsidRPr="00EC5244" w:rsidRDefault="00B116B8" w:rsidP="00B116B8">
      <w:pPr>
        <w:pStyle w:val="FACorrespondingAuthorFootnote"/>
        <w:spacing w:after="0"/>
        <w:jc w:val="left"/>
        <w:rPr>
          <w:lang w:val="en-CA"/>
        </w:rPr>
      </w:pPr>
      <w:r w:rsidRPr="00EC5244">
        <w:rPr>
          <w:lang w:val="en-CA"/>
        </w:rPr>
        <w:t xml:space="preserve">Seishi Shimizu </w:t>
      </w:r>
    </w:p>
    <w:p w14:paraId="0CAD8B15" w14:textId="77777777" w:rsidR="00B116B8" w:rsidRPr="00EC5244" w:rsidRDefault="00B116B8" w:rsidP="00B116B8">
      <w:pPr>
        <w:pStyle w:val="FACorrespondingAuthorFootnote"/>
        <w:rPr>
          <w:lang w:val="en-CA"/>
        </w:rPr>
      </w:pPr>
      <w:r w:rsidRPr="00EC5244">
        <w:rPr>
          <w:lang w:val="en-CA"/>
        </w:rPr>
        <w:t>York Structural Biology Laboratory, Department of Chemistry, University of York, Heslington, York YO10 5DD, United Kingdom</w:t>
      </w:r>
    </w:p>
    <w:p w14:paraId="78BD540E" w14:textId="77777777" w:rsidR="00B116B8" w:rsidRPr="00EC5244" w:rsidRDefault="00B116B8" w:rsidP="00B116B8">
      <w:pPr>
        <w:pStyle w:val="FACorrespondingAuthorFootnote"/>
        <w:rPr>
          <w:lang w:val="en-CA"/>
        </w:rPr>
      </w:pPr>
      <w:r w:rsidRPr="00EC5244">
        <w:rPr>
          <w:lang w:val="en-CA"/>
        </w:rPr>
        <w:t xml:space="preserve">Tel: +44 1904 328281, Fax: +44 1904 328281, Email: </w:t>
      </w:r>
      <w:hyperlink r:id="rId9" w:history="1">
        <w:r w:rsidRPr="00EC5244">
          <w:rPr>
            <w:rStyle w:val="Hyperlink"/>
            <w:color w:val="auto"/>
            <w:lang w:val="en-CA"/>
          </w:rPr>
          <w:t>seishi.shimizu@york.ac.uk</w:t>
        </w:r>
      </w:hyperlink>
    </w:p>
    <w:p w14:paraId="124E9C78" w14:textId="77777777" w:rsidR="00B116B8" w:rsidRPr="00EC5244" w:rsidRDefault="00B116B8" w:rsidP="00B116B8">
      <w:pPr>
        <w:pStyle w:val="TAMainText"/>
        <w:ind w:firstLine="0"/>
        <w:rPr>
          <w:lang w:val="en-CA"/>
        </w:rPr>
      </w:pPr>
    </w:p>
    <w:p w14:paraId="6CD552FA" w14:textId="77777777" w:rsidR="00B116B8" w:rsidRPr="00EC5244" w:rsidRDefault="00B116B8" w:rsidP="00B116B8">
      <w:pPr>
        <w:pStyle w:val="TAMainText"/>
        <w:ind w:firstLine="0"/>
        <w:rPr>
          <w:b/>
          <w:lang w:val="en-CA"/>
        </w:rPr>
      </w:pPr>
      <w:r w:rsidRPr="00EC5244">
        <w:rPr>
          <w:b/>
          <w:lang w:val="en-CA"/>
        </w:rPr>
        <w:t>ABSTRACT</w:t>
      </w:r>
    </w:p>
    <w:p w14:paraId="79B51C05" w14:textId="77777777" w:rsidR="0060394D" w:rsidRPr="00EC5244" w:rsidRDefault="0060394D" w:rsidP="00B116B8">
      <w:pPr>
        <w:pStyle w:val="TAMainText"/>
        <w:ind w:firstLine="0"/>
        <w:rPr>
          <w:lang w:val="en-CA"/>
        </w:rPr>
      </w:pPr>
    </w:p>
    <w:p w14:paraId="573336A3" w14:textId="50C32295" w:rsidR="00CF4122" w:rsidRPr="00EC5244" w:rsidRDefault="0060394D" w:rsidP="00B116B8">
      <w:pPr>
        <w:pStyle w:val="TAMainText"/>
        <w:ind w:firstLine="0"/>
        <w:rPr>
          <w:lang w:val="en-GB" w:eastAsia="ja-JP"/>
        </w:rPr>
      </w:pPr>
      <w:r w:rsidRPr="00EC5244">
        <w:rPr>
          <w:lang w:val="en-CA"/>
        </w:rPr>
        <w:t xml:space="preserve">The </w:t>
      </w:r>
      <w:r w:rsidR="00836A97" w:rsidRPr="00EC5244">
        <w:rPr>
          <w:lang w:val="en-CA"/>
        </w:rPr>
        <w:t xml:space="preserve">task </w:t>
      </w:r>
      <w:r w:rsidRPr="00EC5244">
        <w:rPr>
          <w:lang w:val="en-CA"/>
        </w:rPr>
        <w:t>of elucidating the mechanism of solubility enhancement using hydrotropes has been hampered by the wide variety of phase behaviour that hydrotropes can exhibit, encompassing near-ideal aqueous solution, self-association, micelle formation, and micro-emulsion</w:t>
      </w:r>
      <w:r w:rsidR="00037B47" w:rsidRPr="00EC5244">
        <w:rPr>
          <w:lang w:val="en-CA"/>
        </w:rPr>
        <w:t>s</w:t>
      </w:r>
      <w:r w:rsidRPr="00EC5244">
        <w:rPr>
          <w:lang w:val="en-CA"/>
        </w:rPr>
        <w:t xml:space="preserve">. Instead of taking a field guide or encyclopedic approach to classify hydrotropes into different molecular classes, we take a rational approach aiming at constructing a unified theory of hydrotropy based upon the first principles of statistical thermodynamics. Achieving this aim can be facilitated by the two key concepts: (1) the Gibbs phase rule as the basis of classifying the hydrotropes in terms of the degrees of freedom and the number of variables to modulate the solvation free energy; (2) the Kirkwood-Buff integrals to quantify the interactions between the species and their relative contributions to the process of solubilization. We demonstrate that the application of the two key concepts can in principle be used to distinguish the different molecular scenarios at work under apparently similar solubility curves observed from experiments. </w:t>
      </w:r>
      <w:r w:rsidR="00B77F33" w:rsidRPr="00EC5244">
        <w:rPr>
          <w:lang w:val="en-CA"/>
        </w:rPr>
        <w:t>In addition, a generalization of our p</w:t>
      </w:r>
      <w:r w:rsidR="00C4181C" w:rsidRPr="00EC5244">
        <w:rPr>
          <w:lang w:val="en-CA"/>
        </w:rPr>
        <w:t xml:space="preserve">revious approach to </w:t>
      </w:r>
      <w:r w:rsidR="00B77F33" w:rsidRPr="00EC5244">
        <w:rPr>
          <w:lang w:val="en-CA"/>
        </w:rPr>
        <w:t xml:space="preserve">solutes </w:t>
      </w:r>
      <w:r w:rsidR="00C4181C" w:rsidRPr="00EC5244">
        <w:rPr>
          <w:lang w:val="en-CA"/>
        </w:rPr>
        <w:t xml:space="preserve">beyond dilution </w:t>
      </w:r>
      <w:r w:rsidR="00B77F33" w:rsidRPr="00EC5244">
        <w:rPr>
          <w:lang w:val="en-CA"/>
        </w:rPr>
        <w:t xml:space="preserve">reveals the unified mechanism of hydrotropy, driven by a strong solute-hydrotrope interaction which overcomes the apparent per-hydrotrope inefficiency due to hydrotrope self-clustering. </w:t>
      </w:r>
    </w:p>
    <w:p w14:paraId="7A503CEA" w14:textId="546FE88C" w:rsidR="00804353" w:rsidRPr="00EC5244" w:rsidRDefault="00804353" w:rsidP="00B116B8">
      <w:pPr>
        <w:pStyle w:val="TAMainText"/>
        <w:ind w:firstLine="0"/>
        <w:rPr>
          <w:lang w:val="en-CA"/>
        </w:rPr>
      </w:pPr>
    </w:p>
    <w:p w14:paraId="3ADA42C6" w14:textId="63C34772" w:rsidR="00B116B8" w:rsidRPr="00EC5244" w:rsidRDefault="001C44D4" w:rsidP="001C44D4">
      <w:pPr>
        <w:pStyle w:val="TAMainText"/>
        <w:ind w:firstLine="0"/>
        <w:rPr>
          <w:b/>
          <w:lang w:val="en-CA"/>
        </w:rPr>
      </w:pPr>
      <w:r w:rsidRPr="00EC5244">
        <w:rPr>
          <w:b/>
          <w:lang w:val="en-CA"/>
        </w:rPr>
        <w:t xml:space="preserve">1. </w:t>
      </w:r>
      <w:r w:rsidR="00C45E0A" w:rsidRPr="00EC5244">
        <w:rPr>
          <w:b/>
          <w:lang w:val="en-CA"/>
        </w:rPr>
        <w:t>Introduction</w:t>
      </w:r>
    </w:p>
    <w:p w14:paraId="5598D0E1" w14:textId="77777777" w:rsidR="00612922" w:rsidRPr="00EC5244" w:rsidRDefault="00612922" w:rsidP="001C44D4">
      <w:pPr>
        <w:pStyle w:val="TAMainText"/>
        <w:ind w:firstLine="0"/>
        <w:rPr>
          <w:b/>
          <w:lang w:val="en-CA"/>
        </w:rPr>
      </w:pPr>
    </w:p>
    <w:p w14:paraId="49F24BD0" w14:textId="108604E5" w:rsidR="001C44D4" w:rsidRPr="00EC5244" w:rsidRDefault="00C035D6" w:rsidP="001C44D4">
      <w:pPr>
        <w:pStyle w:val="TAMainText"/>
        <w:rPr>
          <w:color w:val="FF0000"/>
          <w:lang w:val="en-CA"/>
        </w:rPr>
      </w:pPr>
      <w:r w:rsidRPr="00EC5244">
        <w:rPr>
          <w:lang w:val="en-CA"/>
        </w:rPr>
        <w:t>The</w:t>
      </w:r>
      <w:r w:rsidR="00407833" w:rsidRPr="00EC5244">
        <w:rPr>
          <w:lang w:val="en-CA"/>
        </w:rPr>
        <w:t xml:space="preserve"> </w:t>
      </w:r>
      <w:r w:rsidR="00F65773" w:rsidRPr="00EC5244">
        <w:rPr>
          <w:lang w:val="en-CA"/>
        </w:rPr>
        <w:t>difficulty in</w:t>
      </w:r>
      <w:r w:rsidR="001C44D4" w:rsidRPr="00EC5244">
        <w:rPr>
          <w:lang w:val="en-CA"/>
        </w:rPr>
        <w:t xml:space="preserve"> elucidating </w:t>
      </w:r>
      <w:r w:rsidR="00F65773" w:rsidRPr="00EC5244">
        <w:rPr>
          <w:lang w:val="en-CA"/>
        </w:rPr>
        <w:t>the</w:t>
      </w:r>
      <w:r w:rsidR="000F5E8F" w:rsidRPr="00EC5244">
        <w:rPr>
          <w:lang w:val="en-CA"/>
        </w:rPr>
        <w:t xml:space="preserve"> </w:t>
      </w:r>
      <w:r w:rsidR="00407833" w:rsidRPr="00EC5244">
        <w:rPr>
          <w:lang w:val="en-CA"/>
        </w:rPr>
        <w:t xml:space="preserve">origin and </w:t>
      </w:r>
      <w:r w:rsidR="000F5E8F" w:rsidRPr="00EC5244">
        <w:rPr>
          <w:lang w:val="en-CA"/>
        </w:rPr>
        <w:t xml:space="preserve">mechanism of hydrotropy </w:t>
      </w:r>
      <w:r w:rsidRPr="00EC5244">
        <w:rPr>
          <w:lang w:val="en-CA"/>
        </w:rPr>
        <w:t>has been</w:t>
      </w:r>
      <w:r w:rsidR="00407833" w:rsidRPr="00EC5244">
        <w:rPr>
          <w:lang w:val="en-CA"/>
        </w:rPr>
        <w:t xml:space="preserve"> </w:t>
      </w:r>
      <w:r w:rsidR="00037B47" w:rsidRPr="00EC5244">
        <w:rPr>
          <w:lang w:val="en-CA"/>
        </w:rPr>
        <w:t xml:space="preserve">a </w:t>
      </w:r>
      <w:r w:rsidR="00F65773" w:rsidRPr="00EC5244">
        <w:rPr>
          <w:lang w:val="en-CA"/>
        </w:rPr>
        <w:t xml:space="preserve">major stumbling block for </w:t>
      </w:r>
      <w:r w:rsidR="001C44D4" w:rsidRPr="00EC5244">
        <w:rPr>
          <w:lang w:val="en-CA"/>
        </w:rPr>
        <w:t xml:space="preserve">its </w:t>
      </w:r>
      <w:r w:rsidR="00407833" w:rsidRPr="00EC5244">
        <w:rPr>
          <w:lang w:val="en-CA"/>
        </w:rPr>
        <w:t>rational exploitation.</w:t>
      </w:r>
      <w:r w:rsidR="004722FE" w:rsidRPr="00EC5244">
        <w:rPr>
          <w:lang w:val="en-CA"/>
        </w:rPr>
        <w:fldChar w:fldCharType="begin" w:fldLock="1"/>
      </w:r>
      <w:r w:rsidR="004D1EB5" w:rsidRPr="00EC5244">
        <w:rPr>
          <w:lang w:val="en-CA"/>
        </w:rPr>
        <w:instrText>ADDIN CSL_CITATION { "citationItems" : [ { "id" : "ITEM-1", "itemData" : { "author" : [ { "dropping-particle" : "", "family" : "Neuberg", "given" : "C", "non-dropping-particle" : "", "parse-names" : false, "suffix" : "" } ], "container-title" : "Biochem. Z.", "id" : "ITEM-1", "issued" : { "date-parts" : [ [ "1912" ] ] }, "page" : "107-176", "title" : "No Title", "type" : "article-journal", "volume" : "76" }, "uris" : [ "http://www.mendeley.com/documents/?uuid=c62cd791-1d83-4025-9419-1ae7d21afb75" ] }, { "id" : "ITEM-2", "itemData" : { "DOI" : "10.1021/j100346a098", "ISSN" : "0022-3654", "author" : [ { "dropping-particle" : "", "family" : "Balasubramanian", "given" : "D.", "non-dropping-particle" : "", "parse-names" : false, "suffix" : "" }, { "dropping-particle" : "", "family" : "Srinivas", "given" : "V.", "non-dropping-particle" : "", "parse-names" : false, "suffix" : "" }, { "dropping-particle" : "", "family" : "Gaikar", "given" : "V. G.", "non-dropping-particle" : "", "parse-names" : false, "suffix" : "" }, { "dropping-particle" : "", "family" : "Sharma", "given" : "M. M.", "non-dropping-particle" : "", "parse-names" : false, "suffix" : "" } ], "container-title" : "The Journal of Physical Chemistry", "id" : "ITEM-2", "issue" : "9", "issued" : { "date-parts" : [ [ "1989", "5" ] ] }, "page" : "3865-3870", "publisher" : "American Chemical Society", "title" : "Aggregation behavior of hydrotropic compounds in aqueous solution", "type" : "article-journal", "volume" : "93" }, "uris" : [ "http://www.mendeley.com/documents/?uuid=bce5b897-f80d-3e90-a898-84af7e51596e" ] }, { "id" : "ITEM-3", "itemData" : { "DOI" : "10.1016/S1359-0294(97)80096-9", "ISSN" : "13590294", "author" : [ { "dropping-particle" : "", "family" : "Friberg", "given" : "Stig E", "non-dropping-particle" : "", "parse-names" : false, "suffix" : "" } ], "container-title" : "Current Opinion in Colloid &amp; Interface Science", "id" : "ITEM-3", "issue" : "5", "issued" : { "date-parts" : [ [ "1997" ] ] }, "page" : "490-494", "title" : "Hydrotropes", "type" : "article-journal", "volume" : "2" }, "uris" : [ "http://www.mendeley.com/documents/?uuid=58eee903-4e76-4db2-a069-e661db86f8bd" ] }, { "id" : "ITEM-4", "itemData" : { "DOI" : "10.1021/la050554l", "ISBN" : "0743-7463", "ISSN" : "07437463", "PMID" : "16008386", "abstract" : "In the present work hydrophobic dyes, i.e. disperse red 13 (DR-13; (2-[4-(2-chloro-4-nitrophenylazo)-N-ethylphenylamino]ethanol) and Jaune au gras W1201 (1H-indene-1,3(2H)-dione,2-(2-quinolinyl)), are solubilized in water with the help of different additives: acetone and 1-propanol as typical cosolvents, sodium xylene sulfonate (SXS) as a representative of a classical hydrotrope, sodium dodecyl sulfate (SDS) as a typical surfactant, and finally some \"solvosurfactants\" [ propylene glycol monoalkyl ether derivatives (CiPOj: i = 1, j = 1 and 3; i = 3, j = 1 and 2; i = 4 and tertio-butyl, j = 1) and 1-propoxy-2-ethanol (C3EO1)]. These solvosurfactants are short amphiphiles that do not form well-defined structures in water such as micelles. For all additives an exponential increase in the solubilizations of the two studied hydrophobic dyes was observed when their concentrations in water were increased. Except for the SDS solution, no difference in the overall shapes of the solubilization curves (dye solubility against additive concentration) was found. All the studied molecules were classified according to their hydrotropic efficiencies, i.e., their abilities to solubilize a hydrophobic, sparingly soluble compound in water. The volume of the hydrophobic parts of the studied additives, roughly evaluated by simple calculations, was found to influence strongly the hydrotropic efficiency; i.e. the larger the hydrophobic part of the additive, the better the hydrotropic efficiency. By contrast, the hydrophilic part carrying a charge or not is of minor importance. Taking the hydrophobic part of the molecules as the key parameter, the water solubilization efficiency of cosolvents, hydrotropes, and solvosurfactants can be described in a coherent way.", "author" : [ { "dropping-particle" : "", "family" : "Bauduin", "given" : "P.", "non-dropping-particle" : "", "parse-names" : false, "suffix" : "" }, { "dropping-particle" : "", "family" : "Renoncourt", "given" : "A.", "non-dropping-particle" : "", "parse-names" : false, "suffix" : "" }, { "dropping-particle" : "", "family" : "Kopf", "given" : "A.", "non-dropping-particle" : "", "parse-names" : false, "suffix" : "" }, { "dropping-particle" : "", "family" : "Touraud", "given" : "D.", "non-dropping-particle" : "", "parse-names" : false, "suffix" : "" }, { "dropping-particle" : "", "family" : "Kunz", "given" : "W.", "non-dropping-particle" : "", "parse-names" : false, "suffix" : "" } ], "container-title" : "Langmuir", "id" : "ITEM-4", "issue" : "15", "issued" : { "date-parts" : [ [ "2005" ] ] }, "page" : "6769-6775", "title" : "Unified concept of solubilization in water by hydrotropes and cosolvents", "type" : "article-journal", "volume" : "21" }, "uris" : [ "http://www.mendeley.com/documents/?uuid=cf2364fb-608e-485a-a173-755877699eea" ] }, { "id" : "ITEM-5", "itemData" : { "DOI" : "10.1016/j.cocis.2007.06.004", "ISSN" : "13590294", "author" : [ { "dropping-particle" : "", "family" : "Hodgdon", "given" : "Travis K.", "non-dropping-particle" : "", "parse-names" : false, "suffix" : "" }, { "dropping-particle" : "", "family" : "Kaler", "given" : "Eric W.", "non-dropping-particle" : "", "parse-names" : false, "suffix" : "" } ], "container-title" : "Current Opinion in Colloid &amp; Interface Science", "id" : "ITEM-5", "issue" : "3", "issued" : { "date-parts" : [ [ "2007", "6" ] ] }, "page" : "121-128", "title" : "Hydrotropic solutions", "type" : "article-journal", "volume" : "12" }, "uris" : [ "http://www.mendeley.com/documents/?uuid=27867417-36cf-3b36-bc87-a8216d7a4500" ] }, { "id" : "ITEM-6", "itemData" : { "DOI" : "10.1002/ceat.201100484", "ISSN" : "09307516", "author" : [ { "dropping-particle" : "V.", "family" : "Subbarao", "given" : "C.", "non-dropping-particle" : "", "parse-names" : false, "suffix" : "" }, { "dropping-particle" : "", "family" : "Chakravarthy", "given" : "I. P. K.", "non-dropping-particle" : "", "parse-names" : false, "suffix" : "" }, { "dropping-particle" : "", "family" : "Sai Bharadwaj", "given" : "A. V. S. L.", "non-dropping-particle" : "", "parse-names" : false, "suffix" : "" }, { "dropping-particle" : "", "family" : "Prasad", "given" : "K. M. M.", "non-dropping-particle" : "", "parse-names" : false, "suffix" : "" } ], "container-title" : "Chemical Engineering &amp; Technology", "id" : "ITEM-6", "issue" : "2", "issued" : { "date-parts" : [ [ "2012", "2" ] ] }, "page" : "225-237", "publisher" : "WILEY\u2010VCH Verlag", "title" : "Functions of Hydrotropes in Solutions", "type" : "article-journal", "volume" : "35" }, "uris" : [ "http://www.mendeley.com/documents/?uuid=9622becc-1518-31a7-b192-f676f230d788" ] }, { "id" : "ITEM-7", "itemData" : { "DOI" : "10.1016/j.cocis.2016.03.005", "ISSN" : "13590294", "author" : [ { "dropping-particle" : "", "family" : "Kunz", "given" : "Werner", "non-dropping-particle" : "", "parse-names" : false, "suffix" : "" }, { "dropping-particle" : "", "family" : "Holmberg", "given" : "Krister", "non-dropping-particle" : "", "parse-names" : false, "suffix" : "" }, { "dropping-particle" : "", "family" : "Zemb", "given" : "Thomas", "non-dropping-particle" : "", "parse-names" : false, "suffix" : "" } ], "container-title" : "Current Opinion in Colloid &amp; Interface Science", "id" : "ITEM-7", "issued" : { "date-parts" : [ [ "2016" ] ] }, "page" : "99-107", "title" : "Hydrotropes", "type" : "article-journal", "volume" : "22" }, "uris" : [ "http://www.mendeley.com/documents/?uuid=c63892f6-f40b-4433-a7ae-392ad4c78409" ] } ], "mendeley" : { "formattedCitation" : "&lt;sup&gt;1\u20137&lt;/sup&gt;", "plainTextFormattedCitation" : "1\u20137", "previouslyFormattedCitation" : "&lt;sup&gt;1\u20137&lt;/sup&gt;" }, "properties" : { "noteIndex" : 0 }, "schema" : "https://github.com/citation-style-language/schema/raw/master/csl-citation.json" }</w:instrText>
      </w:r>
      <w:r w:rsidR="004722FE" w:rsidRPr="00EC5244">
        <w:rPr>
          <w:lang w:val="en-CA"/>
        </w:rPr>
        <w:fldChar w:fldCharType="separate"/>
      </w:r>
      <w:r w:rsidR="004D1EB5" w:rsidRPr="00EC5244">
        <w:rPr>
          <w:noProof/>
          <w:vertAlign w:val="superscript"/>
          <w:lang w:val="en-CA"/>
        </w:rPr>
        <w:t>1–7</w:t>
      </w:r>
      <w:r w:rsidR="004722FE" w:rsidRPr="00EC5244">
        <w:rPr>
          <w:lang w:val="en-CA"/>
        </w:rPr>
        <w:fldChar w:fldCharType="end"/>
      </w:r>
      <w:r w:rsidR="00407833" w:rsidRPr="00EC5244">
        <w:rPr>
          <w:lang w:val="en-CA"/>
        </w:rPr>
        <w:t xml:space="preserve"> T</w:t>
      </w:r>
      <w:r w:rsidR="000F5E8F" w:rsidRPr="00EC5244">
        <w:rPr>
          <w:lang w:val="en-CA"/>
        </w:rPr>
        <w:t>his difficulty</w:t>
      </w:r>
      <w:r w:rsidR="00407833" w:rsidRPr="00EC5244">
        <w:rPr>
          <w:lang w:val="en-CA"/>
        </w:rPr>
        <w:t>, as we believe,</w:t>
      </w:r>
      <w:r w:rsidR="000F5E8F" w:rsidRPr="00EC5244">
        <w:rPr>
          <w:lang w:val="en-CA"/>
        </w:rPr>
        <w:t xml:space="preserve"> owes in</w:t>
      </w:r>
      <w:r w:rsidR="00407833" w:rsidRPr="00EC5244">
        <w:rPr>
          <w:lang w:val="en-CA"/>
        </w:rPr>
        <w:t xml:space="preserve"> large part to the following definition of hydrotropy (</w:t>
      </w:r>
      <w:r w:rsidR="00F65773" w:rsidRPr="00EC5244">
        <w:rPr>
          <w:lang w:val="en-CA"/>
        </w:rPr>
        <w:t xml:space="preserve">which is broad, inclusive </w:t>
      </w:r>
      <w:r w:rsidR="00407833" w:rsidRPr="00EC5244">
        <w:rPr>
          <w:lang w:val="en-CA"/>
        </w:rPr>
        <w:t xml:space="preserve">and ambiguous) </w:t>
      </w:r>
      <w:r w:rsidR="001C44D4" w:rsidRPr="00EC5244">
        <w:rPr>
          <w:lang w:val="en-CA"/>
        </w:rPr>
        <w:t>as small, organic and amphiphilic molecules that, when added to water, can drastically increase the aqueous sol</w:t>
      </w:r>
      <w:r w:rsidR="00F65773" w:rsidRPr="00EC5244">
        <w:rPr>
          <w:lang w:val="en-CA"/>
        </w:rPr>
        <w:t>ubility of hydrophobic solutes</w:t>
      </w:r>
      <w:r w:rsidR="001C44D4" w:rsidRPr="00EC5244">
        <w:rPr>
          <w:lang w:val="en-CA"/>
        </w:rPr>
        <w:t>.</w:t>
      </w:r>
      <w:r w:rsidR="004D1EB5" w:rsidRPr="00EC5244">
        <w:rPr>
          <w:lang w:val="en-CA"/>
        </w:rPr>
        <w:t xml:space="preserve"> </w:t>
      </w:r>
      <w:r w:rsidR="004D1EB5" w:rsidRPr="00EC5244">
        <w:rPr>
          <w:lang w:val="en-CA"/>
        </w:rPr>
        <w:fldChar w:fldCharType="begin" w:fldLock="1"/>
      </w:r>
      <w:r w:rsidR="004D1EB5" w:rsidRPr="00EC5244">
        <w:rPr>
          <w:lang w:val="en-CA"/>
        </w:rPr>
        <w:instrText>ADDIN CSL_CITATION { "citationItems" : [ { "id" : "ITEM-1", "itemData" : { "author" : [ { "dropping-particle" : "", "family" : "Neuberg", "given" : "C", "non-dropping-particle" : "", "parse-names" : false, "suffix" : "" } ], "container-title" : "Biochem. Z.", "id" : "ITEM-1", "issued" : { "date-parts" : [ [ "1912" ] ] }, "page" : "107-176", "title" : "No Title", "type" : "article-journal", "volume" : "76" }, "uris" : [ "http://www.mendeley.com/documents/?uuid=c62cd791-1d83-4025-9419-1ae7d21afb75" ] }, { "id" : "ITEM-2", "itemData" : { "DOI" : "10.1021/j100346a098", "ISSN" : "0022-3654", "author" : [ { "dropping-particle" : "", "family" : "Balasubramanian", "given" : "D.", "non-dropping-particle" : "", "parse-names" : false, "suffix" : "" }, { "dropping-particle" : "", "family" : "Srinivas", "given" : "V.", "non-dropping-particle" : "", "parse-names" : false, "suffix" : "" }, { "dropping-particle" : "", "family" : "Gaikar", "given" : "V. G.", "non-dropping-particle" : "", "parse-names" : false, "suffix" : "" }, { "dropping-particle" : "", "family" : "Sharma", "given" : "M. M.", "non-dropping-particle" : "", "parse-names" : false, "suffix" : "" } ], "container-title" : "The Journal of Physical Chemistry", "id" : "ITEM-2", "issue" : "9", "issued" : { "date-parts" : [ [ "1989", "5" ] ] }, "page" : "3865-3870", "publisher" : "American Chemical Society", "title" : "Aggregation behavior of hydrotropic compounds in aqueous solution", "type" : "article-journal", "volume" : "93" }, "uris" : [ "http://www.mendeley.com/documents/?uuid=bce5b897-f80d-3e90-a898-84af7e51596e" ] }, { "id" : "ITEM-3", "itemData" : { "DOI" : "10.1016/S1359-0294(97)80096-9", "ISSN" : "13590294", "author" : [ { "dropping-particle" : "", "family" : "Friberg", "given" : "Stig E", "non-dropping-particle" : "", "parse-names" : false, "suffix" : "" } ], "container-title" : "Current Opinion in Colloid &amp; Interface Science", "id" : "ITEM-3", "issue" : "5", "issued" : { "date-parts" : [ [ "1997" ] ] }, "page" : "490-494", "title" : "Hydrotropes", "type" : "article-journal", "volume" : "2" }, "uris" : [ "http://www.mendeley.com/documents/?uuid=58eee903-4e76-4db2-a069-e661db86f8bd" ] }, { "id" : "ITEM-4", "itemData" : { "DOI" : "10.1021/la050554l", "ISBN" : "0743-7463", "ISSN" : "07437463", "PMID" : "16008386", "abstract" : "In the present work hydrophobic dyes, i.e. disperse red 13 (DR-13; (2-[4-(2-chloro-4-nitrophenylazo)-N-ethylphenylamino]ethanol) and Jaune au gras W1201 (1H-indene-1,3(2H)-dione,2-(2-quinolinyl)), are solubilized in water with the help of different additives: acetone and 1-propanol as typical cosolvents, sodium xylene sulfonate (SXS) as a representative of a classical hydrotrope, sodium dodecyl sulfate (SDS) as a typical surfactant, and finally some \"solvosurfactants\" [ propylene glycol monoalkyl ether derivatives (CiPOj: i = 1, j = 1 and 3; i = 3, j = 1 and 2; i = 4 and tertio-butyl, j = 1) and 1-propoxy-2-ethanol (C3EO1)]. These solvosurfactants are short amphiphiles that do not form well-defined structures in water such as micelles. For all additives an exponential increase in the solubilizations of the two studied hydrophobic dyes was observed when their concentrations in water were increased. Except for the SDS solution, no difference in the overall shapes of the solubilization curves (dye solubility against additive concentration) was found. All the studied molecules were classified according to their hydrotropic efficiencies, i.e., their abilities to solubilize a hydrophobic, sparingly soluble compound in water. The volume of the hydrophobic parts of the studied additives, roughly evaluated by simple calculations, was found to influence strongly the hydrotropic efficiency; i.e. the larger the hydrophobic part of the additive, the better the hydrotropic efficiency. By contrast, the hydrophilic part carrying a charge or not is of minor importance. Taking the hydrophobic part of the molecules as the key parameter, the water solubilization efficiency of cosolvents, hydrotropes, and solvosurfactants can be described in a coherent way.", "author" : [ { "dropping-particle" : "", "family" : "Bauduin", "given" : "P.", "non-dropping-particle" : "", "parse-names" : false, "suffix" : "" }, { "dropping-particle" : "", "family" : "Renoncourt", "given" : "A.", "non-dropping-particle" : "", "parse-names" : false, "suffix" : "" }, { "dropping-particle" : "", "family" : "Kopf", "given" : "A.", "non-dropping-particle" : "", "parse-names" : false, "suffix" : "" }, { "dropping-particle" : "", "family" : "Touraud", "given" : "D.", "non-dropping-particle" : "", "parse-names" : false, "suffix" : "" }, { "dropping-particle" : "", "family" : "Kunz", "given" : "W.", "non-dropping-particle" : "", "parse-names" : false, "suffix" : "" } ], "container-title" : "Langmuir", "id" : "ITEM-4", "issue" : "15", "issued" : { "date-parts" : [ [ "2005" ] ] }, "page" : "6769-6775", "title" : "Unified concept of solubilization in water by hydrotropes and cosolvents", "type" : "article-journal", "volume" : "21" }, "uris" : [ "http://www.mendeley.com/documents/?uuid=cf2364fb-608e-485a-a173-755877699eea" ] }, { "id" : "ITEM-5", "itemData" : { "DOI" : "10.1016/j.cocis.2007.06.004", "ISSN" : "13590294", "author" : [ { "dropping-particle" : "", "family" : "Hodgdon", "given" : "Travis K.", "non-dropping-particle" : "", "parse-names" : false, "suffix" : "" }, { "dropping-particle" : "", "family" : "Kaler", "given" : "Eric W.", "non-dropping-particle" : "", "parse-names" : false, "suffix" : "" } ], "container-title" : "Current Opinion in Colloid &amp; Interface Science", "id" : "ITEM-5", "issue" : "3", "issued" : { "date-parts" : [ [ "2007", "6" ] ] }, "page" : "121-128", "title" : "Hydrotropic solutions", "type" : "article-journal", "volume" : "12" }, "uris" : [ "http://www.mendeley.com/documents/?uuid=27867417-36cf-3b36-bc87-a8216d7a4500" ] }, { "id" : "ITEM-6", "itemData" : { "DOI" : "10.1002/ceat.201100484", "ISSN" : "09307516", "author" : [ { "dropping-particle" : "V.", "family" : "Subbarao", "given" : "C.", "non-dropping-particle" : "", "parse-names" : false, "suffix" : "" }, { "dropping-particle" : "", "family" : "Chakravarthy", "given" : "I. P. K.", "non-dropping-particle" : "", "parse-names" : false, "suffix" : "" }, { "dropping-particle" : "", "family" : "Sai Bharadwaj", "given" : "A. V. S. L.", "non-dropping-particle" : "", "parse-names" : false, "suffix" : "" }, { "dropping-particle" : "", "family" : "Prasad", "given" : "K. M. M.", "non-dropping-particle" : "", "parse-names" : false, "suffix" : "" } ], "container-title" : "Chemical Engineering &amp; Technology", "id" : "ITEM-6", "issue" : "2", "issued" : { "date-parts" : [ [ "2012", "2" ] ] }, "page" : "225-237", "publisher" : "WILEY\u2010VCH Verlag", "title" : "Functions of Hydrotropes in Solutions", "type" : "article-journal", "volume" : "35" }, "uris" : [ "http://www.mendeley.com/documents/?uuid=9622becc-1518-31a7-b192-f676f230d788" ] }, { "id" : "ITEM-7", "itemData" : { "DOI" : "10.1016/j.cocis.2016.03.005", "ISSN" : "13590294", "author" : [ { "dropping-particle" : "", "family" : "Kunz", "given" : "Werner", "non-dropping-particle" : "", "parse-names" : false, "suffix" : "" }, { "dropping-particle" : "", "family" : "Holmberg", "given" : "Krister", "non-dropping-particle" : "", "parse-names" : false, "suffix" : "" }, { "dropping-particle" : "", "family" : "Zemb", "given" : "Thomas", "non-dropping-particle" : "", "parse-names" : false, "suffix" : "" } ], "container-title" : "Current Opinion in Colloid &amp; Interface Science", "id" : "ITEM-7", "issued" : { "date-parts" : [ [ "2016" ] ] }, "page" : "99-107", "title" : "Hydrotropes", "type" : "article-journal", "volume" : "22" }, "uris" : [ "http://www.mendeley.com/documents/?uuid=c63892f6-f40b-4433-a7ae-392ad4c78409" ] } ], "mendeley" : { "formattedCitation" : "&lt;sup&gt;1\u20137&lt;/sup&gt;", "plainTextFormattedCitation" : "1\u20137", "previouslyFormattedCitation" : "&lt;sup&gt;1\u20137&lt;/sup&gt;" }, "properties" : { "noteIndex" : 0 }, "schema" : "https://github.com/citation-style-language/schema/raw/master/csl-citation.json" }</w:instrText>
      </w:r>
      <w:r w:rsidR="004D1EB5" w:rsidRPr="00EC5244">
        <w:rPr>
          <w:lang w:val="en-CA"/>
        </w:rPr>
        <w:fldChar w:fldCharType="separate"/>
      </w:r>
      <w:r w:rsidR="004D1EB5" w:rsidRPr="00EC5244">
        <w:rPr>
          <w:noProof/>
          <w:vertAlign w:val="superscript"/>
          <w:lang w:val="en-CA"/>
        </w:rPr>
        <w:t>1–7</w:t>
      </w:r>
      <w:r w:rsidR="004D1EB5" w:rsidRPr="00EC5244">
        <w:rPr>
          <w:lang w:val="en-CA"/>
        </w:rPr>
        <w:fldChar w:fldCharType="end"/>
      </w:r>
      <w:r w:rsidR="001C44D4" w:rsidRPr="00EC5244">
        <w:rPr>
          <w:lang w:val="en-CA"/>
        </w:rPr>
        <w:t xml:space="preserve"> </w:t>
      </w:r>
      <w:r w:rsidR="00F65773" w:rsidRPr="00EC5244">
        <w:rPr>
          <w:lang w:val="en-CA"/>
        </w:rPr>
        <w:t>This definition admits urea (</w:t>
      </w:r>
      <w:r w:rsidR="001C44D4" w:rsidRPr="00EC5244">
        <w:rPr>
          <w:lang w:val="en-CA"/>
        </w:rPr>
        <w:t>which form</w:t>
      </w:r>
      <w:r w:rsidR="00F65773" w:rsidRPr="00EC5244">
        <w:rPr>
          <w:lang w:val="en-CA"/>
        </w:rPr>
        <w:t xml:space="preserve">s near-ideal mixture with water) and </w:t>
      </w:r>
      <w:r w:rsidR="001C44D4" w:rsidRPr="00EC5244">
        <w:rPr>
          <w:lang w:val="en-CA"/>
        </w:rPr>
        <w:t xml:space="preserve">surfactants </w:t>
      </w:r>
      <w:r w:rsidR="00F65773" w:rsidRPr="00EC5244">
        <w:rPr>
          <w:lang w:val="en-CA"/>
        </w:rPr>
        <w:t>(that self-associate in water to form micelles) under the same umbrella</w:t>
      </w:r>
      <w:r w:rsidR="00A16D86" w:rsidRPr="00EC5244">
        <w:t xml:space="preserve">, leading </w:t>
      </w:r>
      <w:r w:rsidR="00E55FD7" w:rsidRPr="00EC5244">
        <w:rPr>
          <w:lang w:val="en-CA"/>
        </w:rPr>
        <w:t xml:space="preserve">to a classical misattribution of the mechanism of </w:t>
      </w:r>
      <w:r w:rsidR="002D3E3C" w:rsidRPr="00EC5244">
        <w:rPr>
          <w:lang w:val="en-CA"/>
        </w:rPr>
        <w:t>small molecule hydrotropy to hydrotrope</w:t>
      </w:r>
      <w:r w:rsidR="00E55FD7" w:rsidRPr="00EC5244">
        <w:rPr>
          <w:lang w:val="en-CA"/>
        </w:rPr>
        <w:t xml:space="preserve"> </w:t>
      </w:r>
      <w:r w:rsidR="002D3E3C" w:rsidRPr="00EC5244">
        <w:rPr>
          <w:lang w:val="en-CA"/>
        </w:rPr>
        <w:t xml:space="preserve">self-association in the bulk phase, which is against the </w:t>
      </w:r>
      <w:r w:rsidR="000F5E8F" w:rsidRPr="00EC5244">
        <w:rPr>
          <w:lang w:val="en-CA"/>
        </w:rPr>
        <w:t>observed near-</w:t>
      </w:r>
      <w:r w:rsidR="002D3E3C" w:rsidRPr="00EC5244">
        <w:rPr>
          <w:lang w:val="en-CA"/>
        </w:rPr>
        <w:t>ideal mixing of urea with water.</w:t>
      </w:r>
      <w:r w:rsidR="004D1EB5" w:rsidRPr="00EC5244">
        <w:rPr>
          <w:lang w:val="en-CA"/>
        </w:rPr>
        <w:fldChar w:fldCharType="begin" w:fldLock="1"/>
      </w:r>
      <w:r w:rsidR="004D1EB5" w:rsidRPr="00EC5244">
        <w:rPr>
          <w:lang w:val="en-CA"/>
        </w:rPr>
        <w:instrText>ADDIN CSL_CITATION { "citationItems" : [ { "id" : "ITEM-1", "itemData" : { "DOI" : "10.1021/jp309819r", "ISBN" : "1520-6106", "ISSN" : "15205207", "PMID" : "23236952", "abstract" : "Drugs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 "author" : [ { "dropping-particle" : "", "family" : "Booth", "given" : "Jonathan J.", "non-dropping-particle" : "", "parse-names" : false, "suffix" : "" }, { "dropping-particle" : "", "family" : "Abbott", "given" : "Steven", "non-dropping-particle" : "", "parse-names" : false, "suffix" : "" }, { "dropping-particle" : "", "family" : "Shimizu", "given" : "Seishi", "non-dropping-particle" : "", "parse-names" : false, "suffix" : "" } ], "container-title" : "Journal of Physical Chemistry B", "id" : "ITEM-1", "issue" : "51", "issued" : { "date-parts" : [ [ "2012" ] ] }, "page" : "14915-14921", "title" : "Mechanism of hydrophobic drug solubilization by small molecule hydrotropes", "type" : "article-journal", "volume" : "116" }, "uris" : [ "http://www.mendeley.com/documents/?uuid=33c3cbc9-707a-4097-91a4-e91008bc3dd6" ] }, { "id" : "ITEM-2",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"ITEM-2", "issue" : "47", "issued" : { "date-parts" : [ [ "2013" ] ] }, "page" : "20625-20632", "title" : "Hydrotropy: binding models vs. statistical thermodynamics.", "type" : "article-journal", "volume" : "15" }, "uris" : [ "http://www.mendeley.com/documents/?uuid=d239f09f-553e-48eb-882f-c22d5aa8ac8c" ] }, { "id" : "ITEM-3",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"35", "issued" : { "date-parts" : [ [ "2014" ] ] }, "page" : "10515-10524", "title" : "Hydrotropy: Monomer-micelle equilibrium and minimum hydrotrope concentration", "type" : "article-journal", "volume" : "118" }, "uris" : [ "http://www.mendeley.com/documents/?uuid=0cd1508f-d197-4e8d-a474-504cfaeae922" ] }, { "id" : "ITEM-4", "itemData" : { "DOI" : "10.1039/C4CP05414H", "ISBN" : "1463-9084", "ISSN" : "1463-9076", "abstract" : "Nicotinamide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 "author" : [ { "dropping-particle" : "", "family" : "Booth", "given" : "Jonathan J", "non-dropping-particle" : "", "parse-names" : false, "suffix" : "" }, { "dropping-particle" : "", "family" : "Omar", "given" : "Muhiadin", "non-dropping-particle" : "", "parse-names" : false, "suffix" : "" }, { "dropping-particle" : "", "family" : "Abbott", "given" : "Steven", "non-dropping-particle" : "", "parse-names" : false, "suffix" : "" }, { "dropping-particle" : "", "family" : "Shimizu", "given" : "Seishi", "non-dropping-particle" : "", "parse-names" : false, "suffix" : "" } ], "container-title" : "Phys Chem Chem Phys", "id" : "ITEM-4", "issue" : "12", "issued" : { "date-parts" : [ [ "2015" ] ] }, "page" : "8028-8037", "publisher" : "Royal Society of Chemistry", "title" : "Hydrotrope accumulation around the drug: the driving force for solubilization and minimum hydrotrope concentration for nicotinamide and urea", "type" : "article-journal", "volume" : "17" }, "uris" : [ "http://www.mendeley.com/documents/?uuid=5c6e1dca-c577-4d43-8836-d1f313635128" ] }, { "id" : "ITEM-5", "itemData" : { "DOI" : "10.1039/C6CP04823D", "ISSN" : "1463-9076", "author" : [ { "dropping-particle" : "", "family" : "Shimizu", "given" : "Seishi", "non-dropping-particle" : "", "parse-names" : false, "suffix" : "" }, { "dropping-particle" : "", "family" : "Matubayasi", "given" : "Nobuyuki", "non-dropping-particle" : "", "parse-names" : false, "suffix" : "" } ], "container-title" : "Phys. Chem. Chem. Phys.", "id" : "ITEM-5", "issue" : "36", "issued" : { "date-parts" : [ [ "2016" ] ] }, "page" : "25621-25628", "publisher" : "Royal Society of Chemistry", "title" : "The origin of cooperative solubilisation by hydrotropes", "type" : "article-journal", "volume" : "18" }, "uris" : [ "http://www.mendeley.com/documents/?uuid=dcc5121c-094a-4702-bc34-1086a5612e68" ] }, { "id" : "ITEM-6", "itemData" : { "DOI" : "10.1039/C6GC03002E", "ISBN" : "1463-9262 1463-9270", "ISSN" : "1463-9262", "author" : [ { "dropping-particle" : "", "family" : "Abbott", "given" : "Steven", "non-dropping-particle" : "", "parse-names" : false, "suffix" : "" }, { "dropping-particle" : "", "family" : "Booth", "given" : "Jonathan J.", "non-dropping-particle" : "", "parse-names" : false, "suffix" : "" }, { "dropping-particle" : "", "family" : "Shimizu", "given" : "Seishi", "non-dropping-particle" : "", "parse-names" : false, "suffix" : "" } ], "container-title" : "Green Chem.", "id" : "ITEM-6", "issued" : { "date-parts" : [ [ "2017" ] ] }, "page" : "68-75", "publisher" : "Royal Society of Chemistry", "title" : "Practical molecular thermodynamics for greener solution chemistry", "type" : "article-journal", "volume" : "19" }, "uris" : [ "http://www.mendeley.com/documents/?uuid=38793dd8-a3eb-4655-8aa4-d9f4d4b3778b" ] } ], "mendeley" : { "formattedCitation" : "&lt;sup&gt;8\u201313&lt;/sup&gt;", "plainTextFormattedCitation" : "8\u201313", "previouslyFormattedCitation" : "&lt;sup&gt;8\u201313&lt;/sup&gt;" }, "properties" : { "noteIndex" : 0 }, "schema" : "https://github.com/citation-style-language/schema/raw/master/csl-citation.json" }</w:instrText>
      </w:r>
      <w:r w:rsidR="004D1EB5" w:rsidRPr="00EC5244">
        <w:rPr>
          <w:lang w:val="en-CA"/>
        </w:rPr>
        <w:fldChar w:fldCharType="separate"/>
      </w:r>
      <w:r w:rsidR="004D1EB5" w:rsidRPr="00EC5244">
        <w:rPr>
          <w:noProof/>
          <w:vertAlign w:val="superscript"/>
          <w:lang w:val="en-CA"/>
        </w:rPr>
        <w:t>8–13</w:t>
      </w:r>
      <w:r w:rsidR="004D1EB5" w:rsidRPr="00EC5244">
        <w:rPr>
          <w:lang w:val="en-CA"/>
        </w:rPr>
        <w:fldChar w:fldCharType="end"/>
      </w:r>
      <w:r w:rsidR="000C3939" w:rsidRPr="00EC5244">
        <w:rPr>
          <w:lang w:val="en-CA"/>
        </w:rPr>
        <w:t xml:space="preserve"> </w:t>
      </w:r>
      <w:r w:rsidR="004D4B3C" w:rsidRPr="00EC5244">
        <w:rPr>
          <w:lang w:val="en-CA"/>
        </w:rPr>
        <w:t>Although</w:t>
      </w:r>
      <w:r w:rsidR="00C36BDA" w:rsidRPr="00EC5244">
        <w:rPr>
          <w:lang w:val="en-CA"/>
        </w:rPr>
        <w:t xml:space="preserve"> </w:t>
      </w:r>
      <w:r w:rsidR="000C3939" w:rsidRPr="00EC5244">
        <w:rPr>
          <w:lang w:val="en-CA"/>
        </w:rPr>
        <w:t xml:space="preserve">micelles </w:t>
      </w:r>
      <w:r w:rsidR="00B01A3C" w:rsidRPr="00EC5244">
        <w:rPr>
          <w:lang w:val="en-CA"/>
        </w:rPr>
        <w:t xml:space="preserve">are </w:t>
      </w:r>
      <w:r w:rsidR="00EF48AC" w:rsidRPr="00EC5244">
        <w:rPr>
          <w:lang w:val="en-CA"/>
        </w:rPr>
        <w:t xml:space="preserve">typically </w:t>
      </w:r>
      <w:r w:rsidR="000C3939" w:rsidRPr="00EC5244">
        <w:rPr>
          <w:lang w:val="en-CA"/>
        </w:rPr>
        <w:t>excluded from the category of hydrotropes</w:t>
      </w:r>
      <w:r w:rsidR="00C36BDA" w:rsidRPr="00EC5244">
        <w:rPr>
          <w:lang w:val="en-CA"/>
        </w:rPr>
        <w:t xml:space="preserve"> </w:t>
      </w:r>
      <w:r w:rsidR="004D4B3C" w:rsidRPr="00EC5244">
        <w:rPr>
          <w:lang w:val="en-CA"/>
        </w:rPr>
        <w:t>in the modern literature</w:t>
      </w:r>
      <w:r w:rsidR="000C3939" w:rsidRPr="00EC5244">
        <w:rPr>
          <w:lang w:val="en-CA"/>
        </w:rPr>
        <w:t>,</w:t>
      </w:r>
      <w:r w:rsidR="00C36BDA" w:rsidRPr="00EC5244">
        <w:rPr>
          <w:lang w:val="en-CA"/>
        </w:rPr>
        <w:t xml:space="preserve"> an </w:t>
      </w:r>
      <w:r w:rsidR="000C3939" w:rsidRPr="00EC5244">
        <w:rPr>
          <w:lang w:val="en-CA"/>
        </w:rPr>
        <w:t>analogy</w:t>
      </w:r>
      <w:r w:rsidR="00EF1F5B" w:rsidRPr="00EC5244">
        <w:rPr>
          <w:lang w:val="en-CA"/>
        </w:rPr>
        <w:t xml:space="preserve"> with micelles have </w:t>
      </w:r>
      <w:r w:rsidR="00B01A3C" w:rsidRPr="00EC5244">
        <w:rPr>
          <w:lang w:val="en-CA"/>
        </w:rPr>
        <w:t xml:space="preserve">often </w:t>
      </w:r>
      <w:r w:rsidR="00EF1F5B" w:rsidRPr="00EC5244">
        <w:rPr>
          <w:lang w:val="en-CA"/>
        </w:rPr>
        <w:t>been invoked in the attempts to elucidate how hydrotropes work.</w:t>
      </w:r>
      <w:r w:rsidR="00EF1F5B" w:rsidRPr="00EC5244">
        <w:rPr>
          <w:lang w:val="en-CA"/>
        </w:rPr>
        <w:fldChar w:fldCharType="begin" w:fldLock="1"/>
      </w:r>
      <w:r w:rsidR="00EF1F5B" w:rsidRPr="00EC5244">
        <w:rPr>
          <w:lang w:val="en-CA"/>
        </w:rPr>
        <w:instrText>ADDIN CSL_CITATION { "citationItems" : [ { "id" : "ITEM-1", "itemData" : { "author" : [ { "dropping-particle" : "", "family" : "Neuberg", "given" : "C", "non-dropping-particle" : "", "parse-names" : false, "suffix" : "" } ], "container-title" : "Biochem. Z.", "id" : "ITEM-1", "issued" : { "date-parts" : [ [ "1912" ] ] }, "page" : "107-176", "title" : "No Title", "type" : "article-journal", "volume" : "76" }, "uris" : [ "http://www.mendeley.com/documents/?uuid=c62cd791-1d83-4025-9419-1ae7d21afb75" ] }, { "id" : "ITEM-2", "itemData" : { "DOI" : "10.1021/j100346a098", "ISSN" : "0022-3654", "author" : [ { "dropping-particle" : "", "family" : "Balasubramanian", "given" : "D.", "non-dropping-particle" : "", "parse-names" : false, "suffix" : "" }, { "dropping-particle" : "", "family" : "Srinivas", "given" : "V.", "non-dropping-particle" : "", "parse-names" : false, "suffix" : "" }, { "dropping-particle" : "", "family" : "Gaikar", "given" : "V. G.", "non-dropping-particle" : "", "parse-names" : false, "suffix" : "" }, { "dropping-particle" : "", "family" : "Sharma", "given" : "M. M.", "non-dropping-particle" : "", "parse-names" : false, "suffix" : "" } ], "container-title" : "The Journal of Physical Chemistry", "id" : "ITEM-2", "issue" : "9", "issued" : { "date-parts" : [ [ "1989", "5" ] ] }, "page" : "3865-3870", "publisher" : "American Chemical Society", "title" : "Aggregation behavior of hydrotropic compounds in aqueous solution", "type" : "article-journal", "volume" : "93" }, "uris" : [ "http://www.mendeley.com/documents/?uuid=bce5b897-f80d-3e90-a898-84af7e51596e" ] }, { "id" : "ITEM-3", "itemData" : { "DOI" : "10.1016/S1359-0294(97)80096-9", "ISSN" : "13590294", "author" : [ { "dropping-particle" : "", "family" : "Friberg", "given" : "Stig E", "non-dropping-particle" : "", "parse-names" : false, "suffix" : "" } ], "container-title" : "Current Opinion in Colloid &amp; Interface Science", "id" : "ITEM-3", "issue" : "5", "issued" : { "date-parts" : [ [ "1997" ] ] }, "page" : "490-494", "title" : "Hydrotropes", "type" : "article-journal", "volume" : "2" }, "uris" : [ "http://www.mendeley.com/documents/?uuid=58eee903-4e76-4db2-a069-e661db86f8bd" ] }, { "id" : "ITEM-4", "itemData" : { "DOI" : "10.1021/la050554l", "ISBN" : "0743-7463", "ISSN" : "07437463", "PMID" : "16008386", "abstract" : "In the present work hydrophobic dyes, i.e. disperse red 13 (DR-13; (2-[4-(2-chloro-4-nitrophenylazo)-N-ethylphenylamino]ethanol) and Jaune au gras W1201 (1H-indene-1,3(2H)-dione,2-(2-quinolinyl)), are solubilized in water with the help of different additives: acetone and 1-propanol as typical cosolvents, sodium xylene sulfonate (SXS) as a representative of a classical hydrotrope, sodium dodecyl sulfate (SDS) as a typical surfactant, and finally some \"solvosurfactants\" [ propylene glycol monoalkyl ether derivatives (CiPOj: i = 1, j = 1 and 3; i = 3, j = 1 and 2; i = 4 and tertio-butyl, j = 1) and 1-propoxy-2-ethanol (C3EO1)]. These solvosurfactants are short amphiphiles that do not form well-defined structures in water such as micelles. For all additives an exponential increase in the solubilizations of the two studied hydrophobic dyes was observed when their concentrations in water were increased. Except for the SDS solution, no difference in the overall shapes of the solubilization curves (dye solubility against additive concentration) was found. All the studied molecules were classified according to their hydrotropic efficiencies, i.e., their abilities to solubilize a hydrophobic, sparingly soluble compound in water. The volume of the hydrophobic parts of the studied additives, roughly evaluated by simple calculations, was found to influence strongly the hydrotropic efficiency; i.e. the larger the hydrophobic part of the additive, the better the hydrotropic efficiency. By contrast, the hydrophilic part carrying a charge or not is of minor importance. Taking the hydrophobic part of the molecules as the key parameter, the water solubilization efficiency of cosolvents, hydrotropes, and solvosurfactants can be described in a coherent way.", "author" : [ { "dropping-particle" : "", "family" : "Bauduin", "given" : "P.", "non-dropping-particle" : "", "parse-names" : false, "suffix" : "" }, { "dropping-particle" : "", "family" : "Renoncourt", "given" : "A.", "non-dropping-particle" : "", "parse-names" : false, "suffix" : "" }, { "dropping-particle" : "", "family" : "Kopf", "given" : "A.", "non-dropping-particle" : "", "parse-names" : false, "suffix" : "" }, { "dropping-particle" : "", "family" : "Touraud", "given" : "D.", "non-dropping-particle" : "", "parse-names" : false, "suffix" : "" }, { "dropping-particle" : "", "family" : "Kunz", "given" : "W.", "non-dropping-particle" : "", "parse-names" : false, "suffix" : "" } ], "container-title" : "Langmuir", "id" : "ITEM-4", "issue" : "15", "issued" : { "date-parts" : [ [ "2005" ] ] }, "page" : "6769-6775", "title" : "Unified concept of solubilization in water by hydrotropes and cosolvents", "type" : "article-journal", "volume" : "21" }, "uris" : [ "http://www.mendeley.com/documents/?uuid=cf2364fb-608e-485a-a173-755877699eea" ] }, { "id" : "ITEM-5", "itemData" : { "DOI" : "10.1016/j.cocis.2007.06.004", "ISSN" : "13590294", "author" : [ { "dropping-particle" : "", "family" : "Hodgdon", "given" : "Travis K.", "non-dropping-particle" : "", "parse-names" : false, "suffix" : "" }, { "dropping-particle" : "", "family" : "Kaler", "given" : "Eric W.", "non-dropping-particle" : "", "parse-names" : false, "suffix" : "" } ], "container-title" : "Current Opinion in Colloid &amp; Interface Science", "id" : "ITEM-5", "issue" : "3", "issued" : { "date-parts" : [ [ "2007", "6" ] ] }, "page" : "121-128", "title" : "Hydrotropic solutions", "type" : "article-journal", "volume" : "12" }, "uris" : [ "http://www.mendeley.com/documents/?uuid=27867417-36cf-3b36-bc87-a8216d7a4500" ] }, { "id" : "ITEM-6", "itemData" : { "DOI" : "10.1002/ceat.201100484", "ISSN" : "09307516", "author" : [ { "dropping-particle" : "V.", "family" : "Subbarao", "given" : "C.", "non-dropping-particle" : "", "parse-names" : false, "suffix" : "" }, { "dropping-particle" : "", "family" : "Chakravarthy", "given" : "I. P. K.", "non-dropping-particle" : "", "parse-names" : false, "suffix" : "" }, { "dropping-particle" : "", "family" : "Sai Bharadwaj", "given" : "A. V. S. L.", "non-dropping-particle" : "", "parse-names" : false, "suffix" : "" }, { "dropping-particle" : "", "family" : "Prasad", "given" : "K. M. M.", "non-dropping-particle" : "", "parse-names" : false, "suffix" : "" } ], "container-title" : "Chemical Engineering &amp; Technology", "id" : "ITEM-6", "issue" : "2", "issued" : { "date-parts" : [ [ "2012", "2" ] ] }, "page" : "225-237", "publisher" : "WILEY\u2010VCH Verlag", "title" : "Functions of Hydrotropes in Solutions", "type" : "article-journal", "volume" : "35" }, "uris" : [ "http://www.mendeley.com/documents/?uuid=9622becc-1518-31a7-b192-f676f230d788" ] }, { "id" : "ITEM-7", "itemData" : { "DOI" : "10.1016/j.cocis.2016.03.005", "ISSN" : "13590294", "author" : [ { "dropping-particle" : "", "family" : "Kunz", "given" : "Werner", "non-dropping-particle" : "", "parse-names" : false, "suffix" : "" }, { "dropping-particle" : "", "family" : "Holmberg", "given" : "Krister", "non-dropping-particle" : "", "parse-names" : false, "suffix" : "" }, { "dropping-particle" : "", "family" : "Zemb", "given" : "Thomas", "non-dropping-particle" : "", "parse-names" : false, "suffix" : "" } ], "container-title" : "Current Opinion in Colloid &amp; Interface Science", "id" : "ITEM-7", "issued" : { "date-parts" : [ [ "2016" ] ] }, "page" : "99-107", "title" : "Hydrotropes", "type" : "article-journal", "volume" : "22" }, "uris" : [ "http://www.mendeley.com/documents/?uuid=c63892f6-f40b-4433-a7ae-392ad4c78409" ] } ], "mendeley" : { "formattedCitation" : "&lt;sup&gt;1\u20137&lt;/sup&gt;", "plainTextFormattedCitation" : "1\u20137", "previouslyFormattedCitation" : "&lt;sup&gt;1\u20137&lt;/sup&gt;" }, "properties" : { "noteIndex" : 0 }, "schema" : "https://github.com/citation-style-language/schema/raw/master/csl-citation.json" }</w:instrText>
      </w:r>
      <w:r w:rsidR="00EF1F5B" w:rsidRPr="00EC5244">
        <w:rPr>
          <w:lang w:val="en-CA"/>
        </w:rPr>
        <w:fldChar w:fldCharType="separate"/>
      </w:r>
      <w:r w:rsidR="00EF1F5B" w:rsidRPr="00EC5244">
        <w:rPr>
          <w:noProof/>
          <w:vertAlign w:val="superscript"/>
          <w:lang w:val="en-CA"/>
        </w:rPr>
        <w:t>1–7</w:t>
      </w:r>
      <w:r w:rsidR="00EF1F5B" w:rsidRPr="00EC5244">
        <w:rPr>
          <w:lang w:val="en-CA"/>
        </w:rPr>
        <w:fldChar w:fldCharType="end"/>
      </w:r>
      <w:r w:rsidR="00EF1F5B" w:rsidRPr="00EC5244">
        <w:rPr>
          <w:color w:val="FF0000"/>
          <w:lang w:val="en-CA"/>
        </w:rPr>
        <w:t xml:space="preserve"> </w:t>
      </w:r>
    </w:p>
    <w:p w14:paraId="076CCD2B" w14:textId="77777777" w:rsidR="001C44D4" w:rsidRPr="00EC5244" w:rsidRDefault="001C44D4" w:rsidP="001C44D4">
      <w:pPr>
        <w:pStyle w:val="TAMainText"/>
        <w:rPr>
          <w:lang w:val="en-CA"/>
        </w:rPr>
      </w:pPr>
    </w:p>
    <w:p w14:paraId="15689041" w14:textId="7F905451" w:rsidR="005A14A3" w:rsidRPr="00EC5244" w:rsidRDefault="00C035D6" w:rsidP="005A14A3">
      <w:pPr>
        <w:pStyle w:val="TAMainText"/>
        <w:rPr>
          <w:lang w:val="en-CA"/>
        </w:rPr>
      </w:pPr>
      <w:r w:rsidRPr="00EC5244">
        <w:rPr>
          <w:lang w:val="en-CA"/>
        </w:rPr>
        <w:t xml:space="preserve">Indeed, </w:t>
      </w:r>
      <w:r w:rsidR="006F0466" w:rsidRPr="00EC5244">
        <w:rPr>
          <w:lang w:val="en-CA"/>
        </w:rPr>
        <w:t xml:space="preserve">hypotheses on the mechanism of </w:t>
      </w:r>
      <w:r w:rsidR="00360D11" w:rsidRPr="00EC5244">
        <w:rPr>
          <w:lang w:val="en-CA"/>
        </w:rPr>
        <w:t>hydro</w:t>
      </w:r>
      <w:r w:rsidR="00C57809" w:rsidRPr="00EC5244">
        <w:rPr>
          <w:lang w:val="en-CA"/>
        </w:rPr>
        <w:t>tro</w:t>
      </w:r>
      <w:r w:rsidR="00360D11" w:rsidRPr="00EC5244">
        <w:rPr>
          <w:lang w:val="en-CA"/>
        </w:rPr>
        <w:t>p</w:t>
      </w:r>
      <w:r w:rsidRPr="00EC5244">
        <w:rPr>
          <w:lang w:val="en-CA"/>
        </w:rPr>
        <w:t>y</w:t>
      </w:r>
      <w:r w:rsidR="006F0466" w:rsidRPr="00EC5244">
        <w:rPr>
          <w:lang w:val="en-CA"/>
        </w:rPr>
        <w:t xml:space="preserve"> have been </w:t>
      </w:r>
      <w:r w:rsidR="005F529B" w:rsidRPr="00EC5244">
        <w:rPr>
          <w:lang w:val="en-CA"/>
        </w:rPr>
        <w:t xml:space="preserve">borrowed </w:t>
      </w:r>
      <w:r w:rsidR="001A34AB" w:rsidRPr="00EC5244">
        <w:rPr>
          <w:lang w:val="en-CA"/>
        </w:rPr>
        <w:t xml:space="preserve">extensively </w:t>
      </w:r>
      <w:r w:rsidR="005F529B" w:rsidRPr="00EC5244">
        <w:rPr>
          <w:lang w:val="en-CA"/>
        </w:rPr>
        <w:t>fr</w:t>
      </w:r>
      <w:r w:rsidR="00407833" w:rsidRPr="00EC5244">
        <w:rPr>
          <w:lang w:val="en-CA"/>
        </w:rPr>
        <w:t>om wide-ran</w:t>
      </w:r>
      <w:r w:rsidRPr="00EC5244">
        <w:rPr>
          <w:lang w:val="en-CA"/>
        </w:rPr>
        <w:t>ging sub-disciplines</w:t>
      </w:r>
      <w:r w:rsidR="001A34AB" w:rsidRPr="00EC5244">
        <w:rPr>
          <w:lang w:val="en-CA"/>
        </w:rPr>
        <w:t>,</w:t>
      </w:r>
      <w:r w:rsidRPr="00EC5244">
        <w:rPr>
          <w:lang w:val="en-CA"/>
        </w:rPr>
        <w:t xml:space="preserve"> such as c</w:t>
      </w:r>
      <w:r w:rsidR="00C57809" w:rsidRPr="00EC5244">
        <w:rPr>
          <w:lang w:val="en-CA"/>
        </w:rPr>
        <w:t>olloid</w:t>
      </w:r>
      <w:r w:rsidR="00355F8C" w:rsidRPr="00EC5244">
        <w:rPr>
          <w:lang w:val="en-CA"/>
        </w:rPr>
        <w:t xml:space="preserve"> and surfactant theories, </w:t>
      </w:r>
      <w:r w:rsidR="00037B47" w:rsidRPr="00EC5244">
        <w:rPr>
          <w:lang w:val="en-CA"/>
        </w:rPr>
        <w:t xml:space="preserve">the </w:t>
      </w:r>
      <w:r w:rsidR="00355F8C" w:rsidRPr="00EC5244">
        <w:rPr>
          <w:lang w:val="en-CA"/>
        </w:rPr>
        <w:t xml:space="preserve">clathrate hypothesis of the </w:t>
      </w:r>
      <w:r w:rsidR="00407833" w:rsidRPr="00EC5244">
        <w:rPr>
          <w:lang w:val="en-CA"/>
        </w:rPr>
        <w:t>hydrophobic effect</w:t>
      </w:r>
      <w:r w:rsidRPr="00EC5244">
        <w:rPr>
          <w:lang w:val="en-CA"/>
        </w:rPr>
        <w:t>,</w:t>
      </w:r>
      <w:r w:rsidR="00A07779" w:rsidRPr="00EC5244">
        <w:rPr>
          <w:lang w:val="en-CA"/>
        </w:rPr>
        <w:fldChar w:fldCharType="begin" w:fldLock="1"/>
      </w:r>
      <w:r w:rsidR="00BA127F" w:rsidRPr="00EC5244">
        <w:rPr>
          <w:lang w:val="en-CA"/>
        </w:rPr>
        <w:instrText>ADDIN CSL_CITATION { "citationItems" : [ { "id" : "ITEM-1", "itemData" : { "DOI" : "10.1063/1.1723985", "ISSN" : "0021-9606", "abstract" : "The ideas of the first and second papers in this series, which make it possible to interpret entropy data in terms of a physical picture, are applied to binary solutions, and equations are derived relating energy and volume changes when a solution is formed to the entropy change for the process. These equations are tested against data obtained by various authors on mixtures of normal liquids, and on solutions of non\u2010polar gases in normal solvents. Good general agreement is found, and it is concluded that in such solutions the physical picture of molecules moving in a ``normal'' manner in each others' force fields is adequate. As would be expected, permanent gases, when dissolved in normal liquids, loosen the forces on neighboring solvent molecules producing a solvent reaction which increases the partial molal entropy of the solute. Entropies of vaporization from aqueous solutions diverge strikingly from the normal behavior established for non\u2010aqueous solutions. The nature of the deviations found for non\u2010p...", "author" : [ { "dropping-particle" : "", "family" : "Frank", "given" : "Henry S.", "non-dropping-particle" : "", "parse-names" : false, "suffix" : "" }, { "dropping-particle" : "", "family" : "Evans", "given" : "Marjorie W.", "non-dropping-particle" : "", "parse-names" : false, "suffix" : "" } ], "container-title" : "The Journal of Chemical Physics", "id" : "ITEM-1", "issue" : "11", "issued" : { "date-parts" : [ [ "1945", "11" ] ] }, "page" : "507-532", "publisher" : "American Institute of Physics", "title" : "Free Volume and Entropy in Condensed Systems III. Entropy in Binary Liquid Mixtures; Partial Molal Entropy in Dilute Solutions; Structure and Thermodynamics in Aqueous Electrolytes", "type" : "article-journal", "volume" : "13" }, "uris" : [ "http://www.mendeley.com/documents/?uuid=f0ec63f4-48d1-3e5a-9a35-53e455a2adc4" ] }, { "id" : "ITEM-2", "itemData" : { "ISSN" : "0065-3233", "PMID" : "14404936", "author" : [ { "dropping-particle" : "", "family" : "Kauzmann", "given" : "W", "non-dropping-particle" : "", "parse-names" : false, "suffix" : "" } ], "container-title" : "Advances in protein chemistry", "id" : "ITEM-2", "issued" : { "date-parts" : [ [ "1959" ] ] }, "page" : "1-63", "title" : "Some factors in the interpretation of protein denaturation.", "type" : "article-journal", "volume" : "14" }, "uris" : [ "http://www.mendeley.com/documents/?uuid=7995fc33-e82f-3326-a0cf-88ece8e620ee" ] } ], "mendeley" : { "formattedCitation" : "&lt;sup&gt;14,15&lt;/sup&gt;", "plainTextFormattedCitation" : "14,15", "previouslyFormattedCitation" : "&lt;sup&gt;14,15&lt;/sup&gt;" }, "properties" : { "noteIndex" : 0 }, "schema" : "https://github.com/citation-style-language/schema/raw/master/csl-citation.json" }</w:instrText>
      </w:r>
      <w:r w:rsidR="00A07779" w:rsidRPr="00EC5244">
        <w:rPr>
          <w:lang w:val="en-CA"/>
        </w:rPr>
        <w:fldChar w:fldCharType="separate"/>
      </w:r>
      <w:r w:rsidR="00A07779" w:rsidRPr="00EC5244">
        <w:rPr>
          <w:noProof/>
          <w:vertAlign w:val="superscript"/>
          <w:lang w:val="en-CA"/>
        </w:rPr>
        <w:t>14,15</w:t>
      </w:r>
      <w:r w:rsidR="00A07779" w:rsidRPr="00EC5244">
        <w:rPr>
          <w:lang w:val="en-CA"/>
        </w:rPr>
        <w:fldChar w:fldCharType="end"/>
      </w:r>
      <w:r w:rsidRPr="00EC5244">
        <w:rPr>
          <w:lang w:val="en-CA"/>
        </w:rPr>
        <w:t xml:space="preserve"> and</w:t>
      </w:r>
      <w:r w:rsidR="00407833" w:rsidRPr="00EC5244">
        <w:rPr>
          <w:lang w:val="en-CA"/>
        </w:rPr>
        <w:t xml:space="preserve"> </w:t>
      </w:r>
      <w:r w:rsidR="00355F8C" w:rsidRPr="00EC5244">
        <w:rPr>
          <w:lang w:val="en-CA"/>
        </w:rPr>
        <w:t>chaotropy and kosmotropy.</w:t>
      </w:r>
      <w:r w:rsidR="00A07779" w:rsidRPr="00EC5244">
        <w:rPr>
          <w:lang w:val="en-CA"/>
        </w:rPr>
        <w:fldChar w:fldCharType="begin" w:fldLock="1"/>
      </w:r>
      <w:r w:rsidR="00A07779" w:rsidRPr="00EC5244">
        <w:rPr>
          <w:lang w:val="en-CA"/>
        </w:rPr>
        <w:instrText>ADDIN CSL_CITATION { "citationItems" : [ { "id" : "ITEM-1", "itemData" : { "author" : [ { "dropping-particle" : "", "family" : "Gurney", "given" : "R W", "non-dropping-particle" : "", "parse-names" : false, "suffix" : "" } ], "editor" : [ { "dropping-particle" : "", "family" : "McGraw-Hill", "given" : "", "non-dropping-particle" : "", "parse-names" : false, "suffix" : "" } ], "id" : "ITEM-1", "issued" : { "date-parts" : [ [ "1953" ] ] }, "publisher-place" : "New York", "title" : "Ionic processes in solution", "type" : "book" }, "uris" : [ "http://www.mendeley.com/documents/?uuid=2b1f93ac-921a-31fc-8e14-282154ff37df" ] }, { "id" : "ITEM-2", "itemData" : { "ISBN" : "0486422259", "abstract" : "2d ed., rev.", "author" : [ { "dropping-particle" : "", "family" : "Robinson", "given" : "R. A.", "non-dropping-particle" : "", "parse-names" : false, "suffix" : "" }, { "dropping-particle" : "", "family" : "Stokes", "given" : "R. H.", "non-dropping-particle" : "", "parse-names" : false, "suffix" : "" } ], "id" : "ITEM-2", "issued" : { "date-parts" : [ [ "1955" ] ] }, "number-of-pages" : "571", "publisher" : "Butterworths", "publisher-place" : "London", "title" : "Electrolyte solutions", "type" : "book" }, "uris" : [ "http://www.mendeley.com/documents/?uuid=6de1bba3-05bc-380d-913b-487dece17822" ] }, { "id" : "ITEM-3", "itemData" : { "DOI" : "10.1039/df9572400133", "ISSN" : "0366-9033", "abstract" : "No abstract available", "author" : [ { "dropping-particle" : "", "family" : "Frank", "given" : "Henry S.", "non-dropping-particle" : "", "parse-names" : false, "suffix" : "" }, { "dropping-particle" : "", "family" : "Wen", "given" : "Wen-Yang", "non-dropping-particle" : "", "parse-names" : false, "suffix" : "" } ], "container-title" : "Discussions of the Faraday Society", "id" : "ITEM-3", "issue" : "0", "issued" : { "date-parts" : [ [ "1957" ] ] }, "page" : "133", "publisher" : "The Royal Society of Chemistry", "title" : "Ion-solvent interaction. Structural aspects of ion-solvent interaction in aqueous solutions: a suggested picture of water structure", "type" : "article-journal", "volume" : "24" }, "uris" : [ "http://www.mendeley.com/documents/?uuid=b9c34a22-a925-3771-a4a4-eeb63754692f" ] }, { "id" : "ITEM-4", "itemData" : { "DOI" : "10.1039/df9572400141", "ISSN" : "0366-9033", "abstract" : "No abstract available", "author" : [ { "dropping-particle" : "", "family" : "Samoilov", "given" : "O. Ya.", "non-dropping-particle" : "", "parse-names" : false, "suffix" : "" } ], "container-title" : "Discussions of the Faraday Society", "id" : "ITEM-4", "issue" : "0", "issued" : { "date-parts" : [ [ "1957" ] ] }, "page" : "141", "publisher" : "The Royal Society of Chemistry", "title" : "A new approach to the study of hydration of ions in aqueous solutions", "type" : "article-journal", "volume" : "24" }, "uris" : [ "http://www.mendeley.com/documents/?uuid=77f0dfff-2129-3015-bbe4-601ca4a26402" ] }, { "id" : "ITEM-5", "itemData" : { "DOI" : "10.1063/1.1668057", "ISSN" : "0021-9606", "author" : [ { "dropping-particle" : "", "family" : "Frank", "given" : "Henry S.", "non-dropping-particle" : "", "parse-names" : false, "suffix" : "" }, { "dropping-particle" : "", "family" : "Franks", "given" : "Felix", "non-dropping-particle" : "", "parse-names" : false, "suffix" : "" } ], "container-title" : "The Journal of Chemical Physics", "id" : "ITEM-5", "issue" : "10", "issued" : { "date-parts" : [ [ "1968", "5", "15" ] ] }, "page" : "4746-4757", "title" : "Structural Approach to the Solvent Power of Water for Hydrocarbons; Urea as a Structure Breaker", "type" : "article-journal", "volume" : "48" }, "uris" : [ "http://www.mendeley.com/documents/?uuid=001867ae-3506-3824-9947-182c0e0846e2" ] } ], "mendeley" : { "formattedCitation" : "&lt;sup&gt;16\u201320&lt;/sup&gt;", "plainTextFormattedCitation" : "16\u201320", "previouslyFormattedCitation" : "&lt;sup&gt;16\u201320&lt;/sup&gt;" }, "properties" : { "noteIndex" : 0 }, "schema" : "https://github.com/citation-style-language/schema/raw/master/csl-citation.json" }</w:instrText>
      </w:r>
      <w:r w:rsidR="00A07779" w:rsidRPr="00EC5244">
        <w:rPr>
          <w:lang w:val="en-CA"/>
        </w:rPr>
        <w:fldChar w:fldCharType="separate"/>
      </w:r>
      <w:r w:rsidR="00A07779" w:rsidRPr="00EC5244">
        <w:rPr>
          <w:noProof/>
          <w:vertAlign w:val="superscript"/>
          <w:lang w:val="en-CA"/>
        </w:rPr>
        <w:t>16–20</w:t>
      </w:r>
      <w:r w:rsidR="00A07779" w:rsidRPr="00EC5244">
        <w:rPr>
          <w:lang w:val="en-CA"/>
        </w:rPr>
        <w:fldChar w:fldCharType="end"/>
      </w:r>
      <w:r w:rsidR="00355F8C" w:rsidRPr="00EC5244">
        <w:rPr>
          <w:lang w:val="en-CA"/>
        </w:rPr>
        <w:t xml:space="preserve"> All these hypotheses, however, were qua</w:t>
      </w:r>
      <w:r w:rsidR="006F0466" w:rsidRPr="00EC5244">
        <w:rPr>
          <w:lang w:val="en-CA"/>
        </w:rPr>
        <w:t>litative</w:t>
      </w:r>
      <w:r w:rsidR="00407833" w:rsidRPr="00EC5244">
        <w:rPr>
          <w:lang w:val="en-CA"/>
        </w:rPr>
        <w:t>,</w:t>
      </w:r>
      <w:r w:rsidR="006F0466" w:rsidRPr="00EC5244">
        <w:rPr>
          <w:lang w:val="en-CA"/>
        </w:rPr>
        <w:t xml:space="preserve"> without </w:t>
      </w:r>
      <w:r w:rsidR="00355F8C" w:rsidRPr="00EC5244">
        <w:rPr>
          <w:lang w:val="en-CA"/>
        </w:rPr>
        <w:t xml:space="preserve">any </w:t>
      </w:r>
      <w:r w:rsidR="00407833" w:rsidRPr="00EC5244">
        <w:rPr>
          <w:lang w:val="en-CA"/>
        </w:rPr>
        <w:t xml:space="preserve">recourse to </w:t>
      </w:r>
      <w:r w:rsidR="00355F8C" w:rsidRPr="00EC5244">
        <w:rPr>
          <w:lang w:val="en-CA"/>
        </w:rPr>
        <w:t xml:space="preserve">quantitative measures </w:t>
      </w:r>
      <w:r w:rsidR="006F0466" w:rsidRPr="00EC5244">
        <w:rPr>
          <w:lang w:val="en-CA"/>
        </w:rPr>
        <w:t>or “numerical reckoning”, indispensable for “true understanding”.</w:t>
      </w:r>
      <w:r w:rsidR="004D1EB5" w:rsidRPr="00EC5244">
        <w:rPr>
          <w:lang w:val="en-CA"/>
        </w:rPr>
        <w:fldChar w:fldCharType="begin" w:fldLock="1"/>
      </w:r>
      <w:r w:rsidR="00A07779" w:rsidRPr="00EC5244">
        <w:rPr>
          <w:lang w:val="en-CA"/>
        </w:rPr>
        <w:instrText>ADDIN CSL_CITATION { "citationItems" : [ { "id" : "ITEM-1", "itemData" : { "author" : [ { "dropping-particle" : "", "family" : "Thomson (Lord Kelvin)", "given" : "William", "non-dropping-particle" : "", "parse-names" : false, "suffix" : "" } ], "id" : "ITEM-1", "issued" : { "date-parts" : [ [ "1889" ] ] }, "publisher" : "Macmillan", "publisher-place" : "London", "title" : "Popular lectures and addresses", "type" : "book" }, "uris" : [ "http://www.mendeley.com/documents/?uuid=eb31b150-b574-3b5c-b7a1-b60584d789d6" ] } ], "mendeley" : { "formattedCitation" : "&lt;sup&gt;21&lt;/sup&gt;", "plainTextFormattedCitation" : "21", "previouslyFormattedCitation" : "&lt;sup&gt;21&lt;/sup&gt;" }, "properties" : { "noteIndex" : 0 }, "schema" : "https://github.com/citation-style-language/schema/raw/master/csl-citation.json" }</w:instrText>
      </w:r>
      <w:r w:rsidR="004D1EB5" w:rsidRPr="00EC5244">
        <w:rPr>
          <w:lang w:val="en-CA"/>
        </w:rPr>
        <w:fldChar w:fldCharType="separate"/>
      </w:r>
      <w:r w:rsidR="00A07779" w:rsidRPr="00EC5244">
        <w:rPr>
          <w:noProof/>
          <w:vertAlign w:val="superscript"/>
          <w:lang w:val="en-CA"/>
        </w:rPr>
        <w:t>21</w:t>
      </w:r>
      <w:r w:rsidR="004D1EB5" w:rsidRPr="00EC5244">
        <w:rPr>
          <w:lang w:val="en-CA"/>
        </w:rPr>
        <w:fldChar w:fldCharType="end"/>
      </w:r>
      <w:r w:rsidR="006F0466" w:rsidRPr="00EC5244">
        <w:rPr>
          <w:lang w:val="en-CA"/>
        </w:rPr>
        <w:t xml:space="preserve"> </w:t>
      </w:r>
    </w:p>
    <w:p w14:paraId="7A5B8AD5" w14:textId="77777777" w:rsidR="005A14A3" w:rsidRPr="00EC5244" w:rsidRDefault="005A14A3" w:rsidP="005A14A3">
      <w:pPr>
        <w:pStyle w:val="TAMainText"/>
        <w:rPr>
          <w:lang w:val="en-CA"/>
        </w:rPr>
      </w:pPr>
    </w:p>
    <w:p w14:paraId="636CB902" w14:textId="10F1748D" w:rsidR="001C44D4" w:rsidRPr="00EC5244" w:rsidRDefault="005A14A3" w:rsidP="00C06F57">
      <w:pPr>
        <w:pStyle w:val="TAMainText"/>
        <w:rPr>
          <w:lang w:val="en-CA"/>
        </w:rPr>
      </w:pPr>
      <w:r w:rsidRPr="00EC5244">
        <w:rPr>
          <w:lang w:val="en-CA"/>
        </w:rPr>
        <w:t>Our r</w:t>
      </w:r>
      <w:r w:rsidR="00DA6ABE" w:rsidRPr="00EC5244">
        <w:rPr>
          <w:lang w:val="en-CA"/>
        </w:rPr>
        <w:t xml:space="preserve">ecent </w:t>
      </w:r>
      <w:r w:rsidRPr="00EC5244">
        <w:rPr>
          <w:lang w:val="en-CA"/>
        </w:rPr>
        <w:t xml:space="preserve">approach to hydrotropy, based upon </w:t>
      </w:r>
      <w:r w:rsidR="000943D3" w:rsidRPr="00EC5244">
        <w:rPr>
          <w:lang w:val="en-CA"/>
        </w:rPr>
        <w:t>r</w:t>
      </w:r>
      <w:r w:rsidR="002D3E3C" w:rsidRPr="00EC5244">
        <w:rPr>
          <w:lang w:val="en-CA"/>
        </w:rPr>
        <w:t>igorous stat</w:t>
      </w:r>
      <w:r w:rsidR="000943D3" w:rsidRPr="00EC5244">
        <w:rPr>
          <w:lang w:val="en-CA"/>
        </w:rPr>
        <w:t>istical thermodynam</w:t>
      </w:r>
      <w:r w:rsidRPr="00EC5244">
        <w:rPr>
          <w:lang w:val="en-CA"/>
        </w:rPr>
        <w:t xml:space="preserve">ic principles, have brought </w:t>
      </w:r>
      <w:r w:rsidR="00037B47" w:rsidRPr="00EC5244">
        <w:rPr>
          <w:lang w:val="en-CA"/>
        </w:rPr>
        <w:t xml:space="preserve">a </w:t>
      </w:r>
      <w:r w:rsidRPr="00EC5244">
        <w:rPr>
          <w:lang w:val="en-CA"/>
        </w:rPr>
        <w:t>long-awaited clarity to the mechanistic understanding of hydrotropy.</w:t>
      </w:r>
      <w:r w:rsidR="00264337" w:rsidRPr="00EC5244">
        <w:rPr>
          <w:lang w:val="en-CA"/>
        </w:rPr>
        <w:fldChar w:fldCharType="begin" w:fldLock="1"/>
      </w:r>
      <w:r w:rsidR="004D1EB5" w:rsidRPr="00EC5244">
        <w:rPr>
          <w:lang w:val="en-CA"/>
        </w:rPr>
        <w:instrText>ADDIN CSL_CITATION { "citationItems" : [ { "id" : "ITEM-1", "itemData" : { "DOI" : "10.1021/jp309819r", "ISBN" : "1520-6106", "ISSN" : "15205207", "PMID" : "23236952", "abstract" : "Drugs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 "author" : [ { "dropping-particle" : "", "family" : "Booth", "given" : "Jonathan J.", "non-dropping-particle" : "", "parse-names" : false, "suffix" : "" }, { "dropping-particle" : "", "family" : "Abbott", "given" : "Steven", "non-dropping-particle" : "", "parse-names" : false, "suffix" : "" }, { "dropping-particle" : "", "family" : "Shimizu", "given" : "Seishi", "non-dropping-particle" : "", "parse-names" : false, "suffix" : "" } ], "container-title" : "Journal of Physical Chemistry B", "id" : "ITEM-1", "issue" : "51", "issued" : { "date-parts" : [ [ "2012" ] ] }, "page" : "14915-14921", "title" : "Mechanism of hydrophobic drug solubilization by small molecule hydrotropes", "type" : "article-journal", "volume" : "116" }, "uris" : [ "http://www.mendeley.com/documents/?uuid=33c3cbc9-707a-4097-91a4-e91008bc3dd6" ] }, { "id" : "ITEM-2",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"ITEM-2", "issue" : "47", "issued" : { "date-parts" : [ [ "2013" ] ] }, "page" : "20625-20632", "title" : "Hydrotropy: binding models vs. statistical thermodynamics.", "type" : "article-journal", "volume" : "15" }, "uris" : [ "http://www.mendeley.com/documents/?uuid=d239f09f-553e-48eb-882f-c22d5aa8ac8c" ] }, { "id" : "ITEM-3",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"35", "issued" : { "date-parts" : [ [ "2014" ] ] }, "page" : "10515-10524", "title" : "Hydrotropy: Monomer-micelle equilibrium and minimum hydrotrope concentration", "type" : "article-journal", "volume" : "118" }, "uris" : [ "http://www.mendeley.com/documents/?uuid=0cd1508f-d197-4e8d-a474-504cfaeae922" ] }, { "id" : "ITEM-4", "itemData" : { "DOI" : "10.1039/C4CP05414H", "ISBN" : "1463-9084", "ISSN" : "1463-9076", "abstract" : "Nicotinamide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 "author" : [ { "dropping-particle" : "", "family" : "Booth", "given" : "Jonathan J", "non-dropping-particle" : "", "parse-names" : false, "suffix" : "" }, { "dropping-particle" : "", "family" : "Omar", "given" : "Muhiadin", "non-dropping-particle" : "", "parse-names" : false, "suffix" : "" }, { "dropping-particle" : "", "family" : "Abbott", "given" : "Steven", "non-dropping-particle" : "", "parse-names" : false, "suffix" : "" }, { "dropping-particle" : "", "family" : "Shimizu", "given" : "Seishi", "non-dropping-particle" : "", "parse-names" : false, "suffix" : "" } ], "container-title" : "Phys Chem Chem Phys", "id" : "ITEM-4", "issue" : "12", "issued" : { "date-parts" : [ [ "2015" ] ] }, "page" : "8028-8037", "publisher" : "Royal Society of Chemistry", "title" : "Hydrotrope accumulation around the drug: the driving force for solubilization and minimum hydrotrope concentration for nicotinamide and urea", "type" : "article-journal", "volume" : "17" }, "uris" : [ "http://www.mendeley.com/documents/?uuid=5c6e1dca-c577-4d43-8836-d1f313635128" ] }, { "id" : "ITEM-5", "itemData" : { "DOI" : "10.1039/C6CP04823D", "ISSN" : "1463-9076", "author" : [ { "dropping-particle" : "", "family" : "Shimizu", "given" : "Seishi", "non-dropping-particle" : "", "parse-names" : false, "suffix" : "" }, { "dropping-particle" : "", "family" : "Matubayasi", "given" : "Nobuyuki", "non-dropping-particle" : "", "parse-names" : false, "suffix" : "" } ], "container-title" : "Phys. Chem. Chem. Phys.", "id" : "ITEM-5", "issue" : "36", "issued" : { "date-parts" : [ [ "2016" ] ] }, "page" : "25621-25628", "publisher" : "Royal Society of Chemistry", "title" : "The origin of cooperative solubilisation by hydrotropes", "type" : "article-journal", "volume" : "18" }, "uris" : [ "http://www.mendeley.com/documents/?uuid=dcc5121c-094a-4702-bc34-1086a5612e68" ] }, { "id" : "ITEM-6", "itemData" : { "DOI" : "10.1039/C6GC03002E", "ISBN" : "1463-9262 1463-9270", "ISSN" : "1463-9262", "author" : [ { "dropping-particle" : "", "family" : "Abbott", "given" : "Steven", "non-dropping-particle" : "", "parse-names" : false, "suffix" : "" }, { "dropping-particle" : "", "family" : "Booth", "given" : "Jonathan J.", "non-dropping-particle" : "", "parse-names" : false, "suffix" : "" }, { "dropping-particle" : "", "family" : "Shimizu", "given" : "Seishi", "non-dropping-particle" : "", "parse-names" : false, "suffix" : "" } ], "container-title" : "Green Chem.", "id" : "ITEM-6", "issued" : { "date-parts" : [ [ "2017" ] ] }, "page" : "68-75", "publisher" : "Royal Society of Chemistry", "title" : "Practical molecular thermodynamics for greener solution chemistry", "type" : "article-journal", "volume" : "19" }, "uris" : [ "http://www.mendeley.com/documents/?uuid=38793dd8-a3eb-4655-8aa4-d9f4d4b3778b" ] } ], "mendeley" : { "formattedCitation" : "&lt;sup&gt;8\u201313&lt;/sup&gt;", "plainTextFormattedCitation" : "8\u201313", "previouslyFormattedCitation" : "&lt;sup&gt;8\u201313&lt;/sup&gt;" }, "properties" : { "noteIndex" : 0 }, "schema" : "https://github.com/citation-style-language/schema/raw/master/csl-citation.json" }</w:instrText>
      </w:r>
      <w:r w:rsidR="00264337" w:rsidRPr="00EC5244">
        <w:rPr>
          <w:lang w:val="en-CA"/>
        </w:rPr>
        <w:fldChar w:fldCharType="separate"/>
      </w:r>
      <w:r w:rsidR="004D1EB5" w:rsidRPr="00EC5244">
        <w:rPr>
          <w:noProof/>
          <w:vertAlign w:val="superscript"/>
          <w:lang w:val="en-CA"/>
        </w:rPr>
        <w:t>8–13</w:t>
      </w:r>
      <w:r w:rsidR="00264337" w:rsidRPr="00EC5244">
        <w:rPr>
          <w:lang w:val="en-CA"/>
        </w:rPr>
        <w:fldChar w:fldCharType="end"/>
      </w:r>
      <w:r w:rsidRPr="00EC5244">
        <w:rPr>
          <w:lang w:val="en-CA"/>
        </w:rPr>
        <w:t xml:space="preserve"> The Kirkwood-Buff (KB) integrals,</w:t>
      </w:r>
      <w:r w:rsidR="003133E0" w:rsidRPr="00EC5244">
        <w:rPr>
          <w:lang w:val="en-CA"/>
        </w:rPr>
        <w:fldChar w:fldCharType="begin" w:fldLock="1"/>
      </w:r>
      <w:r w:rsidR="00BB4DD1" w:rsidRPr="00EC5244">
        <w:rPr>
          <w:lang w:val="en-CA"/>
        </w:rPr>
        <w:instrText>ADDIN CSL_CITATION { "citationItems" : [ { "id" : "ITEM-1", "itemData" : { "author" : [ { "dropping-particle" : "", "family" : "Kirkwood", "given" : "John G.", "non-dropping-particle" : "", "parse-names" : false, "suffix" : "" }, { "dropping-particle" : "", "family" : "Buff", "given" : "Frank P.", "non-dropping-particle" : "", "parse-names" : false, "suffix" : "" } ], "container-title" : "Journal of Chemical Physics", "id" : "ITEM-1", "issued" : { "date-parts" : [ [ "1951" ] ] }, "page" : "774\u2013777", "title" : "The Kirkwood \u2013 Buff theory of solutions", "type" : "article-journal", "volume" : "19" }, "uris" : [ "http://www.mendeley.com/documents/?uuid=2ce6f74a-52f5-45b5-b347-356521de3594" ] }, { "id" : "ITEM-2", "itemData" : { "DOI" : "10.1039/tf9716702516", "ISSN" : "0014-7672", "abstract" : "An alternative derivation of part of the Kirkwood-Buff theory of solutions, which uses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 "author" : [ { "dropping-particle" : "", "family" : "Hall", "given" : "D. G.", "non-dropping-particle" : "", "parse-names" : false, "suffix" : "" } ], "container-title" : "Transactions of the Faraday Society", "id" : "ITEM-2", "issue" : "0", "issued" : { "date-parts" : [ [ "1971" ] ] }, "page" : "2516-2524", "publisher" : "The Royal Society of Chemistry", "title" : "Kirkwood-Buff theory of solutions. An alternative derivation of part of it and some applications", "type" : "article-journal", "volume" : "67" }, "uris" : [ "http://www.mendeley.com/documents/?uuid=f29dc205-be25-31b1-ab4c-c0d01d88246f" ] }, { "id" : "ITEM-3", "itemData" : { "DOI" : "10.1063/1.434669", "ISSN" : "0021-9606", "abstract" : "A general procedure is outlined whereby experimental data such as partial molar volumes, isothermal compressibilities, and partial vapor pressures may be processed to obtain information on the extent of the affinity between two species in a mixture of two (or more) components. A particular example of the water\u2013ethanol system is processed in this manner to obtain the quantities G\u03b1\u03b2 which are integrals over the pair correlation functions between two species \u03b1 and \u03b2. This information is relevant to several topics of interest in the field of aqueous solutions, such as the solvation of solutes, hydrophobic interactions, and structural changes in the solvent brought by the addition of solutes to water. More generally it may be used to characterize the properties of various mixtures on a molecular level.", "author" : [ { "dropping-particle" : "", "family" : "Ben-Naim", "given" : "A.", "non-dropping-particle" : "", "parse-names" : false, "suffix" : "" } ], "container-title" : "The Journal of Chemical Physics", "id" : "ITEM-3", "issue" : "11", "issued" : { "date-parts" : [ [ "1977", "12" ] ] }, "page" : "4884-4890", "publisher" : "American Institute of PhysicsAIP", "title" : "Inversion of the Kirkwood\u2013Buff theory of solutions: Application to the water\u2013ethanol system", "type" : "article-journal", "volume" : "67" }, "uris" : [ "http://www.mendeley.com/documents/?uuid=81e02811-c8ed-3278-8ff2-693fe9432f12" ] } ], "mendeley" : { "formattedCitation" : "&lt;sup&gt;22\u201324&lt;/sup&gt;", "plainTextFormattedCitation" : "22\u201324", "previouslyFormattedCitation" : "&lt;sup&gt;22\u201324&lt;/sup&gt;" }, "properties" : { "noteIndex" : 0 }, "schema" : "https://github.com/citation-style-language/schema/raw/master/csl-citation.json" }</w:instrText>
      </w:r>
      <w:r w:rsidR="003133E0" w:rsidRPr="00EC5244">
        <w:rPr>
          <w:lang w:val="en-CA"/>
        </w:rPr>
        <w:fldChar w:fldCharType="separate"/>
      </w:r>
      <w:r w:rsidR="00A07779" w:rsidRPr="00EC5244">
        <w:rPr>
          <w:noProof/>
          <w:vertAlign w:val="superscript"/>
          <w:lang w:val="en-CA"/>
        </w:rPr>
        <w:t>22–24</w:t>
      </w:r>
      <w:r w:rsidR="003133E0" w:rsidRPr="00EC5244">
        <w:rPr>
          <w:lang w:val="en-CA"/>
        </w:rPr>
        <w:fldChar w:fldCharType="end"/>
      </w:r>
      <w:r w:rsidRPr="00EC5244">
        <w:rPr>
          <w:lang w:val="en-CA"/>
        </w:rPr>
        <w:t xml:space="preserve"> the net excess of the radial distribution function from the bulk, quantifies the </w:t>
      </w:r>
      <w:r w:rsidR="00C06F57" w:rsidRPr="00EC5244">
        <w:rPr>
          <w:lang w:val="en-CA"/>
        </w:rPr>
        <w:t xml:space="preserve">solvent-mediated </w:t>
      </w:r>
      <w:r w:rsidRPr="00EC5244">
        <w:rPr>
          <w:lang w:val="en-CA"/>
        </w:rPr>
        <w:t>interaction</w:t>
      </w:r>
      <w:r w:rsidR="00C06F57" w:rsidRPr="00EC5244">
        <w:rPr>
          <w:lang w:val="en-CA"/>
        </w:rPr>
        <w:t>s</w:t>
      </w:r>
      <w:r w:rsidRPr="00EC5244">
        <w:rPr>
          <w:lang w:val="en-CA"/>
        </w:rPr>
        <w:t xml:space="preserve"> </w:t>
      </w:r>
      <w:r w:rsidR="00F6185C" w:rsidRPr="00EC5244">
        <w:rPr>
          <w:lang w:val="en-CA"/>
        </w:rPr>
        <w:t xml:space="preserve">(potential of mean force) </w:t>
      </w:r>
      <w:r w:rsidRPr="00EC5244">
        <w:rPr>
          <w:lang w:val="en-CA"/>
        </w:rPr>
        <w:t xml:space="preserve">between the </w:t>
      </w:r>
      <w:r w:rsidR="00C06F57" w:rsidRPr="00EC5244">
        <w:rPr>
          <w:lang w:val="en-CA"/>
        </w:rPr>
        <w:t xml:space="preserve">molecular </w:t>
      </w:r>
      <w:r w:rsidRPr="00EC5244">
        <w:rPr>
          <w:lang w:val="en-CA"/>
        </w:rPr>
        <w:t>species</w:t>
      </w:r>
      <w:r w:rsidR="00C06F57" w:rsidRPr="00EC5244">
        <w:rPr>
          <w:lang w:val="en-CA"/>
        </w:rPr>
        <w:t>.</w:t>
      </w:r>
      <w:r w:rsidR="00264337" w:rsidRPr="00EC5244">
        <w:rPr>
          <w:lang w:val="en-CA"/>
        </w:rPr>
        <w:fldChar w:fldCharType="begin" w:fldLock="1"/>
      </w:r>
      <w:r w:rsidR="00A07779" w:rsidRPr="00EC5244">
        <w:rPr>
          <w:lang w:val="en-CA"/>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"ITEM-2", "issue" : "18", "issued" : { "date-parts" : [ [ "2004" ] ] }, "page" : "9147-9155", "title" : "The Kirkwood-Buff theory and the effect of cosolvents on biochemical reactions", "type" : "article-journal", "volume" : "121" }, "uris" : [ "http://www.mendeley.com/documents/?uuid=773d4c28-f2d5-421b-a5a5-0066df199fbe" ] }, { "id" : "ITEM-3",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"14", "issued" : { "date-parts" : [ [ "2014" ] ] }, "page" : "3922-3930", "title" : "Preferential solvation: Dividing surface vs excess numbers", "type" : "article-journal", "volume" : "118" }, "uris" : [ "http://www.mendeley.com/documents/?uuid=896fec6b-354e-41cd-a8de-55bd371a22f5" ] }, { "id" : "ITEM-4",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"ITEM-4",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"&lt;sup&gt;25\u201328&lt;/sup&gt;", "plainTextFormattedCitation" : "25\u201328", "previouslyFormattedCitation" : "&lt;sup&gt;25\u201328&lt;/sup&gt;" }, "properties" : { "noteIndex" : 0 }, "schema" : "https://github.com/citation-style-language/schema/raw/master/csl-citation.json" }</w:instrText>
      </w:r>
      <w:r w:rsidR="00264337" w:rsidRPr="00EC5244">
        <w:rPr>
          <w:lang w:val="en-CA"/>
        </w:rPr>
        <w:fldChar w:fldCharType="separate"/>
      </w:r>
      <w:r w:rsidR="00A07779" w:rsidRPr="00EC5244">
        <w:rPr>
          <w:noProof/>
          <w:vertAlign w:val="superscript"/>
          <w:lang w:val="en-CA"/>
        </w:rPr>
        <w:t>25–28</w:t>
      </w:r>
      <w:r w:rsidR="00264337" w:rsidRPr="00EC5244">
        <w:rPr>
          <w:lang w:val="en-CA"/>
        </w:rPr>
        <w:fldChar w:fldCharType="end"/>
      </w:r>
      <w:r w:rsidR="00C06F57" w:rsidRPr="00EC5244">
        <w:rPr>
          <w:lang w:val="en-CA"/>
        </w:rPr>
        <w:t xml:space="preserve"> </w:t>
      </w:r>
      <w:r w:rsidRPr="00EC5244">
        <w:rPr>
          <w:lang w:val="en-CA"/>
        </w:rPr>
        <w:t>For small molecule hydrotropes that do not form micelles, we have identified the non-specific solute-hydrotrope interaction as the major driving force of solubilization, modulated by the bulk-phase self-association of hydrotropes as the minor contribution.</w:t>
      </w:r>
      <w:r w:rsidR="00264337" w:rsidRPr="00EC5244">
        <w:rPr>
          <w:lang w:val="en-CA"/>
        </w:rPr>
        <w:fldChar w:fldCharType="begin" w:fldLock="1"/>
      </w:r>
      <w:r w:rsidR="004D1EB5" w:rsidRPr="00EC5244">
        <w:rPr>
          <w:lang w:val="en-CA"/>
        </w:rPr>
        <w:instrText>ADDIN CSL_CITATION { "citationItems" : [ { "id" : "ITEM-1", "itemData" : { "DOI" : "10.1021/jp309819r", "ISBN" : "1520-6106", "ISSN" : "15205207", "PMID" : "23236952", "abstract" : "Drugs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 "author" : [ { "dropping-particle" : "", "family" : "Booth", "given" : "Jonathan J.", "non-dropping-particle" : "", "parse-names" : false, "suffix" : "" }, { "dropping-particle" : "", "family" : "Abbott", "given" : "Steven", "non-dropping-particle" : "", "parse-names" : false, "suffix" : "" }, { "dropping-particle" : "", "family" : "Shimizu", "given" : "Seishi", "non-dropping-particle" : "", "parse-names" : false, "suffix" : "" } ], "container-title" : "Journal of Physical Chemistry B", "id" : "ITEM-1", "issue" : "51", "issued" : { "date-parts" : [ [ "2012" ] ] }, "page" : "14915-14921", "title" : "Mechanism of hydrophobic drug solubilization by small molecule hydrotropes", "type" : "article-journal", "volume" : "116" }, "uris" : [ "http://www.mendeley.com/documents/?uuid=33c3cbc9-707a-4097-91a4-e91008bc3dd6" ] }, { "id" : "ITEM-2",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"ITEM-2", "issue" : "47", "issued" : { "date-parts" : [ [ "2013" ] ] }, "page" : "20625-20632", "title" : "Hydrotropy: binding models vs. statistical thermodynamics.", "type" : "article-journal", "volume" : "15" }, "uris" : [ "http://www.mendeley.com/documents/?uuid=d239f09f-553e-48eb-882f-c22d5aa8ac8c" ] }, { "id" : "ITEM-3",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"35", "issued" : { "date-parts" : [ [ "2014" ] ] }, "page" : "10515-10524", "title" : "Hydrotropy: Monomer-micelle equilibrium and minimum hydrotrope concentration", "type" : "article-journal", "volume" : "118" }, "uris" : [ "http://www.mendeley.com/documents/?uuid=0cd1508f-d197-4e8d-a474-504cfaeae922" ] }, { "id" : "ITEM-4", "itemData" : { "DOI" : "10.1039/C4CP05414H", "ISBN" : "1463-9084", "ISSN" : "1463-9076", "abstract" : "Nicotinamide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 "author" : [ { "dropping-particle" : "", "family" : "Booth", "given" : "Jonathan J", "non-dropping-particle" : "", "parse-names" : false, "suffix" : "" }, { "dropping-particle" : "", "family" : "Omar", "given" : "Muhiadin", "non-dropping-particle" : "", "parse-names" : false, "suffix" : "" }, { "dropping-particle" : "", "family" : "Abbott", "given" : "Steven", "non-dropping-particle" : "", "parse-names" : false, "suffix" : "" }, { "dropping-particle" : "", "family" : "Shimizu", "given" : "Seishi", "non-dropping-particle" : "", "parse-names" : false, "suffix" : "" } ], "container-title" : "Phys Chem Chem Phys", "id" : "ITEM-4", "issue" : "12", "issued" : { "date-parts" : [ [ "2015" ] ] }, "page" : "8028-8037", "publisher" : "Royal Society of Chemistry", "title" : "Hydrotrope accumulation around the drug: the driving force for solubilization and minimum hydrotrope concentration for nicotinamide and urea", "type" : "article-journal", "volume" : "17" }, "uris" : [ "http://www.mendeley.com/documents/?uuid=5c6e1dca-c577-4d43-8836-d1f313635128" ] }, { "id" : "ITEM-5", "itemData" : { "DOI" : "10.1039/C6CP04823D", "ISSN" : "1463-9076", "author" : [ { "dropping-particle" : "", "family" : "Shimizu", "given" : "Seishi", "non-dropping-particle" : "", "parse-names" : false, "suffix" : "" }, { "dropping-particle" : "", "family" : "Matubayasi", "given" : "Nobuyuki", "non-dropping-particle" : "", "parse-names" : false, "suffix" : "" } ], "container-title" : "Phys. Chem. Chem. Phys.", "id" : "ITEM-5", "issue" : "36", "issued" : { "date-parts" : [ [ "2016" ] ] }, "page" : "25621-25628", "publisher" : "Royal Society of Chemistry", "title" : "The origin of cooperative solubilisation by hydrotropes", "type" : "article-journal", "volume" : "18" }, "uris" : [ "http://www.mendeley.com/documents/?uuid=dcc5121c-094a-4702-bc34-1086a5612e68" ] }, { "id" : "ITEM-6", "itemData" : { "DOI" : "10.1039/C6GC03002E", "ISBN" : "1463-9262 1463-9270", "ISSN" : "1463-9262", "author" : [ { "dropping-particle" : "", "family" : "Abbott", "given" : "Steven", "non-dropping-particle" : "", "parse-names" : false, "suffix" : "" }, { "dropping-particle" : "", "family" : "Booth", "given" : "Jonathan J.", "non-dropping-particle" : "", "parse-names" : false, "suffix" : "" }, { "dropping-particle" : "", "family" : "Shimizu", "given" : "Seishi", "non-dropping-particle" : "", "parse-names" : false, "suffix" : "" } ], "container-title" : "Green Chem.", "id" : "ITEM-6", "issued" : { "date-parts" : [ [ "2017" ] ] }, "page" : "68-75", "publisher" : "Royal Society of Chemistry", "title" : "Practical molecular thermodynamics for greener solution chemistry", "type" : "article-journal", "volume" : "19" }, "uris" : [ "http://www.mendeley.com/documents/?uuid=38793dd8-a3eb-4655-8aa4-d9f4d4b3778b" ] } ], "mendeley" : { "formattedCitation" : "&lt;sup&gt;8\u201313&lt;/sup&gt;", "plainTextFormattedCitation" : "8\u201313", "previouslyFormattedCitation" : "&lt;sup&gt;8\u201313&lt;/sup&gt;" }, "properties" : { "noteIndex" : 0 }, "schema" : "https://github.com/citation-style-language/schema/raw/master/csl-citation.json" }</w:instrText>
      </w:r>
      <w:r w:rsidR="00264337" w:rsidRPr="00EC5244">
        <w:rPr>
          <w:lang w:val="en-CA"/>
        </w:rPr>
        <w:fldChar w:fldCharType="separate"/>
      </w:r>
      <w:r w:rsidR="004D1EB5" w:rsidRPr="00EC5244">
        <w:rPr>
          <w:noProof/>
          <w:vertAlign w:val="superscript"/>
          <w:lang w:val="en-CA"/>
        </w:rPr>
        <w:t>8–13</w:t>
      </w:r>
      <w:r w:rsidR="00264337" w:rsidRPr="00EC5244">
        <w:rPr>
          <w:lang w:val="en-CA"/>
        </w:rPr>
        <w:fldChar w:fldCharType="end"/>
      </w:r>
      <w:r w:rsidR="00264337" w:rsidRPr="00EC5244">
        <w:rPr>
          <w:lang w:val="en-CA"/>
        </w:rPr>
        <w:t xml:space="preserve"> </w:t>
      </w:r>
      <w:r w:rsidRPr="00EC5244">
        <w:rPr>
          <w:lang w:val="en-CA"/>
        </w:rPr>
        <w:t>The sudden, cooperative onset of solubilization above the minimum hydrotrope concentration (MHC) has been attributed to the solute-induced enhancement of hydrotrope self-association.</w:t>
      </w:r>
      <w:r w:rsidR="00264337" w:rsidRPr="00EC5244">
        <w:rPr>
          <w:lang w:val="en-CA"/>
        </w:rPr>
        <w:fldChar w:fldCharType="begin" w:fldLock="1"/>
      </w:r>
      <w:r w:rsidR="00A07779" w:rsidRPr="00EC5244">
        <w:rPr>
          <w:lang w:val="en-CA"/>
        </w:rPr>
        <w:instrText>ADDIN CSL_CITATION { "citationItems" : [ { "id" : "ITEM-1",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"35", "issued" : { "date-parts" : [ [ "2014" ] ] }, "page" : "10515-10524", "title" : "Hydrotropy: Monomer-micelle equilibrium and minimum hydrotrope concentration", "type" : "article-journal", "volume" : "118" }, "uris" : [ "http://www.mendeley.com/documents/?uuid=0cd1508f-d197-4e8d-a474-504cfaeae922" ] }, { "id" : "ITEM-2", "itemData" : { "DOI" : "10.1039/C6CP04823D", "ISSN" : "1463-9076", "author" : [ { "dropping-particle" : "", "family" : "Shimizu", "given" : "Seishi", "non-dropping-particle" : "", "parse-names" : false, "suffix" : "" }, { "dropping-particle" : "", "family" : "Matubayasi", "given" : "Nobuyuki", "non-dropping-particle" : "", "parse-names" : false, "suffix" : "" } ], "container-title" : "Phys. Chem. Chem. Phys.", "id" : "ITEM-2", "issue" : "36", "issued" : { "date-parts" : [ [ "2016" ] ] }, "page" : "25621-25628", "publisher" : "Royal Society of Chemistry", "title" : "The origin of cooperative solubilisation by hydrotropes", "type" : "article-journal", "volume" : "18" }, "uris" : [ "http://www.mendeley.com/documents/?uuid=dcc5121c-094a-4702-bc34-1086a5612e68" ] }, { "id" : "ITEM-3", "itemData" : { "DOI" : "10.1039/C6CP01582D", "ISSN" : "1463-9076", "author" : [ { "dropping-particle" : "", "family" : "Nicol", "given" : "Thomas W. J.", "non-dropping-particle" : "", "parse-names" : false, "suffix" : "" }, { "dropping-particle" : "", "family" : "Matubayasi", "given" : "Nobuyuki", "non-dropping-particle" : "", "parse-names" : false, "suffix" : "" }, { "dropping-particle" : "", "family" : "Shimizu", "given" : "Seishi", "non-dropping-particle" : "", "parse-names" : false, "suffix" : "" } ], "container-title" : "Phys. Chem. Chem. Phys.", "id" : "ITEM-3", "issue" : "22", "issued" : { "date-parts" : [ [ "2016" ] ] }, "page" : "15205-15217", "publisher" : "Royal Society of Chemistry", "title" : "Origin of non-linearity in phase solubility: solubilisation by cyclodextrin beyond stoichiometric complexation", "type" : "article-journal", "volume" : "18" }, "uris" : [ "http://www.mendeley.com/documents/?uuid=3e5ca0e4-272d-4ab6-ae08-f7609fe1bd68" ] } ], "mendeley" : { "formattedCitation" : "&lt;sup&gt;10,12,29&lt;/sup&gt;", "plainTextFormattedCitation" : "10,12,29", "previouslyFormattedCitation" : "&lt;sup&gt;10,12,29&lt;/sup&gt;" }, "properties" : { "noteIndex" : 0 }, "schema" : "https://github.com/citation-style-language/schema/raw/master/csl-citation.json" }</w:instrText>
      </w:r>
      <w:r w:rsidR="00264337" w:rsidRPr="00EC5244">
        <w:rPr>
          <w:lang w:val="en-CA"/>
        </w:rPr>
        <w:fldChar w:fldCharType="separate"/>
      </w:r>
      <w:r w:rsidR="00A07779" w:rsidRPr="00EC5244">
        <w:rPr>
          <w:noProof/>
          <w:vertAlign w:val="superscript"/>
          <w:lang w:val="en-CA"/>
        </w:rPr>
        <w:t>10,12,29</w:t>
      </w:r>
      <w:r w:rsidR="00264337" w:rsidRPr="00EC5244">
        <w:rPr>
          <w:lang w:val="en-CA"/>
        </w:rPr>
        <w:fldChar w:fldCharType="end"/>
      </w:r>
      <w:r w:rsidRPr="00EC5244">
        <w:rPr>
          <w:lang w:val="en-CA"/>
        </w:rPr>
        <w:t xml:space="preserve"> In addition, the origin of micellar hydrotropy has been attributed</w:t>
      </w:r>
      <w:r w:rsidR="00C06F57" w:rsidRPr="00EC5244">
        <w:rPr>
          <w:lang w:val="en-CA"/>
        </w:rPr>
        <w:t xml:space="preserve"> to be a large</w:t>
      </w:r>
      <w:r w:rsidRPr="00EC5244">
        <w:rPr>
          <w:lang w:val="en-CA"/>
        </w:rPr>
        <w:t xml:space="preserve"> solute-micelle </w:t>
      </w:r>
      <w:r w:rsidR="00C06F57" w:rsidRPr="00EC5244">
        <w:rPr>
          <w:lang w:val="en-CA"/>
        </w:rPr>
        <w:t>KB integrals as a major driving force which far more than compensates the minor contribution due to bulk-phase hydrotrope self-association.</w:t>
      </w:r>
      <w:r w:rsidR="0039109D" w:rsidRPr="00EC5244">
        <w:rPr>
          <w:lang w:val="en-CA"/>
        </w:rPr>
        <w:fldChar w:fldCharType="begin" w:fldLock="1"/>
      </w:r>
      <w:r w:rsidR="0039109D" w:rsidRPr="00EC5244">
        <w:rPr>
          <w:lang w:val="en-CA"/>
        </w:rPr>
        <w:instrText>ADDIN CSL_CITATION { "citationItems" : [ { "id" : "ITEM-1", "itemData" : { "DOI" : "10.1063/1.2186324", "ISSN" : "0021-9606", "author" : [ { "dropping-particle" : "", "family" : "Matubayasi", "given" : "Nobuyuki", "non-dropping-particle" : "", "parse-names" : false, "suffix" : "" }, { "dropping-particle" : "", "family" : "Liang", "given" : "Kuo Kan", "non-dropping-particle" : "", "parse-names" : false, "suffix" : "" }, { "dropping-particle" : "", "family" : "Nakahara", "given" : "Masaru", "non-dropping-particle" : "", "parse-names" : false, "suffix" : "" } ], "container-title" : "The Journal of Chemical Physics", "id" : "ITEM-1", "issue" : "15", "issued" : { "date-parts" : [ [ "2006", "4", "21" ] ] }, "page" : "154908", "title" : "Free-energy analysis of solubilization in micelle", "type" : "article-journal", "volume" : "124" }, "uris" : [ "http://www.mendeley.com/documents/?uuid=d1f0e9c1-c8cc-3891-ab25-bfeb8a83a8f0" ] }, { "id" : "ITEM-2",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"ITEM-2", "issue" : "35", "issued" : { "date-parts" : [ [ "2014" ] ] }, "page" : "10515-10524", "title" : "Hydrotropy: Monomer-micelle equilibrium and minimum hydrotrope concentration", "type" : "article-journal", "volume" : "118" }, "uris" : [ "http://www.mendeley.com/documents/?uuid=0cd1508f-d197-4e8d-a474-504cfaeae922" ] } ], "mendeley" : { "formattedCitation" : "&lt;sup&gt;10,30&lt;/sup&gt;", "plainTextFormattedCitation" : "10,30", "previouslyFormattedCitation" : "&lt;sup&gt;10,30&lt;/sup&gt;" }, "properties" : { "noteIndex" : 0 }, "schema" : "https://github.com/citation-style-language/schema/raw/master/csl-citation.json" }</w:instrText>
      </w:r>
      <w:r w:rsidR="0039109D" w:rsidRPr="00EC5244">
        <w:rPr>
          <w:lang w:val="en-CA"/>
        </w:rPr>
        <w:fldChar w:fldCharType="separate"/>
      </w:r>
      <w:r w:rsidR="0039109D" w:rsidRPr="00EC5244">
        <w:rPr>
          <w:noProof/>
          <w:vertAlign w:val="superscript"/>
          <w:lang w:val="en-CA"/>
        </w:rPr>
        <w:t>10,30</w:t>
      </w:r>
      <w:r w:rsidR="0039109D" w:rsidRPr="00EC5244">
        <w:rPr>
          <w:lang w:val="en-CA"/>
        </w:rPr>
        <w:fldChar w:fldCharType="end"/>
      </w:r>
      <w:r w:rsidR="00C06F57" w:rsidRPr="00EC5244">
        <w:rPr>
          <w:lang w:val="en-CA"/>
        </w:rPr>
        <w:t xml:space="preserve"> </w:t>
      </w:r>
    </w:p>
    <w:p w14:paraId="50440A80" w14:textId="4174B87F" w:rsidR="00DE6679" w:rsidRPr="00EC5244" w:rsidRDefault="00DE6679" w:rsidP="00C06F57">
      <w:pPr>
        <w:pStyle w:val="TAMainText"/>
        <w:rPr>
          <w:lang w:val="en-CA"/>
        </w:rPr>
      </w:pPr>
    </w:p>
    <w:p w14:paraId="28196C2E" w14:textId="5E8337D9" w:rsidR="00DE6679" w:rsidRPr="00EC5244" w:rsidRDefault="00A16D86" w:rsidP="007D0E6F">
      <w:pPr>
        <w:pStyle w:val="TAMainText"/>
        <w:rPr>
          <w:color w:val="FF0000"/>
          <w:lang w:val="en-CA"/>
        </w:rPr>
      </w:pPr>
      <w:r w:rsidRPr="00EC5244">
        <w:rPr>
          <w:lang w:val="en-CA"/>
        </w:rPr>
        <w:t xml:space="preserve">Establishing </w:t>
      </w:r>
      <w:r w:rsidR="007D0E6F" w:rsidRPr="00EC5244">
        <w:rPr>
          <w:lang w:val="en-CA"/>
        </w:rPr>
        <w:t>a unified theory of hydrotropy is still a challenging task, due to the diversity of hydrotropes admitted under the same definition, which spans over weakly-amphiphilic molecules, micelles and micro-emulsions.</w:t>
      </w:r>
      <w:r w:rsidR="00264337" w:rsidRPr="00EC5244">
        <w:rPr>
          <w:lang w:val="en-CA"/>
        </w:rPr>
        <w:fldChar w:fldCharType="begin" w:fldLock="1"/>
      </w:r>
      <w:r w:rsidR="004D1EB5" w:rsidRPr="00EC5244">
        <w:rPr>
          <w:lang w:val="en-CA"/>
        </w:rPr>
        <w:instrText>ADDIN CSL_CITATION { "citationItems" : [ { "id" : "ITEM-1", "itemData" : { "DOI" : "10.1016/j.cocis.2016.03.005", "ISSN" : "13590294", "author" : [ { "dropping-particle" : "", "family" : "Kunz", "given" : "Werner", "non-dropping-particle" : "", "parse-names" : false, "suffix" : "" }, { "dropping-particle" : "", "family" : "Holmberg", "given" : "Krister", "non-dropping-particle" : "", "parse-names" : false, "suffix" : "" }, { "dropping-particle" : "", "family" : "Zemb", "given" : "Thomas", "non-dropping-particle" : "", "parse-names" : false, "suffix" : "" } ], "container-title" : "Current Opinion in Colloid &amp; Interface Science", "id" : "ITEM-1", "issued" : { "date-parts" : [ [ "2016" ] ] }, "page" : "99-107", "title" : "Hydrotropes", "type" : "article-journal", "volume" : "22" }, "uris" : [ "http://www.mendeley.com/documents/?uuid=c63892f6-f40b-4433-a7ae-392ad4c78409" ] } ], "mendeley" : { "formattedCitation" : "&lt;sup&gt;7&lt;/sup&gt;", "plainTextFormattedCitation" : "7", "previouslyFormattedCitation" : "&lt;sup&gt;7&lt;/sup&gt;" }, "properties" : { "noteIndex" : 0 }, "schema" : "https://github.com/citation-style-language/schema/raw/master/csl-citation.json" }</w:instrText>
      </w:r>
      <w:r w:rsidR="00264337" w:rsidRPr="00EC5244">
        <w:rPr>
          <w:lang w:val="en-CA"/>
        </w:rPr>
        <w:fldChar w:fldCharType="separate"/>
      </w:r>
      <w:r w:rsidR="004D1EB5" w:rsidRPr="00EC5244">
        <w:rPr>
          <w:noProof/>
          <w:vertAlign w:val="superscript"/>
          <w:lang w:val="en-CA"/>
        </w:rPr>
        <w:t>7</w:t>
      </w:r>
      <w:r w:rsidR="00264337" w:rsidRPr="00EC5244">
        <w:rPr>
          <w:lang w:val="en-CA"/>
        </w:rPr>
        <w:fldChar w:fldCharType="end"/>
      </w:r>
      <w:r w:rsidR="007D0E6F" w:rsidRPr="00EC5244">
        <w:rPr>
          <w:lang w:val="en-CA"/>
        </w:rPr>
        <w:t xml:space="preserve"> Such diversity in hydrotropic behaviour, however, can be classified rationally using the </w:t>
      </w:r>
      <w:r w:rsidR="00037B47" w:rsidRPr="00EC5244">
        <w:rPr>
          <w:lang w:val="en-CA"/>
        </w:rPr>
        <w:t>Gibbs</w:t>
      </w:r>
      <w:r w:rsidR="007D0E6F" w:rsidRPr="00EC5244">
        <w:rPr>
          <w:lang w:val="en-CA"/>
        </w:rPr>
        <w:t xml:space="preserve"> phase rule, which can identify the degrees of freedom o</w:t>
      </w:r>
      <w:r w:rsidR="00037B47" w:rsidRPr="00EC5244">
        <w:rPr>
          <w:lang w:val="en-CA"/>
        </w:rPr>
        <w:t>f</w:t>
      </w:r>
      <w:r w:rsidR="007D0E6F" w:rsidRPr="00EC5244">
        <w:rPr>
          <w:lang w:val="en-CA"/>
        </w:rPr>
        <w:t xml:space="preserve"> the system</w:t>
      </w:r>
      <w:r w:rsidR="00F431D2" w:rsidRPr="00EC5244">
        <w:rPr>
          <w:lang w:val="en-CA"/>
        </w:rPr>
        <w:fldChar w:fldCharType="begin" w:fldLock="1"/>
      </w:r>
      <w:r w:rsidR="0039109D" w:rsidRPr="00EC5244">
        <w:rPr>
          <w:lang w:val="en-CA"/>
        </w:rPr>
        <w:instrText>ADDIN CSL_CITATION { "citationItems" : [ { "id" : "ITEM-1", "itemData" : { "author" : [ { "dropping-particle" : "", "family" : "Gibbs", "given" : "J W", "non-dropping-particle" : "", "parse-names" : false, "suffix" : "" } ], "container-title" : "Trans Conn Acad Arts Sci", "id" : "ITEM-1", "issued" : { "date-parts" : [ [ "1875" ] ] }, "page" : "108-248", "title" : "No Title", "type" : "article-journal", "volume" : "3" }, "uris" : [ "http://www.mendeley.com/documents/?uuid=82f0374b-2b72-4121-9441-a941889d9f9c" ] }, { "id" : "ITEM-2", "itemData" : { "author" : [ { "dropping-particle" : "", "family" : "Gibbs", "given" : "J W", "non-dropping-particle" : "", "parse-names" : false, "suffix" : "" } ], "container-title" : "Trans Conn Acad Arts Sci", "id" : "ITEM-2", "issued" : { "date-parts" : [ [ "1877" ] ] }, "page" : "343-524", "title" : "No Title", "type" : "article-journal", "volume" : "3" }, "uris" : [ "http://www.mendeley.com/documents/?uuid=f3d83b24-0bf3-4b3e-b5f4-fdf864a25634" ] } ], "mendeley" : { "formattedCitation" : "&lt;sup&gt;31,32&lt;/sup&gt;", "plainTextFormattedCitation" : "31,32", "previouslyFormattedCitation" : "&lt;sup&gt;31,32&lt;/sup&gt;" }, "properties" : { "noteIndex" : 0 }, "schema" : "https://github.com/citation-style-language/schema/raw/master/csl-citation.json" }</w:instrText>
      </w:r>
      <w:r w:rsidR="00F431D2" w:rsidRPr="00EC5244">
        <w:rPr>
          <w:lang w:val="en-CA"/>
        </w:rPr>
        <w:fldChar w:fldCharType="separate"/>
      </w:r>
      <w:r w:rsidR="0039109D" w:rsidRPr="00EC5244">
        <w:rPr>
          <w:noProof/>
          <w:vertAlign w:val="superscript"/>
          <w:lang w:val="en-CA"/>
        </w:rPr>
        <w:t>31,32</w:t>
      </w:r>
      <w:r w:rsidR="00F431D2" w:rsidRPr="00EC5244">
        <w:rPr>
          <w:lang w:val="en-CA"/>
        </w:rPr>
        <w:fldChar w:fldCharType="end"/>
      </w:r>
      <w:r w:rsidR="007D0E6F" w:rsidRPr="00EC5244">
        <w:rPr>
          <w:lang w:val="en-CA"/>
        </w:rPr>
        <w:t xml:space="preserve"> and can clarify how many KB integrals, that</w:t>
      </w:r>
      <w:r w:rsidR="00C36BDA" w:rsidRPr="00EC5244">
        <w:rPr>
          <w:lang w:val="en-CA"/>
        </w:rPr>
        <w:t xml:space="preserve"> represent the potential of mean force as integrals over the whole space</w:t>
      </w:r>
      <w:r w:rsidR="007D0E6F" w:rsidRPr="00EC5244">
        <w:rPr>
          <w:lang w:val="en-CA"/>
        </w:rPr>
        <w:t>, can be determinable in principle.</w:t>
      </w:r>
      <w:r w:rsidR="00F431D2" w:rsidRPr="00EC5244">
        <w:rPr>
          <w:lang w:val="en-CA"/>
        </w:rPr>
        <w:fldChar w:fldCharType="begin" w:fldLock="1"/>
      </w:r>
      <w:r w:rsidR="00BB4DD1" w:rsidRPr="00EC5244">
        <w:rPr>
          <w:lang w:val="en-CA"/>
        </w:rPr>
        <w:instrText>ADDIN CSL_CITATION { "citationItems" : [ { "id" : "ITEM-1",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"14", "issued" : { "date-parts" : [ [ "2014" ] ] }, "page" : "3922-3930", "title" : "Preferential solvation: Dividing surface vs excess numbers", "type" : "article-journal", "volume" : "118" }, "uris" : [ "http://www.mendeley.com/documents/?uuid=896fec6b-354e-41cd-a8de-55bd371a22f5" ] }, { "id" : "ITEM-2", "itemData" : { "DOI" : "10.1016/j.bpc.2017.02.003", "ISSN" : "03014622", "author" : [ { "dropping-particle" : "", "family" : "Shimizu", "given" : "Seishi", "non-dropping-particle" : "", "parse-names" : false, "suffix" : "" }, { "dropping-particle" : "", "family" : "Matubayasi", "given" : "Nobuyuki", "non-dropping-particle" : "", "parse-names" : false, "suffix" : "" } ], "container-title" : "Biophysical Chemistry", "id" : "ITEM-2", "issued" : { "date-parts" : [ [ "2017" ] ] }, "page" : "DOI: 10.1016/j.bpc.2017.02.003", "publisher" : "Elsevier B.V.", "title" : "Osmolyte depletion viewed in terms of the dividing membrane and its work of expansion against osmotic pressure", "type" : "article-journal" }, "uris" : [ "http://www.mendeley.com/documents/?uuid=b0be0468-93f2-4f18-8f9a-a660a03d9df3" ] } ], "mendeley" : { "formattedCitation" : "&lt;sup&gt;27,33&lt;/sup&gt;", "plainTextFormattedCitation" : "27,33", "previouslyFormattedCitation" : "&lt;sup&gt;27,33&lt;/sup&gt;" }, "properties" : { "noteIndex" : 0 }, "schema" : "https://github.com/citation-style-language/schema/raw/master/csl-citation.json" }</w:instrText>
      </w:r>
      <w:r w:rsidR="00F431D2" w:rsidRPr="00EC5244">
        <w:rPr>
          <w:lang w:val="en-CA"/>
        </w:rPr>
        <w:fldChar w:fldCharType="separate"/>
      </w:r>
      <w:r w:rsidR="0039109D" w:rsidRPr="00EC5244">
        <w:rPr>
          <w:noProof/>
          <w:vertAlign w:val="superscript"/>
          <w:lang w:val="en-CA"/>
        </w:rPr>
        <w:t>27,33</w:t>
      </w:r>
      <w:r w:rsidR="00F431D2" w:rsidRPr="00EC5244">
        <w:rPr>
          <w:lang w:val="en-CA"/>
        </w:rPr>
        <w:fldChar w:fldCharType="end"/>
      </w:r>
      <w:r w:rsidR="007D0E6F" w:rsidRPr="00EC5244">
        <w:rPr>
          <w:lang w:val="en-CA"/>
        </w:rPr>
        <w:t xml:space="preserve"> Thus</w:t>
      </w:r>
      <w:r w:rsidR="001A34AB" w:rsidRPr="00EC5244">
        <w:rPr>
          <w:lang w:val="en-CA"/>
        </w:rPr>
        <w:t>,</w:t>
      </w:r>
      <w:r w:rsidR="00DE6679" w:rsidRPr="00EC5244">
        <w:rPr>
          <w:lang w:val="en-CA"/>
        </w:rPr>
        <w:t xml:space="preserve"> </w:t>
      </w:r>
      <w:r w:rsidR="001A34AB" w:rsidRPr="00EC5244">
        <w:rPr>
          <w:lang w:val="en-CA"/>
        </w:rPr>
        <w:t xml:space="preserve">the </w:t>
      </w:r>
      <w:r w:rsidR="00DE6679" w:rsidRPr="00EC5244">
        <w:rPr>
          <w:lang w:val="en-CA"/>
        </w:rPr>
        <w:t>aims of the present Perspec</w:t>
      </w:r>
      <w:r w:rsidR="007D0E6F" w:rsidRPr="00EC5244">
        <w:rPr>
          <w:lang w:val="en-CA"/>
        </w:rPr>
        <w:t>t</w:t>
      </w:r>
      <w:r w:rsidR="00DE6679" w:rsidRPr="00EC5244">
        <w:rPr>
          <w:lang w:val="en-CA"/>
        </w:rPr>
        <w:t xml:space="preserve">ive article are:  </w:t>
      </w:r>
    </w:p>
    <w:p w14:paraId="4C886E20" w14:textId="14E9A3FE" w:rsidR="00DE6679" w:rsidRPr="00EC5244" w:rsidRDefault="00DE6679" w:rsidP="00BF48EE">
      <w:pPr>
        <w:pStyle w:val="TAMainText"/>
        <w:numPr>
          <w:ilvl w:val="0"/>
          <w:numId w:val="3"/>
        </w:numPr>
        <w:rPr>
          <w:lang w:val="en-CA"/>
        </w:rPr>
      </w:pPr>
      <w:r w:rsidRPr="00EC5244">
        <w:rPr>
          <w:lang w:val="en-CA"/>
        </w:rPr>
        <w:t xml:space="preserve">To present a unified, coherent description of the new understanding of hydrotropy based upon rigorous statistical thermodynamic principles. </w:t>
      </w:r>
    </w:p>
    <w:p w14:paraId="22DC3732" w14:textId="7AB24EEC" w:rsidR="007D0E6F" w:rsidRPr="00EC5244" w:rsidRDefault="007D0E6F" w:rsidP="007D0E6F">
      <w:pPr>
        <w:pStyle w:val="TAMainText"/>
        <w:numPr>
          <w:ilvl w:val="0"/>
          <w:numId w:val="3"/>
        </w:numPr>
        <w:rPr>
          <w:lang w:val="en-CA"/>
        </w:rPr>
      </w:pPr>
      <w:r w:rsidRPr="00EC5244">
        <w:rPr>
          <w:lang w:val="en-CA"/>
        </w:rPr>
        <w:t xml:space="preserve">To clarify the degrees of freedom involved in hydrotropy based on </w:t>
      </w:r>
      <w:r w:rsidR="00037B47" w:rsidRPr="00EC5244">
        <w:rPr>
          <w:lang w:val="en-CA"/>
        </w:rPr>
        <w:t>Gibbs</w:t>
      </w:r>
      <w:r w:rsidRPr="00EC5244">
        <w:rPr>
          <w:lang w:val="en-CA"/>
        </w:rPr>
        <w:t xml:space="preserve"> phase rule. </w:t>
      </w:r>
    </w:p>
    <w:p w14:paraId="184E4CC9" w14:textId="5710171B" w:rsidR="00DE6679" w:rsidRPr="00EC5244" w:rsidRDefault="00DE6679" w:rsidP="00BF48EE">
      <w:pPr>
        <w:pStyle w:val="TAMainText"/>
        <w:numPr>
          <w:ilvl w:val="0"/>
          <w:numId w:val="3"/>
        </w:numPr>
        <w:rPr>
          <w:lang w:val="en-CA"/>
        </w:rPr>
      </w:pPr>
      <w:r w:rsidRPr="00EC5244">
        <w:rPr>
          <w:lang w:val="en-CA"/>
        </w:rPr>
        <w:t xml:space="preserve">To extend the theory of hydrotropy beyond sparingly soluble solutes. </w:t>
      </w:r>
    </w:p>
    <w:p w14:paraId="6530800E" w14:textId="77777777" w:rsidR="00DE6679" w:rsidRPr="00EC5244" w:rsidRDefault="00DE6679" w:rsidP="00DE6679">
      <w:pPr>
        <w:pStyle w:val="TAMainText"/>
        <w:ind w:firstLine="0"/>
        <w:rPr>
          <w:lang w:val="en-CA"/>
        </w:rPr>
      </w:pPr>
    </w:p>
    <w:p w14:paraId="0B465CE7" w14:textId="23E7F07A" w:rsidR="00DE6679" w:rsidRPr="00EC5244" w:rsidRDefault="00DE6679" w:rsidP="00C035D6">
      <w:pPr>
        <w:pStyle w:val="TAMainText"/>
        <w:rPr>
          <w:lang w:val="en-CA"/>
        </w:rPr>
      </w:pPr>
      <w:r w:rsidRPr="00EC5244">
        <w:rPr>
          <w:lang w:val="en-CA"/>
        </w:rPr>
        <w:t>Aim (1) is necessitated by the fact that the basic theories have so far been presented incrementally in several papers</w:t>
      </w:r>
      <w:r w:rsidR="00F431D2" w:rsidRPr="00EC5244">
        <w:rPr>
          <w:lang w:val="en-CA"/>
        </w:rPr>
        <w:fldChar w:fldCharType="begin" w:fldLock="1"/>
      </w:r>
      <w:r w:rsidR="0039109D" w:rsidRPr="00EC5244">
        <w:rPr>
          <w:lang w:val="en-CA"/>
        </w:rPr>
        <w:instrText>ADDIN CSL_CITATION { "citationItems" : [ { "id" : "ITEM-1", "itemData" : { "DOI" : "10.1021/jp309819r", "ISBN" : "1520-6106", "ISSN" : "15205207", "PMID" : "23236952", "abstract" : "Drugs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 "author" : [ { "dropping-particle" : "", "family" : "Booth", "given" : "Jonathan J.", "non-dropping-particle" : "", "parse-names" : false, "suffix" : "" }, { "dropping-particle" : "", "family" : "Abbott", "given" : "Steven", "non-dropping-particle" : "", "parse-names" : false, "suffix" : "" }, { "dropping-particle" : "", "family" : "Shimizu", "given" : "Seishi", "non-dropping-particle" : "", "parse-names" : false, "suffix" : "" } ], "container-title" : "Journal of Physical Chemistry B", "id" : "ITEM-1", "issue" : "51", "issued" : { "date-parts" : [ [ "2012" ] ] }, "page" : "14915-14921", "title" : "Mechanism of hydrophobic drug solubilization by small molecule hydrotropes", "type" : "article-journal", "volume" : "116" }, "uris" : [ "http://www.mendeley.com/documents/?uuid=33c3cbc9-707a-4097-91a4-e91008bc3dd6" ] }, { "id" : "ITEM-2",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"ITEM-2", "issue" : "47", "issued" : { "date-parts" : [ [ "2013" ] ] }, "page" : "20625-20632", "title" : "Hydrotropy: binding models vs. statistical thermodynamics.", "type" : "article-journal", "volume" : "15" }, "uris" : [ "http://www.mendeley.com/documents/?uuid=d239f09f-553e-48eb-882f-c22d5aa8ac8c" ] }, { "id" : "ITEM-3",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"35", "issued" : { "date-parts" : [ [ "2014" ] ] }, "page" : "10515-10524", "title" : "Hydrotropy: Monomer-micelle equilibrium and minimum hydrotrope concentration", "type" : "article-journal", "volume" : "118" }, "uris" : [ "http://www.mendeley.com/documents/?uuid=0cd1508f-d197-4e8d-a474-504cfaeae922" ] }, { "id" : "ITEM-4", "itemData" : { "DOI" : "10.1039/C4CP05414H", "ISBN" : "1463-9084", "ISSN" : "1463-9076", "abstract" : "Nicotinamide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 "author" : [ { "dropping-particle" : "", "family" : "Booth", "given" : "Jonathan J", "non-dropping-particle" : "", "parse-names" : false, "suffix" : "" }, { "dropping-particle" : "", "family" : "Omar", "given" : "Muhiadin", "non-dropping-particle" : "", "parse-names" : false, "suffix" : "" }, { "dropping-particle" : "", "family" : "Abbott", "given" : "Steven", "non-dropping-particle" : "", "parse-names" : false, "suffix" : "" }, { "dropping-particle" : "", "family" : "Shimizu", "given" : "Seishi", "non-dropping-particle" : "", "parse-names" : false, "suffix" : "" } ], "container-title" : "Phys Chem Chem Phys", "id" : "ITEM-4", "issue" : "12", "issued" : { "date-parts" : [ [ "2015" ] ] }, "page" : "8028-8037", "publisher" : "Royal Society of Chemistry", "title" : "Hydrotrope accumulation around the drug: the driving force for solubilization and minimum hydrotrope concentration for nicotinamide and urea", "type" : "article-journal", "volume" : "17" }, "uris" : [ "http://www.mendeley.com/documents/?uuid=5c6e1dca-c577-4d43-8836-d1f313635128" ] }, { "id" : "ITEM-5", "itemData" : { "DOI" : "10.1039/C6CP01582D", "ISSN" : "1463-9076", "author" : [ { "dropping-particle" : "", "family" : "Nicol", "given" : "Thomas W. J.", "non-dropping-particle" : "", "parse-names" : false, "suffix" : "" }, { "dropping-particle" : "", "family" : "Matubayasi", "given" : "Nobuyuki", "non-dropping-particle" : "", "parse-names" : false, "suffix" : "" }, { "dropping-particle" : "", "family" : "Shimizu", "given" : "Seishi", "non-dropping-particle" : "", "parse-names" : false, "suffix" : "" } ], "container-title" : "Phys. Chem. Chem. Phys.", "id" : "ITEM-5", "issue" : "22", "issued" : { "date-parts" : [ [ "2016" ] ] }, "page" : "15205-15217", "publisher" : "Royal Society of Chemistry", "title" : "Origin of non-linearity in phase solubility: solubilisation by cyclodextrin beyond stoichiometric complexation", "type" : "article-journal", "volume" : "18" }, "uris" : [ "http://www.mendeley.com/documents/?uuid=3e5ca0e4-272d-4ab6-ae08-f7609fe1bd68" ] }, { "id" : "ITEM-6", "itemData" : { "DOI" : "10.1039/C6GC03002E", "ISBN" : "1463-9262 1463-9270", "ISSN" : "1463-9262", "author" : [ { "dropping-particle" : "", "family" : "Abbott", "given" : "Steven", "non-dropping-particle" : "", "parse-names" : false, "suffix" : "" }, { "dropping-particle" : "", "family" : "Booth", "given" : "Jonathan J.", "non-dropping-particle" : "", "parse-names" : false, "suffix" : "" }, { "dropping-particle" : "", "family" : "Shimizu", "given" : "Seishi", "non-dropping-particle" : "", "parse-names" : false, "suffix" : "" } ], "container-title" : "Green Chem.", "id" : "ITEM-6", "issued" : { "date-parts" : [ [ "2017" ] ] }, "page" : "68-75", "publisher" : "Royal Society of Chemistry", "title" : "Practical molecular thermodynamics for greener solution chemistry", "type" : "article-journal", "volume" : "19" }, "uris" : [ "http://www.mendeley.com/documents/?uuid=38793dd8-a3eb-4655-8aa4-d9f4d4b3778b" ] }, { "id" : "ITEM-7", "itemData" : { "DOI" : "10.1021/acs.jpcb.6b01380", "ISSN" : "15205207", "abstract" : "Supercritical carbon dioxide (scCO2) on its own can be a relatively poor solvent. However, the addition at relatively modest concentration of \u201centrainers\u201d, simple solvent molecules such as ethanol or acetone, can provide a significant boost in solubility, thereby enabling its industrial use. However, how entrainers work is still under debate; without an unambiguous explanation, it is hard to optimize entrainers for any specific solute. This paper demonstrates that a fundamental, assumption-free statistical thermodynamic theory, the Kirkwood\u2013Buff (KB) theory, can provide an unambiguous explanation of the entrainer effect through an analysis of published experimental data. The KB theory shows that a strong solute\u2013entrainer interaction accounts for the solubility enhancement, while CO2 density increase and/or CO2\u2013entrainer interactions, which have been assumed widely in the literature, do not account for solubilization. This conclusion, despite the limited completeness of available data, is demonstrably robu...", "author" : [ { "dropping-particle" : "", "family" : "Shimizu", "given" : "Seishi", "non-dropping-particle" : "", "parse-names" : false, "suffix" : "" }, { "dropping-particle" : "", "family" : "Abbott", "given" : "Steven", "non-dropping-particle" : "", "parse-names" : false, "suffix" : "" } ], "container-title" : "Journal of Physical Chemistry B", "id" : "ITEM-7", "issue" : "15", "issued" : { "date-parts" : [ [ "2016" ] ] }, "page" : "3713-3723", "title" : "How Entrainers Enhance Solubility in Supercritical Carbon Dioxide", "type" : "article-journal", "volume" : "120" }, "uris" : [ "http://www.mendeley.com/documents/?uuid=e6bc2365-d37f-4bf0-aa8b-df44083b9f4c" ] } ], "mendeley" : { "formattedCitation" : "&lt;sup&gt;8\u201311,13,29,34&lt;/sup&gt;", "plainTextFormattedCitation" : "8\u201311,13,29,34", "previouslyFormattedCitation" : "&lt;sup&gt;8\u201311,13,29,34&lt;/sup&gt;" }, "properties" : { "noteIndex" : 0 }, "schema" : "https://github.com/citation-style-language/schema/raw/master/csl-citation.json" }</w:instrText>
      </w:r>
      <w:r w:rsidR="00F431D2" w:rsidRPr="00EC5244">
        <w:rPr>
          <w:lang w:val="en-CA"/>
        </w:rPr>
        <w:fldChar w:fldCharType="separate"/>
      </w:r>
      <w:r w:rsidR="0039109D" w:rsidRPr="00EC5244">
        <w:rPr>
          <w:noProof/>
          <w:vertAlign w:val="superscript"/>
          <w:lang w:val="en-CA"/>
        </w:rPr>
        <w:t>8–11,13,29,34</w:t>
      </w:r>
      <w:r w:rsidR="00F431D2" w:rsidRPr="00EC5244">
        <w:rPr>
          <w:lang w:val="en-CA"/>
        </w:rPr>
        <w:fldChar w:fldCharType="end"/>
      </w:r>
      <w:r w:rsidRPr="00EC5244">
        <w:rPr>
          <w:lang w:val="en-CA"/>
        </w:rPr>
        <w:t xml:space="preserve"> and a unified perspective is now in order</w:t>
      </w:r>
      <w:r w:rsidR="00A16D86" w:rsidRPr="00EC5244">
        <w:rPr>
          <w:lang w:val="en-CA"/>
        </w:rPr>
        <w:t>.</w:t>
      </w:r>
      <w:r w:rsidRPr="00EC5244">
        <w:rPr>
          <w:lang w:val="en-CA"/>
        </w:rPr>
        <w:t xml:space="preserve"> </w:t>
      </w:r>
      <w:r w:rsidR="007D0E6F" w:rsidRPr="00EC5244">
        <w:rPr>
          <w:lang w:val="en-CA"/>
        </w:rPr>
        <w:t>Aim (2) is based upon a principle</w:t>
      </w:r>
      <w:r w:rsidR="00AA5541" w:rsidRPr="00EC5244">
        <w:rPr>
          <w:lang w:val="en-CA"/>
        </w:rPr>
        <w:t xml:space="preserve"> introduced in one of our biophysical papers</w:t>
      </w:r>
      <w:r w:rsidR="00F431D2" w:rsidRPr="00EC5244">
        <w:rPr>
          <w:lang w:val="en-CA"/>
        </w:rPr>
        <w:fldChar w:fldCharType="begin" w:fldLock="1"/>
      </w:r>
      <w:r w:rsidR="00A07779" w:rsidRPr="00EC5244">
        <w:rPr>
          <w:lang w:val="en-CA"/>
        </w:rPr>
        <w:instrText>ADDIN CSL_CITATION { "citationItems" : [ { "id" : "ITEM-1",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"14", "issued" : { "date-parts" : [ [ "2014" ] ] }, "page" : "3922-3930", "title" : "Preferential solvation: Dividing surface vs excess numbers", "type" : "article-journal", "volume" : "118" }, "uris" : [ "http://www.mendeley.com/documents/?uuid=896fec6b-354e-41cd-a8de-55bd371a22f5" ] } ], "mendeley" : { "formattedCitation" : "&lt;sup&gt;27&lt;/sup&gt;", "plainTextFormattedCitation" : "27", "previouslyFormattedCitation" : "&lt;sup&gt;27&lt;/sup&gt;" }, "properties" : { "noteIndex" : 0 }, "schema" : "https://github.com/citation-style-language/schema/raw/master/csl-citation.json" }</w:instrText>
      </w:r>
      <w:r w:rsidR="00F431D2" w:rsidRPr="00EC5244">
        <w:rPr>
          <w:lang w:val="en-CA"/>
        </w:rPr>
        <w:fldChar w:fldCharType="separate"/>
      </w:r>
      <w:r w:rsidR="00A07779" w:rsidRPr="00EC5244">
        <w:rPr>
          <w:noProof/>
          <w:vertAlign w:val="superscript"/>
          <w:lang w:val="en-CA"/>
        </w:rPr>
        <w:t>27</w:t>
      </w:r>
      <w:r w:rsidR="00F431D2" w:rsidRPr="00EC5244">
        <w:rPr>
          <w:lang w:val="en-CA"/>
        </w:rPr>
        <w:fldChar w:fldCharType="end"/>
      </w:r>
      <w:r w:rsidR="00AA5541" w:rsidRPr="00EC5244">
        <w:rPr>
          <w:lang w:val="en-CA"/>
        </w:rPr>
        <w:t xml:space="preserve"> as the way to establish</w:t>
      </w:r>
      <w:r w:rsidR="00037B47" w:rsidRPr="00EC5244">
        <w:rPr>
          <w:lang w:val="en-CA"/>
        </w:rPr>
        <w:t xml:space="preserve"> a</w:t>
      </w:r>
      <w:r w:rsidR="00AA5541" w:rsidRPr="00EC5244">
        <w:rPr>
          <w:lang w:val="en-CA"/>
        </w:rPr>
        <w:t xml:space="preserve"> fundamental distinction between a solute and a surface, and will be exploited throughout this paper to distinguish apparently similar yet fundamentally different mechanisms at work in solubilization. </w:t>
      </w:r>
      <w:r w:rsidR="007D0E6F" w:rsidRPr="00EC5244">
        <w:rPr>
          <w:lang w:val="en-CA"/>
        </w:rPr>
        <w:t xml:space="preserve"> Aim (3) comes from the fact that our previous papers, aiming at establishing a clear molecular picture, focused exclusively on solutes at infinite dilution.</w:t>
      </w:r>
      <w:r w:rsidR="00F431D2" w:rsidRPr="00EC5244">
        <w:rPr>
          <w:lang w:val="en-CA"/>
        </w:rPr>
        <w:fldChar w:fldCharType="begin" w:fldLock="1"/>
      </w:r>
      <w:r w:rsidR="0039109D" w:rsidRPr="00EC5244">
        <w:rPr>
          <w:lang w:val="en-CA"/>
        </w:rPr>
        <w:instrText>ADDIN CSL_CITATION { "citationItems" : [ { "id" : "ITEM-1", "itemData" : { "DOI" : "10.1021/jp309819r", "ISBN" : "1520-6106", "ISSN" : "15205207", "PMID" : "23236952", "abstract" : "Drugs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 "author" : [ { "dropping-particle" : "", "family" : "Booth", "given" : "Jonathan J.", "non-dropping-particle" : "", "parse-names" : false, "suffix" : "" }, { "dropping-particle" : "", "family" : "Abbott", "given" : "Steven", "non-dropping-particle" : "", "parse-names" : false, "suffix" : "" }, { "dropping-particle" : "", "family" : "Shimizu", "given" : "Seishi", "non-dropping-particle" : "", "parse-names" : false, "suffix" : "" } ], "container-title" : "Journal of Physical Chemistry B", "id" : "ITEM-1", "issue" : "51", "issued" : { "date-parts" : [ [ "2012" ] ] }, "page" : "14915-14921", "title" : "Mechanism of hydrophobic drug solubilization by small molecule hydrotropes", "type" : "article-journal", "volume" : "116" }, "uris" : [ "http://www.mendeley.com/documents/?uuid=33c3cbc9-707a-4097-91a4-e91008bc3dd6" ] }, { "id" : "ITEM-2",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"ITEM-2", "issue" : "47", "issued" : { "date-parts" : [ [ "2013" ] ] }, "page" : "20625-20632", "title" : "Hydrotropy: binding models vs. statistical thermodynamics.", "type" : "article-journal", "volume" : "15" }, "uris" : [ "http://www.mendeley.com/documents/?uuid=d239f09f-553e-48eb-882f-c22d5aa8ac8c" ] }, { "id" : "ITEM-3",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"35", "issued" : { "date-parts" : [ [ "2014" ] ] }, "page" : "10515-10524", "title" : "Hydrotropy: Monomer-micelle equilibrium and minimum hydrotrope concentration", "type" : "article-journal", "volume" : "118" }, "uris" : [ "http://www.mendeley.com/documents/?uuid=0cd1508f-d197-4e8d-a474-504cfaeae922" ] }, { "id" : "ITEM-4", "itemData" : { "DOI" : "10.1039/C4CP05414H", "ISBN" : "1463-9084", "ISSN" : "1463-9076", "abstract" : "Nicotinamide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 "author" : [ { "dropping-particle" : "", "family" : "Booth", "given" : "Jonathan J", "non-dropping-particle" : "", "parse-names" : false, "suffix" : "" }, { "dropping-particle" : "", "family" : "Omar", "given" : "Muhiadin", "non-dropping-particle" : "", "parse-names" : false, "suffix" : "" }, { "dropping-particle" : "", "family" : "Abbott", "given" : "Steven", "non-dropping-particle" : "", "parse-names" : false, "suffix" : "" }, { "dropping-particle" : "", "family" : "Shimizu", "given" : "Seishi", "non-dropping-particle" : "", "parse-names" : false, "suffix" : "" } ], "container-title" : "Phys Chem Chem Phys", "id" : "ITEM-4", "issue" : "12", "issued" : { "date-parts" : [ [ "2015" ] ] }, "page" : "8028-8037", "publisher" : "Royal Society of Chemistry", "title" : "Hydrotrope accumulation around the drug: the driving force for solubilization and minimum hydrotrope concentration for nicotinamide and urea", "type" : "article-journal", "volume" : "17" }, "uris" : [ "http://www.mendeley.com/documents/?uuid=5c6e1dca-c577-4d43-8836-d1f313635128" ] }, { "id" : "ITEM-5", "itemData" : { "DOI" : "10.1039/C6CP01582D", "ISSN" : "1463-9076", "author" : [ { "dropping-particle" : "", "family" : "Nicol", "given" : "Thomas W. J.", "non-dropping-particle" : "", "parse-names" : false, "suffix" : "" }, { "dropping-particle" : "", "family" : "Matubayasi", "given" : "Nobuyuki", "non-dropping-particle" : "", "parse-names" : false, "suffix" : "" }, { "dropping-particle" : "", "family" : "Shimizu", "given" : "Seishi", "non-dropping-particle" : "", "parse-names" : false, "suffix" : "" } ], "container-title" : "Phys. Chem. Chem. Phys.", "id" : "ITEM-5", "issue" : "22", "issued" : { "date-parts" : [ [ "2016" ] ] }, "page" : "15205-15217", "publisher" : "Royal Society of Chemistry", "title" : "Origin of non-linearity in phase solubility: solubilisation by cyclodextrin beyond stoichiometric complexation", "type" : "article-journal", "volume" : "18" }, "uris" : [ "http://www.mendeley.com/documents/?uuid=3e5ca0e4-272d-4ab6-ae08-f7609fe1bd68" ] }, { "id" : "ITEM-6", "itemData" : { "DOI" : "10.1039/C6GC03002E", "ISBN" : "1463-9262 1463-9270", "ISSN" : "1463-9262", "author" : [ { "dropping-particle" : "", "family" : "Abbott", "given" : "Steven", "non-dropping-particle" : "", "parse-names" : false, "suffix" : "" }, { "dropping-particle" : "", "family" : "Booth", "given" : "Jonathan J.", "non-dropping-particle" : "", "parse-names" : false, "suffix" : "" }, { "dropping-particle" : "", "family" : "Shimizu", "given" : "Seishi", "non-dropping-particle" : "", "parse-names" : false, "suffix" : "" } ], "container-title" : "Green Chem.", "id" : "ITEM-6", "issued" : { "date-parts" : [ [ "2017" ] ] }, "page" : "68-75", "publisher" : "Royal Society of Chemistry", "title" : "Practical molecular thermodynamics for greener solution chemistry", "type" : "article-journal", "volume" : "19" }, "uris" : [ "http://www.mendeley.com/documents/?uuid=38793dd8-a3eb-4655-8aa4-d9f4d4b3778b" ] }, { "id" : "ITEM-7", "itemData" : { "DOI" : "10.1021/acs.jpcb.6b01380", "ISSN" : "15205207", "abstract" : "Supercritical carbon dioxide (scCO2) on its own can be a relatively poor solvent. However, the addition at relatively modest concentration of \u201centrainers\u201d, simple solvent molecules such as ethanol or acetone, can provide a significant boost in solubility, thereby enabling its industrial use. However, how entrainers work is still under debate; without an unambiguous explanation, it is hard to optimize entrainers for any specific solute. This paper demonstrates that a fundamental, assumption-free statistical thermodynamic theory, the Kirkwood\u2013Buff (KB) theory, can provide an unambiguous explanation of the entrainer effect through an analysis of published experimental data. The KB theory shows that a strong solute\u2013entrainer interaction accounts for the solubility enhancement, while CO2 density increase and/or CO2\u2013entrainer interactions, which have been assumed widely in the literature, do not account for solubilization. This conclusion, despite the limited completeness of available data, is demonstrably robu...", "author" : [ { "dropping-particle" : "", "family" : "Shimizu", "given" : "Seishi", "non-dropping-particle" : "", "parse-names" : false, "suffix" : "" }, { "dropping-particle" : "", "family" : "Abbott", "given" : "Steven", "non-dropping-particle" : "", "parse-names" : false, "suffix" : "" } ], "container-title" : "Journal of Physical Chemistry B", "id" : "ITEM-7", "issue" : "15", "issued" : { "date-parts" : [ [ "2016" ] ] }, "page" : "3713-3723", "title" : "How Entrainers Enhance Solubility in Supercritical Carbon Dioxide", "type" : "article-journal", "volume" : "120" }, "uris" : [ "http://www.mendeley.com/documents/?uuid=e6bc2365-d37f-4bf0-aa8b-df44083b9f4c" ] } ], "mendeley" : { "formattedCitation" : "&lt;sup&gt;8\u201311,13,29,34&lt;/sup&gt;", "plainTextFormattedCitation" : "8\u201311,13,29,34", "previouslyFormattedCitation" : "&lt;sup&gt;8\u201311,13,29,34&lt;/sup&gt;" }, "properties" : { "noteIndex" : 0 }, "schema" : "https://github.com/citation-style-language/schema/raw/master/csl-citation.json" }</w:instrText>
      </w:r>
      <w:r w:rsidR="00F431D2" w:rsidRPr="00EC5244">
        <w:rPr>
          <w:lang w:val="en-CA"/>
        </w:rPr>
        <w:fldChar w:fldCharType="separate"/>
      </w:r>
      <w:r w:rsidR="0039109D" w:rsidRPr="00EC5244">
        <w:rPr>
          <w:noProof/>
          <w:vertAlign w:val="superscript"/>
          <w:lang w:val="en-CA"/>
        </w:rPr>
        <w:t>8–11,13,29,34</w:t>
      </w:r>
      <w:r w:rsidR="00F431D2" w:rsidRPr="00EC5244">
        <w:rPr>
          <w:lang w:val="en-CA"/>
        </w:rPr>
        <w:fldChar w:fldCharType="end"/>
      </w:r>
      <w:r w:rsidR="007D0E6F" w:rsidRPr="00EC5244">
        <w:rPr>
          <w:lang w:val="en-CA"/>
        </w:rPr>
        <w:t xml:space="preserve"> Yet our theory can be extendable to solutes with high solubilit</w:t>
      </w:r>
      <w:r w:rsidR="00615B5C" w:rsidRPr="00EC5244">
        <w:rPr>
          <w:lang w:val="en-CA"/>
        </w:rPr>
        <w:t xml:space="preserve">y, even though the </w:t>
      </w:r>
      <w:r w:rsidR="007D0E6F" w:rsidRPr="00EC5244">
        <w:rPr>
          <w:lang w:val="en-CA"/>
        </w:rPr>
        <w:t>determination of the KBIs will require more experiments.</w:t>
      </w:r>
      <w:r w:rsidR="00B77F33" w:rsidRPr="00EC5244">
        <w:rPr>
          <w:lang w:val="en-CA"/>
        </w:rPr>
        <w:t xml:space="preserve"> A general picture of hydrotropy will emerge from this extension. </w:t>
      </w:r>
    </w:p>
    <w:p w14:paraId="15B9D985" w14:textId="77777777" w:rsidR="00DE6679" w:rsidRPr="00EC5244" w:rsidRDefault="00DE6679" w:rsidP="00283FBB">
      <w:pPr>
        <w:pStyle w:val="TAMainText"/>
        <w:ind w:firstLine="0"/>
        <w:rPr>
          <w:b/>
          <w:lang w:val="en-CA"/>
        </w:rPr>
      </w:pPr>
    </w:p>
    <w:p w14:paraId="66AF4AD0" w14:textId="463260D6" w:rsidR="00550394" w:rsidRPr="00EC5244" w:rsidRDefault="00612922" w:rsidP="00283FBB">
      <w:pPr>
        <w:pStyle w:val="TAMainText"/>
        <w:ind w:firstLine="0"/>
        <w:rPr>
          <w:b/>
          <w:lang w:val="en-CA"/>
        </w:rPr>
      </w:pPr>
      <w:r w:rsidRPr="00EC5244">
        <w:rPr>
          <w:b/>
          <w:lang w:val="en-CA"/>
        </w:rPr>
        <w:t>2. Gibbs phase rules</w:t>
      </w:r>
      <w:r w:rsidR="00365B70" w:rsidRPr="00EC5244">
        <w:rPr>
          <w:b/>
          <w:lang w:val="en-CA"/>
        </w:rPr>
        <w:t xml:space="preserve"> and the number of independent Kirkwood-Buff integrals involving the solute</w:t>
      </w:r>
    </w:p>
    <w:p w14:paraId="0E3E3A8F" w14:textId="3594857A" w:rsidR="00612922" w:rsidRPr="00EC5244" w:rsidRDefault="00612922" w:rsidP="00283FBB">
      <w:pPr>
        <w:pStyle w:val="TAMainText"/>
        <w:ind w:firstLine="0"/>
        <w:rPr>
          <w:lang w:val="en-CA"/>
        </w:rPr>
      </w:pPr>
    </w:p>
    <w:p w14:paraId="6CA27F7F" w14:textId="24811F0B" w:rsidR="00AA5541" w:rsidRPr="00EC5244" w:rsidRDefault="003D5935" w:rsidP="00283FBB">
      <w:pPr>
        <w:pStyle w:val="TAMainText"/>
        <w:ind w:firstLine="0"/>
        <w:rPr>
          <w:lang w:val="en-CA"/>
        </w:rPr>
      </w:pPr>
      <w:r w:rsidRPr="00EC5244">
        <w:rPr>
          <w:lang w:val="en-CA"/>
        </w:rPr>
        <w:t>A simple consideration based upon the Gibbs phase rule is crucial in clarifying the number of independent KB integrals determina</w:t>
      </w:r>
      <w:r w:rsidR="00977F37" w:rsidRPr="00EC5244">
        <w:rPr>
          <w:lang w:val="en-CA"/>
        </w:rPr>
        <w:t xml:space="preserve">ble </w:t>
      </w:r>
      <w:r w:rsidR="008365D7" w:rsidRPr="00EC5244">
        <w:rPr>
          <w:lang w:val="en-CA"/>
        </w:rPr>
        <w:t xml:space="preserve">in principle from </w:t>
      </w:r>
      <w:r w:rsidR="00977F37" w:rsidRPr="00EC5244">
        <w:rPr>
          <w:lang w:val="en-CA"/>
        </w:rPr>
        <w:t>ex</w:t>
      </w:r>
      <w:r w:rsidR="008365D7" w:rsidRPr="00EC5244">
        <w:rPr>
          <w:lang w:val="en-CA"/>
        </w:rPr>
        <w:t>periments. Simple as it may sound</w:t>
      </w:r>
      <w:r w:rsidR="00977F37" w:rsidRPr="00EC5244">
        <w:rPr>
          <w:lang w:val="en-CA"/>
        </w:rPr>
        <w:t xml:space="preserve">, it is often difficult to exploit this relationship </w:t>
      </w:r>
      <w:r w:rsidR="001A34AB" w:rsidRPr="00EC5244">
        <w:rPr>
          <w:lang w:val="en-CA"/>
        </w:rPr>
        <w:t xml:space="preserve">consciously </w:t>
      </w:r>
      <w:r w:rsidR="00977F37" w:rsidRPr="00EC5244">
        <w:rPr>
          <w:lang w:val="en-CA"/>
        </w:rPr>
        <w:t>for the interpretation of experimental data.</w:t>
      </w:r>
      <w:r w:rsidR="00264337" w:rsidRPr="00EC5244">
        <w:rPr>
          <w:lang w:val="en-CA"/>
        </w:rPr>
        <w:fldChar w:fldCharType="begin" w:fldLock="1"/>
      </w:r>
      <w:r w:rsidR="00A07779" w:rsidRPr="00EC5244">
        <w:rPr>
          <w:lang w:val="en-CA"/>
        </w:rPr>
        <w:instrText>ADDIN CSL_CITATION { "citationItems" : [ { "id" : "ITEM-1",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"14", "issued" : { "date-parts" : [ [ "2014" ] ] }, "page" : "3922-3930", "title" : "Preferential solvation: Dividing surface vs excess numbers", "type" : "article-journal", "volume" : "118" }, "uris" : [ "http://www.mendeley.com/documents/?uuid=896fec6b-354e-41cd-a8de-55bd371a22f5" ] } ], "mendeley" : { "formattedCitation" : "&lt;sup&gt;27&lt;/sup&gt;", "plainTextFormattedCitation" : "27", "previouslyFormattedCitation" : "&lt;sup&gt;27&lt;/sup&gt;" }, "properties" : { "noteIndex" : 0 }, "schema" : "https://github.com/citation-style-language/schema/raw/master/csl-citation.json" }</w:instrText>
      </w:r>
      <w:r w:rsidR="00264337" w:rsidRPr="00EC5244">
        <w:rPr>
          <w:lang w:val="en-CA"/>
        </w:rPr>
        <w:fldChar w:fldCharType="separate"/>
      </w:r>
      <w:r w:rsidR="00A07779" w:rsidRPr="00EC5244">
        <w:rPr>
          <w:noProof/>
          <w:vertAlign w:val="superscript"/>
          <w:lang w:val="en-CA"/>
        </w:rPr>
        <w:t>27</w:t>
      </w:r>
      <w:r w:rsidR="00264337" w:rsidRPr="00EC5244">
        <w:rPr>
          <w:lang w:val="en-CA"/>
        </w:rPr>
        <w:fldChar w:fldCharType="end"/>
      </w:r>
      <w:r w:rsidR="00AA5541" w:rsidRPr="00EC5244">
        <w:rPr>
          <w:lang w:val="en-CA"/>
        </w:rPr>
        <w:t xml:space="preserve"> </w:t>
      </w:r>
    </w:p>
    <w:p w14:paraId="71600718" w14:textId="77777777" w:rsidR="00AA5541" w:rsidRPr="00EC5244" w:rsidRDefault="00AA5541" w:rsidP="00283FBB">
      <w:pPr>
        <w:pStyle w:val="TAMainText"/>
        <w:ind w:firstLine="0"/>
        <w:rPr>
          <w:lang w:val="en-CA"/>
        </w:rPr>
      </w:pPr>
    </w:p>
    <w:p w14:paraId="1DD1660D" w14:textId="49741589" w:rsidR="003D5935" w:rsidRPr="00EC5244" w:rsidRDefault="00AA5541" w:rsidP="00C035D6">
      <w:pPr>
        <w:pStyle w:val="TAMainText"/>
        <w:rPr>
          <w:lang w:val="en-CA"/>
        </w:rPr>
      </w:pPr>
      <w:r w:rsidRPr="00EC5244">
        <w:rPr>
          <w:lang w:val="en-CA"/>
        </w:rPr>
        <w:t xml:space="preserve">Before moving onto </w:t>
      </w:r>
      <w:r w:rsidR="00C035D6" w:rsidRPr="00EC5244">
        <w:rPr>
          <w:lang w:val="en-CA"/>
        </w:rPr>
        <w:t xml:space="preserve">the application to </w:t>
      </w:r>
      <w:r w:rsidR="00DE3A5A" w:rsidRPr="00EC5244">
        <w:rPr>
          <w:lang w:val="en-CA"/>
        </w:rPr>
        <w:t>hydrotropy</w:t>
      </w:r>
      <w:r w:rsidRPr="00EC5244">
        <w:rPr>
          <w:lang w:val="en-CA"/>
        </w:rPr>
        <w:t xml:space="preserve"> itself, let us briefly reiterate</w:t>
      </w:r>
      <w:r w:rsidR="00C035D6" w:rsidRPr="00EC5244">
        <w:rPr>
          <w:lang w:val="en-CA"/>
        </w:rPr>
        <w:t xml:space="preserve"> why </w:t>
      </w:r>
      <w:r w:rsidR="001A34AB" w:rsidRPr="00EC5244">
        <w:rPr>
          <w:lang w:val="en-CA"/>
        </w:rPr>
        <w:t xml:space="preserve">applying </w:t>
      </w:r>
      <w:r w:rsidR="00C035D6" w:rsidRPr="00EC5244">
        <w:rPr>
          <w:lang w:val="en-CA"/>
        </w:rPr>
        <w:t>such a simple approach</w:t>
      </w:r>
      <w:r w:rsidR="00DE3A5A" w:rsidRPr="00EC5244">
        <w:rPr>
          <w:lang w:val="en-CA"/>
        </w:rPr>
        <w:t xml:space="preserve"> </w:t>
      </w:r>
      <w:r w:rsidR="001A34AB" w:rsidRPr="00EC5244">
        <w:rPr>
          <w:lang w:val="en-CA"/>
        </w:rPr>
        <w:t>has been difficult</w:t>
      </w:r>
      <w:r w:rsidR="00DE3A5A" w:rsidRPr="00EC5244">
        <w:rPr>
          <w:lang w:val="en-CA"/>
        </w:rPr>
        <w:t>, which</w:t>
      </w:r>
      <w:r w:rsidR="008365D7" w:rsidRPr="00EC5244">
        <w:rPr>
          <w:lang w:val="en-CA"/>
        </w:rPr>
        <w:t xml:space="preserve"> can be </w:t>
      </w:r>
      <w:r w:rsidR="00977F37" w:rsidRPr="00EC5244">
        <w:rPr>
          <w:lang w:val="en-CA"/>
        </w:rPr>
        <w:t>best illustrated by a controversy</w:t>
      </w:r>
      <w:r w:rsidR="00264337" w:rsidRPr="00EC5244">
        <w:rPr>
          <w:lang w:val="en-CA"/>
        </w:rPr>
        <w:fldChar w:fldCharType="begin" w:fldLock="1"/>
      </w:r>
      <w:r w:rsidR="0039109D" w:rsidRPr="00EC5244">
        <w:rPr>
          <w:lang w:val="en-CA"/>
        </w:rPr>
        <w:instrText>ADDIN CSL_CITATION { "citationItems" : [ { "id" : "ITEM-1", "itemData" : { "DOI" : "10.1073/pnas.95.13.7363", "ISBN" : "0027-8424", "ISSN" : "00278424", "PMID" : "9636154", "abstract" : "In the practice of \u201cosmotic stress,\u201d the effect of excluded cosolvents on a biochemical equilibrium is interpreted as the number of water molecules participating in the reaction. This action is attributed to lowering of solvent water activity by the cosolvent. This concept of osmotic stress in disperse solution is erroneous: (i) A cosolvent cannot be both excluded and inert, i.e., noninteracting, because exclusion requires a positive free energy change; (ii) a decrease in water activity alone by addition of solute cannot affect an equilibrium when the reacting surface is in contact with the solvent; and (iii) osmotic stress in disperse solution is a restricted case of preferential interactions; the reaction is driven by the free energy of cosolvent exclusion, and the derived number of water molecules is solely a measure of the mutual perturbations of the chemical potentials of the cosolvent and the protein.", "author" : [ { "dropping-particle" : "", "family" : "Timasheff", "given" : "Serge N", "non-dropping-particle" : "", "parse-names" : false, "suffix" : "" } ], "container-title" : "Proceedings of the National Academy of Sciences", "id" : "ITEM-1", "issue" : "13", "issued" : { "date-parts" : [ [ "1998" ] ] }, "page" : "7363-7367", "title" : "In disperse solution, \u201cosmotic stress\u201d is a restricted case of preferential interactions", "type" : "article-journal", "volume" : "95" }, "uris" : [ "http://www.mendeley.com/documents/?uuid=7d34608c-8b45-4de7-8c54-8d43e4e39b81" ] }, { "id" : "ITEM-2", "itemData" : { "DOI" : "10.1073/pnas.97.8.3987", "ISBN" : "0027-8424", "ISSN" : "0027-8424", "PMID" : "10760270", "abstract" : "There has been much confusion recently about the relative merits of different approaches, osmotic stress, preferential interaction, and crowding, to describe the indirect effect of solutes on macromolecular conformations and reactions. To strengthen all interpretations of measurements and to forestall further unnecessary conceptual or linguistic confusion, we show here how the different perspectives all can be reconciled. Our approach is through the Gibbs-Duhem relation, the universal constraint on the number of ways it is possible to change the temperature, pressure, and chemical potentials of the several components in any thermodynamically defined system. From this general Gibbs-Duhem equation, it is possible to see the equivalence of the different perspectives and even to show the precise identity of the more specialized equations that the different approaches use.", "author" : [ { "dropping-particle" : "", "family" : "Parsegian", "given" : "V A", "non-dropping-particle" : "", "parse-names" : false, "suffix" : "" }, { "dropping-particle" : "", "family" : "Rand", "given" : "R P", "non-dropping-particle" : "", "parse-names" : false, "suffix" : "" }, { "dropping-particle" : "", "family" : "Rau", "given" : "D C", "non-dropping-particle" : "", "parse-names" : false, "suffix" : "" } ], "container-title" : "Proceedings of the National Academy of Sciences of the United States of America", "id" : "ITEM-2", "issue" : "8", "issued" : { "date-parts" : [ [ "2000" ] ] }, "page" : "3987-3992", "title" : "Osmotic stress, crowding, preferential hydration, and binding: A comparison of perspectives.", "type" : "article-journal", "volume" : "97" }, "uris" : [ "http://www.mendeley.com/documents/?uuid=ac842065-aeed-4562-81c8-9a1c1d00c2a7" ] }, { "id" : "ITEM-3", "itemData" : { "author" : [ { "dropping-particle" : "", "family" : "Timasheff", "given" : "Serge N", "non-dropping-particle" : "", "parse-names" : false, "suffix" : "" } ], "container-title" : "Proceedings of the National Academy of Sciences", "id" : "ITEM-3", "issue" : "15", "issued" : { "date-parts" : [ [ "2002" ] ] }, "page" : "9721-9726", "title" : "Protein-solvent preferential interactions , protein hydration , and the modulation of biochemical reactions by solvent components", "type" : "article-journal", "volume" : "99" }, "uris" : [ "http://www.mendeley.com/documents/?uuid=5bee905d-fdd4-4582-a49a-15018471ab27" ] }, { "id" : "ITEM-4",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"ITEM-4",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"mendeley" : { "formattedCitation" : "&lt;sup&gt;25,35\u201337&lt;/sup&gt;", "plainTextFormattedCitation" : "25,35\u201337", "previouslyFormattedCitation" : "&lt;sup&gt;25,35\u201337&lt;/sup&gt;" }, "properties" : { "noteIndex" : 0 }, "schema" : "https://github.com/citation-style-language/schema/raw/master/csl-citation.json" }</w:instrText>
      </w:r>
      <w:r w:rsidR="00264337" w:rsidRPr="00EC5244">
        <w:rPr>
          <w:lang w:val="en-CA"/>
        </w:rPr>
        <w:fldChar w:fldCharType="separate"/>
      </w:r>
      <w:r w:rsidR="0039109D" w:rsidRPr="00EC5244">
        <w:rPr>
          <w:noProof/>
          <w:vertAlign w:val="superscript"/>
          <w:lang w:val="en-CA"/>
        </w:rPr>
        <w:t>25,35–37</w:t>
      </w:r>
      <w:r w:rsidR="00264337" w:rsidRPr="00EC5244">
        <w:rPr>
          <w:lang w:val="en-CA"/>
        </w:rPr>
        <w:fldChar w:fldCharType="end"/>
      </w:r>
      <w:r w:rsidR="00977F37" w:rsidRPr="00EC5244">
        <w:rPr>
          <w:lang w:val="en-CA"/>
        </w:rPr>
        <w:t xml:space="preserve"> over the validity of the osmotic stress technique </w:t>
      </w:r>
      <w:r w:rsidR="001A34AB" w:rsidRPr="00EC5244">
        <w:rPr>
          <w:lang w:val="en-CA"/>
        </w:rPr>
        <w:t xml:space="preserve">(OST) </w:t>
      </w:r>
      <w:r w:rsidR="00977F37" w:rsidRPr="00EC5244">
        <w:rPr>
          <w:lang w:val="en-CA"/>
        </w:rPr>
        <w:t xml:space="preserve">for the evaluation of hydration changes that accompany </w:t>
      </w:r>
      <w:r w:rsidR="00414756" w:rsidRPr="00EC5244">
        <w:rPr>
          <w:lang w:val="en-CA"/>
        </w:rPr>
        <w:t xml:space="preserve">biochemical processes, i.e., to modulate the equilibrium constant </w:t>
      </w:r>
      <m:oMath>
        <m:r>
          <w:rPr>
            <w:rFonts w:ascii="Cambria Math" w:hAnsi="Cambria Math"/>
            <w:lang w:val="en-CA"/>
          </w:rPr>
          <m:t>K</m:t>
        </m:r>
      </m:oMath>
      <w:r w:rsidR="00414756" w:rsidRPr="00EC5244">
        <w:rPr>
          <w:lang w:val="en-CA"/>
        </w:rPr>
        <w:t xml:space="preserve"> (of binding, allosteric pro</w:t>
      </w:r>
      <w:r w:rsidR="001A34AB" w:rsidRPr="00EC5244">
        <w:rPr>
          <w:lang w:val="en-CA"/>
        </w:rPr>
        <w:t>cess, or channel opening) through the</w:t>
      </w:r>
      <w:r w:rsidR="00414756" w:rsidRPr="00EC5244">
        <w:rPr>
          <w:lang w:val="en-CA"/>
        </w:rPr>
        <w:t xml:space="preserve"> addition of osmolytes to evaluate the accompanying change of hydration. Whether the excess solvation numbers of water and osmolyte molecules around the biomolecule can both be determinable in princip</w:t>
      </w:r>
      <w:r w:rsidR="001A34AB" w:rsidRPr="00EC5244">
        <w:rPr>
          <w:lang w:val="en-CA"/>
        </w:rPr>
        <w:t>le was the central focus</w:t>
      </w:r>
      <w:r w:rsidR="00414756" w:rsidRPr="00EC5244">
        <w:rPr>
          <w:lang w:val="en-CA"/>
        </w:rPr>
        <w:t xml:space="preserve"> of this debate.</w:t>
      </w:r>
      <w:r w:rsidR="00264337" w:rsidRPr="00EC5244">
        <w:rPr>
          <w:lang w:val="en-CA"/>
        </w:rPr>
        <w:fldChar w:fldCharType="begin" w:fldLock="1"/>
      </w:r>
      <w:r w:rsidR="0039109D" w:rsidRPr="00EC5244">
        <w:rPr>
          <w:lang w:val="en-CA"/>
        </w:rPr>
        <w:instrText>ADDIN CSL_CITATION { "citationItems" : [ { "id" : "ITEM-1", "itemData" : { "DOI" : "10.1073/pnas.95.13.7363", "ISBN" : "0027-8424", "ISSN" : "00278424", "PMID" : "9636154", "abstract" : "In the practice of \u201cosmotic stress,\u201d the effect of excluded cosolvents on a biochemical equilibrium is interpreted as the number of water molecules participating in the reaction. This action is attributed to lowering of solvent water activity by the cosolvent. This concept of osmotic stress in disperse solution is erroneous: (i) A cosolvent cannot be both excluded and inert, i.e., noninteracting, because exclusion requires a positive free energy change; (ii) a decrease in water activity alone by addition of solute cannot affect an equilibrium when the reacting surface is in contact with the solvent; and (iii) osmotic stress in disperse solution is a restricted case of preferential interactions; the reaction is driven by the free energy of cosolvent exclusion, and the derived number of water molecules is solely a measure of the mutual perturbations of the chemical potentials of the cosolvent and the protein.", "author" : [ { "dropping-particle" : "", "family" : "Timasheff", "given" : "Serge N", "non-dropping-particle" : "", "parse-names" : false, "suffix" : "" } ], "container-title" : "Proceedings of the National Academy of Sciences", "id" : "ITEM-1", "issue" : "13", "issued" : { "date-parts" : [ [ "1998" ] ] }, "page" : "7363-7367", "title" : "In disperse solution, \u201cosmotic stress\u201d is a restricted case of preferential interactions", "type" : "article-journal", "volume" : "95" }, "uris" : [ "http://www.mendeley.com/documents/?uuid=7d34608c-8b45-4de7-8c54-8d43e4e39b81" ] }, { "id" : "ITEM-2", "itemData" : { "DOI" : "10.1073/pnas.97.8.3987", "ISBN" : "0027-8424", "ISSN" : "0027-8424", "PMID" : "10760270", "abstract" : "There has been much confusion recently about the relative merits of different approaches, osmotic stress, preferential interaction, and crowding, to describe the indirect effect of solutes on macromolecular conformations and reactions. To strengthen all interpretations of measurements and to forestall further unnecessary conceptual or linguistic confusion, we show here how the different perspectives all can be reconciled. Our approach is through the Gibbs-Duhem relation, the universal constraint on the number of ways it is possible to change the temperature, pressure, and chemical potentials of the several components in any thermodynamically defined system. From this general Gibbs-Duhem equation, it is possible to see the equivalence of the different perspectives and even to show the precise identity of the more specialized equations that the different approaches use.", "author" : [ { "dropping-particle" : "", "family" : "Parsegian", "given" : "V A", "non-dropping-particle" : "", "parse-names" : false, "suffix" : "" }, { "dropping-particle" : "", "family" : "Rand", "given" : "R P", "non-dropping-particle" : "", "parse-names" : false, "suffix" : "" }, { "dropping-particle" : "", "family" : "Rau", "given" : "D C", "non-dropping-particle" : "", "parse-names" : false, "suffix" : "" } ], "container-title" : "Proceedings of the National Academy of Sciences of the United States of America", "id" : "ITEM-2", "issue" : "8", "issued" : { "date-parts" : [ [ "2000" ] ] }, "page" : "3987-3992", "title" : "Osmotic stress, crowding, preferential hydration, and binding: A comparison of perspectives.", "type" : "article-journal", "volume" : "97" }, "uris" : [ "http://www.mendeley.com/documents/?uuid=ac842065-aeed-4562-81c8-9a1c1d00c2a7" ] }, { "id" : "ITEM-3", "itemData" : { "author" : [ { "dropping-particle" : "", "family" : "Timasheff", "given" : "Serge N", "non-dropping-particle" : "", "parse-names" : false, "suffix" : "" } ], "container-title" : "Proceedings of the National Academy of Sciences", "id" : "ITEM-3", "issue" : "15", "issued" : { "date-parts" : [ [ "2002" ] ] }, "page" : "9721-9726", "title" : "Protein-solvent preferential interactions , protein hydration , and the modulation of biochemical reactions by solvent components", "type" : "article-journal", "volume" : "99" }, "uris" : [ "http://www.mendeley.com/documents/?uuid=5bee905d-fdd4-4582-a49a-15018471ab27" ] }, { "id" : "ITEM-4",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"ITEM-4",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"mendeley" : { "formattedCitation" : "&lt;sup&gt;25,35\u201337&lt;/sup&gt;", "plainTextFormattedCitation" : "25,35\u201337", "previouslyFormattedCitation" : "&lt;sup&gt;25,35\u201337&lt;/sup&gt;" }, "properties" : { "noteIndex" : 0 }, "schema" : "https://github.com/citation-style-language/schema/raw/master/csl-citation.json" }</w:instrText>
      </w:r>
      <w:r w:rsidR="00264337" w:rsidRPr="00EC5244">
        <w:rPr>
          <w:lang w:val="en-CA"/>
        </w:rPr>
        <w:fldChar w:fldCharType="separate"/>
      </w:r>
      <w:r w:rsidR="0039109D" w:rsidRPr="00EC5244">
        <w:rPr>
          <w:noProof/>
          <w:vertAlign w:val="superscript"/>
          <w:lang w:val="en-CA"/>
        </w:rPr>
        <w:t>25,35–37</w:t>
      </w:r>
      <w:r w:rsidR="00264337" w:rsidRPr="00EC5244">
        <w:rPr>
          <w:lang w:val="en-CA"/>
        </w:rPr>
        <w:fldChar w:fldCharType="end"/>
      </w:r>
      <w:r w:rsidR="00414756" w:rsidRPr="00EC5244">
        <w:rPr>
          <w:lang w:val="en-CA"/>
        </w:rPr>
        <w:t xml:space="preserve"> A full resolu</w:t>
      </w:r>
      <w:r w:rsidR="008365D7" w:rsidRPr="00EC5244">
        <w:rPr>
          <w:lang w:val="en-CA"/>
        </w:rPr>
        <w:t xml:space="preserve">tion of this debate </w:t>
      </w:r>
      <w:r w:rsidR="008F64C5" w:rsidRPr="00EC5244">
        <w:rPr>
          <w:lang w:val="en-CA"/>
        </w:rPr>
        <w:t xml:space="preserve">(which has led to a successful application of the KB theory to a number of </w:t>
      </w:r>
      <w:r w:rsidR="00B66D18" w:rsidRPr="00EC5244">
        <w:rPr>
          <w:lang w:val="en-CA"/>
        </w:rPr>
        <w:t>systems</w:t>
      </w:r>
      <w:r w:rsidR="00B66D18" w:rsidRPr="00EC5244">
        <w:rPr>
          <w:lang w:val="en-CA"/>
        </w:rPr>
        <w:fldChar w:fldCharType="begin" w:fldLock="1"/>
      </w:r>
      <w:r w:rsidR="0039109D" w:rsidRPr="00EC5244">
        <w:rPr>
          <w:lang w:val="en-CA"/>
        </w:rPr>
        <w:instrText>ADDIN CSL_CITATION { "citationItems" : [ { "id" : "ITEM-1", "itemData" : { "DOI" : "10.1063/1.2206174", "ISBN" : "0021-9606 (Print)\\r0021-9606 (Linking)", "ISSN" : "00219606", "PMID" : "16821951", "abstract" : "In order to understand the origin of the Hofmeister series, a statistical-mechanical analysis, based upon the Kirkwood-Buff (KB) theory, has been performed to extract information regarding protein hydration and water-mediated protein-salt interactions from published experimental data-preferential hydration and volumetric data for bovine serum albumin in the presence of a wide range of salts. The analysis showed a linear correlation between the preferential hydration parameter and the protein-cosolvent KB parameter. The same linear correlation holds even when nonelectrolyte cosolvents, such as polyethelene glycol, have been incorporated. These results suggest that the Hofmeister series is due to a wide variation of the water-mediated protein-cosolvent interaction (but not the change of protein hydration) and that this mechanism is a special case of a more general scenario common even to the macromolecular crowding.", "author" : [ { "dropping-particle" : "", "family" : "Shimizu", "given" : "Seishi", "non-dropping-particle" : "", "parse-names" : false, "suffix" : "" }, { "dropping-particle" : "", "family" : "McLaren", "given" : "William M.", "non-dropping-particle" : "", "parse-names" : false, "suffix" : "" }, { "dropping-particle" : "", "family" : "Matubayasi", "given" : "Nobuyuki", "non-dropping-particle" : "", "parse-names" : false, "suffix" : "" } ], "container-title" : "Journal of Chemical Physics", "id" : "ITEM-1", "issue" : "23", "issued" : { "date-parts" : [ [ "2006" ] ] }, "page" : "234905/1-234905/4", "title" : "The Hofmeister series and protein-salt interactions", "type" : "article-journal", "volume" : "124" }, "uris" : [ "http://www.mendeley.com/documents/?uuid=0a70a1b5-2739-4d43-a695-db256c211fdf" ] }, { "id" : "ITEM-2", "itemData" : { "DOI" : "10.1016/j.cplett.2011.08.038", "ISSN" : "00092614", "abstract" : "Various cosolvents are known to modulate the thermal stability of the proteins. To understand its molecular origin, a statistical thermodynamic analysis, based upon the Kirkwood-Buff (KB) theory, has been performed to obtain information regarding the accumulation or depletion of solvent molecules around proteins, based upon published experimental data. The analysis shows the dominant importance of cosolvent's accumulation or depletion around the proteins, whereas the role of protein hydration is minor. ?? 2011 Elsevier B.V. All rights reserved.", "author" : [ { "dropping-particle" : "", "family" : "Shimizu", "given" : "Seishi", "non-dropping-particle" : "", "parse-names" : false, "suffix" : "" } ], "container-title" : "Chemical Physics Letters", "id" : "ITEM-2", "issue" : "1-3", "issued" : { "date-parts" : [ [ "2011" ] ] }, "page" : "156-158", "publisher" : "Elsevier B.V.", "title" : "Molecular origin of the cosolvent-induced changes in the thermal stability of proteins", "type" : "article-journal", "volume" : "514" }, "uris" : [ "http://www.mendeley.com/documents/?uuid=f72a9936-cbbc-4fe0-8a8f-d5f1c1425260" ] }, { "id" : "ITEM-3", "itemData" : { "DOI" : "10.1021/jp509099h", "ISSN" : "15205207", "PMID" : "25375260", "abstract" : "Gelation is enhanced by the addition of sugars and polyols. How, at a microscopic level, do such cosolvents enhance gelation? The following two different hypotheses have been proposed so far to answer this question: (i) enhancement of water structure around the biopolymer induced by cosolvents; (ii) exclusion of cosolvents from biopolymer surfaces. To examine the validity of the above hypotheses, as well as to quantify the driving forces of cosolvent-induced gelation, we have constructed a statistical thermodynamic theory of gelation, by extending our Kirkwood-Buff theory of cosolvency; biopolymer-water and biopolymer-cosolvent interactions can both be determined from thermodynamic data. The exclusion of cosolvents is shown to be the dominant contribution, whereas the hydration change is a minor contribution, which may be important only so far as to mediate the exclusion of cosolvents.",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"46", "issued" : { "date-parts" : [ [ "2014" ] ] }, "page" : "13210-13216", "title" : "Gelation: The role of sugars and polyols on gelatin and agarose", "type" : "article-journal", "volume" : "118" }, "uris" : [ "http://www.mendeley.com/documents/?uuid=3f487fe1-7c16-485b-971c-d2e69e2da704" ] }, { "id" : "ITEM-4", "itemData" : { "DOI" : "10.1016/j.foodhyd.2015.10.007", "ISSN" : "0268005X", "abstract" : "The gelation of ??-carrageenan, a common polysaccharide for food gelling and thickening, is enhanced by the addition of sugars and polyols. Three different hypotheses have been proposed to explain this phenomenon: (i) the enhancement of the water structure around polysaccharides, and the concurrent change in polysaccharide hydration, induced by the cosolvent; (ii) exclusion of cosolvents from polysaccharide surfaces; (iii) binding between sugars/polyols and polysaccharides in the gel phase. To examine the above hypotheses, as well as to reveal the true driving forces responsible for gelation enhancement, we applied our recent statistical thermodynamic theory of gelation, derived from the rigorous Kirkwood-Buff theory. The hydration change is shown to be negligibly small relative to cosolvent exclusion and cosolvent-biopolymer binding, which can be rationalized by considering a sol-gel equilibrium in which (1) the exclusion of sugars/polyols from ??-carrageenan's surface in the sol phase, and (2) the binding of sugars and polyols in the gel phase, shift the sol-gel equilibrium of ??-carrageenan to the gel state. This novel picture is consistent with a wealth of experimental evidence and provides a mechanistic insight into how polyol and sugar cosolvents influence the gelation of ??-carrageenan on a molecular level.", "author" : [ { "dropping-particle" : "", "family" : "Stenner", "given" : "Richard", "non-dropping-particle" : "", "parse-names" : false, "suffix" : "" }, { "dropping-particle" : "", "family" : "Matubayasi", "given" : "Nobuyuki", "non-dropping-particle" : "", "parse-names" : false, "suffix" : "" }, { "dropping-particle" : "", "family" : "Shimizu", "given" : "Seishi", "non-dropping-particle" : "", "parse-names" : false, "suffix" : "" } ], "container-title" : "Food Hydrocolloids", "id" : "ITEM-4", "issued" : { "date-parts" : [ [ "2016" ] ] }, "page" : "284-292", "publisher" : "Elsevier Ltd", "title" : "Gelation of carrageenan: Effects of sugars and polyols", "type" : "article-journal", "volume" : "54" }, "uris" : [ "http://www.mendeley.com/documents/?uuid=1ba0dc87-aef9-4f66-a843-a82ff360fd80" ] }, { "id" : "ITEM-5", "itemData" : { "DOI" : "10.1021/acs.jpcb.6b01380", "ISSN" : "15205207", "abstract" : "Supercritical carbon dioxide (scCO2) on its own can be a relatively poor solvent. However, the addition at relatively modest concentration of \u201centrainers\u201d, simple solvent molecules such as ethanol or acetone, can provide a significant boost in solubility, thereby enabling its industrial use. However, how entrainers work is still under debate; without an unambiguous explanation, it is hard to optimize entrainers for any specific solute. This paper demonstrates that a fundamental, assumption-free statistical thermodynamic theory, the Kirkwood\u2013Buff (KB) theory, can provide an unambiguous explanation of the entrainer effect through an analysis of published experimental data. The KB theory shows that a strong solute\u2013entrainer interaction accounts for the solubility enhancement, while CO2 density increase and/or CO2\u2013entrainer interactions, which have been assumed widely in the literature, do not account for solubilization. This conclusion, despite the limited completeness of available data, is demonstrably robu...", "author" : [ { "dropping-particle" : "", "family" : "Shimizu", "given" : "Seishi", "non-dropping-particle" : "", "parse-names" : false, "suffix" : "" }, { "dropping-particle" : "", "family" : "Abbott", "given" : "Steven", "non-dropping-particle" : "", "parse-names" : false, "suffix" : "" } ], "container-title" : "Journal of Physical Chemistry B", "id" : "ITEM-5", "issue" : "15", "issued" : { "date-parts" : [ [ "2016" ] ] }, "page" : "3713-3723", "title" : "How Entrainers Enhance Solubility in Supercritical Carbon Dioxide", "type" : "article-journal", "volume" : "120" }, "uris" : [ "http://www.mendeley.com/documents/?uuid=e6bc2365-d37f-4bf0-aa8b-df44083b9f4c" ] } ], "mendeley" : { "formattedCitation" : "&lt;sup&gt;34,38\u201341&lt;/sup&gt;", "plainTextFormattedCitation" : "34,38\u201341", "previouslyFormattedCitation" : "&lt;sup&gt;34,38\u201341&lt;/sup&gt;" }, "properties" : { "noteIndex" : 0 }, "schema" : "https://github.com/citation-style-language/schema/raw/master/csl-citation.json" }</w:instrText>
      </w:r>
      <w:r w:rsidR="00B66D18" w:rsidRPr="00EC5244">
        <w:rPr>
          <w:lang w:val="en-CA"/>
        </w:rPr>
        <w:fldChar w:fldCharType="separate"/>
      </w:r>
      <w:r w:rsidR="0039109D" w:rsidRPr="00EC5244">
        <w:rPr>
          <w:noProof/>
          <w:vertAlign w:val="superscript"/>
          <w:lang w:val="en-CA"/>
        </w:rPr>
        <w:t>34,38–41</w:t>
      </w:r>
      <w:r w:rsidR="00B66D18" w:rsidRPr="00EC5244">
        <w:rPr>
          <w:lang w:val="en-CA"/>
        </w:rPr>
        <w:fldChar w:fldCharType="end"/>
      </w:r>
      <w:r w:rsidR="008F64C5" w:rsidRPr="00EC5244">
        <w:rPr>
          <w:lang w:val="en-CA"/>
        </w:rPr>
        <w:t xml:space="preserve">) </w:t>
      </w:r>
      <w:r w:rsidR="008365D7" w:rsidRPr="00EC5244">
        <w:rPr>
          <w:lang w:val="en-CA"/>
        </w:rPr>
        <w:t xml:space="preserve">required a simple </w:t>
      </w:r>
      <w:r w:rsidR="00414756" w:rsidRPr="00EC5244">
        <w:rPr>
          <w:lang w:val="en-CA"/>
        </w:rPr>
        <w:t>realization that</w:t>
      </w:r>
      <w:r w:rsidRPr="00EC5244">
        <w:rPr>
          <w:lang w:val="en-CA"/>
        </w:rPr>
        <w:t>,</w:t>
      </w:r>
      <w:r w:rsidR="00072412" w:rsidRPr="00EC5244">
        <w:rPr>
          <w:lang w:val="en-CA"/>
        </w:rPr>
        <w:t xml:space="preserve"> for the determination of</w:t>
      </w:r>
      <w:r w:rsidR="00414756" w:rsidRPr="00EC5244">
        <w:rPr>
          <w:lang w:val="en-CA"/>
        </w:rPr>
        <w:t xml:space="preserve"> two </w:t>
      </w:r>
      <w:r w:rsidR="008365D7" w:rsidRPr="00EC5244">
        <w:rPr>
          <w:lang w:val="en-CA"/>
        </w:rPr>
        <w:t>independent quantities</w:t>
      </w:r>
      <w:r w:rsidR="00414756" w:rsidRPr="00EC5244">
        <w:rPr>
          <w:lang w:val="en-CA"/>
        </w:rPr>
        <w:t xml:space="preserve"> (excess</w:t>
      </w:r>
      <w:r w:rsidR="00072412" w:rsidRPr="00EC5244">
        <w:rPr>
          <w:lang w:val="en-CA"/>
        </w:rPr>
        <w:t xml:space="preserve"> numbers of water and osmolyte)</w:t>
      </w:r>
      <w:r w:rsidR="00414756" w:rsidRPr="00EC5244">
        <w:rPr>
          <w:lang w:val="en-CA"/>
        </w:rPr>
        <w:t xml:space="preserve"> the solvation free energy of a</w:t>
      </w:r>
      <w:r w:rsidR="008365D7" w:rsidRPr="00EC5244">
        <w:rPr>
          <w:lang w:val="en-CA"/>
        </w:rPr>
        <w:t xml:space="preserve"> solute should be modulated via</w:t>
      </w:r>
      <w:r w:rsidR="00414756" w:rsidRPr="00EC5244">
        <w:rPr>
          <w:lang w:val="en-CA"/>
        </w:rPr>
        <w:t xml:space="preserve"> two independent variables (osmolyt</w:t>
      </w:r>
      <w:r w:rsidR="008365D7" w:rsidRPr="00EC5244">
        <w:rPr>
          <w:lang w:val="en-CA"/>
        </w:rPr>
        <w:t>e co</w:t>
      </w:r>
      <w:r w:rsidR="00072412" w:rsidRPr="00EC5244">
        <w:rPr>
          <w:lang w:val="en-CA"/>
        </w:rPr>
        <w:t>ncentration and pressure).</w:t>
      </w:r>
      <w:r w:rsidR="00264337" w:rsidRPr="00EC5244">
        <w:rPr>
          <w:lang w:val="en-CA"/>
        </w:rPr>
        <w:fldChar w:fldCharType="begin" w:fldLock="1"/>
      </w:r>
      <w:r w:rsidR="00A07779" w:rsidRPr="00EC5244">
        <w:rPr>
          <w:lang w:val="en-CA"/>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"mendeley" : { "formattedCitation" : "&lt;sup&gt;25&lt;/sup&gt;", "plainTextFormattedCitation" : "25", "previouslyFormattedCitation" : "&lt;sup&gt;25&lt;/sup&gt;" }, "properties" : { "noteIndex" : 0 }, "schema" : "https://github.com/citation-style-language/schema/raw/master/csl-citation.json" }</w:instrText>
      </w:r>
      <w:r w:rsidR="00264337" w:rsidRPr="00EC5244">
        <w:rPr>
          <w:lang w:val="en-CA"/>
        </w:rPr>
        <w:fldChar w:fldCharType="separate"/>
      </w:r>
      <w:r w:rsidR="00A07779" w:rsidRPr="00EC5244">
        <w:rPr>
          <w:noProof/>
          <w:vertAlign w:val="superscript"/>
          <w:lang w:val="en-CA"/>
        </w:rPr>
        <w:t>25</w:t>
      </w:r>
      <w:r w:rsidR="00264337" w:rsidRPr="00EC5244">
        <w:rPr>
          <w:lang w:val="en-CA"/>
        </w:rPr>
        <w:fldChar w:fldCharType="end"/>
      </w:r>
      <w:r w:rsidR="00072412" w:rsidRPr="00EC5244">
        <w:rPr>
          <w:lang w:val="en-CA"/>
        </w:rPr>
        <w:t xml:space="preserve"> This is indeed </w:t>
      </w:r>
      <w:r w:rsidR="008365D7" w:rsidRPr="00EC5244">
        <w:rPr>
          <w:lang w:val="en-CA"/>
        </w:rPr>
        <w:t>the basic consideration behind the solu</w:t>
      </w:r>
      <w:r w:rsidR="00072412" w:rsidRPr="00EC5244">
        <w:rPr>
          <w:lang w:val="en-CA"/>
        </w:rPr>
        <w:t>tion of simultaneous equations, yet it</w:t>
      </w:r>
      <w:r w:rsidR="00FA2F3A" w:rsidRPr="00EC5244">
        <w:rPr>
          <w:lang w:val="en-CA"/>
        </w:rPr>
        <w:t xml:space="preserve"> was only much </w:t>
      </w:r>
      <w:r w:rsidR="00414756" w:rsidRPr="00EC5244">
        <w:rPr>
          <w:lang w:val="en-CA"/>
        </w:rPr>
        <w:t xml:space="preserve">later </w:t>
      </w:r>
      <w:r w:rsidR="00703410" w:rsidRPr="00EC5244">
        <w:rPr>
          <w:lang w:val="en-CA"/>
        </w:rPr>
        <w:t xml:space="preserve">that </w:t>
      </w:r>
      <w:r w:rsidR="00037B47" w:rsidRPr="00EC5244">
        <w:rPr>
          <w:lang w:val="en-CA"/>
        </w:rPr>
        <w:t>Gibbs</w:t>
      </w:r>
      <w:r w:rsidR="00703410" w:rsidRPr="00EC5244">
        <w:rPr>
          <w:lang w:val="en-CA"/>
        </w:rPr>
        <w:t xml:space="preserve"> phase rule </w:t>
      </w:r>
      <w:r w:rsidR="008365D7" w:rsidRPr="00EC5244">
        <w:rPr>
          <w:lang w:val="en-CA"/>
        </w:rPr>
        <w:t xml:space="preserve">was </w:t>
      </w:r>
      <w:r w:rsidR="00072412" w:rsidRPr="00EC5244">
        <w:rPr>
          <w:lang w:val="en-CA"/>
        </w:rPr>
        <w:t>identified as</w:t>
      </w:r>
      <w:r w:rsidR="00703410" w:rsidRPr="00EC5244">
        <w:rPr>
          <w:lang w:val="en-CA"/>
        </w:rPr>
        <w:t xml:space="preserve"> </w:t>
      </w:r>
      <w:r w:rsidR="00DE3A5A" w:rsidRPr="00EC5244">
        <w:rPr>
          <w:lang w:val="en-CA"/>
        </w:rPr>
        <w:t xml:space="preserve">the </w:t>
      </w:r>
      <w:r w:rsidR="00703410" w:rsidRPr="00EC5244">
        <w:rPr>
          <w:lang w:val="en-CA"/>
        </w:rPr>
        <w:t xml:space="preserve">basis for the </w:t>
      </w:r>
      <w:r w:rsidR="00DE3A5A" w:rsidRPr="00EC5244">
        <w:rPr>
          <w:lang w:val="en-CA"/>
        </w:rPr>
        <w:t>exi</w:t>
      </w:r>
      <w:r w:rsidR="00703410" w:rsidRPr="00EC5244">
        <w:rPr>
          <w:lang w:val="en-CA"/>
        </w:rPr>
        <w:t>stence of independent variables</w:t>
      </w:r>
      <w:r w:rsidR="00B076C9" w:rsidRPr="00EC5244">
        <w:rPr>
          <w:lang w:val="en-CA"/>
        </w:rPr>
        <w:t xml:space="preserve"> that can be used to modulate the</w:t>
      </w:r>
      <w:r w:rsidR="00072412" w:rsidRPr="00EC5244">
        <w:rPr>
          <w:lang w:val="en-CA"/>
        </w:rPr>
        <w:t xml:space="preserve"> free energy of solvation, thereby governing</w:t>
      </w:r>
      <w:r w:rsidR="00B076C9" w:rsidRPr="00EC5244">
        <w:rPr>
          <w:lang w:val="en-CA"/>
        </w:rPr>
        <w:t xml:space="preserve"> the number of independently-determinable KB integrals.</w:t>
      </w:r>
      <w:r w:rsidR="00264337" w:rsidRPr="00EC5244">
        <w:rPr>
          <w:lang w:val="en-CA"/>
        </w:rPr>
        <w:fldChar w:fldCharType="begin" w:fldLock="1"/>
      </w:r>
      <w:r w:rsidR="00BB4DD1" w:rsidRPr="00EC5244">
        <w:rPr>
          <w:lang w:val="en-CA"/>
        </w:rPr>
        <w:instrText>ADDIN CSL_CITATION { "citationItems" : [ { "id" : "ITEM-1",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"14", "issued" : { "date-parts" : [ [ "2014" ] ] }, "page" : "3922-3930", "title" : "Preferential solvation: Dividing surface vs excess numbers", "type" : "article-journal", "volume" : "118" }, "uris" : [ "http://www.mendeley.com/documents/?uuid=896fec6b-354e-41cd-a8de-55bd371a22f5" ] }, { "id" : "ITEM-2", "itemData" : { "DOI" : "10.1016/j.bpc.2017.02.003", "ISSN" : "03014622", "author" : [ { "dropping-particle" : "", "family" : "Shimizu", "given" : "Seishi", "non-dropping-particle" : "", "parse-names" : false, "suffix" : "" }, { "dropping-particle" : "", "family" : "Matubayasi", "given" : "Nobuyuki", "non-dropping-particle" : "", "parse-names" : false, "suffix" : "" } ], "container-title" : "Biophysical Chemistry", "id" : "ITEM-2", "issued" : { "date-parts" : [ [ "2017" ] ] }, "page" : "DOI: 10.1016/j.bpc.2017.02.003", "publisher" : "Elsevier B.V.", "title" : "Osmolyte depletion viewed in terms of the dividing membrane and its work of expansion against osmotic pressure", "type" : "article-journal" }, "uris" : [ "http://www.mendeley.com/documents/?uuid=b0be0468-93f2-4f18-8f9a-a660a03d9df3" ] } ], "mendeley" : { "formattedCitation" : "&lt;sup&gt;27,33&lt;/sup&gt;", "plainTextFormattedCitation" : "27,33", "previouslyFormattedCitation" : "&lt;sup&gt;27,33&lt;/sup&gt;" }, "properties" : { "noteIndex" : 0 }, "schema" : "https://github.com/citation-style-language/schema/raw/master/csl-citation.json" }</w:instrText>
      </w:r>
      <w:r w:rsidR="00264337" w:rsidRPr="00EC5244">
        <w:rPr>
          <w:lang w:val="en-CA"/>
        </w:rPr>
        <w:fldChar w:fldCharType="separate"/>
      </w:r>
      <w:r w:rsidR="0039109D" w:rsidRPr="00EC5244">
        <w:rPr>
          <w:noProof/>
          <w:vertAlign w:val="superscript"/>
          <w:lang w:val="en-CA"/>
        </w:rPr>
        <w:t>27,33</w:t>
      </w:r>
      <w:r w:rsidR="00264337" w:rsidRPr="00EC5244">
        <w:rPr>
          <w:lang w:val="en-CA"/>
        </w:rPr>
        <w:fldChar w:fldCharType="end"/>
      </w:r>
      <w:r w:rsidR="00B076C9" w:rsidRPr="00EC5244">
        <w:rPr>
          <w:lang w:val="en-CA"/>
        </w:rPr>
        <w:t xml:space="preserve"> </w:t>
      </w:r>
      <w:r w:rsidR="00DE3A5A" w:rsidRPr="00EC5244">
        <w:rPr>
          <w:lang w:val="en-CA"/>
        </w:rPr>
        <w:t xml:space="preserve"> </w:t>
      </w:r>
    </w:p>
    <w:p w14:paraId="7B00128A" w14:textId="74B02414" w:rsidR="00365B70" w:rsidRPr="00EC5244" w:rsidRDefault="00365B70" w:rsidP="00283FBB">
      <w:pPr>
        <w:pStyle w:val="TAMainText"/>
        <w:ind w:firstLine="0"/>
        <w:rPr>
          <w:lang w:val="en-CA"/>
        </w:rPr>
      </w:pPr>
    </w:p>
    <w:p w14:paraId="24650C34" w14:textId="33EF7E4D" w:rsidR="009242C2" w:rsidRPr="00EC5244" w:rsidRDefault="009242C2" w:rsidP="00C035D6">
      <w:pPr>
        <w:pStyle w:val="TAMainText"/>
        <w:rPr>
          <w:lang w:val="en-CA"/>
        </w:rPr>
      </w:pPr>
      <w:r w:rsidRPr="00EC5244">
        <w:rPr>
          <w:lang w:val="en-CA"/>
        </w:rPr>
        <w:t xml:space="preserve">An important corollary </w:t>
      </w:r>
      <w:r w:rsidR="00072412" w:rsidRPr="00EC5244">
        <w:rPr>
          <w:lang w:val="en-CA"/>
        </w:rPr>
        <w:t>of the above realization is the</w:t>
      </w:r>
      <w:r w:rsidR="00E739D4" w:rsidRPr="00EC5244">
        <w:rPr>
          <w:lang w:val="en-CA"/>
        </w:rPr>
        <w:t xml:space="preserve"> fundamental difference between a surface and </w:t>
      </w:r>
      <w:r w:rsidR="00AA5541" w:rsidRPr="00EC5244">
        <w:rPr>
          <w:lang w:val="en-CA"/>
        </w:rPr>
        <w:t xml:space="preserve">a solute, even though </w:t>
      </w:r>
      <w:r w:rsidR="00E739D4" w:rsidRPr="00EC5244">
        <w:rPr>
          <w:lang w:val="en-CA"/>
        </w:rPr>
        <w:t>the effect of cosolvents on solvation free energy can be written in a formally identical manner as the Gibbs adsorption isotherm.</w:t>
      </w:r>
      <w:r w:rsidR="00264337" w:rsidRPr="00EC5244">
        <w:rPr>
          <w:lang w:val="en-CA"/>
        </w:rPr>
        <w:fldChar w:fldCharType="begin" w:fldLock="1"/>
      </w:r>
      <w:r w:rsidR="00A07779" w:rsidRPr="00EC5244">
        <w:rPr>
          <w:lang w:val="en-CA"/>
        </w:rPr>
        <w:instrText>ADDIN CSL_CITATION { "citationItems" : [ { "id" : "ITEM-1",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"14", "issued" : { "date-parts" : [ [ "2014" ] ] }, "page" : "3922-3930", "title" : "Preferential solvation: Dividing surface vs excess numbers", "type" : "article-journal", "volume" : "118" }, "uris" : [ "http://www.mendeley.com/documents/?uuid=896fec6b-354e-41cd-a8de-55bd371a22f5" ] } ], "mendeley" : { "formattedCitation" : "&lt;sup&gt;27&lt;/sup&gt;", "plainTextFormattedCitation" : "27", "previouslyFormattedCitation" : "&lt;sup&gt;27&lt;/sup&gt;" }, "properties" : { "noteIndex" : 0 }, "schema" : "https://github.com/citation-style-language/schema/raw/master/csl-citation.json" }</w:instrText>
      </w:r>
      <w:r w:rsidR="00264337" w:rsidRPr="00EC5244">
        <w:rPr>
          <w:lang w:val="en-CA"/>
        </w:rPr>
        <w:fldChar w:fldCharType="separate"/>
      </w:r>
      <w:r w:rsidR="00A07779" w:rsidRPr="00EC5244">
        <w:rPr>
          <w:noProof/>
          <w:vertAlign w:val="superscript"/>
          <w:lang w:val="en-CA"/>
        </w:rPr>
        <w:t>27</w:t>
      </w:r>
      <w:r w:rsidR="00264337" w:rsidRPr="00EC5244">
        <w:rPr>
          <w:lang w:val="en-CA"/>
        </w:rPr>
        <w:fldChar w:fldCharType="end"/>
      </w:r>
      <w:r w:rsidR="00E739D4" w:rsidRPr="00EC5244">
        <w:rPr>
          <w:lang w:val="en-CA"/>
        </w:rPr>
        <w:t xml:space="preserve"> </w:t>
      </w:r>
      <w:r w:rsidR="008365D7" w:rsidRPr="00EC5244">
        <w:rPr>
          <w:lang w:val="en-CA"/>
        </w:rPr>
        <w:t xml:space="preserve">We will show that </w:t>
      </w:r>
      <w:r w:rsidR="00072412" w:rsidRPr="00EC5244">
        <w:rPr>
          <w:lang w:val="en-CA"/>
        </w:rPr>
        <w:t xml:space="preserve">this fundamental difference comes from the phase rule itself, and is central to our understanding of hydrotropy. </w:t>
      </w:r>
    </w:p>
    <w:p w14:paraId="3748635C" w14:textId="2AB02B1C" w:rsidR="00EA168C" w:rsidRPr="00EC5244" w:rsidRDefault="00EA168C" w:rsidP="00283FBB">
      <w:pPr>
        <w:pStyle w:val="TAMainText"/>
        <w:ind w:firstLine="0"/>
        <w:rPr>
          <w:b/>
          <w:lang w:val="en-CA"/>
        </w:rPr>
      </w:pPr>
    </w:p>
    <w:p w14:paraId="431DF331" w14:textId="2725D7C8" w:rsidR="00612922" w:rsidRPr="00EC5244" w:rsidRDefault="00FA2F3A" w:rsidP="00283FBB">
      <w:pPr>
        <w:pStyle w:val="TAMainText"/>
        <w:ind w:firstLine="0"/>
        <w:rPr>
          <w:b/>
          <w:lang w:val="en-CA"/>
        </w:rPr>
      </w:pPr>
      <w:r w:rsidRPr="00EC5244">
        <w:rPr>
          <w:b/>
          <w:lang w:val="en-CA"/>
        </w:rPr>
        <w:t>3. H</w:t>
      </w:r>
      <w:r w:rsidR="00EA168C" w:rsidRPr="00EC5244">
        <w:rPr>
          <w:b/>
          <w:lang w:val="en-CA"/>
        </w:rPr>
        <w:t>ydrot</w:t>
      </w:r>
      <w:r w:rsidRPr="00EC5244">
        <w:rPr>
          <w:b/>
          <w:lang w:val="en-CA"/>
        </w:rPr>
        <w:t>ropy at extremes</w:t>
      </w:r>
      <w:r w:rsidR="0097233D" w:rsidRPr="00EC5244">
        <w:rPr>
          <w:b/>
          <w:lang w:val="en-CA"/>
        </w:rPr>
        <w:t xml:space="preserve"> </w:t>
      </w:r>
    </w:p>
    <w:p w14:paraId="3C95B191" w14:textId="77777777" w:rsidR="00F056C1" w:rsidRPr="00EC5244" w:rsidRDefault="00F056C1" w:rsidP="00283FBB">
      <w:pPr>
        <w:pStyle w:val="TAMainText"/>
        <w:ind w:firstLine="0"/>
        <w:rPr>
          <w:b/>
          <w:lang w:val="en-CA"/>
        </w:rPr>
      </w:pPr>
    </w:p>
    <w:p w14:paraId="3726553C" w14:textId="2EB1A68B" w:rsidR="009E0893" w:rsidRPr="00EC5244" w:rsidRDefault="00234504" w:rsidP="00283FBB">
      <w:pPr>
        <w:pStyle w:val="TAMainText"/>
        <w:ind w:firstLine="0"/>
        <w:rPr>
          <w:b/>
          <w:lang w:val="en-CA"/>
        </w:rPr>
      </w:pPr>
      <w:r w:rsidRPr="00EC5244">
        <w:rPr>
          <w:b/>
          <w:lang w:val="en-CA"/>
        </w:rPr>
        <w:t>3.1. Cooperative solubilization in a s</w:t>
      </w:r>
      <w:r w:rsidR="00612922" w:rsidRPr="00EC5244">
        <w:rPr>
          <w:b/>
          <w:lang w:val="en-CA"/>
        </w:rPr>
        <w:t>ingle-phase aqueous hydrotrope solutions</w:t>
      </w:r>
    </w:p>
    <w:p w14:paraId="1DEAD79F" w14:textId="77777777" w:rsidR="00FD6CBE" w:rsidRPr="00EC5244" w:rsidRDefault="00FD6CBE" w:rsidP="00283FBB">
      <w:pPr>
        <w:pStyle w:val="TAMainText"/>
        <w:ind w:firstLine="0"/>
        <w:rPr>
          <w:lang w:val="en-CA"/>
        </w:rPr>
      </w:pPr>
    </w:p>
    <w:p w14:paraId="6BF0F7BE" w14:textId="5F498FEB" w:rsidR="009E0893" w:rsidRPr="00EC5244" w:rsidRDefault="009E0893" w:rsidP="00283FBB">
      <w:pPr>
        <w:pStyle w:val="TAMainText"/>
        <w:ind w:firstLine="0"/>
        <w:rPr>
          <w:color w:val="FF0000"/>
          <w:lang w:val="en-CA" w:eastAsia="ja-JP"/>
        </w:rPr>
      </w:pPr>
      <w:r w:rsidRPr="00EC5244">
        <w:rPr>
          <w:lang w:val="en-CA"/>
        </w:rPr>
        <w:t xml:space="preserve">Here we consider </w:t>
      </w:r>
      <w:r w:rsidR="00C035D6" w:rsidRPr="00EC5244">
        <w:rPr>
          <w:lang w:val="en-CA"/>
        </w:rPr>
        <w:t xml:space="preserve">the </w:t>
      </w:r>
      <w:r w:rsidRPr="00EC5244">
        <w:rPr>
          <w:lang w:val="en-CA"/>
        </w:rPr>
        <w:t>solubilization of hy</w:t>
      </w:r>
      <w:r w:rsidR="00AA5541" w:rsidRPr="00EC5244">
        <w:rPr>
          <w:lang w:val="en-CA"/>
        </w:rPr>
        <w:t xml:space="preserve">drophobic solutes using </w:t>
      </w:r>
      <w:r w:rsidRPr="00EC5244">
        <w:rPr>
          <w:lang w:val="en-CA"/>
        </w:rPr>
        <w:t>small organic hydrotropes. Although the solubility increases</w:t>
      </w:r>
      <w:r w:rsidR="00AC415A" w:rsidRPr="00EC5244">
        <w:rPr>
          <w:lang w:val="en-CA"/>
        </w:rPr>
        <w:t xml:space="preserve"> can be</w:t>
      </w:r>
      <w:r w:rsidRPr="00EC5244">
        <w:rPr>
          <w:lang w:val="en-CA"/>
        </w:rPr>
        <w:t xml:space="preserve"> 100</w:t>
      </w:r>
      <w:r w:rsidR="00AA5541" w:rsidRPr="00EC5244">
        <w:rPr>
          <w:lang w:val="en-CA"/>
        </w:rPr>
        <w:t>-</w:t>
      </w:r>
      <w:r w:rsidRPr="00EC5244">
        <w:rPr>
          <w:lang w:val="en-CA"/>
        </w:rPr>
        <w:t>fold, we consider the cases in which the solutes are still dilute in the aqueous solution.</w:t>
      </w:r>
      <w:r w:rsidR="00906C34" w:rsidRPr="00EC5244">
        <w:rPr>
          <w:lang w:val="en-CA"/>
        </w:rPr>
        <w:fldChar w:fldCharType="begin" w:fldLock="1"/>
      </w:r>
      <w:r w:rsidR="00906C34" w:rsidRPr="00EC5244">
        <w:rPr>
          <w:lang w:val="en-CA"/>
        </w:rPr>
        <w:instrText>ADDIN CSL_CITATION { "citationItems" : [ { "id" : "ITEM-1", "itemData" : { "DOI" : "10.1021/jp309819r", "ISBN" : "1520-6106", "ISSN" : "15205207", "PMID" : "23236952", "abstract" : "Drugs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 "author" : [ { "dropping-particle" : "", "family" : "Booth", "given" : "Jonathan J.", "non-dropping-particle" : "", "parse-names" : false, "suffix" : "" }, { "dropping-particle" : "", "family" : "Abbott", "given" : "Steven", "non-dropping-particle" : "", "parse-names" : false, "suffix" : "" }, { "dropping-particle" : "", "family" : "Shimizu", "given" : "Seishi", "non-dropping-particle" : "", "parse-names" : false, "suffix" : "" } ], "container-title" : "Journal of Physical Chemistry B", "id" : "ITEM-1", "issue" : "51", "issued" : { "date-parts" : [ [ "2012" ] ] }, "page" : "14915-14921", "title" : "Mechanism of hydrophobic drug solubilization by small molecule hydrotropes", "type" : "article-journal", "volume" : "116" }, "uris" : [ "http://www.mendeley.com/documents/?uuid=33c3cbc9-707a-4097-91a4-e91008bc3dd6" ] }, { "id" : "ITEM-2",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"ITEM-2", "issue" : "47", "issued" : { "date-parts" : [ [ "2013" ] ] }, "page" : "20625-20632", "title" : "Hydrotropy: binding models vs. statistical thermodynamics.", "type" : "article-journal", "volume" : "15" }, "uris" : [ "http://www.mendeley.com/documents/?uuid=d239f09f-553e-48eb-882f-c22d5aa8ac8c" ] }, { "id" : "ITEM-3", "itemData" : { "DOI" : "10.1039/C4CP05414H", "ISBN" : "1463-9084", "ISSN" : "1463-9076", "abstract" : "Nicotinamide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 "author" : [ { "dropping-particle" : "", "family" : "Booth", "given" : "Jonathan J", "non-dropping-particle" : "", "parse-names" : false, "suffix" : "" }, { "dropping-particle" : "", "family" : "Omar", "given" : "Muhiadin", "non-dropping-particle" : "", "parse-names" : false, "suffix" : "" }, { "dropping-particle" : "", "family" : "Abbott", "given" : "Steven", "non-dropping-particle" : "", "parse-names" : false, "suffix" : "" }, { "dropping-particle" : "", "family" : "Shimizu", "given" : "Seishi", "non-dropping-particle" : "", "parse-names" : false, "suffix" : "" } ], "container-title" : "Phys Chem Chem Phys", "id" : "ITEM-3", "issue" : "12", "issued" : { "date-parts" : [ [ "2015" ] ] }, "page" : "8028-8037", "publisher" : "Royal Society of Chemistry", "title" : "Hydrotrope accumulation around the drug: the driving force for solubilization and minimum hydrotrope concentration for nicotinamide and urea", "type" : "article-journal", "volume" : "17" }, "uris" : [ "http://www.mendeley.com/documents/?uuid=5c6e1dca-c577-4d43-8836-d1f313635128" ] } ], "mendeley" : { "formattedCitation" : "&lt;sup&gt;8,9,11&lt;/sup&gt;", "plainTextFormattedCitation" : "8,9,11", "previouslyFormattedCitation" : "&lt;sup&gt;8,9,11&lt;/sup&gt;" }, "properties" : { "noteIndex" : 0 }, "schema" : "https://github.com/citation-style-language/schema/raw/master/csl-citation.json" }</w:instrText>
      </w:r>
      <w:r w:rsidR="00906C34" w:rsidRPr="00EC5244">
        <w:rPr>
          <w:lang w:val="en-CA"/>
        </w:rPr>
        <w:fldChar w:fldCharType="separate"/>
      </w:r>
      <w:r w:rsidR="00906C34" w:rsidRPr="00EC5244">
        <w:rPr>
          <w:noProof/>
          <w:vertAlign w:val="superscript"/>
          <w:lang w:val="en-CA"/>
        </w:rPr>
        <w:t>8,9,11</w:t>
      </w:r>
      <w:r w:rsidR="00906C34" w:rsidRPr="00EC5244">
        <w:rPr>
          <w:lang w:val="en-CA"/>
        </w:rPr>
        <w:fldChar w:fldCharType="end"/>
      </w:r>
      <w:r w:rsidRPr="00EC5244">
        <w:rPr>
          <w:lang w:val="en-CA"/>
        </w:rPr>
        <w:t xml:space="preserve"> </w:t>
      </w:r>
      <w:r w:rsidR="00AC415A" w:rsidRPr="00EC5244">
        <w:rPr>
          <w:lang w:val="en-CA"/>
        </w:rPr>
        <w:t xml:space="preserve">And </w:t>
      </w:r>
      <w:r w:rsidRPr="00EC5244">
        <w:rPr>
          <w:lang w:val="en-CA"/>
        </w:rPr>
        <w:t xml:space="preserve">we consider the case in which aqueous </w:t>
      </w:r>
      <w:r w:rsidR="00DF4A2B" w:rsidRPr="00EC5244">
        <w:rPr>
          <w:lang w:val="en-CA"/>
        </w:rPr>
        <w:t xml:space="preserve">hydrotrope solution </w:t>
      </w:r>
      <w:r w:rsidR="009B2004" w:rsidRPr="00EC5244">
        <w:rPr>
          <w:lang w:val="en-CA"/>
        </w:rPr>
        <w:t xml:space="preserve">can still be in </w:t>
      </w:r>
      <w:r w:rsidR="00DF4A2B" w:rsidRPr="00EC5244">
        <w:rPr>
          <w:lang w:val="en-CA"/>
        </w:rPr>
        <w:t>a single phase and tha</w:t>
      </w:r>
      <w:r w:rsidR="00AA5541" w:rsidRPr="00EC5244">
        <w:rPr>
          <w:lang w:val="en-CA"/>
        </w:rPr>
        <w:t>t the presence of a small quantity</w:t>
      </w:r>
      <w:r w:rsidR="009B2004" w:rsidRPr="00EC5244">
        <w:rPr>
          <w:lang w:val="en-CA"/>
        </w:rPr>
        <w:t xml:space="preserve"> of solutes does not affect</w:t>
      </w:r>
      <w:r w:rsidR="00DF4A2B" w:rsidRPr="00EC5244">
        <w:rPr>
          <w:lang w:val="en-CA"/>
        </w:rPr>
        <w:t xml:space="preserve"> its phase behaviour.</w:t>
      </w:r>
      <w:r w:rsidR="00906C34" w:rsidRPr="00EC5244">
        <w:rPr>
          <w:lang w:val="en-CA"/>
        </w:rPr>
        <w:fldChar w:fldCharType="begin" w:fldLock="1"/>
      </w:r>
      <w:r w:rsidR="00A07779" w:rsidRPr="00EC5244">
        <w:rPr>
          <w:lang w:val="en-CA"/>
        </w:rPr>
        <w:instrText>ADDIN CSL_CITATION { "citationItems" : [ { "id" : "ITEM-1",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"14", "issued" : { "date-parts" : [ [ "2014" ] ] }, "page" : "3922-3930", "title" : "Preferential solvation: Dividing surface vs excess numbers", "type" : "article-journal", "volume" : "118" }, "uris" : [ "http://www.mendeley.com/documents/?uuid=896fec6b-354e-41cd-a8de-55bd371a22f5" ] } ], "mendeley" : { "formattedCitation" : "&lt;sup&gt;27&lt;/sup&gt;", "plainTextFormattedCitation" : "27", "previouslyFormattedCitation" : "&lt;sup&gt;27&lt;/sup&gt;" }, "properties" : { "noteIndex" : 0 }, "schema" : "https://github.com/citation-style-language/schema/raw/master/csl-citation.json" }</w:instrText>
      </w:r>
      <w:r w:rsidR="00906C34" w:rsidRPr="00EC5244">
        <w:rPr>
          <w:lang w:val="en-CA"/>
        </w:rPr>
        <w:fldChar w:fldCharType="separate"/>
      </w:r>
      <w:r w:rsidR="00A07779" w:rsidRPr="00EC5244">
        <w:rPr>
          <w:noProof/>
          <w:vertAlign w:val="superscript"/>
          <w:lang w:val="en-CA"/>
        </w:rPr>
        <w:t>27</w:t>
      </w:r>
      <w:r w:rsidR="00906C34" w:rsidRPr="00EC5244">
        <w:rPr>
          <w:lang w:val="en-CA"/>
        </w:rPr>
        <w:fldChar w:fldCharType="end"/>
      </w:r>
      <w:r w:rsidR="00DF4A2B" w:rsidRPr="00EC5244">
        <w:rPr>
          <w:lang w:val="en-CA"/>
        </w:rPr>
        <w:t xml:space="preserve"> </w:t>
      </w:r>
      <w:r w:rsidR="009B2004" w:rsidRPr="00EC5244">
        <w:rPr>
          <w:lang w:val="en-CA"/>
        </w:rPr>
        <w:t xml:space="preserve">Whether the </w:t>
      </w:r>
      <w:r w:rsidR="00DF4A2B" w:rsidRPr="00EC5244">
        <w:rPr>
          <w:lang w:val="en-CA"/>
        </w:rPr>
        <w:t xml:space="preserve">aqueous hydrotrope solution </w:t>
      </w:r>
      <w:r w:rsidR="009B2004" w:rsidRPr="00EC5244">
        <w:rPr>
          <w:lang w:val="en-CA"/>
        </w:rPr>
        <w:t xml:space="preserve">is in a single phase </w:t>
      </w:r>
      <w:r w:rsidR="00DF4A2B" w:rsidRPr="00EC5244">
        <w:rPr>
          <w:lang w:val="en-CA"/>
        </w:rPr>
        <w:t xml:space="preserve">can be established </w:t>
      </w:r>
      <w:r w:rsidR="009B2004" w:rsidRPr="00EC5244">
        <w:rPr>
          <w:lang w:val="en-CA"/>
        </w:rPr>
        <w:t>by measuring how activities of water and hydrotrope</w:t>
      </w:r>
      <w:r w:rsidR="00F056C1" w:rsidRPr="00EC5244">
        <w:rPr>
          <w:lang w:val="en-CA"/>
        </w:rPr>
        <w:t xml:space="preserve"> </w:t>
      </w:r>
      <w:r w:rsidR="006D3CF7" w:rsidRPr="00EC5244">
        <w:rPr>
          <w:lang w:val="en-CA"/>
        </w:rPr>
        <w:t xml:space="preserve">depends on composition. </w:t>
      </w:r>
    </w:p>
    <w:p w14:paraId="098F1186" w14:textId="1C45AC93" w:rsidR="00B934F1" w:rsidRPr="00EC5244" w:rsidRDefault="00B934F1" w:rsidP="00283FBB">
      <w:pPr>
        <w:pStyle w:val="TAMainText"/>
        <w:ind w:firstLine="0"/>
        <w:rPr>
          <w:lang w:val="en-CA"/>
        </w:rPr>
      </w:pPr>
    </w:p>
    <w:p w14:paraId="37FA4F15" w14:textId="7F545077" w:rsidR="00B934F1" w:rsidRPr="00EC5244" w:rsidRDefault="00C035D6" w:rsidP="00C035D6">
      <w:pPr>
        <w:pStyle w:val="TAMainText"/>
        <w:rPr>
          <w:lang w:val="en-CA"/>
        </w:rPr>
      </w:pPr>
      <w:r w:rsidRPr="00EC5244">
        <w:rPr>
          <w:lang w:val="en-CA"/>
        </w:rPr>
        <w:t>A</w:t>
      </w:r>
      <w:r w:rsidR="00B934F1" w:rsidRPr="00EC5244">
        <w:rPr>
          <w:lang w:val="en-CA"/>
        </w:rPr>
        <w:t>ccording to the Gibbs phase rule, since there are two components (</w:t>
      </w:r>
      <m:oMath>
        <m:r>
          <w:rPr>
            <w:rFonts w:ascii="Cambria Math" w:hAnsi="Cambria Math"/>
            <w:lang w:val="en-CA"/>
          </w:rPr>
          <m:t>C=2</m:t>
        </m:r>
      </m:oMath>
      <w:r w:rsidR="00B934F1" w:rsidRPr="00EC5244">
        <w:rPr>
          <w:lang w:val="en-CA"/>
        </w:rPr>
        <w:t>)</w:t>
      </w:r>
      <w:r w:rsidR="0037267E" w:rsidRPr="00EC5244">
        <w:rPr>
          <w:lang w:val="en-CA"/>
        </w:rPr>
        <w:t xml:space="preserve"> (the solute is at the limit of infinite dilution so does</w:t>
      </w:r>
      <w:r w:rsidR="008D1AF8" w:rsidRPr="00EC5244">
        <w:rPr>
          <w:lang w:val="en-CA"/>
        </w:rPr>
        <w:t xml:space="preserve"> not</w:t>
      </w:r>
      <w:r w:rsidR="0037267E" w:rsidRPr="00EC5244">
        <w:rPr>
          <w:lang w:val="en-CA"/>
        </w:rPr>
        <w:t xml:space="preserve"> count as a component in this context)</w:t>
      </w:r>
      <w:r w:rsidR="00B934F1" w:rsidRPr="00EC5244">
        <w:rPr>
          <w:lang w:val="en-CA"/>
        </w:rPr>
        <w:t xml:space="preserve"> and the solution is in a single phase </w:t>
      </w:r>
      <m:oMath>
        <m:r>
          <w:rPr>
            <w:rFonts w:ascii="Cambria Math" w:hAnsi="Cambria Math"/>
            <w:lang w:val="en-CA"/>
          </w:rPr>
          <m:t>(P=1)</m:t>
        </m:r>
      </m:oMath>
      <w:r w:rsidR="00B934F1" w:rsidRPr="00EC5244">
        <w:rPr>
          <w:lang w:val="en-CA"/>
        </w:rPr>
        <w:t xml:space="preserve">, the degrees of freedom </w:t>
      </w:r>
      <w:r w:rsidRPr="00EC5244">
        <w:rPr>
          <w:lang w:val="en-CA"/>
        </w:rPr>
        <w:t xml:space="preserve">of this system </w:t>
      </w:r>
      <w:r w:rsidR="00B934F1" w:rsidRPr="00EC5244">
        <w:rPr>
          <w:lang w:val="en-CA"/>
        </w:rPr>
        <w:t xml:space="preserve">are </w:t>
      </w:r>
      <m:oMath>
        <m:r>
          <w:rPr>
            <w:rFonts w:ascii="Cambria Math" w:hAnsi="Cambria Math"/>
            <w:lang w:val="en-CA"/>
          </w:rPr>
          <m:t>F=2-1+2=3</m:t>
        </m:r>
      </m:oMath>
      <w:r w:rsidR="00B934F1" w:rsidRPr="00EC5244">
        <w:rPr>
          <w:lang w:val="en-CA"/>
        </w:rPr>
        <w:t xml:space="preserve">. Thus </w:t>
      </w:r>
      <m:oMath>
        <m:r>
          <w:rPr>
            <w:rFonts w:ascii="Cambria Math" w:hAnsi="Cambria Math"/>
            <w:lang w:val="en-CA"/>
          </w:rPr>
          <m:t>T</m:t>
        </m:r>
      </m:oMath>
      <w:r w:rsidR="00B934F1" w:rsidRPr="00EC5244">
        <w:rPr>
          <w:lang w:val="en-CA"/>
        </w:rPr>
        <w:t xml:space="preserve">, </w:t>
      </w:r>
      <m:oMath>
        <m:r>
          <w:rPr>
            <w:rFonts w:ascii="Cambria Math" w:hAnsi="Cambria Math"/>
            <w:lang w:val="en-CA"/>
          </w:rPr>
          <m:t>P</m:t>
        </m:r>
      </m:oMath>
      <w:r w:rsidRPr="00EC5244">
        <w:rPr>
          <w:lang w:val="en-CA"/>
        </w:rPr>
        <w:t>,</w:t>
      </w:r>
      <w:r w:rsidR="00B934F1" w:rsidRPr="00EC5244">
        <w:rPr>
          <w:lang w:val="en-CA"/>
        </w:rPr>
        <w:t xml:space="preserve"> and composition </w:t>
      </w:r>
      <w:r w:rsidR="009B2004" w:rsidRPr="00EC5244">
        <w:rPr>
          <w:lang w:val="en-CA"/>
        </w:rPr>
        <w:t xml:space="preserve">are </w:t>
      </w:r>
      <w:r w:rsidRPr="00EC5244">
        <w:rPr>
          <w:lang w:val="en-CA"/>
        </w:rPr>
        <w:t>independently</w:t>
      </w:r>
      <w:r w:rsidR="009B2004" w:rsidRPr="00EC5244">
        <w:rPr>
          <w:lang w:val="en-CA"/>
        </w:rPr>
        <w:t xml:space="preserve"> changeable</w:t>
      </w:r>
      <w:r w:rsidRPr="00EC5244">
        <w:rPr>
          <w:lang w:val="en-CA"/>
        </w:rPr>
        <w:t>. Consider</w:t>
      </w:r>
      <w:r w:rsidR="00A16D86" w:rsidRPr="00EC5244">
        <w:rPr>
          <w:lang w:val="en-CA"/>
        </w:rPr>
        <w:t xml:space="preserve"> now a</w:t>
      </w:r>
      <w:r w:rsidR="00A16D86" w:rsidRPr="00EC5244">
        <w:t xml:space="preserve"> (locally)</w:t>
      </w:r>
      <w:r w:rsidR="00B934F1" w:rsidRPr="00EC5244">
        <w:rPr>
          <w:lang w:val="en-CA"/>
        </w:rPr>
        <w:t xml:space="preserve"> inhomogeneous solution w</w:t>
      </w:r>
      <w:r w:rsidR="00AA5541" w:rsidRPr="00EC5244">
        <w:rPr>
          <w:lang w:val="en-CA"/>
        </w:rPr>
        <w:t>hich contains a solute molecule</w:t>
      </w:r>
      <w:r w:rsidR="00B934F1" w:rsidRPr="00EC5244">
        <w:rPr>
          <w:lang w:val="en-CA"/>
        </w:rPr>
        <w:t xml:space="preserve"> </w:t>
      </w:r>
      <w:r w:rsidR="00AA5541" w:rsidRPr="00EC5244">
        <w:rPr>
          <w:lang w:val="en-CA"/>
        </w:rPr>
        <w:t xml:space="preserve">whose centre-of-mass is </w:t>
      </w:r>
      <w:r w:rsidRPr="00EC5244">
        <w:rPr>
          <w:lang w:val="en-CA"/>
        </w:rPr>
        <w:t>fixed</w:t>
      </w:r>
      <w:r w:rsidR="009B2004" w:rsidRPr="00EC5244">
        <w:rPr>
          <w:lang w:val="en-CA"/>
        </w:rPr>
        <w:t xml:space="preserve"> in position</w:t>
      </w:r>
      <w:r w:rsidR="00B934F1" w:rsidRPr="00EC5244">
        <w:rPr>
          <w:lang w:val="en-CA"/>
        </w:rPr>
        <w:t>.</w:t>
      </w:r>
      <w:r w:rsidR="00CC30DD" w:rsidRPr="00EC5244">
        <w:rPr>
          <w:lang w:val="en-CA"/>
        </w:rPr>
        <w:fldChar w:fldCharType="begin" w:fldLock="1"/>
      </w:r>
      <w:r w:rsidR="00906C34" w:rsidRPr="00EC5244">
        <w:rPr>
          <w:lang w:val="en-CA"/>
        </w:rPr>
        <w:instrText>ADDIN CSL_CITATION { "citationItems" : [ { "id" : "ITEM-1",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"35", "issued" : { "date-parts" : [ [ "2014" ] ] }, "page" : "10515-10524", "title" : "Hydrotropy: Monomer-micelle equilibrium and minimum hydrotrope concentration", "type" : "article-journal", "volume" : "118" }, "uris" : [ "http://www.mendeley.com/documents/?uuid=0cd1508f-d197-4e8d-a474-504cfaeae922" ] } ], "mendeley" : { "formattedCitation" : "&lt;sup&gt;10&lt;/sup&gt;", "plainTextFormattedCitation" : "10", "previouslyFormattedCitation" : "&lt;sup&gt;10&lt;/sup&gt;" }, "properties" : { "noteIndex" : 0 }, "schema" : "https://github.com/citation-style-language/schema/raw/master/csl-citation.json" }</w:instrText>
      </w:r>
      <w:r w:rsidR="00CC30DD" w:rsidRPr="00EC5244">
        <w:rPr>
          <w:lang w:val="en-CA"/>
        </w:rPr>
        <w:fldChar w:fldCharType="separate"/>
      </w:r>
      <w:r w:rsidR="004D1EB5" w:rsidRPr="00EC5244">
        <w:rPr>
          <w:noProof/>
          <w:vertAlign w:val="superscript"/>
          <w:lang w:val="en-CA"/>
        </w:rPr>
        <w:t>10</w:t>
      </w:r>
      <w:r w:rsidR="00CC30DD" w:rsidRPr="00EC5244">
        <w:rPr>
          <w:lang w:val="en-CA"/>
        </w:rPr>
        <w:fldChar w:fldCharType="end"/>
      </w:r>
      <w:r w:rsidR="00B934F1" w:rsidRPr="00EC5244">
        <w:rPr>
          <w:lang w:val="en-CA"/>
        </w:rPr>
        <w:t xml:space="preserve"> The presence of </w:t>
      </w:r>
      <w:r w:rsidRPr="00EC5244">
        <w:rPr>
          <w:lang w:val="en-CA"/>
        </w:rPr>
        <w:t xml:space="preserve">this </w:t>
      </w:r>
      <w:r w:rsidR="009B2004" w:rsidRPr="00EC5244">
        <w:rPr>
          <w:lang w:val="en-CA"/>
        </w:rPr>
        <w:t>external field</w:t>
      </w:r>
      <w:r w:rsidR="00B934F1" w:rsidRPr="00EC5244">
        <w:rPr>
          <w:lang w:val="en-CA"/>
        </w:rPr>
        <w:t xml:space="preserve"> do</w:t>
      </w:r>
      <w:r w:rsidR="009B2004" w:rsidRPr="00EC5244">
        <w:rPr>
          <w:lang w:val="en-CA"/>
        </w:rPr>
        <w:t>es not change the phase rule.</w:t>
      </w:r>
      <w:r w:rsidR="00CC30DD" w:rsidRPr="00EC5244">
        <w:rPr>
          <w:lang w:val="en-CA"/>
        </w:rPr>
        <w:fldChar w:fldCharType="begin" w:fldLock="1"/>
      </w:r>
      <w:r w:rsidR="004D1EB5" w:rsidRPr="00EC5244">
        <w:rPr>
          <w:lang w:val="en-CA"/>
        </w:rPr>
        <w:instrText>ADDIN CSL_CITATION { "citationItems" : [ { "id" : "ITEM-1",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"35", "issued" : { "date-parts" : [ [ "2014" ] ] }, "page" : "10515-10524", "title" : "Hydrotropy: Monomer-micelle equilibrium and minimum hydrotrope concentration", "type" : "article-journal", "volume" : "118" }, "uris" : [ "http://www.mendeley.com/documents/?uuid=0cd1508f-d197-4e8d-a474-504cfaeae922" ] } ], "mendeley" : { "formattedCitation" : "&lt;sup&gt;10&lt;/sup&gt;", "plainTextFormattedCitation" : "10", "previouslyFormattedCitation" : "&lt;sup&gt;10&lt;/sup&gt;" }, "properties" : { "noteIndex" : 0 }, "schema" : "https://github.com/citation-style-language/schema/raw/master/csl-citation.json" }</w:instrText>
      </w:r>
      <w:r w:rsidR="00CC30DD" w:rsidRPr="00EC5244">
        <w:rPr>
          <w:lang w:val="en-CA"/>
        </w:rPr>
        <w:fldChar w:fldCharType="separate"/>
      </w:r>
      <w:r w:rsidR="004D1EB5" w:rsidRPr="00EC5244">
        <w:rPr>
          <w:noProof/>
          <w:vertAlign w:val="superscript"/>
          <w:lang w:val="en-CA"/>
        </w:rPr>
        <w:t>10</w:t>
      </w:r>
      <w:r w:rsidR="00CC30DD" w:rsidRPr="00EC5244">
        <w:rPr>
          <w:lang w:val="en-CA"/>
        </w:rPr>
        <w:fldChar w:fldCharType="end"/>
      </w:r>
      <w:r w:rsidR="009B2004" w:rsidRPr="00EC5244">
        <w:rPr>
          <w:lang w:val="en-CA"/>
        </w:rPr>
        <w:t xml:space="preserve"> Under</w:t>
      </w:r>
      <w:r w:rsidR="00B934F1" w:rsidRPr="00EC5244">
        <w:rPr>
          <w:lang w:val="en-CA"/>
        </w:rPr>
        <w:t xml:space="preserve"> a constant temperature, </w:t>
      </w:r>
      <w:r w:rsidRPr="00EC5244">
        <w:rPr>
          <w:lang w:val="en-CA"/>
        </w:rPr>
        <w:t xml:space="preserve">both </w:t>
      </w:r>
      <w:r w:rsidR="00B934F1" w:rsidRPr="00EC5244">
        <w:rPr>
          <w:lang w:val="en-CA"/>
        </w:rPr>
        <w:t xml:space="preserve">the composition and pressure are independently variable. Since the composition and pressure dependency of the solute’s chemical potential leads to two </w:t>
      </w:r>
      <w:r w:rsidR="00ED6007" w:rsidRPr="00EC5244">
        <w:rPr>
          <w:lang w:val="en-CA"/>
        </w:rPr>
        <w:t>KB integrals, this system leads to an independent determination of solute-water and solute-hydrotrope KB integrals.</w:t>
      </w:r>
      <w:r w:rsidR="00CC30DD" w:rsidRPr="00EC5244">
        <w:rPr>
          <w:lang w:val="en-CA"/>
        </w:rPr>
        <w:fldChar w:fldCharType="begin" w:fldLock="1"/>
      </w:r>
      <w:r w:rsidR="00A07779" w:rsidRPr="00EC5244">
        <w:rPr>
          <w:lang w:val="en-CA"/>
        </w:rPr>
        <w:instrText>ADDIN CSL_CITATION { "citationItems" : [ { "id" : "ITEM-1",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"14", "issued" : { "date-parts" : [ [ "2014" ] ] }, "page" : "3922-3930", "title" : "Preferential solvation: Dividing surface vs excess numbers", "type" : "article-journal", "volume" : "118" }, "uris" : [ "http://www.mendeley.com/documents/?uuid=896fec6b-354e-41cd-a8de-55bd371a22f5" ] } ], "mendeley" : { "formattedCitation" : "&lt;sup&gt;27&lt;/sup&gt;", "plainTextFormattedCitation" : "27", "previouslyFormattedCitation" : "&lt;sup&gt;27&lt;/sup&gt;" }, "properties" : { "noteIndex" : 0 }, "schema" : "https://github.com/citation-style-language/schema/raw/master/csl-citation.json" }</w:instrText>
      </w:r>
      <w:r w:rsidR="00CC30DD" w:rsidRPr="00EC5244">
        <w:rPr>
          <w:lang w:val="en-CA"/>
        </w:rPr>
        <w:fldChar w:fldCharType="separate"/>
      </w:r>
      <w:r w:rsidR="00A07779" w:rsidRPr="00EC5244">
        <w:rPr>
          <w:noProof/>
          <w:vertAlign w:val="superscript"/>
          <w:lang w:val="en-CA"/>
        </w:rPr>
        <w:t>27</w:t>
      </w:r>
      <w:r w:rsidR="00CC30DD" w:rsidRPr="00EC5244">
        <w:rPr>
          <w:lang w:val="en-CA"/>
        </w:rPr>
        <w:fldChar w:fldCharType="end"/>
      </w:r>
      <w:r w:rsidR="00ED6007" w:rsidRPr="00EC5244">
        <w:rPr>
          <w:lang w:val="en-CA"/>
        </w:rPr>
        <w:t xml:space="preserve"> </w:t>
      </w:r>
    </w:p>
    <w:p w14:paraId="68B0E876" w14:textId="76272EA6" w:rsidR="00C035D6" w:rsidRPr="00EC5244" w:rsidRDefault="00C035D6" w:rsidP="00C035D6">
      <w:pPr>
        <w:pStyle w:val="TAMainText"/>
        <w:rPr>
          <w:lang w:val="en-CA"/>
        </w:rPr>
      </w:pPr>
    </w:p>
    <w:p w14:paraId="583584BF" w14:textId="5ED8689E" w:rsidR="00C035D6" w:rsidRPr="00EC5244" w:rsidRDefault="00C035D6" w:rsidP="00C035D6">
      <w:pPr>
        <w:pStyle w:val="TAMainText"/>
        <w:rPr>
          <w:lang w:val="en-CA"/>
        </w:rPr>
      </w:pPr>
      <w:r w:rsidRPr="00EC5244">
        <w:rPr>
          <w:lang w:val="en-CA"/>
        </w:rPr>
        <w:t xml:space="preserve">Thus the solute-water and solute-hydrotrope KB integrals, denoted respectively as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u1</m:t>
            </m:r>
          </m:sub>
        </m:sSub>
      </m:oMath>
      <w:r w:rsidRPr="00EC5244">
        <w:rPr>
          <w:lang w:val="en-CA"/>
        </w:rPr>
        <w:t xml:space="preserve"> and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u2</m:t>
            </m:r>
          </m:sub>
        </m:sSub>
      </m:oMath>
      <w:r w:rsidRPr="00EC5244">
        <w:rPr>
          <w:lang w:val="en-CA"/>
        </w:rPr>
        <w:t>, can be determined</w:t>
      </w:r>
      <w:r w:rsidR="009B2004" w:rsidRPr="00EC5244">
        <w:rPr>
          <w:lang w:val="en-CA"/>
        </w:rPr>
        <w:t xml:space="preserve"> independently</w:t>
      </w:r>
      <w:r w:rsidRPr="00EC5244">
        <w:rPr>
          <w:lang w:val="en-CA"/>
        </w:rPr>
        <w:t>.</w:t>
      </w:r>
      <w:r w:rsidR="00CC30DD" w:rsidRPr="00EC5244">
        <w:rPr>
          <w:lang w:val="en-CA"/>
        </w:rPr>
        <w:fldChar w:fldCharType="begin" w:fldLock="1"/>
      </w:r>
      <w:r w:rsidR="004D1EB5" w:rsidRPr="00EC5244">
        <w:rPr>
          <w:lang w:val="en-CA"/>
        </w:rPr>
        <w:instrText>ADDIN CSL_CITATION { "citationItems" : [ { "id" : "ITEM-1", "itemData" : { "DOI" : "10.1021/jp309819r", "ISBN" : "1520-6106", "ISSN" : "15205207", "PMID" : "23236952", "abstract" : "Drugs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 "author" : [ { "dropping-particle" : "", "family" : "Booth", "given" : "Jonathan J.", "non-dropping-particle" : "", "parse-names" : false, "suffix" : "" }, { "dropping-particle" : "", "family" : "Abbott", "given" : "Steven", "non-dropping-particle" : "", "parse-names" : false, "suffix" : "" }, { "dropping-particle" : "", "family" : "Shimizu", "given" : "Seishi", "non-dropping-particle" : "", "parse-names" : false, "suffix" : "" } ], "container-title" : "Journal of Physical Chemistry B", "id" : "ITEM-1", "issue" : "51", "issued" : { "date-parts" : [ [ "2012" ] ] }, "page" : "14915-14921", "title" : "Mechanism of hydrophobic drug solubilization by small molecule hydrotropes", "type" : "article-journal", "volume" : "116" }, "uris" : [ "http://www.mendeley.com/documents/?uuid=33c3cbc9-707a-4097-91a4-e91008bc3dd6" ] }, { "id" : "ITEM-2",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"ITEM-2", "issue" : "47", "issued" : { "date-parts" : [ [ "2013" ] ] }, "page" : "20625-20632", "title" : "Hydrotropy: binding models vs. statistical thermodynamics.", "type" : "article-journal", "volume" : "15" }, "uris" : [ "http://www.mendeley.com/documents/?uuid=d239f09f-553e-48eb-882f-c22d5aa8ac8c" ] }, { "id" : "ITEM-3",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"35", "issued" : { "date-parts" : [ [ "2014" ] ] }, "page" : "10515-10524", "title" : "Hydrotropy: Monomer-micelle equilibrium and minimum hydrotrope concentration", "type" : "article-journal", "volume" : "118" }, "uris" : [ "http://www.mendeley.com/documents/?uuid=0cd1508f-d197-4e8d-a474-504cfaeae922" ] }, { "id" : "ITEM-4", "itemData" : { "DOI" : "10.1039/C4CP05414H", "ISBN" : "1463-9084", "ISSN" : "1463-9076", "abstract" : "Nicotinamide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 "author" : [ { "dropping-particle" : "", "family" : "Booth", "given" : "Jonathan J", "non-dropping-particle" : "", "parse-names" : false, "suffix" : "" }, { "dropping-particle" : "", "family" : "Omar", "given" : "Muhiadin", "non-dropping-particle" : "", "parse-names" : false, "suffix" : "" }, { "dropping-particle" : "", "family" : "Abbott", "given" : "Steven", "non-dropping-particle" : "", "parse-names" : false, "suffix" : "" }, { "dropping-particle" : "", "family" : "Shimizu", "given" : "Seishi", "non-dropping-particle" : "", "parse-names" : false, "suffix" : "" } ], "container-title" : "Phys Chem Chem Phys", "id" : "ITEM-4", "issue" : "12", "issued" : { "date-parts" : [ [ "2015" ] ] }, "page" : "8028-8037", "publisher" : "Royal Society of Chemistry", "title" : "Hydrotrope accumulation around the drug: the driving force for solubilization and minimum hydrotrope concentration for nicotinamide and urea", "type" : "article-journal", "volume" : "17" }, "uris" : [ "http://www.mendeley.com/documents/?uuid=5c6e1dca-c577-4d43-8836-d1f313635128" ] } ], "mendeley" : { "formattedCitation" : "&lt;sup&gt;8\u201311&lt;/sup&gt;", "plainTextFormattedCitation" : "8\u201311", "previouslyFormattedCitation" : "&lt;sup&gt;8\u201311&lt;/sup&gt;" }, "properties" : { "noteIndex" : 0 }, "schema" : "https://github.com/citation-style-language/schema/raw/master/csl-citation.json" }</w:instrText>
      </w:r>
      <w:r w:rsidR="00CC30DD" w:rsidRPr="00EC5244">
        <w:rPr>
          <w:lang w:val="en-CA"/>
        </w:rPr>
        <w:fldChar w:fldCharType="separate"/>
      </w:r>
      <w:r w:rsidR="004D1EB5" w:rsidRPr="00EC5244">
        <w:rPr>
          <w:noProof/>
          <w:vertAlign w:val="superscript"/>
          <w:lang w:val="en-CA"/>
        </w:rPr>
        <w:t>8–11</w:t>
      </w:r>
      <w:r w:rsidR="00CC30DD" w:rsidRPr="00EC5244">
        <w:rPr>
          <w:lang w:val="en-CA"/>
        </w:rPr>
        <w:fldChar w:fldCharType="end"/>
      </w:r>
      <w:r w:rsidRPr="00EC5244">
        <w:rPr>
          <w:lang w:val="en-CA"/>
        </w:rPr>
        <w:t xml:space="preserve"> This, together with the KB integrals for hydrotrope-water and hydrotrope-hydrotrope</w:t>
      </w:r>
      <w:r w:rsidR="00102DCF" w:rsidRPr="00EC5244">
        <w:rPr>
          <w:lang w:val="en-CA"/>
        </w:rPr>
        <w:t xml:space="preserve"> </w:t>
      </w:r>
      <w:r w:rsidRPr="00EC5244">
        <w:rPr>
          <w:lang w:val="en-CA"/>
        </w:rPr>
        <w:t xml:space="preserve">interactions,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21</m:t>
            </m:r>
          </m:sub>
        </m:sSub>
      </m:oMath>
      <w:r w:rsidRPr="00EC5244">
        <w:rPr>
          <w:lang w:val="en-CA"/>
        </w:rPr>
        <w:t xml:space="preserve"> and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22</m:t>
            </m:r>
          </m:sub>
        </m:sSub>
      </m:oMath>
      <w:r w:rsidR="009B2004" w:rsidRPr="00EC5244">
        <w:rPr>
          <w:lang w:val="en-CA"/>
        </w:rPr>
        <w:t>,</w:t>
      </w:r>
      <w:r w:rsidR="00962F71" w:rsidRPr="00EC5244">
        <w:rPr>
          <w:lang w:val="en-CA"/>
        </w:rPr>
        <w:t xml:space="preserve"> determinable from the bulk solution thermodynamics, gives the following </w:t>
      </w:r>
      <w:r w:rsidR="00656FD1" w:rsidRPr="00EC5244">
        <w:rPr>
          <w:lang w:val="en-CA"/>
        </w:rPr>
        <w:t>hydrotrope concentration (</w:t>
      </w:r>
      <m:oMath>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2</m:t>
            </m:r>
          </m:sub>
        </m:sSub>
      </m:oMath>
      <w:r w:rsidR="00656FD1" w:rsidRPr="00EC5244">
        <w:rPr>
          <w:lang w:val="en-CA"/>
        </w:rPr>
        <w:t>) dependence of the solvation free energy of the solute molecule (</w:t>
      </w:r>
      <m:oMath>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m:t>
            </m:r>
          </m:sup>
        </m:sSubSup>
      </m:oMath>
      <w:r w:rsidR="00656FD1" w:rsidRPr="00EC5244">
        <w:rPr>
          <w:lang w:val="en-CA"/>
        </w:rPr>
        <w:t>):</w:t>
      </w:r>
      <w:r w:rsidR="00CC30DD" w:rsidRPr="00EC5244">
        <w:rPr>
          <w:lang w:val="en-CA"/>
        </w:rPr>
        <w:t xml:space="preserve"> </w:t>
      </w:r>
      <w:r w:rsidR="00CC30DD" w:rsidRPr="00EC5244">
        <w:rPr>
          <w:lang w:val="en-CA"/>
        </w:rPr>
        <w:fldChar w:fldCharType="begin" w:fldLock="1"/>
      </w:r>
      <w:r w:rsidR="004D1EB5" w:rsidRPr="00EC5244">
        <w:rPr>
          <w:lang w:val="en-CA"/>
        </w:rPr>
        <w:instrText>ADDIN CSL_CITATION { "citationItems" : [ { "id" : "ITEM-1", "itemData" : { "DOI" : "10.1021/jp309819r", "ISBN" : "1520-6106", "ISSN" : "15205207", "PMID" : "23236952", "abstract" : "Drugs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 "author" : [ { "dropping-particle" : "", "family" : "Booth", "given" : "Jonathan J.", "non-dropping-particle" : "", "parse-names" : false, "suffix" : "" }, { "dropping-particle" : "", "family" : "Abbott", "given" : "Steven", "non-dropping-particle" : "", "parse-names" : false, "suffix" : "" }, { "dropping-particle" : "", "family" : "Shimizu", "given" : "Seishi", "non-dropping-particle" : "", "parse-names" : false, "suffix" : "" } ], "container-title" : "Journal of Physical Chemistry B", "id" : "ITEM-1", "issue" : "51", "issued" : { "date-parts" : [ [ "2012" ] ] }, "page" : "14915-14921", "title" : "Mechanism of hydrophobic drug solubilization by small molecule hydrotropes", "type" : "article-journal", "volume" : "116" }, "uris" : [ "http://www.mendeley.com/documents/?uuid=33c3cbc9-707a-4097-91a4-e91008bc3dd6" ] }, { "id" : "ITEM-2",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"ITEM-2", "issue" : "47", "issued" : { "date-parts" : [ [ "2013" ] ] }, "page" : "20625-20632", "title" : "Hydrotropy: binding models vs. statistical thermodynamics.", "type" : "article-journal", "volume" : "15" }, "uris" : [ "http://www.mendeley.com/documents/?uuid=d239f09f-553e-48eb-882f-c22d5aa8ac8c" ] }, { "id" : "ITEM-3",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"35", "issued" : { "date-parts" : [ [ "2014" ] ] }, "page" : "10515-10524", "title" : "Hydrotropy: Monomer-micelle equilibrium and minimum hydrotrope concentration", "type" : "article-journal", "volume" : "118" }, "uris" : [ "http://www.mendeley.com/documents/?uuid=0cd1508f-d197-4e8d-a474-504cfaeae922" ] }, { "id" : "ITEM-4", "itemData" : { "DOI" : "10.1039/C4CP05414H", "ISBN" : "1463-9084", "ISSN" : "1463-9076", "abstract" : "Nicotinamide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 "author" : [ { "dropping-particle" : "", "family" : "Booth", "given" : "Jonathan J", "non-dropping-particle" : "", "parse-names" : false, "suffix" : "" }, { "dropping-particle" : "", "family" : "Omar", "given" : "Muhiadin", "non-dropping-particle" : "", "parse-names" : false, "suffix" : "" }, { "dropping-particle" : "", "family" : "Abbott", "given" : "Steven", "non-dropping-particle" : "", "parse-names" : false, "suffix" : "" }, { "dropping-particle" : "", "family" : "Shimizu", "given" : "Seishi", "non-dropping-particle" : "", "parse-names" : false, "suffix" : "" } ], "container-title" : "Phys Chem Chem Phys", "id" : "ITEM-4", "issue" : "12", "issued" : { "date-parts" : [ [ "2015" ] ] }, "page" : "8028-8037", "publisher" : "Royal Society of Chemistry", "title" : "Hydrotrope accumulation around the drug: the driving force for solubilization and minimum hydrotrope concentration for nicotinamide and urea", "type" : "article-journal", "volume" : "17" }, "uris" : [ "http://www.mendeley.com/documents/?uuid=5c6e1dca-c577-4d43-8836-d1f313635128" ] } ], "mendeley" : { "formattedCitation" : "&lt;sup&gt;8\u201311&lt;/sup&gt;", "plainTextFormattedCitation" : "8\u201311", "previouslyFormattedCitation" : "&lt;sup&gt;8\u201311&lt;/sup&gt;" }, "properties" : { "noteIndex" : 0 }, "schema" : "https://github.com/citation-style-language/schema/raw/master/csl-citation.json" }</w:instrText>
      </w:r>
      <w:r w:rsidR="00CC30DD" w:rsidRPr="00EC5244">
        <w:rPr>
          <w:lang w:val="en-CA"/>
        </w:rPr>
        <w:fldChar w:fldCharType="separate"/>
      </w:r>
      <w:r w:rsidR="004D1EB5" w:rsidRPr="00EC5244">
        <w:rPr>
          <w:noProof/>
          <w:vertAlign w:val="superscript"/>
          <w:lang w:val="en-CA"/>
        </w:rPr>
        <w:t>8–11</w:t>
      </w:r>
      <w:r w:rsidR="00CC30DD" w:rsidRPr="00EC5244">
        <w:rPr>
          <w:lang w:val="en-CA"/>
        </w:rPr>
        <w:fldChar w:fldCharType="end"/>
      </w:r>
      <w:r w:rsidR="00656FD1" w:rsidRPr="00EC5244">
        <w:rPr>
          <w:lang w:val="en-CA"/>
        </w:rPr>
        <w:t xml:space="preserve"> </w:t>
      </w:r>
    </w:p>
    <w:p w14:paraId="50987604" w14:textId="520064F7" w:rsidR="00656FD1" w:rsidRPr="00EC5244" w:rsidRDefault="00656FD1" w:rsidP="00656FD1">
      <w:pPr>
        <w:pStyle w:val="TAMainText"/>
        <w:rPr>
          <w:bCs/>
          <w:lang w:val="en-GB"/>
        </w:rPr>
      </w:pPr>
      <m:oMath>
        <m:r>
          <w:rPr>
            <w:rFonts w:ascii="Cambria Math" w:hAnsi="Cambria Math"/>
            <w:lang w:val="en-GB"/>
          </w:rPr>
          <m:t>-</m:t>
        </m:r>
        <m:f>
          <m:fPr>
            <m:ctrlPr>
              <w:rPr>
                <w:rFonts w:ascii="Cambria Math" w:hAnsi="Cambria Math"/>
                <w:bCs/>
                <w:i/>
                <w:lang w:val="en-GB"/>
              </w:rPr>
            </m:ctrlPr>
          </m:fPr>
          <m:num>
            <m:r>
              <w:rPr>
                <w:rFonts w:ascii="Cambria Math" w:hAnsi="Cambria Math"/>
                <w:lang w:val="en-GB"/>
              </w:rPr>
              <m:t>1</m:t>
            </m:r>
          </m:num>
          <m:den>
            <m:r>
              <w:rPr>
                <w:rFonts w:ascii="Cambria Math" w:hAnsi="Cambria Math"/>
                <w:lang w:val="en-GB"/>
              </w:rPr>
              <m:t>RT</m:t>
            </m:r>
          </m:den>
        </m:f>
        <m:sSub>
          <m:sSubPr>
            <m:ctrlPr>
              <w:rPr>
                <w:rFonts w:ascii="Cambria Math" w:hAnsi="Cambria Math"/>
                <w:bCs/>
                <w:lang w:val="en-GB"/>
              </w:rPr>
            </m:ctrlPr>
          </m:sSubPr>
          <m:e>
            <m:d>
              <m:dPr>
                <m:ctrlPr>
                  <w:rPr>
                    <w:rFonts w:ascii="Cambria Math" w:hAnsi="Cambria Math"/>
                    <w:bCs/>
                    <w:lang w:val="en-GB"/>
                  </w:rPr>
                </m:ctrlPr>
              </m:dPr>
              <m:e>
                <m:f>
                  <m:fPr>
                    <m:ctrlPr>
                      <w:rPr>
                        <w:rFonts w:ascii="Cambria Math" w:hAnsi="Cambria Math"/>
                        <w:bCs/>
                        <w:lang w:val="en-GB"/>
                      </w:rPr>
                    </m:ctrlPr>
                  </m:fPr>
                  <m:num>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m:t>
                        </m:r>
                      </m:sup>
                    </m:sSubSup>
                    <m:r>
                      <w:rPr>
                        <w:rFonts w:ascii="Cambria Math" w:hAnsi="Cambria Math"/>
                        <w:lang w:val="en-GB"/>
                      </w:rPr>
                      <m:t xml:space="preserve"> </m:t>
                    </m:r>
                    <m:r>
                      <m:rPr>
                        <m:sty m:val="p"/>
                      </m:rPr>
                      <w:rPr>
                        <w:rFonts w:ascii="Cambria Math" w:hAnsi="Cambria Math"/>
                        <w:lang w:val="en-GB"/>
                      </w:rPr>
                      <m:t xml:space="preserve"> </m:t>
                    </m:r>
                  </m:num>
                  <m:den>
                    <m:r>
                      <w:rPr>
                        <w:rFonts w:ascii="Cambria Math" w:hAnsi="Cambria Math"/>
                        <w:lang w:val="en-GB"/>
                      </w:rPr>
                      <m:t>∂</m:t>
                    </m:r>
                    <m:sSub>
                      <m:sSubPr>
                        <m:ctrlPr>
                          <w:rPr>
                            <w:rFonts w:ascii="Cambria Math" w:hAnsi="Cambria Math"/>
                            <w:bCs/>
                            <w:lang w:val="en-GB"/>
                          </w:rPr>
                        </m:ctrlPr>
                      </m:sSubPr>
                      <m:e>
                        <m:r>
                          <w:rPr>
                            <w:rFonts w:ascii="Cambria Math" w:hAnsi="Cambria Math"/>
                            <w:lang w:val="en-GB"/>
                          </w:rPr>
                          <m:t>c</m:t>
                        </m:r>
                      </m:e>
                      <m:sub>
                        <m:r>
                          <m:rPr>
                            <m:sty m:val="p"/>
                          </m:rPr>
                          <w:rPr>
                            <w:rFonts w:ascii="Cambria Math" w:hAnsi="Cambria Math"/>
                            <w:lang w:val="en-GB"/>
                          </w:rPr>
                          <m:t>2</m:t>
                        </m:r>
                      </m:sub>
                    </m:sSub>
                  </m:den>
                </m:f>
              </m:e>
            </m:d>
          </m:e>
          <m:sub>
            <m:r>
              <w:rPr>
                <w:rFonts w:ascii="Cambria Math" w:hAnsi="Cambria Math"/>
                <w:lang w:val="en-GB"/>
              </w:rPr>
              <m:t>T</m:t>
            </m:r>
            <m:r>
              <m:rPr>
                <m:sty m:val="p"/>
              </m:rPr>
              <w:rPr>
                <w:rFonts w:ascii="Cambria Math" w:hAnsi="Cambria Math"/>
                <w:lang w:val="en-GB"/>
              </w:rPr>
              <m:t>,</m:t>
            </m:r>
            <m:r>
              <w:rPr>
                <w:rFonts w:ascii="Cambria Math" w:hAnsi="Cambria Math"/>
                <w:lang w:val="en-GB"/>
              </w:rPr>
              <m:t>P</m:t>
            </m:r>
            <m:sSub>
              <m:sSubPr>
                <m:ctrlPr>
                  <w:rPr>
                    <w:rFonts w:ascii="Cambria Math" w:hAnsi="Cambria Math"/>
                    <w:bCs/>
                    <w:lang w:val="en-GB"/>
                  </w:rPr>
                </m:ctrlPr>
              </m:sSubPr>
              <m:e>
                <m:r>
                  <m:rPr>
                    <m:sty m:val="p"/>
                  </m:rPr>
                  <w:rPr>
                    <w:rFonts w:ascii="Cambria Math" w:hAnsi="Cambria Math"/>
                    <w:lang w:val="en-GB"/>
                  </w:rPr>
                  <m:t>,</m:t>
                </m:r>
                <m:r>
                  <w:rPr>
                    <w:rFonts w:ascii="Cambria Math" w:hAnsi="Cambria Math"/>
                    <w:lang w:val="en-GB"/>
                  </w:rPr>
                  <m:t>c</m:t>
                </m:r>
              </m:e>
              <m:sub>
                <m:r>
                  <m:rPr>
                    <m:sty m:val="p"/>
                  </m:rPr>
                  <w:rPr>
                    <w:rFonts w:ascii="Cambria Math" w:hAnsi="Cambria Math"/>
                    <w:lang w:val="en-GB"/>
                  </w:rPr>
                  <m:t>u</m:t>
                </m:r>
              </m:sub>
            </m:sSub>
            <m:r>
              <w:rPr>
                <w:rFonts w:ascii="Cambria Math" w:hAnsi="Cambria Math"/>
                <w:lang w:val="en-GB"/>
              </w:rPr>
              <m:t>→0</m:t>
            </m:r>
          </m:sub>
        </m:sSub>
        <m:r>
          <m:rPr>
            <m:sty m:val="p"/>
          </m:rPr>
          <w:rPr>
            <w:rFonts w:ascii="Cambria Math" w:hAnsi="Cambria Math"/>
            <w:lang w:val="en-GB"/>
          </w:rPr>
          <m:t>=</m:t>
        </m:r>
        <m:f>
          <m:fPr>
            <m:ctrlPr>
              <w:rPr>
                <w:rFonts w:ascii="Cambria Math" w:hAnsi="Cambria Math"/>
                <w:lang w:val="en-GB"/>
              </w:rPr>
            </m:ctrlPr>
          </m:fPr>
          <m:num>
            <m:sSub>
              <m:sSubPr>
                <m:ctrlPr>
                  <w:rPr>
                    <w:rFonts w:ascii="Cambria Math" w:hAnsi="Cambria Math"/>
                    <w:bCs/>
                    <w:lang w:val="en-GB"/>
                  </w:rPr>
                </m:ctrlPr>
              </m:sSubPr>
              <m:e>
                <m:r>
                  <w:rPr>
                    <w:rFonts w:ascii="Cambria Math" w:hAnsi="Cambria Math"/>
                    <w:lang w:val="en-GB"/>
                  </w:rPr>
                  <m:t>G</m:t>
                </m:r>
              </m:e>
              <m:sub>
                <m:r>
                  <m:rPr>
                    <m:sty m:val="p"/>
                  </m:rPr>
                  <w:rPr>
                    <w:rFonts w:ascii="Cambria Math" w:hAnsi="Cambria Math"/>
                    <w:lang w:val="en-GB"/>
                  </w:rPr>
                  <m:t>u2</m:t>
                </m:r>
              </m:sub>
            </m:sSub>
            <m:r>
              <m:rPr>
                <m:sty m:val="p"/>
              </m:rPr>
              <w:rPr>
                <w:rFonts w:ascii="Cambria Math" w:hAnsi="Cambria Math"/>
                <w:lang w:val="en-GB"/>
              </w:rPr>
              <m:t>-</m:t>
            </m:r>
            <m:sSub>
              <m:sSubPr>
                <m:ctrlPr>
                  <w:rPr>
                    <w:rFonts w:ascii="Cambria Math" w:hAnsi="Cambria Math"/>
                    <w:bCs/>
                    <w:lang w:val="en-GB"/>
                  </w:rPr>
                </m:ctrlPr>
              </m:sSubPr>
              <m:e>
                <m:r>
                  <w:rPr>
                    <w:rFonts w:ascii="Cambria Math" w:hAnsi="Cambria Math"/>
                    <w:lang w:val="en-GB"/>
                  </w:rPr>
                  <m:t>G</m:t>
                </m:r>
              </m:e>
              <m:sub>
                <m:r>
                  <m:rPr>
                    <m:sty m:val="p"/>
                  </m:rPr>
                  <w:rPr>
                    <w:rFonts w:ascii="Cambria Math" w:hAnsi="Cambria Math"/>
                    <w:lang w:val="en-GB"/>
                  </w:rPr>
                  <m:t>u1</m:t>
                </m:r>
              </m:sub>
            </m:sSub>
            <m:ctrlPr>
              <w:rPr>
                <w:rFonts w:ascii="Cambria Math" w:hAnsi="Cambria Math"/>
                <w:bCs/>
                <w:i/>
                <w:lang w:val="en-GB"/>
              </w:rPr>
            </m:ctrlPr>
          </m:num>
          <m:den>
            <m:r>
              <m:rPr>
                <m:sty m:val="p"/>
              </m:rPr>
              <w:rPr>
                <w:rFonts w:ascii="Cambria Math" w:hAnsi="Cambria Math"/>
                <w:lang w:val="en-GB"/>
              </w:rPr>
              <m:t>1+</m:t>
            </m:r>
            <m:sSub>
              <m:sSubPr>
                <m:ctrlPr>
                  <w:rPr>
                    <w:rFonts w:ascii="Cambria Math" w:hAnsi="Cambria Math"/>
                    <w:lang w:val="en-GB"/>
                  </w:rPr>
                </m:ctrlPr>
              </m:sSubPr>
              <m:e>
                <m:r>
                  <w:rPr>
                    <w:rFonts w:ascii="Cambria Math" w:hAnsi="Cambria Math"/>
                    <w:lang w:val="en-GB"/>
                  </w:rPr>
                  <m:t>c</m:t>
                </m:r>
              </m:e>
              <m:sub>
                <m:r>
                  <m:rPr>
                    <m:sty m:val="p"/>
                  </m:rPr>
                  <w:rPr>
                    <w:rFonts w:ascii="Cambria Math" w:hAnsi="Cambria Math"/>
                    <w:lang w:val="en-GB"/>
                  </w:rPr>
                  <m:t>2</m:t>
                </m:r>
              </m:sub>
            </m:sSub>
            <m:d>
              <m:dPr>
                <m:ctrlPr>
                  <w:rPr>
                    <w:rFonts w:ascii="Cambria Math" w:hAnsi="Cambria Math"/>
                    <w:bCs/>
                    <w:lang w:val="en-GB"/>
                  </w:rPr>
                </m:ctrlPr>
              </m:dPr>
              <m:e>
                <m:sSub>
                  <m:sSubPr>
                    <m:ctrlPr>
                      <w:rPr>
                        <w:rFonts w:ascii="Cambria Math" w:hAnsi="Cambria Math"/>
                        <w:bCs/>
                        <w:lang w:val="en-GB"/>
                      </w:rPr>
                    </m:ctrlPr>
                  </m:sSubPr>
                  <m:e>
                    <m:r>
                      <w:rPr>
                        <w:rFonts w:ascii="Cambria Math" w:hAnsi="Cambria Math"/>
                        <w:lang w:val="en-GB"/>
                      </w:rPr>
                      <m:t>G</m:t>
                    </m:r>
                  </m:e>
                  <m:sub>
                    <m:r>
                      <m:rPr>
                        <m:sty m:val="p"/>
                      </m:rPr>
                      <w:rPr>
                        <w:rFonts w:ascii="Cambria Math" w:hAnsi="Cambria Math"/>
                        <w:lang w:val="en-GB"/>
                      </w:rPr>
                      <m:t>22</m:t>
                    </m:r>
                  </m:sub>
                </m:sSub>
                <m:r>
                  <m:rPr>
                    <m:sty m:val="p"/>
                  </m:rPr>
                  <w:rPr>
                    <w:rFonts w:ascii="Cambria Math" w:hAnsi="Cambria Math"/>
                    <w:lang w:val="en-GB"/>
                  </w:rPr>
                  <m:t>-</m:t>
                </m:r>
                <m:sSub>
                  <m:sSubPr>
                    <m:ctrlPr>
                      <w:rPr>
                        <w:rFonts w:ascii="Cambria Math" w:hAnsi="Cambria Math"/>
                        <w:bCs/>
                        <w:lang w:val="en-GB"/>
                      </w:rPr>
                    </m:ctrlPr>
                  </m:sSubPr>
                  <m:e>
                    <m:r>
                      <w:rPr>
                        <w:rFonts w:ascii="Cambria Math" w:hAnsi="Cambria Math"/>
                        <w:lang w:val="en-GB"/>
                      </w:rPr>
                      <m:t>G</m:t>
                    </m:r>
                  </m:e>
                  <m:sub>
                    <m:r>
                      <m:rPr>
                        <m:sty m:val="p"/>
                      </m:rPr>
                      <w:rPr>
                        <w:rFonts w:ascii="Cambria Math" w:hAnsi="Cambria Math"/>
                        <w:lang w:val="en-GB"/>
                      </w:rPr>
                      <m:t>21</m:t>
                    </m:r>
                  </m:sub>
                </m:sSub>
              </m:e>
            </m:d>
          </m:den>
        </m:f>
        <m:r>
          <w:rPr>
            <w:rFonts w:ascii="Cambria Math" w:hAnsi="Cambria Math"/>
            <w:lang w:val="en-GB"/>
          </w:rPr>
          <m:t xml:space="preserve"> </m:t>
        </m:r>
      </m:oMath>
      <w:r w:rsidRPr="00EC5244">
        <w:rPr>
          <w:bCs/>
          <w:lang w:val="en-GB"/>
        </w:rPr>
        <w:tab/>
      </w:r>
      <w:r w:rsidRPr="00EC5244">
        <w:rPr>
          <w:bCs/>
          <w:lang w:val="en-GB"/>
        </w:rPr>
        <w:tab/>
      </w:r>
      <w:r w:rsidRPr="00EC5244">
        <w:rPr>
          <w:bCs/>
          <w:lang w:val="en-GB"/>
        </w:rPr>
        <w:tab/>
      </w:r>
      <w:r w:rsidRPr="00EC5244">
        <w:rPr>
          <w:bCs/>
          <w:lang w:val="en-GB"/>
        </w:rPr>
        <w:tab/>
      </w:r>
      <w:r w:rsidRPr="00EC5244">
        <w:rPr>
          <w:bCs/>
          <w:lang w:val="en-GB"/>
        </w:rPr>
        <w:tab/>
      </w:r>
      <w:r w:rsidRPr="00EC5244">
        <w:rPr>
          <w:bCs/>
          <w:lang w:val="en-GB"/>
        </w:rPr>
        <w:tab/>
      </w:r>
      <w:r w:rsidRPr="00EC5244">
        <w:rPr>
          <w:bCs/>
          <w:lang w:val="en-GB"/>
        </w:rPr>
        <w:tab/>
        <w:t>(1)</w:t>
      </w:r>
    </w:p>
    <w:p w14:paraId="329D946C" w14:textId="77777777" w:rsidR="00656FD1" w:rsidRPr="00EC5244" w:rsidRDefault="00656FD1" w:rsidP="00656FD1">
      <w:pPr>
        <w:pStyle w:val="TAMainText"/>
        <w:ind w:firstLine="0"/>
        <w:rPr>
          <w:lang w:val="en-CA"/>
        </w:rPr>
      </w:pPr>
      <w:r w:rsidRPr="00EC5244">
        <w:rPr>
          <w:lang w:val="en-CA"/>
        </w:rPr>
        <w:t xml:space="preserve">Eq. (1) has revealed the following driving forces at work in hydrotropy: </w:t>
      </w:r>
    </w:p>
    <w:p w14:paraId="59355940" w14:textId="0DE94D92" w:rsidR="00656FD1" w:rsidRPr="00EC5244" w:rsidRDefault="00656FD1" w:rsidP="00BF48EE">
      <w:pPr>
        <w:pStyle w:val="TAMainText"/>
        <w:numPr>
          <w:ilvl w:val="0"/>
          <w:numId w:val="4"/>
        </w:numPr>
        <w:rPr>
          <w:lang w:val="en-CA"/>
        </w:rPr>
      </w:pPr>
      <w:r w:rsidRPr="00EC5244">
        <w:rPr>
          <w:lang w:val="en-CA"/>
        </w:rPr>
        <w:t>A strong preferential solute-hydrotrope interaction compared to solute</w:t>
      </w:r>
      <w:r w:rsidR="00A16D86" w:rsidRPr="00EC5244">
        <w:rPr>
          <w:lang w:val="en-CA"/>
        </w:rPr>
        <w:t>-</w:t>
      </w:r>
      <w:r w:rsidRPr="00EC5244">
        <w:rPr>
          <w:lang w:val="en-CA"/>
        </w:rPr>
        <w:t xml:space="preserve">water, i.e., a large positive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u2</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21</m:t>
            </m:r>
          </m:sub>
        </m:sSub>
      </m:oMath>
      <w:r w:rsidRPr="00EC5244">
        <w:rPr>
          <w:lang w:val="en-CA"/>
        </w:rPr>
        <w:t xml:space="preserve"> is the major driving force for solubilization</w:t>
      </w:r>
      <w:r w:rsidR="00CC30DD" w:rsidRPr="00EC5244">
        <w:rPr>
          <w:lang w:val="en-CA"/>
        </w:rPr>
        <w:t>.</w:t>
      </w:r>
      <w:r w:rsidR="00CC30DD" w:rsidRPr="00EC5244">
        <w:rPr>
          <w:lang w:val="en-CA"/>
        </w:rPr>
        <w:fldChar w:fldCharType="begin" w:fldLock="1"/>
      </w:r>
      <w:r w:rsidR="004D1EB5" w:rsidRPr="00EC5244">
        <w:rPr>
          <w:lang w:val="en-CA"/>
        </w:rPr>
        <w:instrText>ADDIN CSL_CITATION { "citationItems" : [ { "id" : "ITEM-1", "itemData" : { "DOI" : "10.1021/jp309819r", "ISBN" : "1520-6106", "ISSN" : "15205207", "PMID" : "23236952", "abstract" : "Drugs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 "author" : [ { "dropping-particle" : "", "family" : "Booth", "given" : "Jonathan J.", "non-dropping-particle" : "", "parse-names" : false, "suffix" : "" }, { "dropping-particle" : "", "family" : "Abbott", "given" : "Steven", "non-dropping-particle" : "", "parse-names" : false, "suffix" : "" }, { "dropping-particle" : "", "family" : "Shimizu", "given" : "Seishi", "non-dropping-particle" : "", "parse-names" : false, "suffix" : "" } ], "container-title" : "Journal of Physical Chemistry B", "id" : "ITEM-1", "issue" : "51", "issued" : { "date-parts" : [ [ "2012" ] ] }, "page" : "14915-14921", "title" : "Mechanism of hydrophobic drug solubilization by small molecule hydrotropes", "type" : "article-journal", "volume" : "116" }, "uris" : [ "http://www.mendeley.com/documents/?uuid=33c3cbc9-707a-4097-91a4-e91008bc3dd6" ] }, { "id" : "ITEM-2",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"ITEM-2", "issue" : "47", "issued" : { "date-parts" : [ [ "2013" ] ] }, "page" : "20625-20632", "title" : "Hydrotropy: binding models vs. statistical thermodynamics.", "type" : "article-journal", "volume" : "15" }, "uris" : [ "http://www.mendeley.com/documents/?uuid=d239f09f-553e-48eb-882f-c22d5aa8ac8c" ] }, { "id" : "ITEM-3",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"35", "issued" : { "date-parts" : [ [ "2014" ] ] }, "page" : "10515-10524", "title" : "Hydrotropy: Monomer-micelle equilibrium and minimum hydrotrope concentration", "type" : "article-journal", "volume" : "118" }, "uris" : [ "http://www.mendeley.com/documents/?uuid=0cd1508f-d197-4e8d-a474-504cfaeae922" ] }, { "id" : "ITEM-4", "itemData" : { "DOI" : "10.1039/C4CP05414H", "ISBN" : "1463-9084", "ISSN" : "1463-9076", "abstract" : "Nicotinamide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 "author" : [ { "dropping-particle" : "", "family" : "Booth", "given" : "Jonathan J", "non-dropping-particle" : "", "parse-names" : false, "suffix" : "" }, { "dropping-particle" : "", "family" : "Omar", "given" : "Muhiadin", "non-dropping-particle" : "", "parse-names" : false, "suffix" : "" }, { "dropping-particle" : "", "family" : "Abbott", "given" : "Steven", "non-dropping-particle" : "", "parse-names" : false, "suffix" : "" }, { "dropping-particle" : "", "family" : "Shimizu", "given" : "Seishi", "non-dropping-particle" : "", "parse-names" : false, "suffix" : "" } ], "container-title" : "Phys Chem Chem Phys", "id" : "ITEM-4", "issue" : "12", "issued" : { "date-parts" : [ [ "2015" ] ] }, "page" : "8028-8037", "publisher" : "Royal Society of Chemistry", "title" : "Hydrotrope accumulation around the drug: the driving force for solubilization and minimum hydrotrope concentration for nicotinamide and urea", "type" : "article-journal", "volume" : "17" }, "uris" : [ "http://www.mendeley.com/documents/?uuid=5c6e1dca-c577-4d43-8836-d1f313635128" ] } ], "mendeley" : { "formattedCitation" : "&lt;sup&gt;8\u201311&lt;/sup&gt;", "plainTextFormattedCitation" : "8\u201311", "previouslyFormattedCitation" : "&lt;sup&gt;8\u201311&lt;/sup&gt;" }, "properties" : { "noteIndex" : 0 }, "schema" : "https://github.com/citation-style-language/schema/raw/master/csl-citation.json" }</w:instrText>
      </w:r>
      <w:r w:rsidR="00CC30DD" w:rsidRPr="00EC5244">
        <w:rPr>
          <w:lang w:val="en-CA"/>
        </w:rPr>
        <w:fldChar w:fldCharType="separate"/>
      </w:r>
      <w:r w:rsidR="004D1EB5" w:rsidRPr="00EC5244">
        <w:rPr>
          <w:noProof/>
          <w:vertAlign w:val="superscript"/>
          <w:lang w:val="en-CA"/>
        </w:rPr>
        <w:t>8–11</w:t>
      </w:r>
      <w:r w:rsidR="00CC30DD" w:rsidRPr="00EC5244">
        <w:rPr>
          <w:lang w:val="en-CA"/>
        </w:rPr>
        <w:fldChar w:fldCharType="end"/>
      </w:r>
    </w:p>
    <w:p w14:paraId="56D4EF1A" w14:textId="49F7374A" w:rsidR="00656FD1" w:rsidRPr="00EC5244" w:rsidRDefault="00656FD1" w:rsidP="00BF48EE">
      <w:pPr>
        <w:pStyle w:val="TAMainText"/>
        <w:numPr>
          <w:ilvl w:val="0"/>
          <w:numId w:val="4"/>
        </w:numPr>
        <w:rPr>
          <w:lang w:val="en-CA"/>
        </w:rPr>
      </w:pPr>
      <w:r w:rsidRPr="00EC5244">
        <w:rPr>
          <w:lang w:val="en-CA"/>
        </w:rPr>
        <w:t xml:space="preserve">A minor reduction in solubilization comes from the a large positive </w:t>
      </w:r>
      <m:oMath>
        <m:sSub>
          <m:sSubPr>
            <m:ctrlPr>
              <w:rPr>
                <w:rFonts w:ascii="Cambria Math" w:hAnsi="Cambria Math"/>
                <w:bCs/>
                <w:lang w:val="en-GB"/>
              </w:rPr>
            </m:ctrlPr>
          </m:sSubPr>
          <m:e>
            <m:r>
              <w:rPr>
                <w:rFonts w:ascii="Cambria Math" w:hAnsi="Cambria Math"/>
                <w:lang w:val="en-GB"/>
              </w:rPr>
              <m:t>G</m:t>
            </m:r>
          </m:e>
          <m:sub>
            <m:r>
              <m:rPr>
                <m:sty m:val="p"/>
              </m:rPr>
              <w:rPr>
                <w:rFonts w:ascii="Cambria Math" w:hAnsi="Cambria Math"/>
                <w:lang w:val="en-GB"/>
              </w:rPr>
              <m:t>22</m:t>
            </m:r>
          </m:sub>
        </m:sSub>
        <m:r>
          <m:rPr>
            <m:sty m:val="p"/>
          </m:rPr>
          <w:rPr>
            <w:rFonts w:ascii="Cambria Math" w:hAnsi="Cambria Math"/>
            <w:lang w:val="en-GB"/>
          </w:rPr>
          <m:t>-</m:t>
        </m:r>
        <m:sSub>
          <m:sSubPr>
            <m:ctrlPr>
              <w:rPr>
                <w:rFonts w:ascii="Cambria Math" w:hAnsi="Cambria Math"/>
                <w:bCs/>
                <w:lang w:val="en-GB"/>
              </w:rPr>
            </m:ctrlPr>
          </m:sSubPr>
          <m:e>
            <m:r>
              <w:rPr>
                <w:rFonts w:ascii="Cambria Math" w:hAnsi="Cambria Math"/>
                <w:lang w:val="en-GB"/>
              </w:rPr>
              <m:t>G</m:t>
            </m:r>
          </m:e>
          <m:sub>
            <m:r>
              <m:rPr>
                <m:sty m:val="p"/>
              </m:rPr>
              <w:rPr>
                <w:rFonts w:ascii="Cambria Math" w:hAnsi="Cambria Math"/>
                <w:lang w:val="en-GB"/>
              </w:rPr>
              <m:t>21</m:t>
            </m:r>
          </m:sub>
        </m:sSub>
      </m:oMath>
      <w:r w:rsidRPr="00EC5244">
        <w:rPr>
          <w:bCs/>
          <w:lang w:val="en-GB"/>
        </w:rPr>
        <w:t>, which represents a bulk-phase self-association of the hydrotropes.</w:t>
      </w:r>
      <w:r w:rsidR="00CC30DD" w:rsidRPr="00EC5244">
        <w:rPr>
          <w:lang w:val="en-CA"/>
        </w:rPr>
        <w:t xml:space="preserve"> </w:t>
      </w:r>
      <w:r w:rsidR="00CC30DD" w:rsidRPr="00EC5244">
        <w:rPr>
          <w:lang w:val="en-CA"/>
        </w:rPr>
        <w:fldChar w:fldCharType="begin" w:fldLock="1"/>
      </w:r>
      <w:r w:rsidR="004D1EB5" w:rsidRPr="00EC5244">
        <w:rPr>
          <w:lang w:val="en-CA"/>
        </w:rPr>
        <w:instrText>ADDIN CSL_CITATION { "citationItems" : [ { "id" : "ITEM-1", "itemData" : { "DOI" : "10.1021/jp309819r", "ISBN" : "1520-6106", "ISSN" : "15205207", "PMID" : "23236952", "abstract" : "Drugs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 "author" : [ { "dropping-particle" : "", "family" : "Booth", "given" : "Jonathan J.", "non-dropping-particle" : "", "parse-names" : false, "suffix" : "" }, { "dropping-particle" : "", "family" : "Abbott", "given" : "Steven", "non-dropping-particle" : "", "parse-names" : false, "suffix" : "" }, { "dropping-particle" : "", "family" : "Shimizu", "given" : "Seishi", "non-dropping-particle" : "", "parse-names" : false, "suffix" : "" } ], "container-title" : "Journal of Physical Chemistry B", "id" : "ITEM-1", "issue" : "51", "issued" : { "date-parts" : [ [ "2012" ] ] }, "page" : "14915-14921", "title" : "Mechanism of hydrophobic drug solubilization by small molecule hydrotropes", "type" : "article-journal", "volume" : "116" }, "uris" : [ "http://www.mendeley.com/documents/?uuid=33c3cbc9-707a-4097-91a4-e91008bc3dd6" ] }, { "id" : "ITEM-2",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"ITEM-2", "issue" : "47", "issued" : { "date-parts" : [ [ "2013" ] ] }, "page" : "20625-20632", "title" : "Hydrotropy: binding models vs. statistical thermodynamics.", "type" : "article-journal", "volume" : "15" }, "uris" : [ "http://www.mendeley.com/documents/?uuid=d239f09f-553e-48eb-882f-c22d5aa8ac8c" ] }, { "id" : "ITEM-3",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"35", "issued" : { "date-parts" : [ [ "2014" ] ] }, "page" : "10515-10524", "title" : "Hydrotropy: Monomer-micelle equilibrium and minimum hydrotrope concentration", "type" : "article-journal", "volume" : "118" }, "uris" : [ "http://www.mendeley.com/documents/?uuid=0cd1508f-d197-4e8d-a474-504cfaeae922" ] }, { "id" : "ITEM-4", "itemData" : { "DOI" : "10.1039/C4CP05414H", "ISBN" : "1463-9084", "ISSN" : "1463-9076", "abstract" : "Nicotinamide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 "author" : [ { "dropping-particle" : "", "family" : "Booth", "given" : "Jonathan J", "non-dropping-particle" : "", "parse-names" : false, "suffix" : "" }, { "dropping-particle" : "", "family" : "Omar", "given" : "Muhiadin", "non-dropping-particle" : "", "parse-names" : false, "suffix" : "" }, { "dropping-particle" : "", "family" : "Abbott", "given" : "Steven", "non-dropping-particle" : "", "parse-names" : false, "suffix" : "" }, { "dropping-particle" : "", "family" : "Shimizu", "given" : "Seishi", "non-dropping-particle" : "", "parse-names" : false, "suffix" : "" } ], "container-title" : "Phys Chem Chem Phys", "id" : "ITEM-4", "issue" : "12", "issued" : { "date-parts" : [ [ "2015" ] ] }, "page" : "8028-8037", "publisher" : "Royal Society of Chemistry", "title" : "Hydrotrope accumulation around the drug: the driving force for solubilization and minimum hydrotrope concentration for nicotinamide and urea", "type" : "article-journal", "volume" : "17" }, "uris" : [ "http://www.mendeley.com/documents/?uuid=5c6e1dca-c577-4d43-8836-d1f313635128" ] } ], "mendeley" : { "formattedCitation" : "&lt;sup&gt;8\u201311&lt;/sup&gt;", "plainTextFormattedCitation" : "8\u201311", "previouslyFormattedCitation" : "&lt;sup&gt;8\u201311&lt;/sup&gt;" }, "properties" : { "noteIndex" : 0 }, "schema" : "https://github.com/citation-style-language/schema/raw/master/csl-citation.json" }</w:instrText>
      </w:r>
      <w:r w:rsidR="00CC30DD" w:rsidRPr="00EC5244">
        <w:rPr>
          <w:lang w:val="en-CA"/>
        </w:rPr>
        <w:fldChar w:fldCharType="separate"/>
      </w:r>
      <w:r w:rsidR="004D1EB5" w:rsidRPr="00EC5244">
        <w:rPr>
          <w:noProof/>
          <w:vertAlign w:val="superscript"/>
          <w:lang w:val="en-CA"/>
        </w:rPr>
        <w:t>8–11</w:t>
      </w:r>
      <w:r w:rsidR="00CC30DD" w:rsidRPr="00EC5244">
        <w:rPr>
          <w:lang w:val="en-CA"/>
        </w:rPr>
        <w:fldChar w:fldCharType="end"/>
      </w:r>
      <w:r w:rsidRPr="00EC5244">
        <w:rPr>
          <w:bCs/>
          <w:lang w:val="en-GB"/>
        </w:rPr>
        <w:t xml:space="preserve"> </w:t>
      </w:r>
    </w:p>
    <w:p w14:paraId="52134124" w14:textId="6E600F89" w:rsidR="00656FD1" w:rsidRPr="00EC5244" w:rsidRDefault="009B2004" w:rsidP="00656FD1">
      <w:pPr>
        <w:pStyle w:val="TAMainText"/>
        <w:ind w:firstLine="0"/>
        <w:rPr>
          <w:szCs w:val="24"/>
          <w:lang w:val="en-GB" w:eastAsia="ja-JP"/>
        </w:rPr>
      </w:pPr>
      <w:r w:rsidRPr="00EC5244">
        <w:rPr>
          <w:lang w:val="en-CA"/>
        </w:rPr>
        <w:t>In addition, a detailed</w:t>
      </w:r>
      <w:r w:rsidR="00656FD1" w:rsidRPr="00EC5244">
        <w:rPr>
          <w:lang w:val="en-CA"/>
        </w:rPr>
        <w:t xml:space="preserve"> study of </w:t>
      </w:r>
      <w:r w:rsidR="004B47F7" w:rsidRPr="00EC5244">
        <w:rPr>
          <w:lang w:val="en-CA"/>
        </w:rPr>
        <w:t xml:space="preserve">the second order derivative </w:t>
      </w:r>
      <m:oMath>
        <m:sSub>
          <m:sSubPr>
            <m:ctrlPr>
              <w:rPr>
                <w:rFonts w:ascii="Cambria Math" w:hAnsi="Cambria Math" w:cs="Times"/>
                <w:i/>
                <w:szCs w:val="24"/>
                <w:lang w:val="en-GB" w:eastAsia="ja-JP"/>
              </w:rPr>
            </m:ctrlPr>
          </m:sSubPr>
          <m:e>
            <m:sSub>
              <m:sSubPr>
                <m:ctrlPr>
                  <w:rPr>
                    <w:rFonts w:ascii="Cambria Math" w:hAnsi="Cambria Math" w:cs="Times"/>
                    <w:i/>
                    <w:szCs w:val="24"/>
                    <w:lang w:val="en-GB" w:eastAsia="ja-JP"/>
                  </w:rPr>
                </m:ctrlPr>
              </m:sSubPr>
              <m:e>
                <m:r>
                  <w:rPr>
                    <w:rFonts w:ascii="Cambria Math" w:hAnsi="Cambria Math" w:cs="Times"/>
                    <w:szCs w:val="24"/>
                    <w:lang w:val="en-GB" w:eastAsia="ja-JP"/>
                  </w:rPr>
                  <m:t>k</m:t>
                </m:r>
              </m:e>
              <m:sub>
                <m:r>
                  <w:rPr>
                    <w:rFonts w:ascii="Cambria Math" w:hAnsi="Cambria Math" w:cs="Times"/>
                    <w:szCs w:val="24"/>
                    <w:lang w:val="en-GB" w:eastAsia="ja-JP"/>
                  </w:rPr>
                  <m:t>B</m:t>
                </m:r>
              </m:sub>
            </m:sSub>
            <m:r>
              <w:rPr>
                <w:rFonts w:ascii="Cambria Math" w:hAnsi="Cambria Math" w:cs="Times"/>
                <w:szCs w:val="24"/>
                <w:lang w:val="en-GB" w:eastAsia="ja-JP"/>
              </w:rPr>
              <m:t>T</m:t>
            </m:r>
            <m:d>
              <m:dPr>
                <m:ctrlPr>
                  <w:rPr>
                    <w:rFonts w:ascii="Cambria Math" w:hAnsi="Cambria Math" w:cs="Times"/>
                    <w:i/>
                    <w:szCs w:val="24"/>
                    <w:lang w:val="en-GB" w:eastAsia="ja-JP"/>
                  </w:rPr>
                </m:ctrlPr>
              </m:dPr>
              <m:e>
                <m:f>
                  <m:fPr>
                    <m:ctrlPr>
                      <w:rPr>
                        <w:rFonts w:ascii="Cambria Math" w:hAnsi="Cambria Math" w:cs="Times"/>
                        <w:i/>
                        <w:szCs w:val="24"/>
                        <w:lang w:val="en-GB" w:eastAsia="ja-JP"/>
                      </w:rPr>
                    </m:ctrlPr>
                  </m:fPr>
                  <m:num>
                    <m:sSup>
                      <m:sSupPr>
                        <m:ctrlPr>
                          <w:rPr>
                            <w:rFonts w:ascii="Cambria Math" w:hAnsi="Cambria Math" w:cs="Times"/>
                            <w:i/>
                            <w:szCs w:val="24"/>
                            <w:lang w:val="en-GB" w:eastAsia="ja-JP"/>
                          </w:rPr>
                        </m:ctrlPr>
                      </m:sSupPr>
                      <m:e>
                        <m:r>
                          <w:rPr>
                            <w:rFonts w:ascii="Cambria Math" w:hAnsi="Cambria Math" w:cs="Times"/>
                            <w:szCs w:val="24"/>
                            <w:lang w:val="en-GB" w:eastAsia="ja-JP"/>
                          </w:rPr>
                          <m:t>∂</m:t>
                        </m:r>
                      </m:e>
                      <m:sup>
                        <m:r>
                          <w:rPr>
                            <w:rFonts w:ascii="Cambria Math" w:hAnsi="Cambria Math" w:cs="Times"/>
                            <w:szCs w:val="24"/>
                            <w:lang w:val="en-GB" w:eastAsia="ja-JP"/>
                          </w:rPr>
                          <m:t>2</m:t>
                        </m:r>
                      </m:sup>
                    </m:sSup>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u</m:t>
                        </m:r>
                      </m:sub>
                    </m:sSub>
                  </m:num>
                  <m:den>
                    <m:r>
                      <w:rPr>
                        <w:rFonts w:ascii="Cambria Math" w:hAnsi="Cambria Math" w:cs="Times"/>
                        <w:szCs w:val="24"/>
                        <w:lang w:val="en-GB" w:eastAsia="ja-JP"/>
                      </w:rPr>
                      <m:t>∂</m:t>
                    </m:r>
                    <m:sSubSup>
                      <m:sSubSupPr>
                        <m:ctrlPr>
                          <w:rPr>
                            <w:rFonts w:ascii="Cambria Math" w:hAnsi="Cambria Math" w:cs="Times"/>
                            <w:i/>
                            <w:szCs w:val="24"/>
                            <w:lang w:val="en-GB" w:eastAsia="ja-JP"/>
                          </w:rPr>
                        </m:ctrlPr>
                      </m:sSubSupPr>
                      <m:e>
                        <m:r>
                          <w:rPr>
                            <w:rFonts w:ascii="Cambria Math" w:hAnsi="Cambria Math" w:cs="Times"/>
                            <w:szCs w:val="24"/>
                            <w:lang w:val="en-GB" w:eastAsia="ja-JP"/>
                          </w:rPr>
                          <m:t>μ</m:t>
                        </m:r>
                      </m:e>
                      <m:sub>
                        <m:r>
                          <w:rPr>
                            <w:rFonts w:ascii="Cambria Math" w:hAnsi="Cambria Math" w:cs="Times"/>
                            <w:szCs w:val="24"/>
                            <w:lang w:val="en-GB" w:eastAsia="ja-JP"/>
                          </w:rPr>
                          <m:t>1</m:t>
                        </m:r>
                      </m:sub>
                      <m:sup>
                        <m:r>
                          <w:rPr>
                            <w:rFonts w:ascii="Cambria Math" w:hAnsi="Cambria Math" w:cs="Times"/>
                            <w:szCs w:val="24"/>
                            <w:lang w:val="en-GB" w:eastAsia="ja-JP"/>
                          </w:rPr>
                          <m:t>2</m:t>
                        </m:r>
                      </m:sup>
                    </m:sSubSup>
                    <m:r>
                      <w:rPr>
                        <w:rFonts w:ascii="Cambria Math" w:hAnsi="Cambria Math" w:cs="Times"/>
                        <w:szCs w:val="24"/>
                        <w:lang w:val="en-GB" w:eastAsia="ja-JP"/>
                      </w:rPr>
                      <m:t xml:space="preserve"> </m:t>
                    </m:r>
                  </m:den>
                </m:f>
              </m:e>
            </m:d>
          </m:e>
          <m:sub>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u</m:t>
                </m:r>
              </m:sub>
            </m:sSub>
            <m:r>
              <w:rPr>
                <w:rFonts w:ascii="Cambria Math" w:hAnsi="Cambria Math" w:cs="Times"/>
                <w:szCs w:val="24"/>
                <w:lang w:val="en-GB" w:eastAsia="ja-JP"/>
              </w:rPr>
              <m:t>→0</m:t>
            </m:r>
          </m:sub>
        </m:sSub>
      </m:oMath>
      <w:r w:rsidR="004B47F7" w:rsidRPr="00EC5244">
        <w:rPr>
          <w:szCs w:val="24"/>
          <w:lang w:val="en-GB" w:eastAsia="ja-JP"/>
        </w:rPr>
        <w:t xml:space="preserve"> has shown that </w:t>
      </w:r>
    </w:p>
    <w:p w14:paraId="5DC8CB6E" w14:textId="79907608" w:rsidR="00656FD1" w:rsidRPr="00EC5244" w:rsidRDefault="004B47F7" w:rsidP="00BF48EE">
      <w:pPr>
        <w:pStyle w:val="TAMainText"/>
        <w:numPr>
          <w:ilvl w:val="0"/>
          <w:numId w:val="4"/>
        </w:numPr>
        <w:rPr>
          <w:lang w:val="en-CA"/>
        </w:rPr>
      </w:pPr>
      <w:r w:rsidRPr="00EC5244">
        <w:rPr>
          <w:lang w:val="en-CA"/>
        </w:rPr>
        <w:t xml:space="preserve">A sudden onset of solubilization at MHC </w:t>
      </w:r>
      <w:r w:rsidR="005A7FF6" w:rsidRPr="00EC5244">
        <w:rPr>
          <w:lang w:val="en-CA"/>
        </w:rPr>
        <w:t>comes from the enhancement of hydrotrope-hydrotrope self-association induced by the solute molecule.</w:t>
      </w:r>
      <w:r w:rsidR="00CC30DD" w:rsidRPr="00EC5244">
        <w:rPr>
          <w:lang w:val="en-CA"/>
        </w:rPr>
        <w:fldChar w:fldCharType="begin" w:fldLock="1"/>
      </w:r>
      <w:r w:rsidR="004D1EB5" w:rsidRPr="00EC5244">
        <w:rPr>
          <w:lang w:val="en-CA"/>
        </w:rPr>
        <w:instrText>ADDIN CSL_CITATION { "citationItems" : [ { "id" : "ITEM-1",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"35", "issued" : { "date-parts" : [ [ "2014" ] ] }, "page" : "10515-10524", "title" : "Hydrotropy: Monomer-micelle equilibrium and minimum hydrotrope concentration", "type" : "article-journal", "volume" : "118" }, "uris" : [ "http://www.mendeley.com/documents/?uuid=0cd1508f-d197-4e8d-a474-504cfaeae922" ] }, { "id" : "ITEM-2", "itemData" : { "DOI" : "10.1039/C6CP04823D", "ISSN" : "1463-9076", "author" : [ { "dropping-particle" : "", "family" : "Shimizu", "given" : "Seishi", "non-dropping-particle" : "", "parse-names" : false, "suffix" : "" }, { "dropping-particle" : "", "family" : "Matubayasi", "given" : "Nobuyuki", "non-dropping-particle" : "", "parse-names" : false, "suffix" : "" } ], "container-title" : "Phys. Chem. Chem. Phys.", "id" : "ITEM-2", "issue" : "36", "issued" : { "date-parts" : [ [ "2016" ] ] }, "page" : "25621-25628", "publisher" : "Royal Society of Chemistry", "title" : "The origin of cooperative solubilisation by hydrotropes", "type" : "article-journal", "volume" : "18" }, "uris" : [ "http://www.mendeley.com/documents/?uuid=dcc5121c-094a-4702-bc34-1086a5612e68" ] } ], "mendeley" : { "formattedCitation" : "&lt;sup&gt;10,12&lt;/sup&gt;", "plainTextFormattedCitation" : "10,12", "previouslyFormattedCitation" : "&lt;sup&gt;10,12&lt;/sup&gt;" }, "properties" : { "noteIndex" : 0 }, "schema" : "https://github.com/citation-style-language/schema/raw/master/csl-citation.json" }</w:instrText>
      </w:r>
      <w:r w:rsidR="00CC30DD" w:rsidRPr="00EC5244">
        <w:rPr>
          <w:lang w:val="en-CA"/>
        </w:rPr>
        <w:fldChar w:fldCharType="separate"/>
      </w:r>
      <w:r w:rsidR="004D1EB5" w:rsidRPr="00EC5244">
        <w:rPr>
          <w:noProof/>
          <w:vertAlign w:val="superscript"/>
          <w:lang w:val="en-CA"/>
        </w:rPr>
        <w:t>10,12</w:t>
      </w:r>
      <w:r w:rsidR="00CC30DD" w:rsidRPr="00EC5244">
        <w:rPr>
          <w:lang w:val="en-CA"/>
        </w:rPr>
        <w:fldChar w:fldCharType="end"/>
      </w:r>
      <w:r w:rsidR="005A7FF6" w:rsidRPr="00EC5244">
        <w:rPr>
          <w:lang w:val="en-CA"/>
        </w:rPr>
        <w:t xml:space="preserve"> </w:t>
      </w:r>
    </w:p>
    <w:p w14:paraId="0F0BF5B7" w14:textId="77777777" w:rsidR="005A7FF6" w:rsidRPr="00EC5244" w:rsidRDefault="005A7FF6" w:rsidP="00283FBB">
      <w:pPr>
        <w:pStyle w:val="TAMainText"/>
        <w:ind w:firstLine="0"/>
        <w:rPr>
          <w:lang w:val="en-CA"/>
        </w:rPr>
      </w:pPr>
    </w:p>
    <w:p w14:paraId="1B23520A" w14:textId="0000FA9E" w:rsidR="005A7FF6" w:rsidRPr="00EC5244" w:rsidRDefault="005A7FF6" w:rsidP="005A7FF6">
      <w:pPr>
        <w:pStyle w:val="TAMainText"/>
        <w:rPr>
          <w:lang w:val="en-CA"/>
        </w:rPr>
      </w:pPr>
      <w:r w:rsidRPr="00EC5244">
        <w:rPr>
          <w:lang w:val="en-CA"/>
        </w:rPr>
        <w:t xml:space="preserve">We have thus clarified the driving forces for hydrotropic solubilization as well as its cooperativity based on the KB theory. </w:t>
      </w:r>
      <w:r w:rsidR="00217C45" w:rsidRPr="00EC5244">
        <w:rPr>
          <w:lang w:val="en-CA"/>
        </w:rPr>
        <w:t>This picture will be generalised to be applicable to concentrated solutes in Section 5.1.</w:t>
      </w:r>
    </w:p>
    <w:p w14:paraId="63FE2F12" w14:textId="480AC77A" w:rsidR="00AA5541" w:rsidRPr="00EC5244" w:rsidRDefault="00AA5541" w:rsidP="00283FBB">
      <w:pPr>
        <w:pStyle w:val="TAMainText"/>
        <w:ind w:firstLine="0"/>
        <w:rPr>
          <w:lang w:val="en-CA"/>
        </w:rPr>
      </w:pPr>
    </w:p>
    <w:p w14:paraId="4A76800E" w14:textId="58A91996" w:rsidR="00F056C1" w:rsidRPr="00EC5244" w:rsidRDefault="00EA168C" w:rsidP="00283FBB">
      <w:pPr>
        <w:pStyle w:val="TAMainText"/>
        <w:ind w:firstLine="0"/>
        <w:rPr>
          <w:b/>
          <w:lang w:val="en-CA"/>
        </w:rPr>
      </w:pPr>
      <w:r w:rsidRPr="00EC5244">
        <w:rPr>
          <w:b/>
          <w:lang w:val="en-CA"/>
        </w:rPr>
        <w:t>3.2. A</w:t>
      </w:r>
      <w:r w:rsidR="00234504" w:rsidRPr="00EC5244">
        <w:rPr>
          <w:b/>
          <w:lang w:val="en-CA"/>
        </w:rPr>
        <w:t>pparent cooperativity in a</w:t>
      </w:r>
      <w:r w:rsidR="00F056C1" w:rsidRPr="00EC5244">
        <w:rPr>
          <w:b/>
          <w:lang w:val="en-CA"/>
        </w:rPr>
        <w:t xml:space="preserve">queous </w:t>
      </w:r>
      <w:r w:rsidRPr="00EC5244">
        <w:rPr>
          <w:b/>
          <w:lang w:val="en-CA"/>
        </w:rPr>
        <w:t>biphasic systems</w:t>
      </w:r>
    </w:p>
    <w:p w14:paraId="54C6A9C9" w14:textId="77777777" w:rsidR="00EA168C" w:rsidRPr="00EC5244" w:rsidRDefault="00EA168C" w:rsidP="00283FBB">
      <w:pPr>
        <w:pStyle w:val="TAMainText"/>
        <w:ind w:firstLine="0"/>
        <w:rPr>
          <w:lang w:val="en-CA"/>
        </w:rPr>
      </w:pPr>
    </w:p>
    <w:p w14:paraId="01F318FF" w14:textId="2E5C9772" w:rsidR="00F056C1" w:rsidRPr="00EC5244" w:rsidRDefault="00F056C1" w:rsidP="00283FBB">
      <w:pPr>
        <w:pStyle w:val="TAMainText"/>
        <w:ind w:firstLine="0"/>
        <w:rPr>
          <w:lang w:val="en-CA"/>
        </w:rPr>
      </w:pPr>
      <w:r w:rsidRPr="00EC5244">
        <w:rPr>
          <w:lang w:val="en-CA"/>
        </w:rPr>
        <w:t>Here we consider a</w:t>
      </w:r>
      <w:r w:rsidR="00423F5A" w:rsidRPr="00EC5244">
        <w:rPr>
          <w:lang w:val="en-CA"/>
        </w:rPr>
        <w:t>nother extreme case at</w:t>
      </w:r>
      <w:r w:rsidR="0097233D" w:rsidRPr="00EC5244">
        <w:rPr>
          <w:lang w:val="en-CA"/>
        </w:rPr>
        <w:t xml:space="preserve"> the opposite end, </w:t>
      </w:r>
      <w:r w:rsidR="005A7FF6" w:rsidRPr="00EC5244">
        <w:rPr>
          <w:lang w:val="en-CA"/>
        </w:rPr>
        <w:t xml:space="preserve">i.e., </w:t>
      </w:r>
      <w:r w:rsidR="0097233D" w:rsidRPr="00EC5244">
        <w:rPr>
          <w:lang w:val="en-CA"/>
        </w:rPr>
        <w:t xml:space="preserve">solubilization in the </w:t>
      </w:r>
      <w:r w:rsidR="005A7FF6" w:rsidRPr="00EC5244">
        <w:rPr>
          <w:lang w:val="en-CA"/>
        </w:rPr>
        <w:t xml:space="preserve">aqueous </w:t>
      </w:r>
      <w:r w:rsidR="008A3FA6" w:rsidRPr="00EC5244">
        <w:rPr>
          <w:lang w:val="en-CA"/>
        </w:rPr>
        <w:t>biphasic system</w:t>
      </w:r>
      <w:r w:rsidR="005A7FF6" w:rsidRPr="00EC5244">
        <w:rPr>
          <w:lang w:val="en-CA"/>
        </w:rPr>
        <w:t>s</w:t>
      </w:r>
      <w:r w:rsidR="0097233D" w:rsidRPr="00EC5244">
        <w:rPr>
          <w:lang w:val="en-CA"/>
        </w:rPr>
        <w:t xml:space="preserve">, whose existence can be inferred </w:t>
      </w:r>
      <w:r w:rsidR="009B2004" w:rsidRPr="00EC5244">
        <w:rPr>
          <w:lang w:val="en-CA"/>
        </w:rPr>
        <w:t xml:space="preserve">by </w:t>
      </w:r>
      <w:r w:rsidR="008A3FA6" w:rsidRPr="00EC5244">
        <w:rPr>
          <w:lang w:val="en-CA"/>
        </w:rPr>
        <w:t>the phase diagram</w:t>
      </w:r>
      <w:r w:rsidR="0097233D" w:rsidRPr="00EC5244">
        <w:rPr>
          <w:lang w:val="en-CA"/>
        </w:rPr>
        <w:t xml:space="preserve"> of the aqueous hydrotrope mixture. </w:t>
      </w:r>
    </w:p>
    <w:p w14:paraId="1AE8D514" w14:textId="77777777" w:rsidR="008A3FA6" w:rsidRPr="00EC5244" w:rsidRDefault="008A3FA6" w:rsidP="00283FBB">
      <w:pPr>
        <w:pStyle w:val="TAMainText"/>
        <w:ind w:firstLine="0"/>
        <w:rPr>
          <w:lang w:val="en-CA"/>
        </w:rPr>
      </w:pPr>
    </w:p>
    <w:p w14:paraId="388BCF09" w14:textId="1DCC4E8A" w:rsidR="00ED6007" w:rsidRPr="00EC5244" w:rsidRDefault="008A3FA6" w:rsidP="00A45BE5">
      <w:pPr>
        <w:pStyle w:val="TAMainText"/>
        <w:rPr>
          <w:lang w:val="en-CA"/>
        </w:rPr>
      </w:pPr>
      <w:r w:rsidRPr="00EC5244">
        <w:rPr>
          <w:lang w:val="en-CA"/>
        </w:rPr>
        <w:t>Let us consider a 2-component system (</w:t>
      </w:r>
      <m:oMath>
        <m:r>
          <w:rPr>
            <w:rFonts w:ascii="Cambria Math" w:hAnsi="Cambria Math"/>
            <w:lang w:val="en-CA"/>
          </w:rPr>
          <m:t>C=2</m:t>
        </m:r>
      </m:oMath>
      <w:r w:rsidRPr="00EC5244">
        <w:rPr>
          <w:lang w:val="en-CA"/>
        </w:rPr>
        <w:t>), which separates into 2 phases (</w:t>
      </w:r>
      <m:oMath>
        <m:r>
          <w:rPr>
            <w:rFonts w:ascii="Cambria Math" w:hAnsi="Cambria Math"/>
            <w:lang w:val="en-CA"/>
          </w:rPr>
          <m:t>P=2</m:t>
        </m:r>
      </m:oMath>
      <w:r w:rsidR="0097233D" w:rsidRPr="00EC5244">
        <w:rPr>
          <w:lang w:val="en-CA"/>
        </w:rPr>
        <w:t xml:space="preserve">). According </w:t>
      </w:r>
      <w:r w:rsidRPr="00EC5244">
        <w:rPr>
          <w:lang w:val="en-CA"/>
        </w:rPr>
        <w:t xml:space="preserve">to the Gibbs phase rule, the degrees of freedom are </w:t>
      </w:r>
      <m:oMath>
        <m:r>
          <w:rPr>
            <w:rFonts w:ascii="Cambria Math" w:hAnsi="Cambria Math"/>
            <w:lang w:val="en-CA"/>
          </w:rPr>
          <m:t>F=2-2+2=2</m:t>
        </m:r>
      </m:oMath>
      <w:r w:rsidRPr="00EC5244">
        <w:rPr>
          <w:lang w:val="en-CA"/>
        </w:rPr>
        <w:t xml:space="preserve">. </w:t>
      </w:r>
      <w:r w:rsidR="00ED6007" w:rsidRPr="00EC5244">
        <w:rPr>
          <w:lang w:val="en-CA"/>
        </w:rPr>
        <w:t>This means, under a constant temperature, either pressure or composition can be changed, but not both</w:t>
      </w:r>
      <w:r w:rsidR="00A45BE5" w:rsidRPr="00EC5244">
        <w:rPr>
          <w:lang w:val="en-CA"/>
        </w:rPr>
        <w:t xml:space="preserve">. This leaves us with only one thermodynamic parameter along which the solvation free energy can be changed. Therefore, in this system, two KB integrals (solute-water and solute-hydrotrope) cannot be determined independently. This is in contrast with </w:t>
      </w:r>
      <w:r w:rsidR="00ED6007" w:rsidRPr="00EC5244">
        <w:rPr>
          <w:lang w:val="en-CA"/>
        </w:rPr>
        <w:t>the case of single-ph</w:t>
      </w:r>
      <w:r w:rsidR="00A45BE5" w:rsidRPr="00EC5244">
        <w:rPr>
          <w:lang w:val="en-CA"/>
        </w:rPr>
        <w:t>ase aqueous hydrotrope solution in which the solvation free energy could be modulated</w:t>
      </w:r>
      <w:r w:rsidR="00ED6007" w:rsidRPr="00EC5244">
        <w:rPr>
          <w:lang w:val="en-CA"/>
        </w:rPr>
        <w:t xml:space="preserve"> </w:t>
      </w:r>
      <w:r w:rsidR="00A45BE5" w:rsidRPr="00EC5244">
        <w:rPr>
          <w:lang w:val="en-CA"/>
        </w:rPr>
        <w:t>by two independent thermodynamic parameters, by which two KB integrals (</w:t>
      </w:r>
      <w:r w:rsidR="00ED6007" w:rsidRPr="00EC5244">
        <w:rPr>
          <w:lang w:val="en-CA"/>
        </w:rPr>
        <w:t>solute-water and solute-hydrotrope</w:t>
      </w:r>
      <w:r w:rsidR="00A45BE5" w:rsidRPr="00EC5244">
        <w:rPr>
          <w:lang w:val="en-CA"/>
        </w:rPr>
        <w:t>) could</w:t>
      </w:r>
      <w:r w:rsidR="00ED6007" w:rsidRPr="00EC5244">
        <w:rPr>
          <w:lang w:val="en-CA"/>
        </w:rPr>
        <w:t xml:space="preserve"> be determined independently. </w:t>
      </w:r>
    </w:p>
    <w:p w14:paraId="5ABE2D2F" w14:textId="77777777" w:rsidR="00ED6007" w:rsidRPr="00EC5244" w:rsidRDefault="00ED6007" w:rsidP="00283FBB">
      <w:pPr>
        <w:pStyle w:val="TAMainText"/>
        <w:ind w:firstLine="0"/>
        <w:rPr>
          <w:lang w:val="en-CA"/>
        </w:rPr>
      </w:pPr>
    </w:p>
    <w:p w14:paraId="293E59C1" w14:textId="220EBDB4" w:rsidR="005A7FF6" w:rsidRPr="00EC5244" w:rsidRDefault="008A3FA6" w:rsidP="005A7FF6">
      <w:pPr>
        <w:pStyle w:val="TAMainText"/>
        <w:rPr>
          <w:lang w:val="en-CA"/>
        </w:rPr>
      </w:pPr>
      <w:r w:rsidRPr="00EC5244">
        <w:rPr>
          <w:lang w:val="en-CA"/>
        </w:rPr>
        <w:t>Suppose that the aqueous “hydrotrope” solution has relatively low</w:t>
      </w:r>
      <w:r w:rsidR="00FF784D" w:rsidRPr="00EC5244">
        <w:rPr>
          <w:lang w:val="en-CA"/>
        </w:rPr>
        <w:t xml:space="preserve"> saturation solubility of the hydrotrope</w:t>
      </w:r>
      <w:r w:rsidRPr="00EC5244">
        <w:rPr>
          <w:lang w:val="en-CA"/>
        </w:rPr>
        <w:t xml:space="preserve">. The addition of more hydrotrope after this composition will see the phase separation of the system into two phases. </w:t>
      </w:r>
      <w:r w:rsidR="005A7FF6" w:rsidRPr="00EC5244">
        <w:rPr>
          <w:lang w:val="en-CA"/>
        </w:rPr>
        <w:t>Using the mole fraction scale, let us denote the two hydrotrope concentrations</w:t>
      </w:r>
      <w:r w:rsidR="00A16D86" w:rsidRPr="00EC5244">
        <w:t xml:space="preserve"> on the coexistence curve</w:t>
      </w:r>
      <w:r w:rsidR="005A7FF6" w:rsidRPr="00EC5244">
        <w:rPr>
          <w:lang w:val="en-CA"/>
        </w:rPr>
        <w:t xml:space="preserve"> as </w:t>
      </w:r>
      <m:oMath>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2</m:t>
            </m:r>
          </m:sub>
          <m:sup>
            <m:r>
              <w:rPr>
                <w:rFonts w:ascii="Cambria Math" w:hAnsi="Cambria Math"/>
                <w:lang w:val="en-CA"/>
              </w:rPr>
              <m:t>CW</m:t>
            </m:r>
          </m:sup>
        </m:sSubSup>
      </m:oMath>
      <w:r w:rsidR="005A7FF6" w:rsidRPr="00EC5244">
        <w:rPr>
          <w:lang w:val="en-CA"/>
        </w:rPr>
        <w:t xml:space="preserve"> </w:t>
      </w:r>
      <w:r w:rsidR="00E211FB" w:rsidRPr="00EC5244">
        <w:rPr>
          <w:lang w:val="en-CA"/>
        </w:rPr>
        <w:t xml:space="preserve">(water rich) </w:t>
      </w:r>
      <w:r w:rsidR="005A7FF6" w:rsidRPr="00EC5244">
        <w:rPr>
          <w:lang w:val="en-CA"/>
        </w:rPr>
        <w:t xml:space="preserve">and </w:t>
      </w:r>
      <m:oMath>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2</m:t>
            </m:r>
          </m:sub>
          <m:sup>
            <m:r>
              <w:rPr>
                <w:rFonts w:ascii="Cambria Math" w:hAnsi="Cambria Math"/>
                <w:lang w:val="en-CA"/>
              </w:rPr>
              <m:t>CH</m:t>
            </m:r>
          </m:sup>
        </m:sSubSup>
      </m:oMath>
      <w:r w:rsidR="00E211FB" w:rsidRPr="00EC5244">
        <w:rPr>
          <w:lang w:val="en-CA"/>
        </w:rPr>
        <w:t xml:space="preserve"> (hydrotrope rich)</w:t>
      </w:r>
      <w:r w:rsidR="005A7FF6" w:rsidRPr="00EC5244">
        <w:rPr>
          <w:lang w:val="en-CA"/>
        </w:rPr>
        <w:t xml:space="preserve">. </w:t>
      </w:r>
      <w:r w:rsidR="000141A9" w:rsidRPr="00EC5244">
        <w:rPr>
          <w:lang w:val="en-CA"/>
        </w:rPr>
        <w:t xml:space="preserve">Let the molecular weight of water and hydrotrope respectively be </w:t>
      </w:r>
      <m:oMath>
        <m:sSub>
          <m:sSubPr>
            <m:ctrlPr>
              <w:rPr>
                <w:rFonts w:ascii="Cambria Math" w:hAnsi="Cambria Math"/>
                <w:i/>
                <w:lang w:val="en-CA"/>
              </w:rPr>
            </m:ctrlPr>
          </m:sSubPr>
          <m:e>
            <m:r>
              <w:rPr>
                <w:rFonts w:ascii="Cambria Math" w:hAnsi="Cambria Math"/>
                <w:lang w:val="en-CA"/>
              </w:rPr>
              <m:t>M</m:t>
            </m:r>
          </m:e>
          <m:sub>
            <m:r>
              <w:rPr>
                <w:rFonts w:ascii="Cambria Math" w:hAnsi="Cambria Math"/>
                <w:lang w:val="en-CA"/>
              </w:rPr>
              <m:t>1</m:t>
            </m:r>
          </m:sub>
        </m:sSub>
      </m:oMath>
      <w:r w:rsidR="000141A9" w:rsidRPr="00EC5244">
        <w:rPr>
          <w:lang w:val="en-CA"/>
        </w:rPr>
        <w:t xml:space="preserve"> and </w:t>
      </w:r>
      <m:oMath>
        <m:sSub>
          <m:sSubPr>
            <m:ctrlPr>
              <w:rPr>
                <w:rFonts w:ascii="Cambria Math" w:hAnsi="Cambria Math"/>
                <w:i/>
                <w:lang w:val="en-CA"/>
              </w:rPr>
            </m:ctrlPr>
          </m:sSubPr>
          <m:e>
            <m:r>
              <w:rPr>
                <w:rFonts w:ascii="Cambria Math" w:hAnsi="Cambria Math"/>
                <w:lang w:val="en-CA"/>
              </w:rPr>
              <m:t>M</m:t>
            </m:r>
          </m:e>
          <m:sub>
            <m:r>
              <w:rPr>
                <w:rFonts w:ascii="Cambria Math" w:hAnsi="Cambria Math"/>
                <w:lang w:val="en-CA"/>
              </w:rPr>
              <m:t>2</m:t>
            </m:r>
          </m:sub>
        </m:sSub>
      </m:oMath>
      <w:r w:rsidR="000141A9" w:rsidRPr="00EC5244">
        <w:rPr>
          <w:lang w:val="en-CA"/>
        </w:rPr>
        <w:t xml:space="preserve">. </w:t>
      </w:r>
      <w:r w:rsidR="00E211FB" w:rsidRPr="00EC5244">
        <w:rPr>
          <w:lang w:val="en-CA"/>
        </w:rPr>
        <w:t xml:space="preserve">According to the </w:t>
      </w:r>
      <w:r w:rsidR="008A0E92" w:rsidRPr="00EC5244">
        <w:rPr>
          <w:lang w:val="en-CA"/>
        </w:rPr>
        <w:t xml:space="preserve">lever rule, the </w:t>
      </w:r>
      <w:r w:rsidR="008A0E92" w:rsidRPr="00EC5244">
        <w:rPr>
          <w:lang w:val="en-GB"/>
        </w:rPr>
        <w:t xml:space="preserve">volume </w:t>
      </w:r>
      <w:r w:rsidR="005A7FF6" w:rsidRPr="00EC5244">
        <w:rPr>
          <w:lang w:val="en-CA"/>
        </w:rPr>
        <w:t xml:space="preserve">ratio between the </w:t>
      </w:r>
      <w:r w:rsidRPr="00EC5244">
        <w:rPr>
          <w:lang w:val="en-CA"/>
        </w:rPr>
        <w:t xml:space="preserve">amount of hydrotrope-rich phase </w:t>
      </w:r>
      <w:r w:rsidR="007C079D" w:rsidRPr="00EC5244">
        <w:rPr>
          <w:lang w:val="en-CA"/>
        </w:rPr>
        <w:t xml:space="preserve">(whose composition and mass density are </w:t>
      </w:r>
      <m:oMath>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2</m:t>
            </m:r>
          </m:sub>
          <m:sup>
            <m:r>
              <w:rPr>
                <w:rFonts w:ascii="Cambria Math" w:hAnsi="Cambria Math"/>
                <w:lang w:val="en-CA"/>
              </w:rPr>
              <m:t>CH</m:t>
            </m:r>
          </m:sup>
        </m:sSubSup>
      </m:oMath>
      <w:r w:rsidR="007C079D" w:rsidRPr="00EC5244">
        <w:rPr>
          <w:lang w:val="en-CA"/>
        </w:rPr>
        <w:t xml:space="preserve"> and </w:t>
      </w:r>
      <m:oMath>
        <m:sSup>
          <m:sSupPr>
            <m:ctrlPr>
              <w:rPr>
                <w:rFonts w:ascii="Cambria Math" w:hAnsi="Cambria Math"/>
                <w:i/>
                <w:lang w:val="en-CA"/>
              </w:rPr>
            </m:ctrlPr>
          </m:sSupPr>
          <m:e>
            <m:r>
              <w:rPr>
                <w:rFonts w:ascii="Cambria Math" w:hAnsi="Cambria Math"/>
                <w:lang w:val="en-CA"/>
              </w:rPr>
              <m:t>ρ</m:t>
            </m:r>
          </m:e>
          <m:sup>
            <m:r>
              <w:rPr>
                <w:rFonts w:ascii="Cambria Math" w:hAnsi="Cambria Math"/>
                <w:lang w:val="en-CA"/>
              </w:rPr>
              <m:t>CH</m:t>
            </m:r>
          </m:sup>
        </m:sSup>
      </m:oMath>
      <w:r w:rsidR="007C079D" w:rsidRPr="00EC5244">
        <w:rPr>
          <w:lang w:val="en-CA"/>
        </w:rPr>
        <w:t xml:space="preserve">, respectively) </w:t>
      </w:r>
      <w:r w:rsidR="007C079D" w:rsidRPr="00EC5244">
        <w:rPr>
          <w:i/>
          <w:lang w:val="en-CA"/>
        </w:rPr>
        <w:t>versus</w:t>
      </w:r>
      <w:r w:rsidR="007C079D" w:rsidRPr="00EC5244">
        <w:rPr>
          <w:lang w:val="en-CA"/>
        </w:rPr>
        <w:t xml:space="preserve"> the water-rich phases (whose composition and mass density are </w:t>
      </w:r>
      <m:oMath>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2</m:t>
            </m:r>
          </m:sub>
          <m:sup>
            <m:r>
              <w:rPr>
                <w:rFonts w:ascii="Cambria Math" w:hAnsi="Cambria Math"/>
                <w:lang w:val="en-CA"/>
              </w:rPr>
              <m:t>CW</m:t>
            </m:r>
          </m:sup>
        </m:sSubSup>
      </m:oMath>
      <w:r w:rsidR="007C079D" w:rsidRPr="00EC5244">
        <w:rPr>
          <w:lang w:val="en-CA"/>
        </w:rPr>
        <w:t xml:space="preserve"> and </w:t>
      </w:r>
      <m:oMath>
        <m:sSup>
          <m:sSupPr>
            <m:ctrlPr>
              <w:rPr>
                <w:rFonts w:ascii="Cambria Math" w:hAnsi="Cambria Math"/>
                <w:i/>
                <w:lang w:val="en-CA"/>
              </w:rPr>
            </m:ctrlPr>
          </m:sSupPr>
          <m:e>
            <m:r>
              <w:rPr>
                <w:rFonts w:ascii="Cambria Math" w:hAnsi="Cambria Math"/>
                <w:lang w:val="en-CA"/>
              </w:rPr>
              <m:t>ρ</m:t>
            </m:r>
          </m:e>
          <m:sup>
            <m:r>
              <w:rPr>
                <w:rFonts w:ascii="Cambria Math" w:hAnsi="Cambria Math"/>
                <w:lang w:val="en-CA"/>
              </w:rPr>
              <m:t>CW</m:t>
            </m:r>
          </m:sup>
        </m:sSup>
      </m:oMath>
      <w:r w:rsidR="007C079D" w:rsidRPr="00EC5244">
        <w:rPr>
          <w:lang w:val="en-CA"/>
        </w:rPr>
        <w:t>, respectively)</w:t>
      </w:r>
      <w:r w:rsidR="005A7FF6" w:rsidRPr="00EC5244">
        <w:rPr>
          <w:lang w:val="en-CA"/>
        </w:rPr>
        <w:t xml:space="preserve"> can be calculated between the two critical</w:t>
      </w:r>
      <w:r w:rsidRPr="00EC5244">
        <w:rPr>
          <w:lang w:val="en-CA"/>
        </w:rPr>
        <w:t xml:space="preserve"> composition</w:t>
      </w:r>
      <w:r w:rsidR="005A7FF6" w:rsidRPr="00EC5244">
        <w:rPr>
          <w:lang w:val="en-CA"/>
        </w:rPr>
        <w:t xml:space="preserve">s as </w:t>
      </w:r>
    </w:p>
    <w:p w14:paraId="29A1495A" w14:textId="5FDC7B1F" w:rsidR="008A3FA6" w:rsidRPr="00EC5244" w:rsidRDefault="005A7FF6" w:rsidP="005A7FF6">
      <w:pPr>
        <w:pStyle w:val="TAMainText"/>
        <w:rPr>
          <w:lang w:val="en-CA"/>
        </w:rPr>
      </w:pPr>
      <m:oMath>
        <m:r>
          <w:rPr>
            <w:rFonts w:ascii="Cambria Math" w:hAnsi="Cambria Math"/>
            <w:lang w:val="en-CA"/>
          </w:rPr>
          <m:t>R=</m:t>
        </m:r>
        <m:f>
          <m:fPr>
            <m:ctrlPr>
              <w:rPr>
                <w:rFonts w:ascii="Cambria Math" w:hAnsi="Cambria Math"/>
                <w:i/>
                <w:lang w:val="en-CA"/>
              </w:rPr>
            </m:ctrlPr>
          </m:fPr>
          <m:num>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2</m:t>
                </m:r>
              </m:sub>
            </m:sSub>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2</m:t>
                </m:r>
              </m:sub>
              <m:sup>
                <m:r>
                  <w:rPr>
                    <w:rFonts w:ascii="Cambria Math" w:hAnsi="Cambria Math"/>
                    <w:lang w:val="en-CA"/>
                  </w:rPr>
                  <m:t>CW</m:t>
                </m:r>
              </m:sup>
            </m:sSubSup>
          </m:num>
          <m:den>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2</m:t>
                </m:r>
              </m:sub>
              <m:sup>
                <m:r>
                  <w:rPr>
                    <w:rFonts w:ascii="Cambria Math" w:hAnsi="Cambria Math"/>
                    <w:lang w:val="en-CA"/>
                  </w:rPr>
                  <m:t>CH</m:t>
                </m:r>
              </m:sup>
            </m:sSubSup>
            <m:r>
              <w:rPr>
                <w:rFonts w:ascii="Cambria Math" w:hAnsi="Cambria Math"/>
                <w:lang w:val="en-CA"/>
              </w:rPr>
              <m:t>-</m:t>
            </m:r>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2</m:t>
                </m:r>
              </m:sub>
            </m:sSub>
          </m:den>
        </m:f>
        <m:f>
          <m:fPr>
            <m:ctrlPr>
              <w:rPr>
                <w:rFonts w:ascii="Cambria Math" w:hAnsi="Cambria Math"/>
                <w:i/>
                <w:lang w:val="en-CA"/>
              </w:rPr>
            </m:ctrlPr>
          </m:fPr>
          <m:num>
            <m:sSup>
              <m:sSupPr>
                <m:ctrlPr>
                  <w:rPr>
                    <w:rFonts w:ascii="Cambria Math" w:hAnsi="Cambria Math"/>
                    <w:i/>
                    <w:lang w:val="en-CA"/>
                  </w:rPr>
                </m:ctrlPr>
              </m:sSupPr>
              <m:e>
                <m:r>
                  <w:rPr>
                    <w:rFonts w:ascii="Cambria Math" w:hAnsi="Cambria Math"/>
                    <w:lang w:val="en-CA"/>
                  </w:rPr>
                  <m:t>ρ</m:t>
                </m:r>
              </m:e>
              <m:sup>
                <m:r>
                  <w:rPr>
                    <w:rFonts w:ascii="Cambria Math" w:hAnsi="Cambria Math"/>
                    <w:lang w:val="en-CA"/>
                  </w:rPr>
                  <m:t>CW</m:t>
                </m:r>
              </m:sup>
            </m:sSup>
          </m:num>
          <m:den>
            <m:sSup>
              <m:sSupPr>
                <m:ctrlPr>
                  <w:rPr>
                    <w:rFonts w:ascii="Cambria Math" w:hAnsi="Cambria Math"/>
                    <w:i/>
                    <w:lang w:val="en-CA"/>
                  </w:rPr>
                </m:ctrlPr>
              </m:sSupPr>
              <m:e>
                <m:r>
                  <w:rPr>
                    <w:rFonts w:ascii="Cambria Math" w:hAnsi="Cambria Math"/>
                    <w:lang w:val="en-CA"/>
                  </w:rPr>
                  <m:t>ρ</m:t>
                </m:r>
              </m:e>
              <m:sup>
                <m:r>
                  <w:rPr>
                    <w:rFonts w:ascii="Cambria Math" w:hAnsi="Cambria Math"/>
                    <w:lang w:val="en-CA"/>
                  </w:rPr>
                  <m:t>CH</m:t>
                </m:r>
              </m:sup>
            </m:sSup>
          </m:den>
        </m:f>
        <m:f>
          <m:fPr>
            <m:ctrlPr>
              <w:rPr>
                <w:rFonts w:ascii="Cambria Math" w:hAnsi="Cambria Math"/>
                <w:i/>
                <w:lang w:val="en-CA"/>
              </w:rPr>
            </m:ctrlPr>
          </m:fPr>
          <m:num>
            <m:sSub>
              <m:sSubPr>
                <m:ctrlPr>
                  <w:rPr>
                    <w:rFonts w:ascii="Cambria Math" w:hAnsi="Cambria Math"/>
                    <w:i/>
                    <w:lang w:val="en-CA"/>
                  </w:rPr>
                </m:ctrlPr>
              </m:sSubPr>
              <m:e>
                <m:r>
                  <w:rPr>
                    <w:rFonts w:ascii="Cambria Math" w:hAnsi="Cambria Math"/>
                    <w:lang w:val="en-CA"/>
                  </w:rPr>
                  <m:t>M</m:t>
                </m:r>
              </m:e>
              <m:sub>
                <m:r>
                  <w:rPr>
                    <w:rFonts w:ascii="Cambria Math" w:hAnsi="Cambria Math"/>
                    <w:lang w:val="en-CA"/>
                  </w:rPr>
                  <m:t>1</m:t>
                </m:r>
              </m:sub>
            </m:sSub>
            <m:r>
              <w:rPr>
                <w:rFonts w:ascii="Cambria Math" w:hAnsi="Cambria Math"/>
                <w:lang w:val="en-CA"/>
              </w:rPr>
              <m:t>+</m:t>
            </m:r>
            <m:d>
              <m:dPr>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M</m:t>
                    </m:r>
                  </m:e>
                  <m:sub>
                    <m:r>
                      <w:rPr>
                        <w:rFonts w:ascii="Cambria Math" w:hAnsi="Cambria Math"/>
                        <w:lang w:val="en-CA"/>
                      </w:rPr>
                      <m:t>2</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M</m:t>
                    </m:r>
                  </m:e>
                  <m:sub>
                    <m:r>
                      <w:rPr>
                        <w:rFonts w:ascii="Cambria Math" w:hAnsi="Cambria Math"/>
                        <w:lang w:val="en-CA"/>
                      </w:rPr>
                      <m:t>1</m:t>
                    </m:r>
                  </m:sub>
                </m:sSub>
              </m:e>
            </m:d>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2</m:t>
                </m:r>
              </m:sub>
              <m:sup>
                <m:r>
                  <w:rPr>
                    <w:rFonts w:ascii="Cambria Math" w:hAnsi="Cambria Math"/>
                    <w:lang w:val="en-CA"/>
                  </w:rPr>
                  <m:t>CH</m:t>
                </m:r>
              </m:sup>
            </m:sSubSup>
          </m:num>
          <m:den>
            <m:sSub>
              <m:sSubPr>
                <m:ctrlPr>
                  <w:rPr>
                    <w:rFonts w:ascii="Cambria Math" w:hAnsi="Cambria Math"/>
                    <w:i/>
                    <w:lang w:val="en-CA"/>
                  </w:rPr>
                </m:ctrlPr>
              </m:sSubPr>
              <m:e>
                <m:r>
                  <w:rPr>
                    <w:rFonts w:ascii="Cambria Math" w:hAnsi="Cambria Math"/>
                    <w:lang w:val="en-CA"/>
                  </w:rPr>
                  <m:t>M</m:t>
                </m:r>
              </m:e>
              <m:sub>
                <m:r>
                  <w:rPr>
                    <w:rFonts w:ascii="Cambria Math" w:hAnsi="Cambria Math"/>
                    <w:lang w:val="en-CA"/>
                  </w:rPr>
                  <m:t>1</m:t>
                </m:r>
              </m:sub>
            </m:sSub>
            <m:r>
              <w:rPr>
                <w:rFonts w:ascii="Cambria Math" w:hAnsi="Cambria Math"/>
                <w:lang w:val="en-CA"/>
              </w:rPr>
              <m:t>+</m:t>
            </m:r>
            <m:d>
              <m:dPr>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M</m:t>
                    </m:r>
                  </m:e>
                  <m:sub>
                    <m:r>
                      <w:rPr>
                        <w:rFonts w:ascii="Cambria Math" w:hAnsi="Cambria Math"/>
                        <w:lang w:val="en-CA"/>
                      </w:rPr>
                      <m:t>2</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M</m:t>
                    </m:r>
                  </m:e>
                  <m:sub>
                    <m:r>
                      <w:rPr>
                        <w:rFonts w:ascii="Cambria Math" w:hAnsi="Cambria Math"/>
                        <w:lang w:val="en-CA"/>
                      </w:rPr>
                      <m:t>1</m:t>
                    </m:r>
                  </m:sub>
                </m:sSub>
              </m:e>
            </m:d>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2</m:t>
                </m:r>
              </m:sub>
              <m:sup>
                <m:r>
                  <w:rPr>
                    <w:rFonts w:ascii="Cambria Math" w:hAnsi="Cambria Math"/>
                    <w:lang w:val="en-CA"/>
                  </w:rPr>
                  <m:t>CW</m:t>
                </m:r>
              </m:sup>
            </m:sSubSup>
          </m:den>
        </m:f>
        <m:r>
          <w:rPr>
            <w:rFonts w:ascii="Cambria Math" w:hAnsi="Cambria Math"/>
            <w:lang w:val="en-CA"/>
          </w:rPr>
          <m:t xml:space="preserve"> =</m:t>
        </m:r>
        <m:d>
          <m:dPr>
            <m:ctrlPr>
              <w:rPr>
                <w:rFonts w:ascii="Cambria Math" w:hAnsi="Cambria Math"/>
                <w:i/>
                <w:lang w:val="en-CA"/>
              </w:rPr>
            </m:ctrlPr>
          </m:dPr>
          <m:e>
            <m:f>
              <m:fPr>
                <m:ctrlPr>
                  <w:rPr>
                    <w:rFonts w:ascii="Cambria Math" w:hAnsi="Cambria Math"/>
                    <w:i/>
                    <w:lang w:val="en-CA"/>
                  </w:rPr>
                </m:ctrlPr>
              </m:fPr>
              <m:num>
                <m:r>
                  <w:rPr>
                    <w:rFonts w:ascii="Cambria Math" w:hAnsi="Cambria Math"/>
                    <w:lang w:val="en-CA"/>
                  </w:rPr>
                  <m:t>L</m:t>
                </m:r>
              </m:num>
              <m:den>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2</m:t>
                    </m:r>
                  </m:sub>
                  <m:sup>
                    <m:r>
                      <w:rPr>
                        <w:rFonts w:ascii="Cambria Math" w:hAnsi="Cambria Math"/>
                        <w:lang w:val="en-CA"/>
                      </w:rPr>
                      <m:t>CH</m:t>
                    </m:r>
                  </m:sup>
                </m:sSubSup>
                <m:r>
                  <w:rPr>
                    <w:rFonts w:ascii="Cambria Math" w:hAnsi="Cambria Math"/>
                    <w:lang w:val="en-CA"/>
                  </w:rPr>
                  <m:t>-</m:t>
                </m:r>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2</m:t>
                    </m:r>
                  </m:sub>
                </m:sSub>
              </m:den>
            </m:f>
            <m:r>
              <w:rPr>
                <w:rFonts w:ascii="Cambria Math" w:hAnsi="Cambria Math"/>
                <w:lang w:val="en-CA"/>
              </w:rPr>
              <m:t>-1</m:t>
            </m:r>
          </m:e>
        </m:d>
        <m:r>
          <w:rPr>
            <w:rFonts w:ascii="Cambria Math" w:hAnsi="Cambria Math"/>
            <w:lang w:val="en-CA"/>
          </w:rPr>
          <m:t>R'</m:t>
        </m:r>
      </m:oMath>
      <w:r w:rsidR="008A3FA6" w:rsidRPr="00EC5244">
        <w:rPr>
          <w:lang w:val="en-CA"/>
        </w:rPr>
        <w:t xml:space="preserve"> </w:t>
      </w:r>
      <w:r w:rsidR="008A0E92" w:rsidRPr="00EC5244">
        <w:rPr>
          <w:lang w:val="en-CA"/>
        </w:rPr>
        <w:tab/>
      </w:r>
      <w:r w:rsidR="008A0E92" w:rsidRPr="00EC5244">
        <w:rPr>
          <w:lang w:val="en-CA"/>
        </w:rPr>
        <w:tab/>
      </w:r>
      <w:r w:rsidR="008A0E92" w:rsidRPr="00EC5244">
        <w:rPr>
          <w:lang w:val="en-CA"/>
        </w:rPr>
        <w:tab/>
      </w:r>
      <w:r w:rsidR="008A0E92" w:rsidRPr="00EC5244">
        <w:rPr>
          <w:lang w:val="en-CA"/>
        </w:rPr>
        <w:tab/>
      </w:r>
      <w:r w:rsidR="008A0E92" w:rsidRPr="00EC5244">
        <w:rPr>
          <w:lang w:val="en-CA"/>
        </w:rPr>
        <w:tab/>
      </w:r>
      <w:r w:rsidRPr="00EC5244">
        <w:rPr>
          <w:lang w:val="en-CA"/>
        </w:rPr>
        <w:t>(2)</w:t>
      </w:r>
    </w:p>
    <w:p w14:paraId="339924B3" w14:textId="528F2F99" w:rsidR="005A7FF6" w:rsidRPr="00EC5244" w:rsidRDefault="005A7FF6" w:rsidP="00283FBB">
      <w:pPr>
        <w:pStyle w:val="TAMainText"/>
        <w:ind w:firstLine="0"/>
        <w:rPr>
          <w:lang w:val="en-CA"/>
        </w:rPr>
      </w:pPr>
      <w:r w:rsidRPr="00EC5244">
        <w:rPr>
          <w:lang w:val="en-CA"/>
        </w:rPr>
        <w:t xml:space="preserve">where </w:t>
      </w:r>
      <m:oMath>
        <m:r>
          <w:rPr>
            <w:rFonts w:ascii="Cambria Math" w:hAnsi="Cambria Math"/>
            <w:lang w:val="en-CA"/>
          </w:rPr>
          <m:t>L=</m:t>
        </m:r>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2</m:t>
            </m:r>
          </m:sub>
          <m:sup>
            <m:r>
              <w:rPr>
                <w:rFonts w:ascii="Cambria Math" w:hAnsi="Cambria Math"/>
                <w:lang w:val="en-CA"/>
              </w:rPr>
              <m:t>CH</m:t>
            </m:r>
          </m:sup>
        </m:sSubSup>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2</m:t>
            </m:r>
          </m:sub>
          <m:sup>
            <m:r>
              <w:rPr>
                <w:rFonts w:ascii="Cambria Math" w:hAnsi="Cambria Math"/>
                <w:lang w:val="en-CA"/>
              </w:rPr>
              <m:t>CW</m:t>
            </m:r>
          </m:sup>
        </m:sSubSup>
      </m:oMath>
      <w:r w:rsidR="000141A9" w:rsidRPr="00EC5244">
        <w:rPr>
          <w:lang w:val="en-CA"/>
        </w:rPr>
        <w:t xml:space="preserve"> and</w:t>
      </w:r>
      <w:r w:rsidR="008A0E92" w:rsidRPr="00EC5244">
        <w:rPr>
          <w:lang w:val="en-CA"/>
        </w:rPr>
        <w:t xml:space="preserve"> </w:t>
      </w:r>
      <m:oMath>
        <m:r>
          <w:rPr>
            <w:rFonts w:ascii="Cambria Math" w:hAnsi="Cambria Math"/>
            <w:lang w:val="en-CA"/>
          </w:rPr>
          <m:t>R'=</m:t>
        </m:r>
        <m:f>
          <m:fPr>
            <m:ctrlPr>
              <w:rPr>
                <w:rFonts w:ascii="Cambria Math" w:hAnsi="Cambria Math"/>
                <w:i/>
                <w:lang w:val="en-CA"/>
              </w:rPr>
            </m:ctrlPr>
          </m:fPr>
          <m:num>
            <m:sSup>
              <m:sSupPr>
                <m:ctrlPr>
                  <w:rPr>
                    <w:rFonts w:ascii="Cambria Math" w:hAnsi="Cambria Math"/>
                    <w:i/>
                    <w:lang w:val="en-CA"/>
                  </w:rPr>
                </m:ctrlPr>
              </m:sSupPr>
              <m:e>
                <m:r>
                  <w:rPr>
                    <w:rFonts w:ascii="Cambria Math" w:hAnsi="Cambria Math"/>
                    <w:lang w:val="en-CA"/>
                  </w:rPr>
                  <m:t>ρ</m:t>
                </m:r>
              </m:e>
              <m:sup>
                <m:r>
                  <w:rPr>
                    <w:rFonts w:ascii="Cambria Math" w:hAnsi="Cambria Math"/>
                    <w:lang w:val="en-CA"/>
                  </w:rPr>
                  <m:t>CW</m:t>
                </m:r>
              </m:sup>
            </m:sSup>
          </m:num>
          <m:den>
            <m:sSup>
              <m:sSupPr>
                <m:ctrlPr>
                  <w:rPr>
                    <w:rFonts w:ascii="Cambria Math" w:hAnsi="Cambria Math"/>
                    <w:i/>
                    <w:lang w:val="en-CA"/>
                  </w:rPr>
                </m:ctrlPr>
              </m:sSupPr>
              <m:e>
                <m:r>
                  <w:rPr>
                    <w:rFonts w:ascii="Cambria Math" w:hAnsi="Cambria Math"/>
                    <w:lang w:val="en-CA"/>
                  </w:rPr>
                  <m:t>ρ</m:t>
                </m:r>
              </m:e>
              <m:sup>
                <m:r>
                  <w:rPr>
                    <w:rFonts w:ascii="Cambria Math" w:hAnsi="Cambria Math"/>
                    <w:lang w:val="en-CA"/>
                  </w:rPr>
                  <m:t>CH</m:t>
                </m:r>
              </m:sup>
            </m:sSup>
          </m:den>
        </m:f>
        <m:f>
          <m:fPr>
            <m:ctrlPr>
              <w:rPr>
                <w:rFonts w:ascii="Cambria Math" w:hAnsi="Cambria Math"/>
                <w:i/>
                <w:lang w:val="en-CA"/>
              </w:rPr>
            </m:ctrlPr>
          </m:fPr>
          <m:num>
            <m:sSub>
              <m:sSubPr>
                <m:ctrlPr>
                  <w:rPr>
                    <w:rFonts w:ascii="Cambria Math" w:hAnsi="Cambria Math"/>
                    <w:i/>
                    <w:lang w:val="en-CA"/>
                  </w:rPr>
                </m:ctrlPr>
              </m:sSubPr>
              <m:e>
                <m:r>
                  <w:rPr>
                    <w:rFonts w:ascii="Cambria Math" w:hAnsi="Cambria Math"/>
                    <w:lang w:val="en-CA"/>
                  </w:rPr>
                  <m:t>M</m:t>
                </m:r>
              </m:e>
              <m:sub>
                <m:r>
                  <w:rPr>
                    <w:rFonts w:ascii="Cambria Math" w:hAnsi="Cambria Math"/>
                    <w:lang w:val="en-CA"/>
                  </w:rPr>
                  <m:t>1</m:t>
                </m:r>
              </m:sub>
            </m:sSub>
            <m:r>
              <w:rPr>
                <w:rFonts w:ascii="Cambria Math" w:hAnsi="Cambria Math"/>
                <w:lang w:val="en-CA"/>
              </w:rPr>
              <m:t>+</m:t>
            </m:r>
            <m:d>
              <m:dPr>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M</m:t>
                    </m:r>
                  </m:e>
                  <m:sub>
                    <m:r>
                      <w:rPr>
                        <w:rFonts w:ascii="Cambria Math" w:hAnsi="Cambria Math"/>
                        <w:lang w:val="en-CA"/>
                      </w:rPr>
                      <m:t>2</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M</m:t>
                    </m:r>
                  </m:e>
                  <m:sub>
                    <m:r>
                      <w:rPr>
                        <w:rFonts w:ascii="Cambria Math" w:hAnsi="Cambria Math"/>
                        <w:lang w:val="en-CA"/>
                      </w:rPr>
                      <m:t>1</m:t>
                    </m:r>
                  </m:sub>
                </m:sSub>
              </m:e>
            </m:d>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2</m:t>
                </m:r>
              </m:sub>
              <m:sup>
                <m:r>
                  <w:rPr>
                    <w:rFonts w:ascii="Cambria Math" w:hAnsi="Cambria Math"/>
                    <w:lang w:val="en-CA"/>
                  </w:rPr>
                  <m:t>CH</m:t>
                </m:r>
              </m:sup>
            </m:sSubSup>
          </m:num>
          <m:den>
            <m:sSub>
              <m:sSubPr>
                <m:ctrlPr>
                  <w:rPr>
                    <w:rFonts w:ascii="Cambria Math" w:hAnsi="Cambria Math"/>
                    <w:i/>
                    <w:lang w:val="en-CA"/>
                  </w:rPr>
                </m:ctrlPr>
              </m:sSubPr>
              <m:e>
                <m:r>
                  <w:rPr>
                    <w:rFonts w:ascii="Cambria Math" w:hAnsi="Cambria Math"/>
                    <w:lang w:val="en-CA"/>
                  </w:rPr>
                  <m:t>M</m:t>
                </m:r>
              </m:e>
              <m:sub>
                <m:r>
                  <w:rPr>
                    <w:rFonts w:ascii="Cambria Math" w:hAnsi="Cambria Math"/>
                    <w:lang w:val="en-CA"/>
                  </w:rPr>
                  <m:t>1</m:t>
                </m:r>
              </m:sub>
            </m:sSub>
            <m:r>
              <w:rPr>
                <w:rFonts w:ascii="Cambria Math" w:hAnsi="Cambria Math"/>
                <w:lang w:val="en-CA"/>
              </w:rPr>
              <m:t>+</m:t>
            </m:r>
            <m:d>
              <m:dPr>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M</m:t>
                    </m:r>
                  </m:e>
                  <m:sub>
                    <m:r>
                      <w:rPr>
                        <w:rFonts w:ascii="Cambria Math" w:hAnsi="Cambria Math"/>
                        <w:lang w:val="en-CA"/>
                      </w:rPr>
                      <m:t>2</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M</m:t>
                    </m:r>
                  </m:e>
                  <m:sub>
                    <m:r>
                      <w:rPr>
                        <w:rFonts w:ascii="Cambria Math" w:hAnsi="Cambria Math"/>
                        <w:lang w:val="en-CA"/>
                      </w:rPr>
                      <m:t>1</m:t>
                    </m:r>
                  </m:sub>
                </m:sSub>
              </m:e>
            </m:d>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2</m:t>
                </m:r>
              </m:sub>
              <m:sup>
                <m:r>
                  <w:rPr>
                    <w:rFonts w:ascii="Cambria Math" w:hAnsi="Cambria Math"/>
                    <w:lang w:val="en-CA"/>
                  </w:rPr>
                  <m:t>CW</m:t>
                </m:r>
              </m:sup>
            </m:sSubSup>
          </m:den>
        </m:f>
      </m:oMath>
      <w:r w:rsidR="000141A9" w:rsidRPr="00EC5244">
        <w:rPr>
          <w:lang w:val="en-CA"/>
        </w:rPr>
        <w:t xml:space="preserve"> have been introduced for later convenience</w:t>
      </w:r>
      <w:r w:rsidR="008A0E92" w:rsidRPr="00EC5244">
        <w:rPr>
          <w:lang w:val="en-CA"/>
        </w:rPr>
        <w:t xml:space="preserve">. </w:t>
      </w:r>
    </w:p>
    <w:p w14:paraId="549393E4" w14:textId="77777777" w:rsidR="004D4B3C" w:rsidRPr="00EC5244" w:rsidRDefault="004D4B3C" w:rsidP="005A7FF6">
      <w:pPr>
        <w:pStyle w:val="TAMainText"/>
        <w:rPr>
          <w:lang w:val="en-CA"/>
        </w:rPr>
      </w:pPr>
    </w:p>
    <w:p w14:paraId="3CA31A14" w14:textId="71794687" w:rsidR="005A7FF6" w:rsidRPr="00EC5244" w:rsidRDefault="00B934F1" w:rsidP="005A7FF6">
      <w:pPr>
        <w:pStyle w:val="TAMainText"/>
        <w:rPr>
          <w:lang w:val="en-CA"/>
        </w:rPr>
      </w:pPr>
      <w:r w:rsidRPr="00EC5244">
        <w:rPr>
          <w:lang w:val="en-CA"/>
        </w:rPr>
        <w:t xml:space="preserve">Let us solubilize a hydrophobic solute into this aqueous biphasic system. </w:t>
      </w:r>
      <w:r w:rsidR="005A7FF6" w:rsidRPr="00EC5244">
        <w:rPr>
          <w:lang w:val="en-CA"/>
        </w:rPr>
        <w:t xml:space="preserve">Due to the Gibbs phase rule, </w:t>
      </w:r>
      <w:r w:rsidR="00FC0470" w:rsidRPr="00EC5244">
        <w:rPr>
          <w:lang w:val="en-CA"/>
        </w:rPr>
        <w:t>independent determination of solute-hydrotrope and solute-water interactions</w:t>
      </w:r>
      <w:r w:rsidR="005A7FF6" w:rsidRPr="00EC5244">
        <w:rPr>
          <w:lang w:val="en-CA"/>
        </w:rPr>
        <w:t xml:space="preserve"> is impossible</w:t>
      </w:r>
      <w:r w:rsidR="00E211FB" w:rsidRPr="00EC5244">
        <w:rPr>
          <w:lang w:val="en-CA"/>
        </w:rPr>
        <w:t>. The</w:t>
      </w:r>
      <w:r w:rsidR="00FC0470" w:rsidRPr="00EC5244">
        <w:rPr>
          <w:lang w:val="en-CA"/>
        </w:rPr>
        <w:t xml:space="preserve"> </w:t>
      </w:r>
      <w:r w:rsidR="00FC0470" w:rsidRPr="00EC5244">
        <w:rPr>
          <w:i/>
          <w:lang w:val="en-CA"/>
        </w:rPr>
        <w:t>relative</w:t>
      </w:r>
      <w:r w:rsidR="00FC0470" w:rsidRPr="00EC5244">
        <w:rPr>
          <w:lang w:val="en-CA"/>
        </w:rPr>
        <w:t xml:space="preserve"> strength</w:t>
      </w:r>
      <w:r w:rsidR="00E211FB" w:rsidRPr="00EC5244">
        <w:rPr>
          <w:lang w:val="en-CA"/>
        </w:rPr>
        <w:t xml:space="preserve"> of the two interaction</w:t>
      </w:r>
      <w:r w:rsidR="00FC0470" w:rsidRPr="00EC5244">
        <w:rPr>
          <w:lang w:val="en-CA"/>
        </w:rPr>
        <w:t xml:space="preserve">, however, can be determined. </w:t>
      </w:r>
      <w:r w:rsidR="005A7FF6" w:rsidRPr="00EC5244">
        <w:rPr>
          <w:lang w:val="en-CA"/>
        </w:rPr>
        <w:t xml:space="preserve">Let </w:t>
      </w:r>
      <m:oMath>
        <m:sSup>
          <m:sSupPr>
            <m:ctrlPr>
              <w:rPr>
                <w:rFonts w:ascii="Cambria Math" w:hAnsi="Cambria Math"/>
                <w:i/>
                <w:lang w:val="en-CA"/>
              </w:rPr>
            </m:ctrlPr>
          </m:sSupPr>
          <m:e>
            <m:r>
              <w:rPr>
                <w:rFonts w:ascii="Cambria Math" w:hAnsi="Cambria Math"/>
                <w:lang w:val="en-CA"/>
              </w:rPr>
              <m:t>K</m:t>
            </m:r>
          </m:e>
          <m:sup>
            <m:r>
              <w:rPr>
                <w:rFonts w:ascii="Cambria Math" w:hAnsi="Cambria Math"/>
                <w:lang w:val="en-CA"/>
              </w:rPr>
              <m:t>BF</m:t>
            </m:r>
          </m:sup>
        </m:sSup>
      </m:oMath>
      <w:r w:rsidR="005A7FF6" w:rsidRPr="00EC5244">
        <w:rPr>
          <w:lang w:val="en-CA"/>
        </w:rPr>
        <w:t xml:space="preserve"> be the partition coefficient between the water-rich and the hydrotrope-rich phases as </w:t>
      </w:r>
    </w:p>
    <w:p w14:paraId="40737D7A" w14:textId="2AABD60A" w:rsidR="005A7FF6" w:rsidRPr="00EC5244" w:rsidRDefault="000C7FF6" w:rsidP="005A7FF6">
      <w:pPr>
        <w:pStyle w:val="TAMainText"/>
        <w:rPr>
          <w:lang w:val="en-CA"/>
        </w:rPr>
      </w:pPr>
      <m:oMath>
        <m:sSup>
          <m:sSupPr>
            <m:ctrlPr>
              <w:rPr>
                <w:rFonts w:ascii="Cambria Math" w:hAnsi="Cambria Math"/>
                <w:i/>
                <w:lang w:val="en-CA"/>
              </w:rPr>
            </m:ctrlPr>
          </m:sSupPr>
          <m:e>
            <m:r>
              <w:rPr>
                <w:rFonts w:ascii="Cambria Math" w:hAnsi="Cambria Math"/>
                <w:lang w:val="en-CA"/>
              </w:rPr>
              <m:t>K</m:t>
            </m:r>
          </m:e>
          <m:sup>
            <m:r>
              <w:rPr>
                <w:rFonts w:ascii="Cambria Math" w:hAnsi="Cambria Math"/>
                <w:lang w:val="en-CA"/>
              </w:rPr>
              <m:t>BF</m:t>
            </m:r>
          </m:sup>
        </m:sSup>
        <m:r>
          <w:rPr>
            <w:rFonts w:ascii="Cambria Math" w:hAnsi="Cambria Math"/>
            <w:lang w:val="en-CA"/>
          </w:rPr>
          <m:t>=</m:t>
        </m:r>
        <m:f>
          <m:fPr>
            <m:ctrlPr>
              <w:rPr>
                <w:rFonts w:ascii="Cambria Math" w:hAnsi="Cambria Math"/>
                <w:i/>
                <w:lang w:val="en-CA"/>
              </w:rPr>
            </m:ctrlPr>
          </m:fPr>
          <m:num>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u</m:t>
                </m:r>
              </m:sub>
              <m:sup>
                <m:r>
                  <w:rPr>
                    <w:rFonts w:ascii="Cambria Math" w:hAnsi="Cambria Math"/>
                    <w:lang w:val="en-CA"/>
                  </w:rPr>
                  <m:t>CH</m:t>
                </m:r>
              </m:sup>
            </m:sSubSup>
          </m:num>
          <m:den>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u</m:t>
                </m:r>
              </m:sub>
              <m:sup>
                <m:r>
                  <w:rPr>
                    <w:rFonts w:ascii="Cambria Math" w:hAnsi="Cambria Math"/>
                    <w:lang w:val="en-CA"/>
                  </w:rPr>
                  <m:t>CW</m:t>
                </m:r>
              </m:sup>
            </m:sSubSup>
          </m:den>
        </m:f>
      </m:oMath>
      <w:r w:rsidR="005A7FF6" w:rsidRPr="00EC5244">
        <w:rPr>
          <w:lang w:val="en-CA"/>
        </w:rPr>
        <w:t xml:space="preserve">  </w:t>
      </w:r>
      <w:r w:rsidR="002405B8" w:rsidRPr="00EC5244">
        <w:rPr>
          <w:lang w:val="en-CA"/>
        </w:rPr>
        <w:tab/>
      </w:r>
      <w:r w:rsidR="002405B8" w:rsidRPr="00EC5244">
        <w:rPr>
          <w:lang w:val="en-CA"/>
        </w:rPr>
        <w:tab/>
      </w:r>
      <w:r w:rsidR="002405B8" w:rsidRPr="00EC5244">
        <w:rPr>
          <w:lang w:val="en-CA"/>
        </w:rPr>
        <w:tab/>
      </w:r>
      <w:r w:rsidR="002405B8" w:rsidRPr="00EC5244">
        <w:rPr>
          <w:lang w:val="en-CA"/>
        </w:rPr>
        <w:tab/>
      </w:r>
      <w:r w:rsidR="002405B8" w:rsidRPr="00EC5244">
        <w:rPr>
          <w:lang w:val="en-CA"/>
        </w:rPr>
        <w:tab/>
      </w:r>
      <w:r w:rsidR="002405B8" w:rsidRPr="00EC5244">
        <w:rPr>
          <w:lang w:val="en-CA"/>
        </w:rPr>
        <w:tab/>
      </w:r>
      <w:r w:rsidR="002405B8" w:rsidRPr="00EC5244">
        <w:rPr>
          <w:lang w:val="en-CA"/>
        </w:rPr>
        <w:tab/>
      </w:r>
      <w:r w:rsidR="002405B8" w:rsidRPr="00EC5244">
        <w:rPr>
          <w:lang w:val="en-CA"/>
        </w:rPr>
        <w:tab/>
      </w:r>
      <w:r w:rsidR="002405B8" w:rsidRPr="00EC5244">
        <w:rPr>
          <w:lang w:val="en-CA"/>
        </w:rPr>
        <w:tab/>
      </w:r>
      <w:r w:rsidR="002405B8" w:rsidRPr="00EC5244">
        <w:rPr>
          <w:lang w:val="en-CA"/>
        </w:rPr>
        <w:tab/>
      </w:r>
      <w:r w:rsidR="002405B8" w:rsidRPr="00EC5244">
        <w:rPr>
          <w:lang w:val="en-CA"/>
        </w:rPr>
        <w:tab/>
        <w:t xml:space="preserve">(3) </w:t>
      </w:r>
    </w:p>
    <w:p w14:paraId="4D1033FB" w14:textId="715103D3" w:rsidR="002405B8" w:rsidRPr="00EC5244" w:rsidRDefault="002405B8" w:rsidP="002405B8">
      <w:pPr>
        <w:pStyle w:val="TAMainText"/>
        <w:ind w:firstLine="0"/>
        <w:rPr>
          <w:lang w:val="en-CA"/>
        </w:rPr>
      </w:pPr>
      <w:r w:rsidRPr="00EC5244">
        <w:rPr>
          <w:lang w:val="en-CA"/>
        </w:rPr>
        <w:t xml:space="preserve">where </w:t>
      </w:r>
      <m:oMath>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u</m:t>
            </m:r>
          </m:sub>
          <m:sup>
            <m:r>
              <w:rPr>
                <w:rFonts w:ascii="Cambria Math" w:hAnsi="Cambria Math"/>
                <w:lang w:val="en-CA"/>
              </w:rPr>
              <m:t>CW</m:t>
            </m:r>
          </m:sup>
        </m:sSubSup>
      </m:oMath>
      <w:r w:rsidRPr="00EC5244">
        <w:rPr>
          <w:lang w:val="en-CA"/>
        </w:rPr>
        <w:t xml:space="preserve"> and </w:t>
      </w:r>
      <m:oMath>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u</m:t>
            </m:r>
          </m:sub>
          <m:sup>
            <m:r>
              <w:rPr>
                <w:rFonts w:ascii="Cambria Math" w:hAnsi="Cambria Math"/>
                <w:lang w:val="en-CA"/>
              </w:rPr>
              <m:t>CH</m:t>
            </m:r>
          </m:sup>
        </m:sSubSup>
      </m:oMath>
      <w:r w:rsidRPr="00EC5244">
        <w:rPr>
          <w:lang w:val="en-CA"/>
        </w:rPr>
        <w:t xml:space="preserve"> respectively express the </w:t>
      </w:r>
      <w:r w:rsidR="00471769" w:rsidRPr="00EC5244">
        <w:rPr>
          <w:lang w:val="en-CA"/>
        </w:rPr>
        <w:t>solute molar concentration in the water-rich</w:t>
      </w:r>
      <w:r w:rsidR="00E211FB" w:rsidRPr="00EC5244">
        <w:rPr>
          <w:lang w:val="en-CA"/>
        </w:rPr>
        <w:t xml:space="preserve"> and hydrotrope-rich phases (now being </w:t>
      </w:r>
      <w:r w:rsidR="00471769" w:rsidRPr="00EC5244">
        <w:rPr>
          <w:lang w:val="en-CA"/>
        </w:rPr>
        <w:t>viewed from the homogeneous solutions perspective</w:t>
      </w:r>
      <w:r w:rsidR="00E211FB" w:rsidRPr="00EC5244">
        <w:rPr>
          <w:lang w:val="en-CA"/>
        </w:rPr>
        <w:t>). What is important from now onwards</w:t>
      </w:r>
      <w:r w:rsidR="00471769" w:rsidRPr="00EC5244">
        <w:rPr>
          <w:lang w:val="en-CA"/>
        </w:rPr>
        <w:t xml:space="preserve"> is that </w:t>
      </w:r>
      <m:oMath>
        <m:sSup>
          <m:sSupPr>
            <m:ctrlPr>
              <w:rPr>
                <w:rFonts w:ascii="Cambria Math" w:hAnsi="Cambria Math"/>
                <w:i/>
                <w:lang w:val="en-CA"/>
              </w:rPr>
            </m:ctrlPr>
          </m:sSupPr>
          <m:e>
            <m:r>
              <w:rPr>
                <w:rFonts w:ascii="Cambria Math" w:hAnsi="Cambria Math"/>
                <w:lang w:val="en-CA"/>
              </w:rPr>
              <m:t>K</m:t>
            </m:r>
          </m:e>
          <m:sup>
            <m:r>
              <w:rPr>
                <w:rFonts w:ascii="Cambria Math" w:hAnsi="Cambria Math"/>
                <w:lang w:val="en-CA"/>
              </w:rPr>
              <m:t>BF</m:t>
            </m:r>
          </m:sup>
        </m:sSup>
      </m:oMath>
      <w:r w:rsidR="00471769" w:rsidRPr="00EC5244">
        <w:rPr>
          <w:lang w:val="en-CA"/>
        </w:rPr>
        <w:t xml:space="preserve"> remains a constant regardless of </w:t>
      </w:r>
      <m:oMath>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2</m:t>
            </m:r>
          </m:sub>
        </m:sSub>
      </m:oMath>
      <w:r w:rsidR="00471769" w:rsidRPr="00EC5244">
        <w:rPr>
          <w:lang w:val="en-CA"/>
        </w:rPr>
        <w:t xml:space="preserve">. </w:t>
      </w:r>
    </w:p>
    <w:p w14:paraId="3E45AFEF" w14:textId="77777777" w:rsidR="002405B8" w:rsidRPr="00EC5244" w:rsidRDefault="002405B8" w:rsidP="002405B8">
      <w:pPr>
        <w:pStyle w:val="TAMainText"/>
        <w:ind w:firstLine="0"/>
        <w:rPr>
          <w:lang w:val="en-CA"/>
        </w:rPr>
      </w:pPr>
    </w:p>
    <w:p w14:paraId="7B069EB5" w14:textId="476CA469" w:rsidR="00EA168C" w:rsidRPr="00EC5244" w:rsidRDefault="00FC0470" w:rsidP="00471769">
      <w:pPr>
        <w:pStyle w:val="TAMainText"/>
        <w:rPr>
          <w:lang w:val="en-CA"/>
        </w:rPr>
      </w:pPr>
      <w:r w:rsidRPr="00EC5244">
        <w:rPr>
          <w:lang w:val="en-CA"/>
        </w:rPr>
        <w:t xml:space="preserve">Suppose </w:t>
      </w:r>
      <w:r w:rsidR="00471769" w:rsidRPr="00EC5244">
        <w:rPr>
          <w:lang w:val="en-CA"/>
        </w:rPr>
        <w:t xml:space="preserve">that </w:t>
      </w:r>
      <m:oMath>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u</m:t>
            </m:r>
          </m:sub>
          <m:sup>
            <m:r>
              <w:rPr>
                <w:rFonts w:ascii="Cambria Math" w:hAnsi="Cambria Math"/>
                <w:lang w:val="en-CA"/>
              </w:rPr>
              <m:t>CH</m:t>
            </m:r>
          </m:sup>
        </m:sSubSup>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u</m:t>
            </m:r>
          </m:sub>
          <m:sup>
            <m:r>
              <w:rPr>
                <w:rFonts w:ascii="Cambria Math" w:hAnsi="Cambria Math"/>
                <w:lang w:val="en-CA"/>
              </w:rPr>
              <m:t>CW</m:t>
            </m:r>
          </m:sup>
        </m:sSubSup>
      </m:oMath>
      <w:r w:rsidR="00471769" w:rsidRPr="00EC5244">
        <w:rPr>
          <w:lang w:val="en-CA"/>
        </w:rPr>
        <w:t xml:space="preserve">, which is the case for biphasic solubilization. Above the hydrotrope concentration </w:t>
      </w:r>
      <m:oMath>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2</m:t>
            </m:r>
          </m:sub>
          <m:sup>
            <m:r>
              <w:rPr>
                <w:rFonts w:ascii="Cambria Math" w:hAnsi="Cambria Math"/>
                <w:lang w:val="en-CA"/>
              </w:rPr>
              <m:t>CW</m:t>
            </m:r>
          </m:sup>
        </m:sSubSup>
      </m:oMath>
      <w:r w:rsidR="00471769" w:rsidRPr="00EC5244">
        <w:rPr>
          <w:lang w:val="en-CA"/>
        </w:rPr>
        <w:t>, the relative amount of the hydrotrope-rich phase increases according to Eq. (2).  S</w:t>
      </w:r>
      <w:r w:rsidRPr="00EC5244">
        <w:rPr>
          <w:lang w:val="en-CA"/>
        </w:rPr>
        <w:t xml:space="preserve">ince </w:t>
      </w:r>
      <m:oMath>
        <m:sSup>
          <m:sSupPr>
            <m:ctrlPr>
              <w:rPr>
                <w:rFonts w:ascii="Cambria Math" w:hAnsi="Cambria Math"/>
                <w:i/>
                <w:lang w:val="en-CA"/>
              </w:rPr>
            </m:ctrlPr>
          </m:sSupPr>
          <m:e>
            <m:r>
              <w:rPr>
                <w:rFonts w:ascii="Cambria Math" w:hAnsi="Cambria Math"/>
                <w:lang w:val="en-CA"/>
              </w:rPr>
              <m:t>K</m:t>
            </m:r>
          </m:e>
          <m:sup>
            <m:r>
              <w:rPr>
                <w:rFonts w:ascii="Cambria Math" w:hAnsi="Cambria Math"/>
                <w:lang w:val="en-CA"/>
              </w:rPr>
              <m:t>BF</m:t>
            </m:r>
          </m:sup>
        </m:sSup>
      </m:oMath>
      <w:r w:rsidR="00471769" w:rsidRPr="00EC5244">
        <w:rPr>
          <w:lang w:val="en-CA"/>
        </w:rPr>
        <w:t xml:space="preserve"> is </w:t>
      </w:r>
      <w:r w:rsidR="00E211FB" w:rsidRPr="00EC5244">
        <w:rPr>
          <w:lang w:val="en-CA"/>
        </w:rPr>
        <w:t xml:space="preserve">a </w:t>
      </w:r>
      <w:r w:rsidRPr="00EC5244">
        <w:rPr>
          <w:lang w:val="en-CA"/>
        </w:rPr>
        <w:t xml:space="preserve">constant, the more </w:t>
      </w:r>
      <w:r w:rsidR="00615B5C" w:rsidRPr="00EC5244">
        <w:rPr>
          <w:lang w:val="en-CA"/>
        </w:rPr>
        <w:t xml:space="preserve">the hydrotrope-rich phase </w:t>
      </w:r>
      <w:r w:rsidRPr="00EC5244">
        <w:rPr>
          <w:lang w:val="en-CA"/>
        </w:rPr>
        <w:t>there is the m</w:t>
      </w:r>
      <w:r w:rsidR="00471769" w:rsidRPr="00EC5244">
        <w:rPr>
          <w:lang w:val="en-CA"/>
        </w:rPr>
        <w:t xml:space="preserve">ore soluble the solute becomes. Hence solubilization, or the apparent partition coefficient can be expressed as </w:t>
      </w:r>
    </w:p>
    <w:p w14:paraId="5B77E33B" w14:textId="6FA22D9D" w:rsidR="00471769" w:rsidRPr="00EC5244" w:rsidRDefault="000C7FF6" w:rsidP="00CD7325">
      <w:pPr>
        <w:pStyle w:val="TAMainText"/>
        <w:rPr>
          <w:lang w:val="en-CA"/>
        </w:rPr>
      </w:pPr>
      <m:oMath>
        <m:sSup>
          <m:sSupPr>
            <m:ctrlPr>
              <w:rPr>
                <w:rFonts w:ascii="Cambria Math" w:hAnsi="Cambria Math"/>
                <w:i/>
                <w:lang w:val="en-CA"/>
              </w:rPr>
            </m:ctrlPr>
          </m:sSupPr>
          <m:e>
            <m:r>
              <w:rPr>
                <w:rFonts w:ascii="Cambria Math" w:hAnsi="Cambria Math"/>
                <w:lang w:val="en-CA"/>
              </w:rPr>
              <m:t>K</m:t>
            </m:r>
          </m:e>
          <m:sup>
            <m:r>
              <w:rPr>
                <w:rFonts w:ascii="Cambria Math" w:hAnsi="Cambria Math"/>
                <w:lang w:val="en-CA"/>
              </w:rPr>
              <m:t>app</m:t>
            </m:r>
          </m:sup>
        </m:sSup>
        <m:r>
          <w:rPr>
            <w:rFonts w:ascii="Cambria Math" w:hAnsi="Cambria Math"/>
            <w:lang w:val="en-CA"/>
          </w:rPr>
          <m:t>=R</m:t>
        </m:r>
        <m:sSup>
          <m:sSupPr>
            <m:ctrlPr>
              <w:rPr>
                <w:rFonts w:ascii="Cambria Math" w:hAnsi="Cambria Math"/>
                <w:i/>
                <w:lang w:val="en-CA"/>
              </w:rPr>
            </m:ctrlPr>
          </m:sSupPr>
          <m:e>
            <m:r>
              <w:rPr>
                <w:rFonts w:ascii="Cambria Math" w:hAnsi="Cambria Math"/>
                <w:lang w:val="en-CA"/>
              </w:rPr>
              <m:t>K</m:t>
            </m:r>
          </m:e>
          <m:sup>
            <m:r>
              <w:rPr>
                <w:rFonts w:ascii="Cambria Math" w:hAnsi="Cambria Math"/>
                <w:lang w:val="en-CA"/>
              </w:rPr>
              <m:t>BF</m:t>
            </m:r>
          </m:sup>
        </m:sSup>
        <m:r>
          <w:rPr>
            <w:rFonts w:ascii="Cambria Math" w:hAnsi="Cambria Math"/>
            <w:lang w:val="en-CA"/>
          </w:rPr>
          <m:t>=</m:t>
        </m:r>
        <m:sSup>
          <m:sSupPr>
            <m:ctrlPr>
              <w:rPr>
                <w:rFonts w:ascii="Cambria Math" w:hAnsi="Cambria Math"/>
                <w:i/>
                <w:lang w:val="en-CA"/>
              </w:rPr>
            </m:ctrlPr>
          </m:sSupPr>
          <m:e>
            <m:r>
              <w:rPr>
                <w:rFonts w:ascii="Cambria Math" w:hAnsi="Cambria Math"/>
                <w:lang w:val="en-CA"/>
              </w:rPr>
              <m:t>K</m:t>
            </m:r>
          </m:e>
          <m:sup>
            <m:r>
              <w:rPr>
                <w:rFonts w:ascii="Cambria Math" w:hAnsi="Cambria Math"/>
                <w:lang w:val="en-CA"/>
              </w:rPr>
              <m:t>BF</m:t>
            </m:r>
          </m:sup>
        </m:sSup>
        <m:r>
          <w:rPr>
            <w:rFonts w:ascii="Cambria Math" w:hAnsi="Cambria Math"/>
            <w:lang w:val="en-GB"/>
          </w:rPr>
          <m:t>R'</m:t>
        </m:r>
        <m:d>
          <m:dPr>
            <m:ctrlPr>
              <w:rPr>
                <w:rFonts w:ascii="Cambria Math" w:hAnsi="Cambria Math"/>
                <w:i/>
                <w:lang w:val="en-CA"/>
              </w:rPr>
            </m:ctrlPr>
          </m:dPr>
          <m:e>
            <m:f>
              <m:fPr>
                <m:ctrlPr>
                  <w:rPr>
                    <w:rFonts w:ascii="Cambria Math" w:hAnsi="Cambria Math"/>
                    <w:i/>
                    <w:lang w:val="en-CA"/>
                  </w:rPr>
                </m:ctrlPr>
              </m:fPr>
              <m:num>
                <m:r>
                  <w:rPr>
                    <w:rFonts w:ascii="Cambria Math" w:hAnsi="Cambria Math"/>
                    <w:lang w:val="en-CA"/>
                  </w:rPr>
                  <m:t>L</m:t>
                </m:r>
              </m:num>
              <m:den>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2</m:t>
                    </m:r>
                  </m:sub>
                  <m:sup>
                    <m:r>
                      <w:rPr>
                        <w:rFonts w:ascii="Cambria Math" w:hAnsi="Cambria Math"/>
                        <w:lang w:val="en-CA"/>
                      </w:rPr>
                      <m:t>CH</m:t>
                    </m:r>
                  </m:sup>
                </m:sSubSup>
                <m:r>
                  <w:rPr>
                    <w:rFonts w:ascii="Cambria Math" w:hAnsi="Cambria Math"/>
                    <w:lang w:val="en-CA"/>
                  </w:rPr>
                  <m:t>-</m:t>
                </m:r>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2</m:t>
                    </m:r>
                  </m:sub>
                </m:sSub>
              </m:den>
            </m:f>
            <m:r>
              <w:rPr>
                <w:rFonts w:ascii="Cambria Math" w:hAnsi="Cambria Math"/>
                <w:lang w:val="en-CA"/>
              </w:rPr>
              <m:t>-1</m:t>
            </m:r>
            <m:r>
              <m:rPr>
                <m:sty m:val="p"/>
              </m:rPr>
              <w:rPr>
                <w:rFonts w:ascii="Cambria Math" w:hAnsi="Cambria Math"/>
                <w:lang w:val="en-CA"/>
              </w:rPr>
              <m:t xml:space="preserve"> </m:t>
            </m:r>
          </m:e>
        </m:d>
      </m:oMath>
      <w:r w:rsidR="00471769" w:rsidRPr="00EC5244">
        <w:rPr>
          <w:lang w:val="en-CA"/>
        </w:rPr>
        <w:tab/>
      </w:r>
      <w:r w:rsidR="00471769" w:rsidRPr="00EC5244">
        <w:rPr>
          <w:lang w:val="en-CA"/>
        </w:rPr>
        <w:tab/>
      </w:r>
      <w:r w:rsidR="00471769" w:rsidRPr="00EC5244">
        <w:rPr>
          <w:lang w:val="en-CA"/>
        </w:rPr>
        <w:tab/>
      </w:r>
      <w:r w:rsidR="00471769" w:rsidRPr="00EC5244">
        <w:rPr>
          <w:lang w:val="en-CA"/>
        </w:rPr>
        <w:tab/>
      </w:r>
      <w:r w:rsidR="00471769" w:rsidRPr="00EC5244">
        <w:rPr>
          <w:lang w:val="en-CA"/>
        </w:rPr>
        <w:tab/>
      </w:r>
      <w:r w:rsidR="00471769" w:rsidRPr="00EC5244">
        <w:rPr>
          <w:lang w:val="en-CA"/>
        </w:rPr>
        <w:tab/>
      </w:r>
      <w:r w:rsidR="00471769" w:rsidRPr="00EC5244">
        <w:rPr>
          <w:lang w:val="en-CA"/>
        </w:rPr>
        <w:tab/>
        <w:t xml:space="preserve">(4) </w:t>
      </w:r>
    </w:p>
    <w:p w14:paraId="12E0AE04" w14:textId="77777777" w:rsidR="00CD7325" w:rsidRPr="00EC5244" w:rsidRDefault="00CD7325" w:rsidP="00CD7325">
      <w:pPr>
        <w:pStyle w:val="TAMainText"/>
        <w:ind w:firstLine="0"/>
        <w:rPr>
          <w:lang w:val="en-CA"/>
        </w:rPr>
      </w:pPr>
      <w:r w:rsidRPr="00EC5244">
        <w:rPr>
          <w:lang w:val="en-CA"/>
        </w:rPr>
        <w:t xml:space="preserve">and the total solubility can be expressed as </w:t>
      </w:r>
    </w:p>
    <w:p w14:paraId="42F9F1AA" w14:textId="5D5C3E3D" w:rsidR="00CD7325" w:rsidRPr="00EC5244" w:rsidRDefault="000C7FF6" w:rsidP="00CD7325">
      <w:pPr>
        <w:pStyle w:val="TAMainText"/>
        <w:ind w:firstLine="0"/>
        <w:rPr>
          <w:lang w:val="en-CA"/>
        </w:rPr>
      </w:pPr>
      <m:oMath>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u</m:t>
            </m:r>
          </m:sub>
          <m:sup>
            <m:r>
              <w:rPr>
                <w:rFonts w:ascii="Cambria Math" w:hAnsi="Cambria Math"/>
                <w:lang w:val="en-CA"/>
              </w:rPr>
              <m:t>CW</m:t>
            </m:r>
          </m:sup>
        </m:sSubSup>
        <m:d>
          <m:dPr>
            <m:ctrlPr>
              <w:rPr>
                <w:rFonts w:ascii="Cambria Math" w:hAnsi="Cambria Math"/>
                <w:i/>
                <w:lang w:val="en-CA"/>
              </w:rPr>
            </m:ctrlPr>
          </m:dPr>
          <m:e>
            <m:r>
              <w:rPr>
                <w:rFonts w:ascii="Cambria Math" w:hAnsi="Cambria Math"/>
                <w:lang w:val="en-CA"/>
              </w:rPr>
              <m:t>1+</m:t>
            </m:r>
            <m:sSup>
              <m:sSupPr>
                <m:ctrlPr>
                  <w:rPr>
                    <w:rFonts w:ascii="Cambria Math" w:hAnsi="Cambria Math"/>
                    <w:i/>
                    <w:lang w:val="en-CA"/>
                  </w:rPr>
                </m:ctrlPr>
              </m:sSupPr>
              <m:e>
                <m:r>
                  <w:rPr>
                    <w:rFonts w:ascii="Cambria Math" w:hAnsi="Cambria Math"/>
                    <w:lang w:val="en-CA"/>
                  </w:rPr>
                  <m:t>K</m:t>
                </m:r>
              </m:e>
              <m:sup>
                <m:r>
                  <w:rPr>
                    <w:rFonts w:ascii="Cambria Math" w:hAnsi="Cambria Math"/>
                    <w:lang w:val="en-CA"/>
                  </w:rPr>
                  <m:t>app</m:t>
                </m:r>
              </m:sup>
            </m:sSup>
          </m:e>
        </m:d>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u</m:t>
            </m:r>
          </m:sub>
          <m:sup>
            <m:r>
              <w:rPr>
                <w:rFonts w:ascii="Cambria Math" w:hAnsi="Cambria Math"/>
                <w:lang w:val="en-CA"/>
              </w:rPr>
              <m:t>CW</m:t>
            </m:r>
          </m:sup>
        </m:sSubSup>
        <m:d>
          <m:dPr>
            <m:begChr m:val="["/>
            <m:endChr m:val="]"/>
            <m:ctrlPr>
              <w:rPr>
                <w:rFonts w:ascii="Cambria Math" w:hAnsi="Cambria Math"/>
                <w:i/>
                <w:lang w:val="en-CA"/>
              </w:rPr>
            </m:ctrlPr>
          </m:dPr>
          <m:e>
            <m:r>
              <w:rPr>
                <w:rFonts w:ascii="Cambria Math" w:hAnsi="Cambria Math"/>
                <w:lang w:val="en-CA"/>
              </w:rPr>
              <m:t>1+</m:t>
            </m:r>
            <m:sSup>
              <m:sSupPr>
                <m:ctrlPr>
                  <w:rPr>
                    <w:rFonts w:ascii="Cambria Math" w:hAnsi="Cambria Math"/>
                    <w:i/>
                    <w:lang w:val="en-CA"/>
                  </w:rPr>
                </m:ctrlPr>
              </m:sSupPr>
              <m:e>
                <m:r>
                  <w:rPr>
                    <w:rFonts w:ascii="Cambria Math" w:hAnsi="Cambria Math"/>
                    <w:lang w:val="en-CA"/>
                  </w:rPr>
                  <m:t>K</m:t>
                </m:r>
              </m:e>
              <m:sup>
                <m:r>
                  <w:rPr>
                    <w:rFonts w:ascii="Cambria Math" w:hAnsi="Cambria Math"/>
                    <w:lang w:val="en-CA"/>
                  </w:rPr>
                  <m:t>BF</m:t>
                </m:r>
              </m:sup>
            </m:sSup>
            <m:r>
              <w:rPr>
                <w:rFonts w:ascii="Cambria Math" w:hAnsi="Cambria Math"/>
                <w:lang w:val="en-CA"/>
              </w:rPr>
              <m:t>R'</m:t>
            </m:r>
            <m:d>
              <m:dPr>
                <m:ctrlPr>
                  <w:rPr>
                    <w:rFonts w:ascii="Cambria Math" w:hAnsi="Cambria Math"/>
                    <w:i/>
                    <w:lang w:val="en-CA"/>
                  </w:rPr>
                </m:ctrlPr>
              </m:dPr>
              <m:e>
                <m:f>
                  <m:fPr>
                    <m:ctrlPr>
                      <w:rPr>
                        <w:rFonts w:ascii="Cambria Math" w:hAnsi="Cambria Math"/>
                        <w:i/>
                        <w:lang w:val="en-CA"/>
                      </w:rPr>
                    </m:ctrlPr>
                  </m:fPr>
                  <m:num>
                    <m:r>
                      <w:rPr>
                        <w:rFonts w:ascii="Cambria Math" w:hAnsi="Cambria Math"/>
                        <w:lang w:val="en-CA"/>
                      </w:rPr>
                      <m:t>L</m:t>
                    </m:r>
                  </m:num>
                  <m:den>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2</m:t>
                        </m:r>
                      </m:sub>
                      <m:sup>
                        <m:r>
                          <w:rPr>
                            <w:rFonts w:ascii="Cambria Math" w:hAnsi="Cambria Math"/>
                            <w:lang w:val="en-CA"/>
                          </w:rPr>
                          <m:t>CH</m:t>
                        </m:r>
                      </m:sup>
                    </m:sSubSup>
                    <m:r>
                      <w:rPr>
                        <w:rFonts w:ascii="Cambria Math" w:hAnsi="Cambria Math"/>
                        <w:lang w:val="en-CA"/>
                      </w:rPr>
                      <m:t>-</m:t>
                    </m:r>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2</m:t>
                        </m:r>
                      </m:sub>
                    </m:sSub>
                  </m:den>
                </m:f>
                <m:r>
                  <w:rPr>
                    <w:rFonts w:ascii="Cambria Math" w:hAnsi="Cambria Math"/>
                    <w:lang w:val="en-CA"/>
                  </w:rPr>
                  <m:t>-1</m:t>
                </m:r>
                <m:r>
                  <m:rPr>
                    <m:sty m:val="p"/>
                  </m:rPr>
                  <w:rPr>
                    <w:rFonts w:ascii="Cambria Math" w:hAnsi="Cambria Math"/>
                    <w:lang w:val="en-CA"/>
                  </w:rPr>
                  <m:t xml:space="preserve"> </m:t>
                </m:r>
              </m:e>
            </m:d>
          </m:e>
        </m:d>
      </m:oMath>
      <w:r w:rsidR="00CD7325" w:rsidRPr="00EC5244">
        <w:rPr>
          <w:lang w:val="en-CA"/>
        </w:rPr>
        <w:t xml:space="preserve">  </w:t>
      </w:r>
      <w:r w:rsidR="00CD7325" w:rsidRPr="00EC5244">
        <w:rPr>
          <w:lang w:val="en-CA"/>
        </w:rPr>
        <w:tab/>
      </w:r>
      <w:r w:rsidR="00CD7325" w:rsidRPr="00EC5244">
        <w:rPr>
          <w:lang w:val="en-CA"/>
        </w:rPr>
        <w:tab/>
      </w:r>
      <w:r w:rsidR="00CD7325" w:rsidRPr="00EC5244">
        <w:rPr>
          <w:lang w:val="en-CA"/>
        </w:rPr>
        <w:tab/>
      </w:r>
      <w:r w:rsidR="00CD7325" w:rsidRPr="00EC5244">
        <w:rPr>
          <w:lang w:val="en-CA"/>
        </w:rPr>
        <w:tab/>
      </w:r>
      <w:r w:rsidR="00CD7325" w:rsidRPr="00EC5244">
        <w:rPr>
          <w:lang w:val="en-CA"/>
        </w:rPr>
        <w:tab/>
      </w:r>
      <w:r w:rsidR="00CD7325" w:rsidRPr="00EC5244">
        <w:rPr>
          <w:lang w:val="en-CA"/>
        </w:rPr>
        <w:tab/>
        <w:t>(5)</w:t>
      </w:r>
    </w:p>
    <w:p w14:paraId="3F66E064" w14:textId="77777777" w:rsidR="007C079D" w:rsidRPr="00EC5244" w:rsidRDefault="007C079D" w:rsidP="00CD7325">
      <w:pPr>
        <w:pStyle w:val="TAMainText"/>
        <w:rPr>
          <w:color w:val="FF0000"/>
          <w:lang w:val="en-CA" w:eastAsia="ja-JP"/>
        </w:rPr>
      </w:pPr>
    </w:p>
    <w:p w14:paraId="3A9E2BF4" w14:textId="0AF39C7B" w:rsidR="00CD7325" w:rsidRPr="00EC5244" w:rsidRDefault="00CD7325" w:rsidP="00CD7325">
      <w:pPr>
        <w:pStyle w:val="TAMainText"/>
        <w:rPr>
          <w:lang w:val="en-CA"/>
        </w:rPr>
      </w:pPr>
      <w:r w:rsidRPr="00EC5244">
        <w:rPr>
          <w:lang w:val="en-CA"/>
        </w:rPr>
        <w:t xml:space="preserve">This aqueous biphasic system can also exhibit </w:t>
      </w:r>
      <w:r w:rsidR="00E211FB" w:rsidRPr="00EC5244">
        <w:rPr>
          <w:lang w:val="en-CA"/>
        </w:rPr>
        <w:t>what looks like cooperative solubilization, as can be seen from Eq. (5); a</w:t>
      </w:r>
      <w:r w:rsidRPr="00EC5244">
        <w:rPr>
          <w:lang w:val="en-CA"/>
        </w:rPr>
        <w:t xml:space="preserve"> sudden increase of solubility takes place when </w:t>
      </w:r>
      <m:oMath>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2</m:t>
            </m:r>
          </m:sub>
        </m:sSub>
      </m:oMath>
      <w:r w:rsidRPr="00EC5244">
        <w:rPr>
          <w:lang w:val="en-CA"/>
        </w:rPr>
        <w:t xml:space="preserve"> approaches </w:t>
      </w:r>
      <m:oMath>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2</m:t>
            </m:r>
          </m:sub>
          <m:sup>
            <m:r>
              <w:rPr>
                <w:rFonts w:ascii="Cambria Math" w:hAnsi="Cambria Math"/>
                <w:lang w:val="en-CA"/>
              </w:rPr>
              <m:t>CH</m:t>
            </m:r>
          </m:sup>
        </m:sSubSup>
      </m:oMath>
      <w:r w:rsidR="007C079D" w:rsidRPr="00EC5244">
        <w:rPr>
          <w:lang w:val="en-CA"/>
        </w:rPr>
        <w:t xml:space="preserve"> (</w:t>
      </w:r>
      <m:oMath>
        <m:r>
          <w:rPr>
            <w:rFonts w:ascii="Cambria Math" w:hAnsi="Cambria Math"/>
            <w:lang w:val="en-CA"/>
          </w:rPr>
          <m:t>R'</m:t>
        </m:r>
      </m:oMath>
      <w:r w:rsidR="007C079D" w:rsidRPr="00EC5244">
        <w:rPr>
          <w:lang w:val="en-CA"/>
        </w:rPr>
        <w:t xml:space="preserve"> is actually not a constant with respect to the change in </w:t>
      </w:r>
      <m:oMath>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2</m:t>
            </m:r>
          </m:sub>
        </m:sSub>
      </m:oMath>
      <w:r w:rsidR="007C079D" w:rsidRPr="00EC5244">
        <w:rPr>
          <w:lang w:val="en-CA"/>
        </w:rPr>
        <w:t xml:space="preserve"> but varies only smoothly)</w:t>
      </w:r>
      <w:r w:rsidRPr="00EC5244">
        <w:rPr>
          <w:lang w:val="en-CA"/>
        </w:rPr>
        <w:t>. However, this mechanism is different from the hydrotropic cooperativity clarified for the small molecule hydrotropy (Section 3.1) and from m</w:t>
      </w:r>
      <w:r w:rsidR="008913D1" w:rsidRPr="00EC5244">
        <w:rPr>
          <w:lang w:val="en-CA"/>
        </w:rPr>
        <w:t>icellar hydrotropes (Section 4.1</w:t>
      </w:r>
      <w:r w:rsidR="00E211FB" w:rsidRPr="00EC5244">
        <w:rPr>
          <w:lang w:val="en-CA"/>
        </w:rPr>
        <w:t xml:space="preserve">), both of which indeed have cooperative hydrotrope interactions as the basis of cooperative solubilization. </w:t>
      </w:r>
    </w:p>
    <w:p w14:paraId="63B22AED" w14:textId="77777777" w:rsidR="00CD7325" w:rsidRPr="00EC5244" w:rsidRDefault="00CD7325" w:rsidP="00CD7325">
      <w:pPr>
        <w:pStyle w:val="TAMainText"/>
        <w:rPr>
          <w:lang w:val="en-CA"/>
        </w:rPr>
      </w:pPr>
    </w:p>
    <w:p w14:paraId="4035EE6E" w14:textId="4746D76B" w:rsidR="00B076C9" w:rsidRPr="00EC5244" w:rsidRDefault="00CD7325" w:rsidP="00283FBB">
      <w:pPr>
        <w:pStyle w:val="TAMainText"/>
        <w:ind w:firstLine="0"/>
        <w:rPr>
          <w:b/>
          <w:lang w:val="en-CA"/>
        </w:rPr>
      </w:pPr>
      <w:r w:rsidRPr="00EC5244">
        <w:rPr>
          <w:b/>
          <w:lang w:val="en-CA"/>
        </w:rPr>
        <w:t>4</w:t>
      </w:r>
      <w:r w:rsidR="00FA2F3A" w:rsidRPr="00EC5244">
        <w:rPr>
          <w:b/>
          <w:lang w:val="en-CA"/>
        </w:rPr>
        <w:t>. Hydrotropy in-</w:t>
      </w:r>
      <w:r w:rsidR="00B076C9" w:rsidRPr="00EC5244">
        <w:rPr>
          <w:b/>
          <w:lang w:val="en-CA"/>
        </w:rPr>
        <w:t xml:space="preserve">between </w:t>
      </w:r>
    </w:p>
    <w:p w14:paraId="0C96B017" w14:textId="77777777" w:rsidR="00B076C9" w:rsidRPr="00EC5244" w:rsidRDefault="00B076C9" w:rsidP="00283FBB">
      <w:pPr>
        <w:pStyle w:val="TAMainText"/>
        <w:ind w:firstLine="0"/>
        <w:rPr>
          <w:b/>
          <w:lang w:val="en-CA"/>
        </w:rPr>
      </w:pPr>
    </w:p>
    <w:p w14:paraId="0E04E030" w14:textId="53B6AD3D" w:rsidR="00865534" w:rsidRPr="00EC5244" w:rsidRDefault="00CD7325" w:rsidP="00283FBB">
      <w:pPr>
        <w:pStyle w:val="TAMainText"/>
        <w:ind w:firstLine="0"/>
        <w:rPr>
          <w:b/>
          <w:lang w:val="en-CA"/>
        </w:rPr>
      </w:pPr>
      <w:r w:rsidRPr="00EC5244">
        <w:rPr>
          <w:b/>
          <w:lang w:val="en-CA"/>
        </w:rPr>
        <w:t>4</w:t>
      </w:r>
      <w:r w:rsidR="00B076C9" w:rsidRPr="00EC5244">
        <w:rPr>
          <w:b/>
          <w:lang w:val="en-CA"/>
        </w:rPr>
        <w:t>.1</w:t>
      </w:r>
      <w:r w:rsidR="00234504" w:rsidRPr="00EC5244">
        <w:rPr>
          <w:b/>
          <w:lang w:val="en-CA"/>
        </w:rPr>
        <w:t xml:space="preserve">. Cooperativity in micellar </w:t>
      </w:r>
      <w:r w:rsidR="00EF48AC" w:rsidRPr="00EC5244">
        <w:rPr>
          <w:b/>
          <w:lang w:val="en-CA"/>
        </w:rPr>
        <w:t>hydrotropy / solubilization</w:t>
      </w:r>
    </w:p>
    <w:p w14:paraId="67A17856" w14:textId="77777777" w:rsidR="008038A4" w:rsidRPr="00EC5244" w:rsidRDefault="008038A4" w:rsidP="00283FBB">
      <w:pPr>
        <w:pStyle w:val="TAMainText"/>
        <w:ind w:firstLine="0"/>
        <w:rPr>
          <w:lang w:val="en-CA"/>
        </w:rPr>
      </w:pPr>
    </w:p>
    <w:p w14:paraId="4EB6A368" w14:textId="3A8511A5" w:rsidR="00865534" w:rsidRPr="00EC5244" w:rsidRDefault="004D4B3C" w:rsidP="00283FBB">
      <w:pPr>
        <w:pStyle w:val="TAMainText"/>
        <w:ind w:firstLine="0"/>
        <w:rPr>
          <w:lang w:val="en-CA"/>
        </w:rPr>
      </w:pPr>
      <w:r w:rsidRPr="00EC5244">
        <w:rPr>
          <w:lang w:val="en-CA"/>
        </w:rPr>
        <w:t>Since the analogy between hydrotropy and micellar solubilization has</w:t>
      </w:r>
      <w:r w:rsidR="00EF48AC" w:rsidRPr="00EC5244">
        <w:rPr>
          <w:lang w:val="en-CA"/>
        </w:rPr>
        <w:t xml:space="preserve"> often been invoked</w:t>
      </w:r>
      <w:r w:rsidRPr="00EC5244">
        <w:rPr>
          <w:lang w:val="en-CA"/>
        </w:rPr>
        <w:t>, h</w:t>
      </w:r>
      <w:r w:rsidR="00F02BE5" w:rsidRPr="00EC5244">
        <w:rPr>
          <w:lang w:val="en-CA"/>
        </w:rPr>
        <w:t xml:space="preserve">ere we consider </w:t>
      </w:r>
      <w:r w:rsidR="00CD7325" w:rsidRPr="00EC5244">
        <w:rPr>
          <w:lang w:val="en-CA"/>
        </w:rPr>
        <w:t xml:space="preserve">the </w:t>
      </w:r>
      <w:r w:rsidR="00F02BE5" w:rsidRPr="00EC5244">
        <w:rPr>
          <w:lang w:val="en-CA"/>
        </w:rPr>
        <w:t xml:space="preserve">solubilization of a solute by mono-disperse micelles, which means that we consider a solute molecule (as </w:t>
      </w:r>
      <w:r w:rsidR="00B97433" w:rsidRPr="00EC5244">
        <w:t xml:space="preserve">a source of </w:t>
      </w:r>
      <w:r w:rsidR="00F02BE5" w:rsidRPr="00EC5244">
        <w:rPr>
          <w:lang w:val="en-CA"/>
        </w:rPr>
        <w:t xml:space="preserve">an external field of an inhomogeneous solution) in a </w:t>
      </w:r>
      <w:r w:rsidR="004743D1" w:rsidRPr="00EC5244">
        <w:rPr>
          <w:lang w:val="en-CA"/>
        </w:rPr>
        <w:t>system comprised of water, micelle</w:t>
      </w:r>
      <w:r w:rsidR="00CD7325" w:rsidRPr="00EC5244">
        <w:rPr>
          <w:lang w:val="en-CA"/>
        </w:rPr>
        <w:t>,</w:t>
      </w:r>
      <w:r w:rsidR="004743D1" w:rsidRPr="00EC5244">
        <w:rPr>
          <w:lang w:val="en-CA"/>
        </w:rPr>
        <w:t xml:space="preserve"> and monomer.</w:t>
      </w:r>
      <w:r w:rsidR="006855FA" w:rsidRPr="00EC5244">
        <w:rPr>
          <w:lang w:val="en-CA"/>
        </w:rPr>
        <w:fldChar w:fldCharType="begin" w:fldLock="1"/>
      </w:r>
      <w:r w:rsidR="006855FA" w:rsidRPr="00EC5244">
        <w:rPr>
          <w:lang w:val="en-CA"/>
        </w:rPr>
        <w:instrText>ADDIN CSL_CITATION { "citationItems" : [ { "id" : "ITEM-1",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"35", "issued" : { "date-parts" : [ [ "2014" ] ] }, "page" : "10515-10524", "title" : "Hydrotropy: Monomer-micelle equilibrium and minimum hydrotrope concentration", "type" : "article-journal", "volume" : "118" }, "uris" : [ "http://www.mendeley.com/documents/?uuid=0cd1508f-d197-4e8d-a474-504cfaeae922" ] } ], "mendeley" : { "formattedCitation" : "&lt;sup&gt;10&lt;/sup&gt;", "plainTextFormattedCitation" : "10", "previouslyFormattedCitation" : "&lt;sup&gt;10&lt;/sup&gt;" }, "properties" : { "noteIndex" : 0 }, "schema" : "https://github.com/citation-style-language/schema/raw/master/csl-citation.json" }</w:instrText>
      </w:r>
      <w:r w:rsidR="006855FA" w:rsidRPr="00EC5244">
        <w:rPr>
          <w:lang w:val="en-CA"/>
        </w:rPr>
        <w:fldChar w:fldCharType="separate"/>
      </w:r>
      <w:r w:rsidR="006855FA" w:rsidRPr="00EC5244">
        <w:rPr>
          <w:noProof/>
          <w:vertAlign w:val="superscript"/>
          <w:lang w:val="en-CA"/>
        </w:rPr>
        <w:t>10</w:t>
      </w:r>
      <w:r w:rsidR="006855FA" w:rsidRPr="00EC5244">
        <w:rPr>
          <w:lang w:val="en-CA"/>
        </w:rPr>
        <w:fldChar w:fldCharType="end"/>
      </w:r>
      <w:r w:rsidR="004743D1" w:rsidRPr="00EC5244">
        <w:rPr>
          <w:lang w:val="en-CA"/>
        </w:rPr>
        <w:t xml:space="preserve"> This means an effective three-component solution (</w:t>
      </w:r>
      <m:oMath>
        <m:r>
          <w:rPr>
            <w:rFonts w:ascii="Cambria Math" w:hAnsi="Cambria Math"/>
            <w:lang w:val="en-CA"/>
          </w:rPr>
          <m:t>C=3</m:t>
        </m:r>
      </m:oMath>
      <w:r w:rsidR="004743D1" w:rsidRPr="00EC5244">
        <w:rPr>
          <w:lang w:val="en-CA"/>
        </w:rPr>
        <w:t xml:space="preserve">) with one less degree of freedom due to micelle-monomer equilibrium; the solution is in a single phase. The degree of freedom therefore is </w:t>
      </w:r>
      <m:oMath>
        <m:r>
          <w:rPr>
            <w:rFonts w:ascii="Cambria Math" w:hAnsi="Cambria Math"/>
            <w:lang w:val="en-CA"/>
          </w:rPr>
          <m:t>F=</m:t>
        </m:r>
        <m:d>
          <m:dPr>
            <m:ctrlPr>
              <w:rPr>
                <w:rFonts w:ascii="Cambria Math" w:hAnsi="Cambria Math"/>
                <w:i/>
                <w:lang w:val="en-CA"/>
              </w:rPr>
            </m:ctrlPr>
          </m:dPr>
          <m:e>
            <m:r>
              <w:rPr>
                <w:rFonts w:ascii="Cambria Math" w:hAnsi="Cambria Math"/>
                <w:lang w:val="en-CA"/>
              </w:rPr>
              <m:t>C-P+2</m:t>
            </m:r>
          </m:e>
        </m:d>
        <m:r>
          <w:rPr>
            <w:rFonts w:ascii="Cambria Math" w:hAnsi="Cambria Math"/>
            <w:lang w:val="en-CA"/>
          </w:rPr>
          <m:t>-1=3</m:t>
        </m:r>
      </m:oMath>
      <w:r w:rsidR="008038A4" w:rsidRPr="00EC5244">
        <w:rPr>
          <w:lang w:val="en-CA"/>
        </w:rPr>
        <w:t>, which is the same as in the case of small molecule hydrotropes. This means that, under a constant temperature, pressure and concentration can be changed independently to modulate the solvation free energy of a solute. Two independent variables for the solvation free energy means that two KB integrals involving the solute can be determined:</w:t>
      </w:r>
      <w:r w:rsidR="006855FA" w:rsidRPr="00EC5244">
        <w:rPr>
          <w:lang w:val="en-CA"/>
        </w:rPr>
        <w:fldChar w:fldCharType="begin" w:fldLock="1"/>
      </w:r>
      <w:r w:rsidR="00A07779" w:rsidRPr="00EC5244">
        <w:rPr>
          <w:lang w:val="en-CA"/>
        </w:rPr>
        <w:instrText>ADDIN CSL_CITATION { "citationItems" : [ { "id" : "ITEM-1",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"14", "issued" : { "date-parts" : [ [ "2014" ] ] }, "page" : "3922-3930", "title" : "Preferential solvation: Dividing surface vs excess numbers", "type" : "article-journal", "volume" : "118" }, "uris" : [ "http://www.mendeley.com/documents/?uuid=896fec6b-354e-41cd-a8de-55bd371a22f5" ] } ], "mendeley" : { "formattedCitation" : "&lt;sup&gt;27&lt;/sup&gt;", "plainTextFormattedCitation" : "27", "previouslyFormattedCitation" : "&lt;sup&gt;27&lt;/sup&gt;" }, "properties" : { "noteIndex" : 0 }, "schema" : "https://github.com/citation-style-language/schema/raw/master/csl-citation.json" }</w:instrText>
      </w:r>
      <w:r w:rsidR="006855FA" w:rsidRPr="00EC5244">
        <w:rPr>
          <w:lang w:val="en-CA"/>
        </w:rPr>
        <w:fldChar w:fldCharType="separate"/>
      </w:r>
      <w:r w:rsidR="00A07779" w:rsidRPr="00EC5244">
        <w:rPr>
          <w:noProof/>
          <w:vertAlign w:val="superscript"/>
          <w:lang w:val="en-CA"/>
        </w:rPr>
        <w:t>27</w:t>
      </w:r>
      <w:r w:rsidR="006855FA" w:rsidRPr="00EC5244">
        <w:rPr>
          <w:lang w:val="en-CA"/>
        </w:rPr>
        <w:fldChar w:fldCharType="end"/>
      </w:r>
      <w:r w:rsidR="008038A4" w:rsidRPr="00EC5244">
        <w:rPr>
          <w:lang w:val="en-CA"/>
        </w:rPr>
        <w:t xml:space="preserve"> solute-water and solute-micelle KB integrals. </w:t>
      </w:r>
      <w:r w:rsidR="00B97433" w:rsidRPr="00EC5244">
        <w:rPr>
          <w:lang w:val="en-CA"/>
        </w:rPr>
        <w:t xml:space="preserve">In turn, this </w:t>
      </w:r>
      <w:r w:rsidR="00BF0D59" w:rsidRPr="00EC5244">
        <w:rPr>
          <w:lang w:val="en-CA"/>
        </w:rPr>
        <w:t xml:space="preserve">means, due to the monomer-micelle equilibrium, that solute-micelle and solute-monomer KB integrals cannot be determined independently. </w:t>
      </w:r>
    </w:p>
    <w:p w14:paraId="37159134" w14:textId="0421D6EC" w:rsidR="008038A4" w:rsidRPr="00EC5244" w:rsidRDefault="008038A4" w:rsidP="00283FBB">
      <w:pPr>
        <w:pStyle w:val="TAMainText"/>
        <w:ind w:firstLine="0"/>
        <w:rPr>
          <w:lang w:val="en-CA"/>
        </w:rPr>
      </w:pPr>
    </w:p>
    <w:p w14:paraId="4B0B7423" w14:textId="4BFD3D04" w:rsidR="00BC5BF5" w:rsidRPr="00EC5244" w:rsidRDefault="00EE3EC0" w:rsidP="00323160">
      <w:pPr>
        <w:pStyle w:val="TAMainText"/>
        <w:rPr>
          <w:lang w:val="en-CA"/>
        </w:rPr>
      </w:pPr>
      <w:r w:rsidRPr="00EC5244">
        <w:rPr>
          <w:lang w:val="en-CA"/>
        </w:rPr>
        <w:t>Consistent with the above argument based on the phase rule,</w:t>
      </w:r>
      <w:r w:rsidR="006855FA" w:rsidRPr="00EC5244">
        <w:rPr>
          <w:lang w:val="en-CA"/>
        </w:rPr>
        <w:fldChar w:fldCharType="begin" w:fldLock="1"/>
      </w:r>
      <w:r w:rsidR="00A07779" w:rsidRPr="00EC5244">
        <w:rPr>
          <w:lang w:val="en-CA"/>
        </w:rPr>
        <w:instrText>ADDIN CSL_CITATION { "citationItems" : [ { "id" : "ITEM-1",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"14", "issued" : { "date-parts" : [ [ "2014" ] ] }, "page" : "3922-3930", "title" : "Preferential solvation: Dividing surface vs excess numbers", "type" : "article-journal", "volume" : "118" }, "uris" : [ "http://www.mendeley.com/documents/?uuid=896fec6b-354e-41cd-a8de-55bd371a22f5" ] } ], "mendeley" : { "formattedCitation" : "&lt;sup&gt;27&lt;/sup&gt;", "plainTextFormattedCitation" : "27", "previouslyFormattedCitation" : "&lt;sup&gt;27&lt;/sup&gt;" }, "properties" : { "noteIndex" : 0 }, "schema" : "https://github.com/citation-style-language/schema/raw/master/csl-citation.json" }</w:instrText>
      </w:r>
      <w:r w:rsidR="006855FA" w:rsidRPr="00EC5244">
        <w:rPr>
          <w:lang w:val="en-CA"/>
        </w:rPr>
        <w:fldChar w:fldCharType="separate"/>
      </w:r>
      <w:r w:rsidR="00A07779" w:rsidRPr="00EC5244">
        <w:rPr>
          <w:noProof/>
          <w:vertAlign w:val="superscript"/>
          <w:lang w:val="en-CA"/>
        </w:rPr>
        <w:t>27</w:t>
      </w:r>
      <w:r w:rsidR="006855FA" w:rsidRPr="00EC5244">
        <w:rPr>
          <w:lang w:val="en-CA"/>
        </w:rPr>
        <w:fldChar w:fldCharType="end"/>
      </w:r>
      <w:r w:rsidRPr="00EC5244">
        <w:rPr>
          <w:lang w:val="en-CA"/>
        </w:rPr>
        <w:t xml:space="preserve"> we have derived the following relationship for micellar hydrotropy in our previous paper</w:t>
      </w:r>
      <w:r w:rsidR="006855FA" w:rsidRPr="00EC5244">
        <w:rPr>
          <w:lang w:val="en-CA"/>
        </w:rPr>
        <w:fldChar w:fldCharType="begin" w:fldLock="1"/>
      </w:r>
      <w:r w:rsidR="006855FA" w:rsidRPr="00EC5244">
        <w:rPr>
          <w:lang w:val="en-CA"/>
        </w:rPr>
        <w:instrText>ADDIN CSL_CITATION { "citationItems" : [ { "id" : "ITEM-1",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"35", "issued" : { "date-parts" : [ [ "2014" ] ] }, "page" : "10515-10524", "title" : "Hydrotropy: Monomer-micelle equilibrium and minimum hydrotrope concentration", "type" : "article-journal", "volume" : "118" }, "uris" : [ "http://www.mendeley.com/documents/?uuid=0cd1508f-d197-4e8d-a474-504cfaeae922" ] } ], "mendeley" : { "formattedCitation" : "&lt;sup&gt;10&lt;/sup&gt;", "plainTextFormattedCitation" : "10", "previouslyFormattedCitation" : "&lt;sup&gt;10&lt;/sup&gt;" }, "properties" : { "noteIndex" : 0 }, "schema" : "https://github.com/citation-style-language/schema/raw/master/csl-citation.json" }</w:instrText>
      </w:r>
      <w:r w:rsidR="006855FA" w:rsidRPr="00EC5244">
        <w:rPr>
          <w:lang w:val="en-CA"/>
        </w:rPr>
        <w:fldChar w:fldCharType="separate"/>
      </w:r>
      <w:r w:rsidR="006855FA" w:rsidRPr="00EC5244">
        <w:rPr>
          <w:noProof/>
          <w:vertAlign w:val="superscript"/>
          <w:lang w:val="en-CA"/>
        </w:rPr>
        <w:t>10</w:t>
      </w:r>
      <w:r w:rsidR="006855FA" w:rsidRPr="00EC5244">
        <w:rPr>
          <w:lang w:val="en-CA"/>
        </w:rPr>
        <w:fldChar w:fldCharType="end"/>
      </w:r>
      <w:r w:rsidRPr="00EC5244">
        <w:rPr>
          <w:lang w:val="en-CA"/>
        </w:rPr>
        <w:t xml:space="preserve"> </w:t>
      </w:r>
    </w:p>
    <w:p w14:paraId="117346F9" w14:textId="76AEC2F4" w:rsidR="00BC5BF5" w:rsidRPr="00EC5244" w:rsidRDefault="000C7FF6" w:rsidP="00BC5BF5">
      <w:pPr>
        <w:pStyle w:val="TAMainText"/>
        <w:rPr>
          <w:rFonts w:cs="Times"/>
          <w:sz w:val="22"/>
          <w:szCs w:val="22"/>
          <w:lang w:val="en-CA" w:eastAsia="ja-JP"/>
        </w:rPr>
      </w:pPr>
      <m:oMath>
        <m:sSub>
          <m:sSubPr>
            <m:ctrlPr>
              <w:rPr>
                <w:rFonts w:ascii="Cambria Math" w:hAnsi="Cambria Math" w:cs="Times"/>
                <w:i/>
                <w:sz w:val="22"/>
                <w:szCs w:val="22"/>
                <w:lang w:val="en-CA" w:eastAsia="ja-JP"/>
              </w:rPr>
            </m:ctrlPr>
          </m:sSubPr>
          <m:e>
            <m:r>
              <w:rPr>
                <w:rFonts w:ascii="Cambria Math" w:hAnsi="Cambria Math" w:cs="Times"/>
                <w:sz w:val="22"/>
                <w:szCs w:val="22"/>
                <w:lang w:val="en-CA" w:eastAsia="ja-JP"/>
              </w:rPr>
              <m:t>-</m:t>
            </m:r>
            <m:f>
              <m:fPr>
                <m:ctrlPr>
                  <w:rPr>
                    <w:rFonts w:ascii="Cambria Math" w:hAnsi="Cambria Math" w:cs="Times"/>
                    <w:i/>
                    <w:sz w:val="22"/>
                    <w:szCs w:val="22"/>
                    <w:lang w:val="en-CA" w:eastAsia="ja-JP"/>
                  </w:rPr>
                </m:ctrlPr>
              </m:fPr>
              <m:num>
                <m:r>
                  <w:rPr>
                    <w:rFonts w:ascii="Cambria Math" w:hAnsi="Cambria Math" w:cs="Times"/>
                    <w:sz w:val="22"/>
                    <w:szCs w:val="22"/>
                    <w:lang w:val="en-CA" w:eastAsia="ja-JP"/>
                  </w:rPr>
                  <m:t>1</m:t>
                </m:r>
              </m:num>
              <m:den>
                <m:r>
                  <w:rPr>
                    <w:rFonts w:ascii="Cambria Math" w:hAnsi="Cambria Math" w:cs="Times"/>
                    <w:sz w:val="22"/>
                    <w:szCs w:val="22"/>
                    <w:lang w:val="en-CA" w:eastAsia="ja-JP"/>
                  </w:rPr>
                  <m:t>RT</m:t>
                </m:r>
              </m:den>
            </m:f>
            <m:d>
              <m:dPr>
                <m:ctrlPr>
                  <w:rPr>
                    <w:rFonts w:ascii="Cambria Math" w:hAnsi="Cambria Math" w:cs="Times"/>
                    <w:i/>
                    <w:sz w:val="22"/>
                    <w:szCs w:val="22"/>
                    <w:lang w:val="en-CA" w:eastAsia="ja-JP"/>
                  </w:rPr>
                </m:ctrlPr>
              </m:dPr>
              <m:e>
                <m:f>
                  <m:fPr>
                    <m:ctrlPr>
                      <w:rPr>
                        <w:rFonts w:ascii="Cambria Math" w:hAnsi="Cambria Math" w:cs="Times"/>
                        <w:i/>
                        <w:sz w:val="22"/>
                        <w:szCs w:val="22"/>
                        <w:lang w:val="en-CA" w:eastAsia="ja-JP"/>
                      </w:rPr>
                    </m:ctrlPr>
                  </m:fPr>
                  <m:num>
                    <m:r>
                      <w:rPr>
                        <w:rFonts w:ascii="Cambria Math" w:hAnsi="Cambria Math" w:cs="Times"/>
                        <w:sz w:val="22"/>
                        <w:szCs w:val="22"/>
                        <w:lang w:val="en-CA" w:eastAsia="ja-JP"/>
                      </w:rPr>
                      <m:t>∂</m:t>
                    </m:r>
                    <m:sSubSup>
                      <m:sSubSupPr>
                        <m:ctrlPr>
                          <w:rPr>
                            <w:rFonts w:ascii="Cambria Math" w:hAnsi="Cambria Math" w:cs="Times"/>
                            <w:i/>
                            <w:sz w:val="22"/>
                            <w:szCs w:val="22"/>
                            <w:lang w:val="en-CA" w:eastAsia="ja-JP"/>
                          </w:rPr>
                        </m:ctrlPr>
                      </m:sSubSupPr>
                      <m:e>
                        <m:r>
                          <w:rPr>
                            <w:rFonts w:ascii="Cambria Math" w:hAnsi="Cambria Math" w:cs="Times"/>
                            <w:sz w:val="22"/>
                            <w:szCs w:val="22"/>
                            <w:lang w:val="en-CA" w:eastAsia="ja-JP"/>
                          </w:rPr>
                          <m:t>μ</m:t>
                        </m:r>
                      </m:e>
                      <m:sub>
                        <m:r>
                          <w:rPr>
                            <w:rFonts w:ascii="Cambria Math" w:hAnsi="Cambria Math" w:cs="Times"/>
                            <w:sz w:val="22"/>
                            <w:szCs w:val="22"/>
                            <w:lang w:val="en-CA" w:eastAsia="ja-JP"/>
                          </w:rPr>
                          <m:t>u</m:t>
                        </m:r>
                      </m:sub>
                      <m:sup>
                        <m:r>
                          <w:rPr>
                            <w:rFonts w:ascii="Cambria Math" w:hAnsi="Cambria Math" w:cs="Times"/>
                            <w:sz w:val="22"/>
                            <w:szCs w:val="22"/>
                            <w:lang w:val="en-CA" w:eastAsia="ja-JP"/>
                          </w:rPr>
                          <m:t>*</m:t>
                        </m:r>
                      </m:sup>
                    </m:sSubSup>
                  </m:num>
                  <m:den>
                    <m:r>
                      <w:rPr>
                        <w:rFonts w:ascii="Cambria Math" w:hAnsi="Cambria Math" w:cs="Times"/>
                        <w:sz w:val="22"/>
                        <w:szCs w:val="22"/>
                        <w:lang w:val="en-CA" w:eastAsia="ja-JP"/>
                      </w:rPr>
                      <m:t>∂</m:t>
                    </m:r>
                    <m:sSub>
                      <m:sSubPr>
                        <m:ctrlPr>
                          <w:rPr>
                            <w:rFonts w:ascii="Cambria Math" w:hAnsi="Cambria Math" w:cs="Times"/>
                            <w:i/>
                            <w:sz w:val="22"/>
                            <w:szCs w:val="22"/>
                            <w:lang w:val="en-CA" w:eastAsia="ja-JP"/>
                          </w:rPr>
                        </m:ctrlPr>
                      </m:sSubPr>
                      <m:e>
                        <m:r>
                          <w:rPr>
                            <w:rFonts w:ascii="Cambria Math" w:hAnsi="Cambria Math" w:cs="Times"/>
                            <w:sz w:val="22"/>
                            <w:szCs w:val="22"/>
                            <w:lang w:val="en-CA" w:eastAsia="ja-JP"/>
                          </w:rPr>
                          <m:t>c</m:t>
                        </m:r>
                      </m:e>
                      <m:sub>
                        <m:r>
                          <w:rPr>
                            <w:rFonts w:ascii="Cambria Math" w:hAnsi="Cambria Math" w:cs="Times"/>
                            <w:sz w:val="22"/>
                            <w:szCs w:val="22"/>
                            <w:lang w:val="en-CA" w:eastAsia="ja-JP"/>
                          </w:rPr>
                          <m:t>3</m:t>
                        </m:r>
                      </m:sub>
                    </m:sSub>
                  </m:den>
                </m:f>
              </m:e>
            </m:d>
          </m:e>
          <m:sub>
            <m:r>
              <w:rPr>
                <w:rFonts w:ascii="Cambria Math" w:hAnsi="Cambria Math" w:cs="Times"/>
                <w:sz w:val="22"/>
                <w:szCs w:val="22"/>
                <w:lang w:val="en-CA" w:eastAsia="ja-JP"/>
              </w:rPr>
              <m:t>T,P,</m:t>
            </m:r>
            <m:sSub>
              <m:sSubPr>
                <m:ctrlPr>
                  <w:rPr>
                    <w:rFonts w:ascii="Cambria Math" w:hAnsi="Cambria Math" w:cs="Times"/>
                    <w:i/>
                    <w:sz w:val="22"/>
                    <w:szCs w:val="22"/>
                    <w:lang w:val="en-CA" w:eastAsia="ja-JP"/>
                  </w:rPr>
                </m:ctrlPr>
              </m:sSubPr>
              <m:e>
                <m:r>
                  <w:rPr>
                    <w:rFonts w:ascii="Cambria Math" w:hAnsi="Cambria Math" w:cs="Times"/>
                    <w:sz w:val="22"/>
                    <w:szCs w:val="22"/>
                    <w:lang w:val="en-CA" w:eastAsia="ja-JP"/>
                  </w:rPr>
                  <m:t>c</m:t>
                </m:r>
              </m:e>
              <m:sub>
                <m:r>
                  <w:rPr>
                    <w:rFonts w:ascii="Cambria Math" w:hAnsi="Cambria Math" w:cs="Times"/>
                    <w:sz w:val="22"/>
                    <w:szCs w:val="22"/>
                    <w:lang w:val="en-CA" w:eastAsia="ja-JP"/>
                  </w:rPr>
                  <m:t>u</m:t>
                </m:r>
              </m:sub>
            </m:sSub>
            <m:r>
              <w:rPr>
                <w:rFonts w:ascii="Cambria Math" w:hAnsi="Cambria Math" w:cs="Times"/>
                <w:sz w:val="22"/>
                <w:szCs w:val="22"/>
                <w:lang w:val="en-CA" w:eastAsia="ja-JP"/>
              </w:rPr>
              <m:t>→0</m:t>
            </m:r>
          </m:sub>
        </m:sSub>
        <m:r>
          <w:rPr>
            <w:rFonts w:ascii="Cambria Math" w:hAnsi="Cambria Math" w:cs="Times"/>
            <w:sz w:val="22"/>
            <w:szCs w:val="22"/>
            <w:lang w:val="en-CA" w:eastAsia="ja-JP"/>
          </w:rPr>
          <m:t>=</m:t>
        </m:r>
        <m:sSub>
          <m:sSubPr>
            <m:ctrlPr>
              <w:rPr>
                <w:rFonts w:ascii="Cambria Math" w:hAnsi="Cambria Math" w:cs="Times"/>
                <w:i/>
                <w:sz w:val="22"/>
                <w:szCs w:val="22"/>
                <w:lang w:val="en-CA" w:eastAsia="ja-JP"/>
              </w:rPr>
            </m:ctrlPr>
          </m:sSubPr>
          <m:e>
            <m:r>
              <w:rPr>
                <w:rFonts w:ascii="Cambria Math" w:hAnsi="Cambria Math" w:cs="Times"/>
                <w:sz w:val="22"/>
                <w:szCs w:val="22"/>
                <w:lang w:val="en-CA" w:eastAsia="ja-JP"/>
              </w:rPr>
              <m:t>G</m:t>
            </m:r>
          </m:e>
          <m:sub>
            <m:r>
              <w:rPr>
                <w:rFonts w:ascii="Cambria Math" w:hAnsi="Cambria Math" w:cs="Times"/>
                <w:sz w:val="22"/>
                <w:szCs w:val="22"/>
                <w:lang w:val="en-CA" w:eastAsia="ja-JP"/>
              </w:rPr>
              <m:t>u3</m:t>
            </m:r>
          </m:sub>
        </m:sSub>
        <m:r>
          <w:rPr>
            <w:rFonts w:ascii="Cambria Math" w:hAnsi="Cambria Math" w:cs="Times"/>
            <w:sz w:val="22"/>
            <w:szCs w:val="22"/>
            <w:lang w:val="en-CA" w:eastAsia="ja-JP"/>
          </w:rPr>
          <m:t>-</m:t>
        </m:r>
        <m:sSub>
          <m:sSubPr>
            <m:ctrlPr>
              <w:rPr>
                <w:rFonts w:ascii="Cambria Math" w:hAnsi="Cambria Math" w:cs="Times"/>
                <w:i/>
                <w:sz w:val="22"/>
                <w:szCs w:val="22"/>
                <w:lang w:val="en-CA" w:eastAsia="ja-JP"/>
              </w:rPr>
            </m:ctrlPr>
          </m:sSubPr>
          <m:e>
            <m:r>
              <w:rPr>
                <w:rFonts w:ascii="Cambria Math" w:hAnsi="Cambria Math" w:cs="Times"/>
                <w:sz w:val="22"/>
                <w:szCs w:val="22"/>
                <w:lang w:val="en-CA" w:eastAsia="ja-JP"/>
              </w:rPr>
              <m:t>G</m:t>
            </m:r>
          </m:e>
          <m:sub>
            <m:r>
              <w:rPr>
                <w:rFonts w:ascii="Cambria Math" w:hAnsi="Cambria Math" w:cs="Times"/>
                <w:sz w:val="22"/>
                <w:szCs w:val="22"/>
                <w:lang w:val="en-CA" w:eastAsia="ja-JP"/>
              </w:rPr>
              <m:t>u1</m:t>
            </m:r>
          </m:sub>
        </m:sSub>
      </m:oMath>
      <w:r w:rsidR="00BC5BF5" w:rsidRPr="00EC5244">
        <w:rPr>
          <w:rFonts w:cs="Times"/>
          <w:sz w:val="22"/>
          <w:szCs w:val="22"/>
          <w:lang w:val="en-CA" w:eastAsia="ja-JP"/>
        </w:rPr>
        <w:tab/>
      </w:r>
      <w:r w:rsidR="00BC5BF5" w:rsidRPr="00EC5244">
        <w:rPr>
          <w:rFonts w:cs="Times"/>
          <w:sz w:val="22"/>
          <w:szCs w:val="22"/>
          <w:lang w:val="en-CA" w:eastAsia="ja-JP"/>
        </w:rPr>
        <w:tab/>
      </w:r>
      <w:r w:rsidR="00BC5BF5" w:rsidRPr="00EC5244">
        <w:rPr>
          <w:rFonts w:cs="Times"/>
          <w:sz w:val="22"/>
          <w:szCs w:val="22"/>
          <w:lang w:val="en-CA" w:eastAsia="ja-JP"/>
        </w:rPr>
        <w:tab/>
      </w:r>
      <w:r w:rsidR="00BC5BF5" w:rsidRPr="00EC5244">
        <w:rPr>
          <w:rFonts w:cs="Times"/>
          <w:sz w:val="22"/>
          <w:szCs w:val="22"/>
          <w:lang w:val="en-CA" w:eastAsia="ja-JP"/>
        </w:rPr>
        <w:tab/>
      </w:r>
      <w:r w:rsidR="00BC5BF5" w:rsidRPr="00EC5244">
        <w:rPr>
          <w:rFonts w:cs="Times"/>
          <w:sz w:val="22"/>
          <w:szCs w:val="22"/>
          <w:lang w:val="en-CA" w:eastAsia="ja-JP"/>
        </w:rPr>
        <w:tab/>
      </w:r>
      <w:r w:rsidR="00BC5BF5" w:rsidRPr="00EC5244">
        <w:rPr>
          <w:rFonts w:cs="Times"/>
          <w:sz w:val="22"/>
          <w:szCs w:val="22"/>
          <w:lang w:val="en-CA" w:eastAsia="ja-JP"/>
        </w:rPr>
        <w:tab/>
      </w:r>
      <w:r w:rsidR="00BC5BF5" w:rsidRPr="00EC5244">
        <w:rPr>
          <w:rFonts w:cs="Times"/>
          <w:sz w:val="22"/>
          <w:szCs w:val="22"/>
          <w:lang w:val="en-CA" w:eastAsia="ja-JP"/>
        </w:rPr>
        <w:tab/>
      </w:r>
      <w:r w:rsidR="00BC5BF5" w:rsidRPr="00EC5244">
        <w:rPr>
          <w:rFonts w:cs="Times"/>
          <w:sz w:val="22"/>
          <w:szCs w:val="22"/>
          <w:lang w:val="en-CA" w:eastAsia="ja-JP"/>
        </w:rPr>
        <w:tab/>
        <w:t>(6)</w:t>
      </w:r>
    </w:p>
    <w:p w14:paraId="50D74D72" w14:textId="71589ECE" w:rsidR="00EE3EC0" w:rsidRPr="00EC5244" w:rsidRDefault="00BC5BF5" w:rsidP="00BC5BF5">
      <w:pPr>
        <w:pStyle w:val="TAMainText"/>
        <w:ind w:firstLine="0"/>
        <w:rPr>
          <w:lang w:val="en-CA"/>
        </w:rPr>
      </w:pPr>
      <w:r w:rsidRPr="00EC5244">
        <w:rPr>
          <w:lang w:val="en-CA"/>
        </w:rPr>
        <w:t>where species 3 refer to the micelle. Eq. (6), derived under the condition that the surfactants are predominantly in the micellar form, shows that micellar solubilization is due to the stronger solute-micelle</w:t>
      </w:r>
      <w:r w:rsidR="00102DCF" w:rsidRPr="00EC5244">
        <w:rPr>
          <w:lang w:val="en-CA"/>
        </w:rPr>
        <w:t xml:space="preserve"> </w:t>
      </w:r>
      <w:r w:rsidRPr="00EC5244">
        <w:rPr>
          <w:lang w:val="en-CA"/>
        </w:rPr>
        <w:t>interaction compared to solute-water.</w:t>
      </w:r>
      <w:r w:rsidR="006855FA" w:rsidRPr="00EC5244">
        <w:rPr>
          <w:lang w:val="en-CA"/>
        </w:rPr>
        <w:fldChar w:fldCharType="begin" w:fldLock="1"/>
      </w:r>
      <w:r w:rsidR="006855FA" w:rsidRPr="00EC5244">
        <w:rPr>
          <w:lang w:val="en-CA"/>
        </w:rPr>
        <w:instrText>ADDIN CSL_CITATION { "citationItems" : [ { "id" : "ITEM-1",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"35", "issued" : { "date-parts" : [ [ "2014" ] ] }, "page" : "10515-10524", "title" : "Hydrotropy: Monomer-micelle equilibrium and minimum hydrotrope concentration", "type" : "article-journal", "volume" : "118" }, "uris" : [ "http://www.mendeley.com/documents/?uuid=0cd1508f-d197-4e8d-a474-504cfaeae922" ] } ], "mendeley" : { "formattedCitation" : "&lt;sup&gt;10&lt;/sup&gt;", "plainTextFormattedCitation" : "10", "previouslyFormattedCitation" : "&lt;sup&gt;10&lt;/sup&gt;" }, "properties" : { "noteIndex" : 0 }, "schema" : "https://github.com/citation-style-language/schema/raw/master/csl-citation.json" }</w:instrText>
      </w:r>
      <w:r w:rsidR="006855FA" w:rsidRPr="00EC5244">
        <w:rPr>
          <w:lang w:val="en-CA"/>
        </w:rPr>
        <w:fldChar w:fldCharType="separate"/>
      </w:r>
      <w:r w:rsidR="006855FA" w:rsidRPr="00EC5244">
        <w:rPr>
          <w:noProof/>
          <w:vertAlign w:val="superscript"/>
          <w:lang w:val="en-CA"/>
        </w:rPr>
        <w:t>10</w:t>
      </w:r>
      <w:r w:rsidR="006855FA" w:rsidRPr="00EC5244">
        <w:rPr>
          <w:lang w:val="en-CA"/>
        </w:rPr>
        <w:fldChar w:fldCharType="end"/>
      </w:r>
      <w:r w:rsidRPr="00EC5244">
        <w:rPr>
          <w:lang w:val="en-CA"/>
        </w:rPr>
        <w:t xml:space="preserve"> But</w:t>
      </w:r>
      <w:r w:rsidR="00323160" w:rsidRPr="00EC5244">
        <w:rPr>
          <w:lang w:val="en-CA"/>
        </w:rPr>
        <w:t>,</w:t>
      </w:r>
      <w:r w:rsidRPr="00EC5244">
        <w:rPr>
          <w:lang w:val="en-CA"/>
        </w:rPr>
        <w:t xml:space="preserve"> in </w:t>
      </w:r>
      <w:r w:rsidR="00323160" w:rsidRPr="00EC5244">
        <w:rPr>
          <w:lang w:val="en-CA"/>
        </w:rPr>
        <w:t>the current analysis of experimental data,</w:t>
      </w:r>
      <w:r w:rsidRPr="00EC5244">
        <w:rPr>
          <w:lang w:val="en-CA"/>
        </w:rPr>
        <w:t xml:space="preserve"> surfactant concentration is commonly used instead of the micellar concentration. To confor</w:t>
      </w:r>
      <w:r w:rsidR="00323160" w:rsidRPr="00EC5244">
        <w:rPr>
          <w:lang w:val="en-CA"/>
        </w:rPr>
        <w:t>m to this common</w:t>
      </w:r>
      <w:r w:rsidRPr="00EC5244">
        <w:rPr>
          <w:lang w:val="en-CA"/>
        </w:rPr>
        <w:t xml:space="preserve"> practice, we introduce </w:t>
      </w:r>
      <w:r w:rsidR="00323160" w:rsidRPr="00EC5244">
        <w:rPr>
          <w:lang w:val="en-CA"/>
        </w:rPr>
        <w:t xml:space="preserve">here </w:t>
      </w:r>
      <w:r w:rsidRPr="00EC5244">
        <w:rPr>
          <w:lang w:val="en-CA"/>
        </w:rPr>
        <w:t xml:space="preserve">the total surfactant concentration </w:t>
      </w:r>
      <m:oMath>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2</m:t>
            </m:r>
          </m:sub>
          <m:sup>
            <m:r>
              <w:rPr>
                <w:rFonts w:ascii="Cambria Math" w:hAnsi="Cambria Math"/>
                <w:lang w:val="en-CA"/>
              </w:rPr>
              <m:t>'</m:t>
            </m:r>
          </m:sup>
        </m:sSubSup>
        <m:r>
          <w:rPr>
            <w:rFonts w:ascii="Cambria Math" w:hAnsi="Cambria Math"/>
            <w:lang w:val="en-CA"/>
          </w:rPr>
          <m:t>≃m</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3</m:t>
            </m:r>
          </m:sub>
        </m:sSub>
      </m:oMath>
      <w:r w:rsidRPr="00EC5244">
        <w:rPr>
          <w:lang w:val="en-CA"/>
        </w:rPr>
        <w:t xml:space="preserve">, where </w:t>
      </w:r>
      <m:oMath>
        <m:r>
          <w:rPr>
            <w:rFonts w:ascii="Cambria Math" w:hAnsi="Cambria Math"/>
            <w:lang w:val="en-CA"/>
          </w:rPr>
          <m:t>m</m:t>
        </m:r>
      </m:oMath>
      <w:r w:rsidRPr="00EC5244">
        <w:rPr>
          <w:lang w:val="en-CA"/>
        </w:rPr>
        <w:t xml:space="preserve"> is the aggregation number. In this framework, Eq. (6) can be rewritten as</w:t>
      </w:r>
      <w:r w:rsidR="006855FA" w:rsidRPr="00EC5244">
        <w:rPr>
          <w:lang w:val="en-CA"/>
        </w:rPr>
        <w:fldChar w:fldCharType="begin" w:fldLock="1"/>
      </w:r>
      <w:r w:rsidR="006855FA" w:rsidRPr="00EC5244">
        <w:rPr>
          <w:lang w:val="en-CA"/>
        </w:rPr>
        <w:instrText>ADDIN CSL_CITATION { "citationItems" : [ { "id" : "ITEM-1",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"35", "issued" : { "date-parts" : [ [ "2014" ] ] }, "page" : "10515-10524", "title" : "Hydrotropy: Monomer-micelle equilibrium and minimum hydrotrope concentration", "type" : "article-journal", "volume" : "118" }, "uris" : [ "http://www.mendeley.com/documents/?uuid=0cd1508f-d197-4e8d-a474-504cfaeae922" ] } ], "mendeley" : { "formattedCitation" : "&lt;sup&gt;10&lt;/sup&gt;", "plainTextFormattedCitation" : "10", "previouslyFormattedCitation" : "&lt;sup&gt;10&lt;/sup&gt;" }, "properties" : { "noteIndex" : 0 }, "schema" : "https://github.com/citation-style-language/schema/raw/master/csl-citation.json" }</w:instrText>
      </w:r>
      <w:r w:rsidR="006855FA" w:rsidRPr="00EC5244">
        <w:rPr>
          <w:lang w:val="en-CA"/>
        </w:rPr>
        <w:fldChar w:fldCharType="separate"/>
      </w:r>
      <w:r w:rsidR="006855FA" w:rsidRPr="00EC5244">
        <w:rPr>
          <w:noProof/>
          <w:vertAlign w:val="superscript"/>
          <w:lang w:val="en-CA"/>
        </w:rPr>
        <w:t>10</w:t>
      </w:r>
      <w:r w:rsidR="006855FA" w:rsidRPr="00EC5244">
        <w:rPr>
          <w:lang w:val="en-CA"/>
        </w:rPr>
        <w:fldChar w:fldCharType="end"/>
      </w:r>
      <w:r w:rsidRPr="00EC5244">
        <w:rPr>
          <w:lang w:val="en-CA"/>
        </w:rPr>
        <w:t xml:space="preserve"> </w:t>
      </w:r>
    </w:p>
    <w:p w14:paraId="198445E0" w14:textId="13D31DBF" w:rsidR="00BC5BF5" w:rsidRPr="00EC5244" w:rsidRDefault="000C7FF6" w:rsidP="00BC5BF5">
      <w:pPr>
        <w:pStyle w:val="TAMainText"/>
        <w:rPr>
          <w:rFonts w:cs="Times"/>
          <w:sz w:val="22"/>
          <w:szCs w:val="22"/>
          <w:lang w:val="en-CA" w:eastAsia="ja-JP"/>
        </w:rPr>
      </w:pPr>
      <m:oMath>
        <m:sSub>
          <m:sSubPr>
            <m:ctrlPr>
              <w:rPr>
                <w:rFonts w:ascii="Cambria Math" w:hAnsi="Cambria Math" w:cs="Times"/>
                <w:i/>
                <w:sz w:val="22"/>
                <w:szCs w:val="22"/>
                <w:lang w:val="en-CA" w:eastAsia="ja-JP"/>
              </w:rPr>
            </m:ctrlPr>
          </m:sSubPr>
          <m:e>
            <m:r>
              <w:rPr>
                <w:rFonts w:ascii="Cambria Math" w:hAnsi="Cambria Math" w:cs="Times"/>
                <w:sz w:val="22"/>
                <w:szCs w:val="22"/>
                <w:lang w:val="en-CA" w:eastAsia="ja-JP"/>
              </w:rPr>
              <m:t>-</m:t>
            </m:r>
            <m:f>
              <m:fPr>
                <m:ctrlPr>
                  <w:rPr>
                    <w:rFonts w:ascii="Cambria Math" w:hAnsi="Cambria Math" w:cs="Times"/>
                    <w:i/>
                    <w:sz w:val="22"/>
                    <w:szCs w:val="22"/>
                    <w:lang w:val="en-CA" w:eastAsia="ja-JP"/>
                  </w:rPr>
                </m:ctrlPr>
              </m:fPr>
              <m:num>
                <m:r>
                  <w:rPr>
                    <w:rFonts w:ascii="Cambria Math" w:hAnsi="Cambria Math" w:cs="Times"/>
                    <w:sz w:val="22"/>
                    <w:szCs w:val="22"/>
                    <w:lang w:val="en-CA" w:eastAsia="ja-JP"/>
                  </w:rPr>
                  <m:t>1</m:t>
                </m:r>
              </m:num>
              <m:den>
                <m:r>
                  <w:rPr>
                    <w:rFonts w:ascii="Cambria Math" w:hAnsi="Cambria Math" w:cs="Times"/>
                    <w:sz w:val="22"/>
                    <w:szCs w:val="22"/>
                    <w:lang w:val="en-CA" w:eastAsia="ja-JP"/>
                  </w:rPr>
                  <m:t>RT</m:t>
                </m:r>
              </m:den>
            </m:f>
            <m:d>
              <m:dPr>
                <m:ctrlPr>
                  <w:rPr>
                    <w:rFonts w:ascii="Cambria Math" w:hAnsi="Cambria Math" w:cs="Times"/>
                    <w:i/>
                    <w:sz w:val="22"/>
                    <w:szCs w:val="22"/>
                    <w:lang w:val="en-CA" w:eastAsia="ja-JP"/>
                  </w:rPr>
                </m:ctrlPr>
              </m:dPr>
              <m:e>
                <m:f>
                  <m:fPr>
                    <m:ctrlPr>
                      <w:rPr>
                        <w:rFonts w:ascii="Cambria Math" w:hAnsi="Cambria Math" w:cs="Times"/>
                        <w:i/>
                        <w:sz w:val="22"/>
                        <w:szCs w:val="22"/>
                        <w:lang w:val="en-CA" w:eastAsia="ja-JP"/>
                      </w:rPr>
                    </m:ctrlPr>
                  </m:fPr>
                  <m:num>
                    <m:r>
                      <w:rPr>
                        <w:rFonts w:ascii="Cambria Math" w:hAnsi="Cambria Math" w:cs="Times"/>
                        <w:sz w:val="22"/>
                        <w:szCs w:val="22"/>
                        <w:lang w:val="en-CA" w:eastAsia="ja-JP"/>
                      </w:rPr>
                      <m:t>∂</m:t>
                    </m:r>
                    <m:sSubSup>
                      <m:sSubSupPr>
                        <m:ctrlPr>
                          <w:rPr>
                            <w:rFonts w:ascii="Cambria Math" w:hAnsi="Cambria Math" w:cs="Times"/>
                            <w:i/>
                            <w:sz w:val="22"/>
                            <w:szCs w:val="22"/>
                            <w:lang w:val="en-CA" w:eastAsia="ja-JP"/>
                          </w:rPr>
                        </m:ctrlPr>
                      </m:sSubSupPr>
                      <m:e>
                        <m:r>
                          <w:rPr>
                            <w:rFonts w:ascii="Cambria Math" w:hAnsi="Cambria Math" w:cs="Times"/>
                            <w:sz w:val="22"/>
                            <w:szCs w:val="22"/>
                            <w:lang w:val="en-CA" w:eastAsia="ja-JP"/>
                          </w:rPr>
                          <m:t>μ</m:t>
                        </m:r>
                      </m:e>
                      <m:sub>
                        <m:r>
                          <w:rPr>
                            <w:rFonts w:ascii="Cambria Math" w:hAnsi="Cambria Math" w:cs="Times"/>
                            <w:sz w:val="22"/>
                            <w:szCs w:val="22"/>
                            <w:lang w:val="en-CA" w:eastAsia="ja-JP"/>
                          </w:rPr>
                          <m:t>u</m:t>
                        </m:r>
                      </m:sub>
                      <m:sup>
                        <m:r>
                          <w:rPr>
                            <w:rFonts w:ascii="Cambria Math" w:hAnsi="Cambria Math" w:cs="Times"/>
                            <w:sz w:val="22"/>
                            <w:szCs w:val="22"/>
                            <w:lang w:val="en-CA" w:eastAsia="ja-JP"/>
                          </w:rPr>
                          <m:t>*</m:t>
                        </m:r>
                      </m:sup>
                    </m:sSubSup>
                  </m:num>
                  <m:den>
                    <m:r>
                      <w:rPr>
                        <w:rFonts w:ascii="Cambria Math" w:hAnsi="Cambria Math" w:cs="Times"/>
                        <w:sz w:val="22"/>
                        <w:szCs w:val="22"/>
                        <w:lang w:val="en-CA" w:eastAsia="ja-JP"/>
                      </w:rPr>
                      <m:t>∂</m:t>
                    </m:r>
                    <m:sSubSup>
                      <m:sSubSupPr>
                        <m:ctrlPr>
                          <w:rPr>
                            <w:rFonts w:ascii="Cambria Math" w:hAnsi="Cambria Math" w:cs="Times"/>
                            <w:i/>
                            <w:sz w:val="22"/>
                            <w:szCs w:val="22"/>
                            <w:lang w:val="en-CA" w:eastAsia="ja-JP"/>
                          </w:rPr>
                        </m:ctrlPr>
                      </m:sSubSupPr>
                      <m:e>
                        <m:r>
                          <w:rPr>
                            <w:rFonts w:ascii="Cambria Math" w:hAnsi="Cambria Math" w:cs="Times"/>
                            <w:sz w:val="22"/>
                            <w:szCs w:val="22"/>
                            <w:lang w:val="en-CA" w:eastAsia="ja-JP"/>
                          </w:rPr>
                          <m:t>c</m:t>
                        </m:r>
                      </m:e>
                      <m:sub>
                        <m:r>
                          <w:rPr>
                            <w:rFonts w:ascii="Cambria Math" w:hAnsi="Cambria Math" w:cs="Times"/>
                            <w:sz w:val="22"/>
                            <w:szCs w:val="22"/>
                            <w:lang w:val="en-CA" w:eastAsia="ja-JP"/>
                          </w:rPr>
                          <m:t>2</m:t>
                        </m:r>
                      </m:sub>
                      <m:sup>
                        <m:r>
                          <w:rPr>
                            <w:rFonts w:ascii="Cambria Math" w:hAnsi="Cambria Math" w:cs="Times"/>
                            <w:sz w:val="22"/>
                            <w:szCs w:val="22"/>
                            <w:lang w:val="en-CA" w:eastAsia="ja-JP"/>
                          </w:rPr>
                          <m:t>'</m:t>
                        </m:r>
                      </m:sup>
                    </m:sSubSup>
                  </m:den>
                </m:f>
              </m:e>
            </m:d>
          </m:e>
          <m:sub>
            <m:r>
              <w:rPr>
                <w:rFonts w:ascii="Cambria Math" w:hAnsi="Cambria Math" w:cs="Times"/>
                <w:sz w:val="22"/>
                <w:szCs w:val="22"/>
                <w:lang w:val="en-CA" w:eastAsia="ja-JP"/>
              </w:rPr>
              <m:t>T,P,</m:t>
            </m:r>
            <m:sSub>
              <m:sSubPr>
                <m:ctrlPr>
                  <w:rPr>
                    <w:rFonts w:ascii="Cambria Math" w:hAnsi="Cambria Math" w:cs="Times"/>
                    <w:i/>
                    <w:sz w:val="22"/>
                    <w:szCs w:val="22"/>
                    <w:lang w:val="en-CA" w:eastAsia="ja-JP"/>
                  </w:rPr>
                </m:ctrlPr>
              </m:sSubPr>
              <m:e>
                <m:r>
                  <w:rPr>
                    <w:rFonts w:ascii="Cambria Math" w:hAnsi="Cambria Math" w:cs="Times"/>
                    <w:sz w:val="22"/>
                    <w:szCs w:val="22"/>
                    <w:lang w:val="en-CA" w:eastAsia="ja-JP"/>
                  </w:rPr>
                  <m:t>c</m:t>
                </m:r>
              </m:e>
              <m:sub>
                <m:r>
                  <w:rPr>
                    <w:rFonts w:ascii="Cambria Math" w:hAnsi="Cambria Math" w:cs="Times"/>
                    <w:sz w:val="22"/>
                    <w:szCs w:val="22"/>
                    <w:lang w:val="en-CA" w:eastAsia="ja-JP"/>
                  </w:rPr>
                  <m:t>u</m:t>
                </m:r>
              </m:sub>
            </m:sSub>
            <m:r>
              <w:rPr>
                <w:rFonts w:ascii="Cambria Math" w:hAnsi="Cambria Math" w:cs="Times"/>
                <w:sz w:val="22"/>
                <w:szCs w:val="22"/>
                <w:lang w:val="en-CA" w:eastAsia="ja-JP"/>
              </w:rPr>
              <m:t>→0</m:t>
            </m:r>
          </m:sub>
        </m:sSub>
        <m:r>
          <w:rPr>
            <w:rFonts w:ascii="Cambria Math" w:hAnsi="Cambria Math" w:cs="Times"/>
            <w:sz w:val="22"/>
            <w:szCs w:val="22"/>
            <w:lang w:val="en-CA" w:eastAsia="ja-JP"/>
          </w:rPr>
          <m:t>=</m:t>
        </m:r>
        <m:f>
          <m:fPr>
            <m:ctrlPr>
              <w:rPr>
                <w:rFonts w:ascii="Cambria Math" w:hAnsi="Cambria Math" w:cs="Times"/>
                <w:i/>
                <w:sz w:val="22"/>
                <w:szCs w:val="22"/>
                <w:lang w:val="en-CA" w:eastAsia="ja-JP"/>
              </w:rPr>
            </m:ctrlPr>
          </m:fPr>
          <m:num>
            <m:r>
              <w:rPr>
                <w:rFonts w:ascii="Cambria Math" w:hAnsi="Cambria Math" w:cs="Times"/>
                <w:sz w:val="22"/>
                <w:szCs w:val="22"/>
                <w:lang w:val="en-CA" w:eastAsia="ja-JP"/>
              </w:rPr>
              <m:t>1</m:t>
            </m:r>
          </m:num>
          <m:den>
            <m:r>
              <w:rPr>
                <w:rFonts w:ascii="Cambria Math" w:hAnsi="Cambria Math" w:cs="Times"/>
                <w:sz w:val="22"/>
                <w:szCs w:val="22"/>
                <w:lang w:val="en-CA" w:eastAsia="ja-JP"/>
              </w:rPr>
              <m:t>m</m:t>
            </m:r>
          </m:den>
        </m:f>
        <m:d>
          <m:dPr>
            <m:ctrlPr>
              <w:rPr>
                <w:rFonts w:ascii="Cambria Math" w:hAnsi="Cambria Math" w:cs="Times"/>
                <w:i/>
                <w:sz w:val="22"/>
                <w:szCs w:val="22"/>
                <w:lang w:val="en-CA" w:eastAsia="ja-JP"/>
              </w:rPr>
            </m:ctrlPr>
          </m:dPr>
          <m:e>
            <m:sSub>
              <m:sSubPr>
                <m:ctrlPr>
                  <w:rPr>
                    <w:rFonts w:ascii="Cambria Math" w:hAnsi="Cambria Math" w:cs="Times"/>
                    <w:i/>
                    <w:sz w:val="22"/>
                    <w:szCs w:val="22"/>
                    <w:lang w:val="en-CA" w:eastAsia="ja-JP"/>
                  </w:rPr>
                </m:ctrlPr>
              </m:sSubPr>
              <m:e>
                <m:r>
                  <w:rPr>
                    <w:rFonts w:ascii="Cambria Math" w:hAnsi="Cambria Math" w:cs="Times"/>
                    <w:sz w:val="22"/>
                    <w:szCs w:val="22"/>
                    <w:lang w:val="en-CA" w:eastAsia="ja-JP"/>
                  </w:rPr>
                  <m:t>G</m:t>
                </m:r>
              </m:e>
              <m:sub>
                <m:r>
                  <w:rPr>
                    <w:rFonts w:ascii="Cambria Math" w:hAnsi="Cambria Math" w:cs="Times"/>
                    <w:sz w:val="22"/>
                    <w:szCs w:val="22"/>
                    <w:lang w:val="en-CA" w:eastAsia="ja-JP"/>
                  </w:rPr>
                  <m:t>u3</m:t>
                </m:r>
              </m:sub>
            </m:sSub>
            <m:r>
              <w:rPr>
                <w:rFonts w:ascii="Cambria Math" w:hAnsi="Cambria Math" w:cs="Times"/>
                <w:sz w:val="22"/>
                <w:szCs w:val="22"/>
                <w:lang w:val="en-CA" w:eastAsia="ja-JP"/>
              </w:rPr>
              <m:t>-</m:t>
            </m:r>
            <m:sSub>
              <m:sSubPr>
                <m:ctrlPr>
                  <w:rPr>
                    <w:rFonts w:ascii="Cambria Math" w:hAnsi="Cambria Math" w:cs="Times"/>
                    <w:i/>
                    <w:sz w:val="22"/>
                    <w:szCs w:val="22"/>
                    <w:lang w:val="en-CA" w:eastAsia="ja-JP"/>
                  </w:rPr>
                </m:ctrlPr>
              </m:sSubPr>
              <m:e>
                <m:r>
                  <w:rPr>
                    <w:rFonts w:ascii="Cambria Math" w:hAnsi="Cambria Math" w:cs="Times"/>
                    <w:sz w:val="22"/>
                    <w:szCs w:val="22"/>
                    <w:lang w:val="en-CA" w:eastAsia="ja-JP"/>
                  </w:rPr>
                  <m:t>G</m:t>
                </m:r>
              </m:e>
              <m:sub>
                <m:r>
                  <w:rPr>
                    <w:rFonts w:ascii="Cambria Math" w:hAnsi="Cambria Math" w:cs="Times"/>
                    <w:sz w:val="22"/>
                    <w:szCs w:val="22"/>
                    <w:lang w:val="en-CA" w:eastAsia="ja-JP"/>
                  </w:rPr>
                  <m:t>u1</m:t>
                </m:r>
              </m:sub>
            </m:sSub>
          </m:e>
        </m:d>
      </m:oMath>
      <w:r w:rsidR="00BC5BF5" w:rsidRPr="00EC5244">
        <w:rPr>
          <w:rFonts w:cs="Times"/>
          <w:sz w:val="22"/>
          <w:szCs w:val="22"/>
          <w:lang w:val="en-CA" w:eastAsia="ja-JP"/>
        </w:rPr>
        <w:tab/>
      </w:r>
      <w:r w:rsidR="00BC5BF5" w:rsidRPr="00EC5244">
        <w:rPr>
          <w:rFonts w:cs="Times"/>
          <w:sz w:val="22"/>
          <w:szCs w:val="22"/>
          <w:lang w:val="en-CA" w:eastAsia="ja-JP"/>
        </w:rPr>
        <w:tab/>
      </w:r>
      <w:r w:rsidR="00BC5BF5" w:rsidRPr="00EC5244">
        <w:rPr>
          <w:rFonts w:cs="Times"/>
          <w:sz w:val="22"/>
          <w:szCs w:val="22"/>
          <w:lang w:val="en-CA" w:eastAsia="ja-JP"/>
        </w:rPr>
        <w:tab/>
      </w:r>
      <w:r w:rsidR="00BC5BF5" w:rsidRPr="00EC5244">
        <w:rPr>
          <w:rFonts w:cs="Times"/>
          <w:sz w:val="22"/>
          <w:szCs w:val="22"/>
          <w:lang w:val="en-CA" w:eastAsia="ja-JP"/>
        </w:rPr>
        <w:tab/>
      </w:r>
      <w:r w:rsidR="00BC5BF5" w:rsidRPr="00EC5244">
        <w:rPr>
          <w:rFonts w:cs="Times"/>
          <w:sz w:val="22"/>
          <w:szCs w:val="22"/>
          <w:lang w:val="en-CA" w:eastAsia="ja-JP"/>
        </w:rPr>
        <w:tab/>
      </w:r>
      <w:r w:rsidR="00BC5BF5" w:rsidRPr="00EC5244">
        <w:rPr>
          <w:rFonts w:cs="Times"/>
          <w:sz w:val="22"/>
          <w:szCs w:val="22"/>
          <w:lang w:val="en-CA" w:eastAsia="ja-JP"/>
        </w:rPr>
        <w:tab/>
      </w:r>
      <w:r w:rsidR="00BC5BF5" w:rsidRPr="00EC5244">
        <w:rPr>
          <w:rFonts w:cs="Times"/>
          <w:sz w:val="22"/>
          <w:szCs w:val="22"/>
          <w:lang w:val="en-CA" w:eastAsia="ja-JP"/>
        </w:rPr>
        <w:tab/>
      </w:r>
      <w:r w:rsidR="00BC5BF5" w:rsidRPr="00EC5244">
        <w:rPr>
          <w:rFonts w:cs="Times"/>
          <w:sz w:val="22"/>
          <w:szCs w:val="22"/>
          <w:lang w:val="en-CA" w:eastAsia="ja-JP"/>
        </w:rPr>
        <w:tab/>
        <w:t>(7)</w:t>
      </w:r>
    </w:p>
    <w:p w14:paraId="79FDF611" w14:textId="29A80065" w:rsidR="00BC5BF5" w:rsidRPr="00EC5244" w:rsidRDefault="00BC5BF5" w:rsidP="00BC5BF5">
      <w:pPr>
        <w:pStyle w:val="TAMainText"/>
        <w:ind w:firstLine="0"/>
        <w:rPr>
          <w:lang w:val="en-CA"/>
        </w:rPr>
      </w:pPr>
      <w:r w:rsidRPr="00EC5244">
        <w:rPr>
          <w:lang w:val="en-CA"/>
        </w:rPr>
        <w:t xml:space="preserve">Here, solubilization viewed in terms of the </w:t>
      </w:r>
      <w:r w:rsidR="002B6B56" w:rsidRPr="00EC5244">
        <w:rPr>
          <w:lang w:val="en-CA"/>
        </w:rPr>
        <w:t xml:space="preserve">surfactant </w:t>
      </w:r>
      <w:r w:rsidRPr="00EC5244">
        <w:rPr>
          <w:lang w:val="en-CA"/>
        </w:rPr>
        <w:t xml:space="preserve">concentration contains </w:t>
      </w:r>
      <m:oMath>
        <m:f>
          <m:fPr>
            <m:ctrlPr>
              <w:rPr>
                <w:rFonts w:ascii="Cambria Math" w:hAnsi="Cambria Math"/>
                <w:i/>
                <w:lang w:val="en-CA"/>
              </w:rPr>
            </m:ctrlPr>
          </m:fPr>
          <m:num>
            <m:r>
              <w:rPr>
                <w:rFonts w:ascii="Cambria Math" w:hAnsi="Cambria Math"/>
                <w:lang w:val="en-CA"/>
              </w:rPr>
              <m:t>1</m:t>
            </m:r>
          </m:num>
          <m:den>
            <m:r>
              <w:rPr>
                <w:rFonts w:ascii="Cambria Math" w:hAnsi="Cambria Math"/>
                <w:lang w:val="en-CA"/>
              </w:rPr>
              <m:t>m</m:t>
            </m:r>
          </m:den>
        </m:f>
      </m:oMath>
      <w:r w:rsidRPr="00EC5244">
        <w:rPr>
          <w:lang w:val="en-CA"/>
        </w:rPr>
        <w:t>, which refers to the effective reduction in the number of hydrotrope</w:t>
      </w:r>
      <w:r w:rsidR="002B6B56" w:rsidRPr="00EC5244">
        <w:rPr>
          <w:lang w:val="en-CA"/>
        </w:rPr>
        <w:t>s</w:t>
      </w:r>
      <w:r w:rsidRPr="00EC5244">
        <w:rPr>
          <w:lang w:val="en-CA"/>
        </w:rPr>
        <w:t>, hence is an apparent inefficiency due to micellization.</w:t>
      </w:r>
      <w:r w:rsidR="006855FA" w:rsidRPr="00EC5244">
        <w:rPr>
          <w:lang w:val="en-CA"/>
        </w:rPr>
        <w:fldChar w:fldCharType="begin" w:fldLock="1"/>
      </w:r>
      <w:r w:rsidR="006855FA" w:rsidRPr="00EC5244">
        <w:rPr>
          <w:lang w:val="en-CA"/>
        </w:rPr>
        <w:instrText>ADDIN CSL_CITATION { "citationItems" : [ { "id" : "ITEM-1",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"35", "issued" : { "date-parts" : [ [ "2014" ] ] }, "page" : "10515-10524", "title" : "Hydrotropy: Monomer-micelle equilibrium and minimum hydrotrope concentration", "type" : "article-journal", "volume" : "118" }, "uris" : [ "http://www.mendeley.com/documents/?uuid=0cd1508f-d197-4e8d-a474-504cfaeae922" ] } ], "mendeley" : { "formattedCitation" : "&lt;sup&gt;10&lt;/sup&gt;", "plainTextFormattedCitation" : "10", "previouslyFormattedCitation" : "&lt;sup&gt;10&lt;/sup&gt;" }, "properties" : { "noteIndex" : 0 }, "schema" : "https://github.com/citation-style-language/schema/raw/master/csl-citation.json" }</w:instrText>
      </w:r>
      <w:r w:rsidR="006855FA" w:rsidRPr="00EC5244">
        <w:rPr>
          <w:lang w:val="en-CA"/>
        </w:rPr>
        <w:fldChar w:fldCharType="separate"/>
      </w:r>
      <w:r w:rsidR="006855FA" w:rsidRPr="00EC5244">
        <w:rPr>
          <w:noProof/>
          <w:vertAlign w:val="superscript"/>
          <w:lang w:val="en-CA"/>
        </w:rPr>
        <w:t>10</w:t>
      </w:r>
      <w:r w:rsidR="006855FA" w:rsidRPr="00EC5244">
        <w:rPr>
          <w:lang w:val="en-CA"/>
        </w:rPr>
        <w:fldChar w:fldCharType="end"/>
      </w:r>
      <w:r w:rsidRPr="00EC5244">
        <w:rPr>
          <w:lang w:val="en-CA"/>
        </w:rPr>
        <w:t xml:space="preserve"> However, the large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u3</m:t>
            </m:r>
          </m:sub>
        </m:sSub>
      </m:oMath>
      <w:r w:rsidRPr="00EC5244">
        <w:rPr>
          <w:lang w:val="en-CA"/>
        </w:rPr>
        <w:t xml:space="preserve"> more than compensates this factor, making many micellar hydrotropes effective solubilizers.</w:t>
      </w:r>
      <w:r w:rsidR="006855FA" w:rsidRPr="00EC5244">
        <w:rPr>
          <w:lang w:val="en-CA"/>
        </w:rPr>
        <w:fldChar w:fldCharType="begin" w:fldLock="1"/>
      </w:r>
      <w:r w:rsidR="006855FA" w:rsidRPr="00EC5244">
        <w:rPr>
          <w:lang w:val="en-CA"/>
        </w:rPr>
        <w:instrText>ADDIN CSL_CITATION { "citationItems" : [ { "id" : "ITEM-1",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"35", "issued" : { "date-parts" : [ [ "2014" ] ] }, "page" : "10515-10524", "title" : "Hydrotropy: Monomer-micelle equilibrium and minimum hydrotrope concentration", "type" : "article-journal", "volume" : "118" }, "uris" : [ "http://www.mendeley.com/documents/?uuid=0cd1508f-d197-4e8d-a474-504cfaeae922" ] } ], "mendeley" : { "formattedCitation" : "&lt;sup&gt;10&lt;/sup&gt;", "plainTextFormattedCitation" : "10", "previouslyFormattedCitation" : "&lt;sup&gt;10&lt;/sup&gt;" }, "properties" : { "noteIndex" : 0 }, "schema" : "https://github.com/citation-style-language/schema/raw/master/csl-citation.json" }</w:instrText>
      </w:r>
      <w:r w:rsidR="006855FA" w:rsidRPr="00EC5244">
        <w:rPr>
          <w:lang w:val="en-CA"/>
        </w:rPr>
        <w:fldChar w:fldCharType="separate"/>
      </w:r>
      <w:r w:rsidR="006855FA" w:rsidRPr="00EC5244">
        <w:rPr>
          <w:noProof/>
          <w:vertAlign w:val="superscript"/>
          <w:lang w:val="en-CA"/>
        </w:rPr>
        <w:t>10</w:t>
      </w:r>
      <w:r w:rsidR="006855FA" w:rsidRPr="00EC5244">
        <w:rPr>
          <w:lang w:val="en-CA"/>
        </w:rPr>
        <w:fldChar w:fldCharType="end"/>
      </w:r>
      <w:r w:rsidRPr="00EC5244">
        <w:rPr>
          <w:lang w:val="en-CA"/>
        </w:rPr>
        <w:t xml:space="preserve"> </w:t>
      </w:r>
    </w:p>
    <w:p w14:paraId="201F7A22" w14:textId="77777777" w:rsidR="00EE3EC0" w:rsidRPr="00EC5244" w:rsidRDefault="00EE3EC0" w:rsidP="00283FBB">
      <w:pPr>
        <w:pStyle w:val="TAMainText"/>
        <w:ind w:firstLine="0"/>
        <w:rPr>
          <w:lang w:val="en-CA"/>
        </w:rPr>
      </w:pPr>
    </w:p>
    <w:p w14:paraId="68C020E5" w14:textId="5AC59CD7" w:rsidR="00657636" w:rsidRPr="00EC5244" w:rsidRDefault="00B3619E" w:rsidP="00657636">
      <w:pPr>
        <w:pStyle w:val="TAMainText"/>
        <w:rPr>
          <w:lang w:val="en-CA"/>
        </w:rPr>
      </w:pPr>
      <w:r w:rsidRPr="00EC5244">
        <w:rPr>
          <w:lang w:val="en-CA"/>
        </w:rPr>
        <w:t>An important task unfulfilled in our previous work is the link between Eq. (7) and the classical f</w:t>
      </w:r>
      <w:r w:rsidR="00444FD8" w:rsidRPr="00EC5244">
        <w:rPr>
          <w:lang w:val="en-CA"/>
        </w:rPr>
        <w:t>ramework of micellar solubilization</w:t>
      </w:r>
      <w:r w:rsidRPr="00EC5244">
        <w:rPr>
          <w:lang w:val="en-CA"/>
        </w:rPr>
        <w:t xml:space="preserve">, namely </w:t>
      </w:r>
      <w:r w:rsidR="004A728B" w:rsidRPr="00EC5244">
        <w:rPr>
          <w:lang w:val="en-CA"/>
        </w:rPr>
        <w:t xml:space="preserve">the </w:t>
      </w:r>
      <w:r w:rsidR="008D1FC8" w:rsidRPr="00EC5244">
        <w:rPr>
          <w:lang w:val="en-CA"/>
        </w:rPr>
        <w:t xml:space="preserve">molar </w:t>
      </w:r>
      <w:r w:rsidR="004A728B" w:rsidRPr="00EC5244">
        <w:rPr>
          <w:lang w:val="en-CA"/>
        </w:rPr>
        <w:t>micelle-water partition coefficient</w:t>
      </w:r>
      <w:r w:rsidRPr="00EC5244">
        <w:rPr>
          <w:lang w:val="en-CA"/>
        </w:rPr>
        <w:t xml:space="preserve"> </w:t>
      </w:r>
      <m:oMath>
        <m:sSub>
          <m:sSubPr>
            <m:ctrlPr>
              <w:rPr>
                <w:rFonts w:ascii="Cambria Math" w:hAnsi="Cambria Math"/>
                <w:i/>
                <w:lang w:val="en-CA"/>
              </w:rPr>
            </m:ctrlPr>
          </m:sSubPr>
          <m:e>
            <m:r>
              <w:rPr>
                <w:rFonts w:ascii="Cambria Math" w:hAnsi="Cambria Math"/>
                <w:lang w:val="en-CA"/>
              </w:rPr>
              <m:t>K</m:t>
            </m:r>
          </m:e>
          <m:sub>
            <m:r>
              <w:rPr>
                <w:rFonts w:ascii="Cambria Math" w:hAnsi="Cambria Math"/>
                <w:lang w:val="en-CA"/>
              </w:rPr>
              <m:t>M</m:t>
            </m:r>
          </m:sub>
        </m:sSub>
      </m:oMath>
      <w:r w:rsidR="00657636" w:rsidRPr="00EC5244">
        <w:rPr>
          <w:lang w:val="en-CA"/>
        </w:rPr>
        <w:t xml:space="preserve"> </w:t>
      </w:r>
      <w:r w:rsidRPr="00EC5244">
        <w:rPr>
          <w:lang w:val="en-CA"/>
        </w:rPr>
        <w:t>and m</w:t>
      </w:r>
      <w:r w:rsidR="00657636" w:rsidRPr="00EC5244">
        <w:rPr>
          <w:lang w:val="en-CA"/>
        </w:rPr>
        <w:t xml:space="preserve">olar solubilization coefficient </w:t>
      </w:r>
      <m:oMath>
        <m:r>
          <w:rPr>
            <w:rFonts w:ascii="Cambria Math" w:hAnsi="Cambria Math"/>
            <w:lang w:val="en-CA"/>
          </w:rPr>
          <m:t>κ</m:t>
        </m:r>
      </m:oMath>
      <w:r w:rsidRPr="00EC5244">
        <w:rPr>
          <w:lang w:val="en-CA"/>
        </w:rPr>
        <w:t>.</w:t>
      </w:r>
      <w:r w:rsidR="006855FA" w:rsidRPr="00EC5244">
        <w:rPr>
          <w:lang w:val="en-CA"/>
        </w:rPr>
        <w:fldChar w:fldCharType="begin" w:fldLock="1"/>
      </w:r>
      <w:r w:rsidR="0039109D" w:rsidRPr="00EC5244">
        <w:rPr>
          <w:lang w:val="en-CA"/>
        </w:rPr>
        <w:instrText>ADDIN CSL_CITATION { "citationItems" : [ { "id" : "ITEM-1", "itemData" : { "DOI" : "10.1007/978-94-009-5775-6_5", "author" : [ { "dropping-particle" : "", "family" : "Attwood", "given" : "D.", "non-dropping-particle" : "", "parse-names" : false, "suffix" : "" }, { "dropping-particle" : "", "family" : "Florence", "given" : "A. T.", "non-dropping-particle" : "", "parse-names" : false, "suffix" : "" } ], "container-title" : "Surfactant Systems", "id" : "ITEM-1", "issued" : { "date-parts" : [ [ "1983" ] ] }, "page" : "229-292", "publisher" : "Springer Netherlands", "publisher-place" : "Dordrecht", "title" : "Solubilization", "type" : "chapter" }, "uris" : [ "http://www.mendeley.com/documents/?uuid=563f9364-c5df-39f1-b5e4-bade58de6d90" ] }, { "id" : "ITEM-2", "itemData" : { "DOI" : "10.1016/S0378-5173(00)00386-0", "ISSN" : "03785173", "PMID" : "10867251", "abstract" : "The molar solubilization capacities (??) and the molar micelle-water partition coefficients (K(M)(N)) in Polysorbate 80 of several drugs (including barbiturates, steroids, and benzoic acid derivatives) are related to their log octanol-water partition coefficients (logP). Both ?? and K(M)(N) values were calculated from solubility versus Polysorbate 80 concentration profiles, which were either experimentally determined or obtained from the literature. There is a linear relationship between logP of the tested compounds and the logarithm of the molar micelle-water partition coefficient (logK(M)(N)). On the other hand molar solubilization capacities are nearly independent of logP. It is shown that the ability of Polysorbate 80 to solubilize a drug can be predicted from its logP value. Copyright (C) 2000 Elsevier Science B.V.", "author" : [ { "dropping-particle" : "", "family" : "Alvarez-N\u00fa\u00f1ez", "given" : "F. A.", "non-dropping-particle" : "", "parse-names" : false, "suffix" : "" }, { "dropping-particle" : "", "family" : "Yalkowsky", "given" : "S. H.", "non-dropping-particle" : "", "parse-names" : false, "suffix" : "" } ], "container-title" : "International Journal of Pharmaceutics", "id" : "ITEM-2", "issue" : "2", "issued" : { "date-parts" : [ [ "2000" ] ] }, "page" : "217-222", "title" : "Relationship between Polysorbate 80 solubilization descriptors and octanol-water partition coefficients of drugs", "type" : "article-journal", "volume" : "200" }, "uris" : [ "http://www.mendeley.com/documents/?uuid=5d4381f1-b1ac-4f61-b0d3-1260484f5d19" ] }, { "id" : "ITEM-3", "itemData" : { "abstract" : "PURPOSE: Micellar solubilization is a pow-erful alternative for dissolving hydrophobic drugs in aqueous environments. In this work, we provide an insight into this subject. METHODS: A concise review of surfactants and micelles applications in phar-macy was carried out. RESULTS: Initially, a descrip-tion of surfactants and aqueous micellar systems is presented. Following, an extensive review on micellar drug solubilization, including both the principles involved on this phenomenon and the work already done regarding solubilization of drugs by micelles is presented. The application of micelles in drug delivery, in order to minimize drug degradation and loss, to pre-vent harmful side effects, and to increase drug bioavail-ability, is also presented. Special emphasis is given to the more recent use of polymeric micelles. Finally, we briefly discuss the importance of surfactants and micelles as biological systems models as well as its application in micellar catalysis. CONCLUSIONS: As can be seen from the review presented, the use of micelles in pharmacy is an important tool that finds numerous applications.", "author" : [ { "dropping-particle" : "", "family" : "Oliveira", "given" : "Carlota", "non-dropping-particle" : "De", "parse-names" : false, "suffix" : "" }, { "dropping-particle" : "", "family" : "Yagui", "given" : "Rangel", "non-dropping-particle" : "", "parse-names" : false, "suffix" : "" }, { "dropping-particle" : "", "family" : "Lineu Prestes", "given" : "Av", "non-dropping-particle" : "", "parse-names" : false, "suffix" : "" }, { "dropping-particle" : "", "family" : "Rangel-Yagui", "given" : "Carlota O", "non-dropping-particle" : "", "parse-names" : false, "suffix" : "" }, { "dropping-particle" : "", "family" : "Pessoa-Jr", "given" : "Adalberto", "non-dropping-particle" : "", "parse-names" : false, "suffix" : "" }, { "dropping-particle" : "", "family" : "Tavares", "given" : "Leoberto Costa", "non-dropping-particle" : "", "parse-names" : false, "suffix" : "" } ], "container-title" : "J Pharm Pharmaceut Sci (www.cspscanada.org)", "id" : "ITEM-3", "issue" : "2", "issued" : { "date-parts" : [ [ "2005" ] ] }, "page" : "147-163", "title" : "Micellar solubilization of drugs", "type" : "article-journal", "volume" : "8" }, "uris" : [ "http://www.mendeley.com/documents/?uuid=d0113e2b-dff8-3380-95eb-ce76cebe0d00" ] } ], "mendeley" : { "formattedCitation" : "&lt;sup&gt;42\u201344&lt;/sup&gt;", "plainTextFormattedCitation" : "42\u201344", "previouslyFormattedCitation" : "&lt;sup&gt;42\u201344&lt;/sup&gt;" }, "properties" : { "noteIndex" : 0 }, "schema" : "https://github.com/citation-style-language/schema/raw/master/csl-citation.json" }</w:instrText>
      </w:r>
      <w:r w:rsidR="006855FA" w:rsidRPr="00EC5244">
        <w:rPr>
          <w:lang w:val="en-CA"/>
        </w:rPr>
        <w:fldChar w:fldCharType="separate"/>
      </w:r>
      <w:r w:rsidR="0039109D" w:rsidRPr="00EC5244">
        <w:rPr>
          <w:noProof/>
          <w:vertAlign w:val="superscript"/>
          <w:lang w:val="en-CA"/>
        </w:rPr>
        <w:t>42–44</w:t>
      </w:r>
      <w:r w:rsidR="006855FA" w:rsidRPr="00EC5244">
        <w:rPr>
          <w:lang w:val="en-CA"/>
        </w:rPr>
        <w:fldChar w:fldCharType="end"/>
      </w:r>
      <w:r w:rsidRPr="00EC5244">
        <w:rPr>
          <w:lang w:val="en-CA"/>
        </w:rPr>
        <w:t xml:space="preserve"> Our aim here is threefold: (1) </w:t>
      </w:r>
      <w:r w:rsidR="00657636" w:rsidRPr="00EC5244">
        <w:rPr>
          <w:lang w:val="en-CA"/>
        </w:rPr>
        <w:t xml:space="preserve">to show how the classical framework can be interpreted in terms of the KB theory; (2) to clarify the true molecular picture behind </w:t>
      </w:r>
      <m:oMath>
        <m:sSub>
          <m:sSubPr>
            <m:ctrlPr>
              <w:rPr>
                <w:rFonts w:ascii="Cambria Math" w:hAnsi="Cambria Math"/>
                <w:i/>
                <w:lang w:val="en-CA"/>
              </w:rPr>
            </m:ctrlPr>
          </m:sSubPr>
          <m:e>
            <m:r>
              <w:rPr>
                <w:rFonts w:ascii="Cambria Math" w:hAnsi="Cambria Math"/>
                <w:lang w:val="en-CA"/>
              </w:rPr>
              <m:t>K</m:t>
            </m:r>
          </m:e>
          <m:sub>
            <m:r>
              <w:rPr>
                <w:rFonts w:ascii="Cambria Math" w:hAnsi="Cambria Math"/>
                <w:lang w:val="en-CA"/>
              </w:rPr>
              <m:t>M</m:t>
            </m:r>
          </m:sub>
        </m:sSub>
      </m:oMath>
      <w:r w:rsidR="00657636" w:rsidRPr="00EC5244">
        <w:rPr>
          <w:lang w:val="en-CA"/>
        </w:rPr>
        <w:t xml:space="preserve"> and </w:t>
      </w:r>
      <m:oMath>
        <m:r>
          <w:rPr>
            <w:rFonts w:ascii="Cambria Math" w:hAnsi="Cambria Math"/>
            <w:lang w:val="en-CA"/>
          </w:rPr>
          <m:t>κ</m:t>
        </m:r>
      </m:oMath>
      <w:r w:rsidR="00657636" w:rsidRPr="00EC5244">
        <w:rPr>
          <w:lang w:val="en-CA"/>
        </w:rPr>
        <w:t xml:space="preserve">; (3) to clarify the difference between micelle-water partition coefficient and the biphasic partition coefficient. </w:t>
      </w:r>
    </w:p>
    <w:p w14:paraId="160D3D04" w14:textId="6B3EB306" w:rsidR="00657636" w:rsidRPr="00EC5244" w:rsidRDefault="00657636" w:rsidP="00657636">
      <w:pPr>
        <w:pStyle w:val="TAMainText"/>
        <w:rPr>
          <w:lang w:val="en-CA"/>
        </w:rPr>
      </w:pPr>
    </w:p>
    <w:p w14:paraId="562822B8" w14:textId="4F1DA238" w:rsidR="009F191D" w:rsidRPr="00EC5244" w:rsidRDefault="009F191D" w:rsidP="009F191D">
      <w:pPr>
        <w:pStyle w:val="TAMainText"/>
        <w:rPr>
          <w:lang w:val="en-CA"/>
        </w:rPr>
      </w:pPr>
      <w:r w:rsidRPr="00EC5244">
        <w:rPr>
          <w:lang w:val="en-CA"/>
        </w:rPr>
        <w:t xml:space="preserve">The molar solubilization coefficient </w:t>
      </w:r>
      <m:oMath>
        <m:r>
          <w:rPr>
            <w:rFonts w:ascii="Cambria Math" w:hAnsi="Cambria Math"/>
            <w:lang w:val="en-CA"/>
          </w:rPr>
          <m:t>κ</m:t>
        </m:r>
      </m:oMath>
      <w:r w:rsidRPr="00EC5244">
        <w:rPr>
          <w:lang w:val="en-CA"/>
        </w:rPr>
        <w:t xml:space="preserve"> at a total surfactant concentration </w:t>
      </w:r>
      <m:oMath>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2</m:t>
            </m:r>
          </m:sub>
          <m:sup>
            <m:r>
              <w:rPr>
                <w:rFonts w:ascii="Cambria Math" w:hAnsi="Cambria Math"/>
                <w:lang w:val="en-CA"/>
              </w:rPr>
              <m:t>'</m:t>
            </m:r>
          </m:sup>
        </m:sSubSup>
      </m:oMath>
      <w:r w:rsidRPr="00EC5244">
        <w:rPr>
          <w:lang w:val="en-CA"/>
        </w:rPr>
        <w:t>, in the experimental literature, has been defined in the following context</w:t>
      </w:r>
    </w:p>
    <w:p w14:paraId="5CC8E1A8" w14:textId="77777777" w:rsidR="009F191D" w:rsidRPr="00EC5244" w:rsidRDefault="000C7FF6" w:rsidP="009F191D">
      <w:pPr>
        <w:pStyle w:val="TAMainText"/>
        <w:rPr>
          <w:lang w:val="en-CA"/>
        </w:rPr>
      </w:pPr>
      <m:oMath>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u</m:t>
            </m:r>
          </m:sub>
        </m:sSub>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u</m:t>
            </m:r>
          </m:sub>
          <m:sup>
            <m:r>
              <w:rPr>
                <w:rFonts w:ascii="Cambria Math" w:hAnsi="Cambria Math"/>
                <w:lang w:val="en-CA"/>
              </w:rPr>
              <m:t>0</m:t>
            </m:r>
          </m:sup>
        </m:sSubSup>
        <m:r>
          <w:rPr>
            <w:rFonts w:ascii="Cambria Math" w:hAnsi="Cambria Math"/>
            <w:lang w:val="en-CA"/>
          </w:rPr>
          <m:t>+κ(</m:t>
        </m:r>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2</m:t>
            </m:r>
          </m:sub>
          <m:sup>
            <m:r>
              <w:rPr>
                <w:rFonts w:ascii="Cambria Math" w:hAnsi="Cambria Math"/>
                <w:lang w:val="en-CA"/>
              </w:rPr>
              <m:t>'</m:t>
            </m:r>
          </m:sup>
        </m:sSubSup>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2</m:t>
            </m:r>
          </m:sub>
          <m:sup>
            <m:r>
              <w:rPr>
                <w:rFonts w:ascii="Cambria Math" w:hAnsi="Cambria Math"/>
                <w:lang w:val="en-CA"/>
              </w:rPr>
              <m:t>cm</m:t>
            </m:r>
            <m:sSup>
              <m:sSupPr>
                <m:ctrlPr>
                  <w:rPr>
                    <w:rFonts w:ascii="Cambria Math" w:hAnsi="Cambria Math"/>
                    <w:i/>
                    <w:lang w:val="en-CA"/>
                  </w:rPr>
                </m:ctrlPr>
              </m:sSupPr>
              <m:e>
                <m:r>
                  <w:rPr>
                    <w:rFonts w:ascii="Cambria Math" w:hAnsi="Cambria Math"/>
                    <w:lang w:val="en-CA"/>
                  </w:rPr>
                  <m:t>c</m:t>
                </m:r>
              </m:e>
              <m:sup>
                <m:r>
                  <w:rPr>
                    <w:rFonts w:ascii="Cambria Math" w:hAnsi="Cambria Math"/>
                    <w:lang w:val="en-CA"/>
                  </w:rPr>
                  <m:t>'</m:t>
                </m:r>
              </m:sup>
            </m:sSup>
          </m:sup>
        </m:sSubSup>
        <m:r>
          <w:rPr>
            <w:rFonts w:ascii="Cambria Math" w:hAnsi="Cambria Math"/>
            <w:lang w:val="en-CA"/>
          </w:rPr>
          <m:t>)</m:t>
        </m:r>
      </m:oMath>
      <w:r w:rsidR="009F191D" w:rsidRPr="00EC5244">
        <w:rPr>
          <w:lang w:val="en-CA"/>
        </w:rPr>
        <w:tab/>
      </w:r>
      <w:r w:rsidR="009F191D" w:rsidRPr="00EC5244">
        <w:rPr>
          <w:lang w:val="en-CA"/>
        </w:rPr>
        <w:tab/>
      </w:r>
      <w:r w:rsidR="009F191D" w:rsidRPr="00EC5244">
        <w:rPr>
          <w:lang w:val="en-CA"/>
        </w:rPr>
        <w:tab/>
      </w:r>
      <w:r w:rsidR="009F191D" w:rsidRPr="00EC5244">
        <w:rPr>
          <w:lang w:val="en-CA"/>
        </w:rPr>
        <w:tab/>
      </w:r>
      <w:r w:rsidR="009F191D" w:rsidRPr="00EC5244">
        <w:rPr>
          <w:lang w:val="en-CA"/>
        </w:rPr>
        <w:tab/>
      </w:r>
      <w:r w:rsidR="009F191D" w:rsidRPr="00EC5244">
        <w:rPr>
          <w:lang w:val="en-CA"/>
        </w:rPr>
        <w:tab/>
      </w:r>
      <w:r w:rsidR="009F191D" w:rsidRPr="00EC5244">
        <w:rPr>
          <w:lang w:val="en-CA"/>
        </w:rPr>
        <w:tab/>
      </w:r>
      <w:r w:rsidR="009F191D" w:rsidRPr="00EC5244">
        <w:rPr>
          <w:lang w:val="en-CA"/>
        </w:rPr>
        <w:tab/>
      </w:r>
      <w:r w:rsidR="009F191D" w:rsidRPr="00EC5244">
        <w:rPr>
          <w:lang w:val="en-CA"/>
        </w:rPr>
        <w:tab/>
        <w:t>(8)</w:t>
      </w:r>
    </w:p>
    <w:p w14:paraId="2185CAB1" w14:textId="77777777" w:rsidR="009F191D" w:rsidRPr="00EC5244" w:rsidRDefault="009F191D" w:rsidP="009F191D">
      <w:pPr>
        <w:pStyle w:val="TAMainText"/>
        <w:ind w:firstLine="0"/>
        <w:rPr>
          <w:lang w:val="en-CA"/>
        </w:rPr>
      </w:pPr>
      <w:r w:rsidRPr="00EC5244">
        <w:rPr>
          <w:lang w:val="en-CA"/>
        </w:rPr>
        <w:t xml:space="preserve">where </w:t>
      </w:r>
      <m:oMath>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u</m:t>
            </m:r>
          </m:sub>
        </m:sSub>
      </m:oMath>
      <w:r w:rsidRPr="00EC5244">
        <w:rPr>
          <w:lang w:val="en-CA"/>
        </w:rPr>
        <w:t xml:space="preserve"> is the solubility of the solute and </w:t>
      </w:r>
      <m:oMath>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u</m:t>
            </m:r>
          </m:sub>
          <m:sup>
            <m:r>
              <w:rPr>
                <w:rFonts w:ascii="Cambria Math" w:hAnsi="Cambria Math"/>
                <w:lang w:val="en-CA"/>
              </w:rPr>
              <m:t>0</m:t>
            </m:r>
          </m:sup>
        </m:sSubSup>
      </m:oMath>
      <w:r w:rsidRPr="00EC5244">
        <w:rPr>
          <w:lang w:val="en-CA"/>
        </w:rPr>
        <w:t xml:space="preserve"> is that at CMC (</w:t>
      </w:r>
      <m:oMath>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2</m:t>
            </m:r>
          </m:sub>
          <m:sup>
            <m:r>
              <w:rPr>
                <w:rFonts w:ascii="Cambria Math" w:hAnsi="Cambria Math"/>
                <w:lang w:val="en-CA"/>
              </w:rPr>
              <m:t>cmc</m:t>
            </m:r>
          </m:sup>
        </m:sSubSup>
        <m:r>
          <w:rPr>
            <w:rFonts w:ascii="Cambria Math" w:hAnsi="Cambria Math"/>
            <w:lang w:val="en-CA"/>
          </w:rPr>
          <m:t>'</m:t>
        </m:r>
      </m:oMath>
      <w:r w:rsidRPr="00EC5244">
        <w:rPr>
          <w:lang w:val="en-CA"/>
        </w:rPr>
        <w:t>).</w:t>
      </w:r>
      <w:r w:rsidRPr="00EC5244">
        <w:rPr>
          <w:lang w:val="en-CA"/>
        </w:rPr>
        <w:fldChar w:fldCharType="begin" w:fldLock="1"/>
      </w:r>
      <w:r w:rsidRPr="00EC5244">
        <w:rPr>
          <w:lang w:val="en-CA"/>
        </w:rPr>
        <w:instrText>ADDIN CSL_CITATION { "citationItems" : [ { "id" : "ITEM-1", "itemData" : { "DOI" : "10.1007/978-94-009-5775-6_5", "author" : [ { "dropping-particle" : "", "family" : "Attwood", "given" : "D.", "non-dropping-particle" : "", "parse-names" : false, "suffix" : "" }, { "dropping-particle" : "", "family" : "Florence", "given" : "A. T.", "non-dropping-particle" : "", "parse-names" : false, "suffix" : "" } ], "container-title" : "Surfactant Systems", "id" : "ITEM-1", "issued" : { "date-parts" : [ [ "1983" ] ] }, "page" : "229-292", "publisher" : "Springer Netherlands", "publisher-place" : "Dordrecht", "title" : "Solubilization", "type" : "chapter" }, "uris" : [ "http://www.mendeley.com/documents/?uuid=563f9364-c5df-39f1-b5e4-bade58de6d90" ] }, { "id" : "ITEM-2", "itemData" : { "DOI" : "10.1016/S0378-5173(00)00386-0", "ISSN" : "03785173", "PMID" : "10867251", "abstract" : "The molar solubilization capacities (??) and the molar micelle-water partition coefficients (K(M)(N)) in Polysorbate 80 of several drugs (including barbiturates, steroids, and benzoic acid derivatives) are related to their log octanol-water partition coefficients (logP). Both ?? and K(M)(N) values were calculated from solubility versus Polysorbate 80 concentration profiles, which were either experimentally determined or obtained from the literature. There is a linear relationship between logP of the tested compounds and the logarithm of the molar micelle-water partition coefficient (logK(M)(N)). On the other hand molar solubilization capacities are nearly independent of logP. It is shown that the ability of Polysorbate 80 to solubilize a drug can be predicted from its logP value. Copyright (C) 2000 Elsevier Science B.V.", "author" : [ { "dropping-particle" : "", "family" : "Alvarez-N\u00fa\u00f1ez", "given" : "F. A.", "non-dropping-particle" : "", "parse-names" : false, "suffix" : "" }, { "dropping-particle" : "", "family" : "Yalkowsky", "given" : "S. H.", "non-dropping-particle" : "", "parse-names" : false, "suffix" : "" } ], "container-title" : "International Journal of Pharmaceutics", "id" : "ITEM-2", "issue" : "2", "issued" : { "date-parts" : [ [ "2000" ] ] }, "page" : "217-222", "title" : "Relationship between Polysorbate 80 solubilization descriptors and octanol-water partition coefficients of drugs", "type" : "article-journal", "volume" : "200" }, "uris" : [ "http://www.mendeley.com/documents/?uuid=5d4381f1-b1ac-4f61-b0d3-1260484f5d19" ] }, { "id" : "ITEM-3", "itemData" : { "abstract" : "PURPOSE: Micellar solubilization is a pow-erful alternative for dissolving hydrophobic drugs in aqueous environments. In this work, we provide an insight into this subject. METHODS: A concise review of surfactants and micelles applications in phar-macy was carried out. RESULTS: Initially, a descrip-tion of surfactants and aqueous micellar systems is presented. Following, an extensive review on micellar drug solubilization, including both the principles involved on this phenomenon and the work already done regarding solubilization of drugs by micelles is presented. The application of micelles in drug delivery, in order to minimize drug degradation and loss, to pre-vent harmful side effects, and to increase drug bioavail-ability, is also presented. Special emphasis is given to the more recent use of polymeric micelles. Finally, we briefly discuss the importance of surfactants and micelles as biological systems models as well as its application in micellar catalysis. CONCLUSIONS: As can be seen from the review presented, the use of micelles in pharmacy is an important tool that finds numerous applications.", "author" : [ { "dropping-particle" : "", "family" : "Oliveira", "given" : "Carlota", "non-dropping-particle" : "De", "parse-names" : false, "suffix" : "" }, { "dropping-particle" : "", "family" : "Yagui", "given" : "Rangel", "non-dropping-particle" : "", "parse-names" : false, "suffix" : "" }, { "dropping-particle" : "", "family" : "Lineu Prestes", "given" : "Av", "non-dropping-particle" : "", "parse-names" : false, "suffix" : "" }, { "dropping-particle" : "", "family" : "Rangel-Yagui", "given" : "Carlota O", "non-dropping-particle" : "", "parse-names" : false, "suffix" : "" }, { "dropping-particle" : "", "family" : "Pessoa-Jr", "given" : "Adalberto", "non-dropping-particle" : "", "parse-names" : false, "suffix" : "" }, { "dropping-particle" : "", "family" : "Tavares", "given" : "Leoberto Costa", "non-dropping-particle" : "", "parse-names" : false, "suffix" : "" } ], "container-title" : "J Pharm Pharmaceut Sci (www.cspscanada.org)", "id" : "ITEM-3", "issue" : "2", "issued" : { "date-parts" : [ [ "2005" ] ] }, "page" : "147-163", "title" : "Micellar solubilization of drugs", "type" : "article-journal", "volume" : "8" }, "uris" : [ "http://www.mendeley.com/documents/?uuid=d0113e2b-dff8-3380-95eb-ce76cebe0d00" ] } ], "mendeley" : { "formattedCitation" : "&lt;sup&gt;42\u201344&lt;/sup&gt;", "plainTextFormattedCitation" : "42\u201344", "previouslyFormattedCitation" : "&lt;sup&gt;42\u201344&lt;/sup&gt;" }, "properties" : { "noteIndex" : 0 }, "schema" : "https://github.com/citation-style-language/schema/raw/master/csl-citation.json" }</w:instrText>
      </w:r>
      <w:r w:rsidRPr="00EC5244">
        <w:rPr>
          <w:lang w:val="en-CA"/>
        </w:rPr>
        <w:fldChar w:fldCharType="separate"/>
      </w:r>
      <w:r w:rsidRPr="00EC5244">
        <w:rPr>
          <w:noProof/>
          <w:vertAlign w:val="superscript"/>
          <w:lang w:val="en-CA"/>
        </w:rPr>
        <w:t>42–44</w:t>
      </w:r>
      <w:r w:rsidRPr="00EC5244">
        <w:rPr>
          <w:lang w:val="en-CA"/>
        </w:rPr>
        <w:fldChar w:fldCharType="end"/>
      </w:r>
      <w:r w:rsidRPr="00EC5244">
        <w:rPr>
          <w:lang w:val="en-CA"/>
        </w:rPr>
        <w:t xml:space="preserve"> Molar micelle-water partition coefficient </w:t>
      </w:r>
      <m:oMath>
        <m:sSub>
          <m:sSubPr>
            <m:ctrlPr>
              <w:rPr>
                <w:rFonts w:ascii="Cambria Math" w:hAnsi="Cambria Math"/>
                <w:i/>
                <w:lang w:val="en-CA"/>
              </w:rPr>
            </m:ctrlPr>
          </m:sSubPr>
          <m:e>
            <m:r>
              <w:rPr>
                <w:rFonts w:ascii="Cambria Math" w:hAnsi="Cambria Math"/>
                <w:lang w:val="en-CA"/>
              </w:rPr>
              <m:t>K</m:t>
            </m:r>
          </m:e>
          <m:sub>
            <m:r>
              <w:rPr>
                <w:rFonts w:ascii="Cambria Math" w:hAnsi="Cambria Math"/>
                <w:lang w:val="en-CA"/>
              </w:rPr>
              <m:t>M</m:t>
            </m:r>
          </m:sub>
        </m:sSub>
      </m:oMath>
      <w:r w:rsidRPr="00EC5244">
        <w:rPr>
          <w:lang w:val="en-CA"/>
        </w:rPr>
        <w:t xml:space="preserve"> has been introduced in the context of rewriting Eq. (8) as</w:t>
      </w:r>
      <w:r w:rsidRPr="00EC5244">
        <w:rPr>
          <w:lang w:val="en-CA"/>
        </w:rPr>
        <w:fldChar w:fldCharType="begin" w:fldLock="1"/>
      </w:r>
      <w:r w:rsidRPr="00EC5244">
        <w:rPr>
          <w:lang w:val="en-CA"/>
        </w:rPr>
        <w:instrText>ADDIN CSL_CITATION { "citationItems" : [ { "id" : "ITEM-1", "itemData" : { "DOI" : "10.1063/1.2186324", "ISSN" : "0021-9606", "author" : [ { "dropping-particle" : "", "family" : "Matubayasi", "given" : "Nobuyuki", "non-dropping-particle" : "", "parse-names" : false, "suffix" : "" }, { "dropping-particle" : "", "family" : "Liang", "given" : "Kuo Kan", "non-dropping-particle" : "", "parse-names" : false, "suffix" : "" }, { "dropping-particle" : "", "family" : "Nakahara", "given" : "Masaru", "non-dropping-particle" : "", "parse-names" : false, "suffix" : "" } ], "container-title" : "The Journal of Chemical Physics", "id" : "ITEM-1", "issue" : "15", "issued" : { "date-parts" : [ [ "2006", "4", "21" ] ] }, "page" : "154908", "title" : "Free-energy analysis of solubilization in micelle", "type" : "article-journal", "volume" : "124" }, "uris" : [ "http://www.mendeley.com/documents/?uuid=d1f0e9c1-c8cc-3891-ab25-bfeb8a83a8f0" ] } ], "mendeley" : { "formattedCitation" : "&lt;sup&gt;30&lt;/sup&gt;", "plainTextFormattedCitation" : "30", "previouslyFormattedCitation" : "&lt;sup&gt;30&lt;/sup&gt;" }, "properties" : { "noteIndex" : 0 }, "schema" : "https://github.com/citation-style-language/schema/raw/master/csl-citation.json" }</w:instrText>
      </w:r>
      <w:r w:rsidRPr="00EC5244">
        <w:rPr>
          <w:lang w:val="en-CA"/>
        </w:rPr>
        <w:fldChar w:fldCharType="separate"/>
      </w:r>
      <w:r w:rsidRPr="00EC5244">
        <w:rPr>
          <w:noProof/>
          <w:vertAlign w:val="superscript"/>
          <w:lang w:val="en-CA"/>
        </w:rPr>
        <w:t>30</w:t>
      </w:r>
      <w:r w:rsidRPr="00EC5244">
        <w:rPr>
          <w:lang w:val="en-CA"/>
        </w:rPr>
        <w:fldChar w:fldCharType="end"/>
      </w:r>
      <w:r w:rsidRPr="00EC5244">
        <w:rPr>
          <w:lang w:val="en-CA"/>
        </w:rPr>
        <w:t xml:space="preserve"> </w:t>
      </w:r>
    </w:p>
    <w:p w14:paraId="24BDA7EB" w14:textId="77777777" w:rsidR="009F191D" w:rsidRPr="00EC5244" w:rsidRDefault="000C7FF6" w:rsidP="009F191D">
      <w:pPr>
        <w:pStyle w:val="TAMainText"/>
        <w:ind w:firstLine="0"/>
        <w:rPr>
          <w:lang w:val="en-CA"/>
        </w:rPr>
      </w:pPr>
      <m:oMath>
        <m:f>
          <m:fPr>
            <m:ctrlPr>
              <w:rPr>
                <w:rFonts w:ascii="Cambria Math" w:hAnsi="Cambria Math"/>
                <w:i/>
                <w:lang w:val="en-CA"/>
              </w:rPr>
            </m:ctrlPr>
          </m:fPr>
          <m:num>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u</m:t>
                </m:r>
              </m:sub>
            </m:sSub>
          </m:num>
          <m:den>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u</m:t>
                </m:r>
              </m:sub>
              <m:sup>
                <m:r>
                  <w:rPr>
                    <w:rFonts w:ascii="Cambria Math" w:hAnsi="Cambria Math"/>
                    <w:lang w:val="en-CA"/>
                  </w:rPr>
                  <m:t>0</m:t>
                </m:r>
              </m:sup>
            </m:sSubSup>
          </m:den>
        </m:f>
        <m:r>
          <w:rPr>
            <w:rFonts w:ascii="Cambria Math" w:hAnsi="Cambria Math"/>
            <w:lang w:val="en-CA"/>
          </w:rPr>
          <m:t>=1+</m:t>
        </m:r>
        <m:f>
          <m:fPr>
            <m:ctrlPr>
              <w:rPr>
                <w:rFonts w:ascii="Cambria Math" w:hAnsi="Cambria Math"/>
                <w:i/>
                <w:lang w:val="en-CA"/>
              </w:rPr>
            </m:ctrlPr>
          </m:fPr>
          <m:num>
            <m:r>
              <w:rPr>
                <w:rFonts w:ascii="Cambria Math" w:hAnsi="Cambria Math"/>
                <w:lang w:val="en-CA"/>
              </w:rPr>
              <m:t>κ</m:t>
            </m:r>
            <m:d>
              <m:dPr>
                <m:ctrlPr>
                  <w:rPr>
                    <w:rFonts w:ascii="Cambria Math" w:hAnsi="Cambria Math"/>
                    <w:i/>
                    <w:lang w:val="en-CA"/>
                  </w:rPr>
                </m:ctrlPr>
              </m:dPr>
              <m:e>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2</m:t>
                    </m:r>
                  </m:sub>
                  <m:sup>
                    <m:r>
                      <w:rPr>
                        <w:rFonts w:ascii="Cambria Math" w:hAnsi="Cambria Math"/>
                        <w:lang w:val="en-CA"/>
                      </w:rPr>
                      <m:t>'</m:t>
                    </m:r>
                  </m:sup>
                </m:sSubSup>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2</m:t>
                    </m:r>
                  </m:sub>
                  <m:sup>
                    <m:r>
                      <w:rPr>
                        <w:rFonts w:ascii="Cambria Math" w:hAnsi="Cambria Math"/>
                        <w:lang w:val="en-CA"/>
                      </w:rPr>
                      <m:t>cm</m:t>
                    </m:r>
                    <m:sSup>
                      <m:sSupPr>
                        <m:ctrlPr>
                          <w:rPr>
                            <w:rFonts w:ascii="Cambria Math" w:hAnsi="Cambria Math"/>
                            <w:i/>
                            <w:lang w:val="en-CA"/>
                          </w:rPr>
                        </m:ctrlPr>
                      </m:sSupPr>
                      <m:e>
                        <m:r>
                          <w:rPr>
                            <w:rFonts w:ascii="Cambria Math" w:hAnsi="Cambria Math"/>
                            <w:lang w:val="en-CA"/>
                          </w:rPr>
                          <m:t>c</m:t>
                        </m:r>
                      </m:e>
                      <m:sup>
                        <m:r>
                          <w:rPr>
                            <w:rFonts w:ascii="Cambria Math" w:hAnsi="Cambria Math"/>
                            <w:lang w:val="en-CA"/>
                          </w:rPr>
                          <m:t>'</m:t>
                        </m:r>
                      </m:sup>
                    </m:sSup>
                  </m:sup>
                </m:sSubSup>
              </m:e>
            </m:d>
          </m:num>
          <m:den>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u</m:t>
                </m:r>
              </m:sub>
              <m:sup>
                <m:r>
                  <w:rPr>
                    <w:rFonts w:ascii="Cambria Math" w:hAnsi="Cambria Math"/>
                    <w:lang w:val="en-CA"/>
                  </w:rPr>
                  <m:t>0</m:t>
                </m:r>
              </m:sup>
            </m:sSubSup>
          </m:den>
        </m:f>
        <m:r>
          <w:rPr>
            <w:rFonts w:ascii="Cambria Math" w:hAnsi="Cambria Math"/>
            <w:lang w:val="en-CA"/>
          </w:rPr>
          <m:t>=1+</m:t>
        </m:r>
        <m:sSub>
          <m:sSubPr>
            <m:ctrlPr>
              <w:rPr>
                <w:rFonts w:ascii="Cambria Math" w:hAnsi="Cambria Math"/>
                <w:i/>
                <w:lang w:val="en-CA"/>
              </w:rPr>
            </m:ctrlPr>
          </m:sSubPr>
          <m:e>
            <m:r>
              <w:rPr>
                <w:rFonts w:ascii="Cambria Math" w:hAnsi="Cambria Math"/>
                <w:lang w:val="en-CA"/>
              </w:rPr>
              <m:t>K</m:t>
            </m:r>
          </m:e>
          <m:sub>
            <m:r>
              <w:rPr>
                <w:rFonts w:ascii="Cambria Math" w:hAnsi="Cambria Math"/>
                <w:lang w:val="en-CA"/>
              </w:rPr>
              <m:t>M</m:t>
            </m:r>
          </m:sub>
        </m:sSub>
        <m:d>
          <m:dPr>
            <m:ctrlPr>
              <w:rPr>
                <w:rFonts w:ascii="Cambria Math" w:hAnsi="Cambria Math"/>
                <w:i/>
                <w:lang w:val="en-CA"/>
              </w:rPr>
            </m:ctrlPr>
          </m:dPr>
          <m:e>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2</m:t>
                </m:r>
              </m:sub>
              <m:sup>
                <m:r>
                  <w:rPr>
                    <w:rFonts w:ascii="Cambria Math" w:hAnsi="Cambria Math"/>
                    <w:lang w:val="en-CA"/>
                  </w:rPr>
                  <m:t>'</m:t>
                </m:r>
              </m:sup>
            </m:sSubSup>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2</m:t>
                </m:r>
              </m:sub>
              <m:sup>
                <m:r>
                  <w:rPr>
                    <w:rFonts w:ascii="Cambria Math" w:hAnsi="Cambria Math"/>
                    <w:lang w:val="en-CA"/>
                  </w:rPr>
                  <m:t>cm</m:t>
                </m:r>
                <m:sSup>
                  <m:sSupPr>
                    <m:ctrlPr>
                      <w:rPr>
                        <w:rFonts w:ascii="Cambria Math" w:hAnsi="Cambria Math"/>
                        <w:i/>
                        <w:lang w:val="en-CA"/>
                      </w:rPr>
                    </m:ctrlPr>
                  </m:sSupPr>
                  <m:e>
                    <m:r>
                      <w:rPr>
                        <w:rFonts w:ascii="Cambria Math" w:hAnsi="Cambria Math"/>
                        <w:lang w:val="en-CA"/>
                      </w:rPr>
                      <m:t>c</m:t>
                    </m:r>
                  </m:e>
                  <m:sup>
                    <m:r>
                      <w:rPr>
                        <w:rFonts w:ascii="Cambria Math" w:hAnsi="Cambria Math"/>
                        <w:lang w:val="en-CA"/>
                      </w:rPr>
                      <m:t>'</m:t>
                    </m:r>
                  </m:sup>
                </m:sSup>
              </m:sup>
            </m:sSubSup>
          </m:e>
        </m:d>
        <m:r>
          <w:rPr>
            <w:rFonts w:ascii="Cambria Math" w:hAnsi="Cambria Math"/>
            <w:lang w:val="en-CA"/>
          </w:rPr>
          <m:t>≃1+</m:t>
        </m:r>
        <m:sSub>
          <m:sSubPr>
            <m:ctrlPr>
              <w:rPr>
                <w:rFonts w:ascii="Cambria Math" w:hAnsi="Cambria Math"/>
                <w:i/>
                <w:lang w:val="en-CA"/>
              </w:rPr>
            </m:ctrlPr>
          </m:sSubPr>
          <m:e>
            <m:r>
              <w:rPr>
                <w:rFonts w:ascii="Cambria Math" w:hAnsi="Cambria Math"/>
                <w:lang w:val="en-CA"/>
              </w:rPr>
              <m:t>K</m:t>
            </m:r>
          </m:e>
          <m:sub>
            <m:r>
              <w:rPr>
                <w:rFonts w:ascii="Cambria Math" w:hAnsi="Cambria Math"/>
                <w:lang w:val="en-CA"/>
              </w:rPr>
              <m:t>M</m:t>
            </m:r>
          </m:sub>
        </m:sSub>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2</m:t>
            </m:r>
          </m:sub>
          <m:sup>
            <m:r>
              <w:rPr>
                <w:rFonts w:ascii="Cambria Math" w:hAnsi="Cambria Math"/>
                <w:lang w:val="en-CA"/>
              </w:rPr>
              <m:t>'</m:t>
            </m:r>
          </m:sup>
        </m:sSubSup>
      </m:oMath>
      <w:r w:rsidR="009F191D" w:rsidRPr="00EC5244">
        <w:rPr>
          <w:lang w:val="en-CA"/>
        </w:rPr>
        <w:tab/>
      </w:r>
      <w:r w:rsidR="009F191D" w:rsidRPr="00EC5244">
        <w:rPr>
          <w:lang w:val="en-CA"/>
        </w:rPr>
        <w:tab/>
      </w:r>
      <w:r w:rsidR="009F191D" w:rsidRPr="00EC5244">
        <w:rPr>
          <w:lang w:val="en-CA"/>
        </w:rPr>
        <w:tab/>
      </w:r>
      <w:r w:rsidR="009F191D" w:rsidRPr="00EC5244">
        <w:rPr>
          <w:lang w:val="en-CA"/>
        </w:rPr>
        <w:tab/>
      </w:r>
      <w:r w:rsidR="009F191D" w:rsidRPr="00EC5244">
        <w:rPr>
          <w:lang w:val="en-CA"/>
        </w:rPr>
        <w:tab/>
        <w:t>(9)</w:t>
      </w:r>
    </w:p>
    <w:p w14:paraId="4F4B484B" w14:textId="247E3A98" w:rsidR="00FD08BC" w:rsidRPr="00EC5244" w:rsidRDefault="009F191D" w:rsidP="009F191D">
      <w:pPr>
        <w:pStyle w:val="TAMainText"/>
        <w:ind w:firstLine="0"/>
        <w:rPr>
          <w:lang w:val="en-CA"/>
        </w:rPr>
      </w:pPr>
      <w:r w:rsidRPr="00EC5244">
        <w:rPr>
          <w:lang w:val="en-CA"/>
        </w:rPr>
        <w:t xml:space="preserve">where </w:t>
      </w:r>
      <m:oMath>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2</m:t>
            </m:r>
          </m:sub>
          <m:sup>
            <m:r>
              <w:rPr>
                <w:rFonts w:ascii="Cambria Math" w:hAnsi="Cambria Math"/>
                <w:lang w:val="en-CA"/>
              </w:rPr>
              <m:t>'</m:t>
            </m:r>
          </m:sup>
        </m:sSubSup>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2</m:t>
            </m:r>
          </m:sub>
          <m:sup>
            <m:r>
              <w:rPr>
                <w:rFonts w:ascii="Cambria Math" w:hAnsi="Cambria Math"/>
                <w:lang w:val="en-CA"/>
              </w:rPr>
              <m:t>cm</m:t>
            </m:r>
            <m:sSup>
              <m:sSupPr>
                <m:ctrlPr>
                  <w:rPr>
                    <w:rFonts w:ascii="Cambria Math" w:hAnsi="Cambria Math"/>
                    <w:i/>
                    <w:lang w:val="en-CA"/>
                  </w:rPr>
                </m:ctrlPr>
              </m:sSupPr>
              <m:e>
                <m:r>
                  <w:rPr>
                    <w:rFonts w:ascii="Cambria Math" w:hAnsi="Cambria Math"/>
                    <w:lang w:val="en-CA"/>
                  </w:rPr>
                  <m:t>c</m:t>
                </m:r>
              </m:e>
              <m:sup>
                <m:r>
                  <w:rPr>
                    <w:rFonts w:ascii="Cambria Math" w:hAnsi="Cambria Math"/>
                    <w:lang w:val="en-CA"/>
                  </w:rPr>
                  <m:t>'</m:t>
                </m:r>
              </m:sup>
            </m:sSup>
          </m:sup>
        </m:sSubSup>
      </m:oMath>
      <w:r w:rsidRPr="00EC5244">
        <w:rPr>
          <w:lang w:val="en-CA"/>
        </w:rPr>
        <w:t xml:space="preserve"> is usually the concentration region used for solubilization.</w:t>
      </w:r>
      <w:r w:rsidRPr="00EC5244">
        <w:rPr>
          <w:lang w:val="en-CA"/>
        </w:rPr>
        <w:fldChar w:fldCharType="begin" w:fldLock="1"/>
      </w:r>
      <w:r w:rsidRPr="00EC5244">
        <w:rPr>
          <w:lang w:val="en-CA"/>
        </w:rPr>
        <w:instrText>ADDIN CSL_CITATION { "citationItems" : [ { "id" : "ITEM-1", "itemData" : { "DOI" : "10.1007/978-94-009-5775-6_5", "author" : [ { "dropping-particle" : "", "family" : "Attwood", "given" : "D.", "non-dropping-particle" : "", "parse-names" : false, "suffix" : "" }, { "dropping-particle" : "", "family" : "Florence", "given" : "A. T.", "non-dropping-particle" : "", "parse-names" : false, "suffix" : "" } ], "container-title" : "Surfactant Systems", "id" : "ITEM-1", "issued" : { "date-parts" : [ [ "1983" ] ] }, "page" : "229-292", "publisher" : "Springer Netherlands", "publisher-place" : "Dordrecht", "title" : "Solubilization", "type" : "chapter" }, "uris" : [ "http://www.mendeley.com/documents/?uuid=563f9364-c5df-39f1-b5e4-bade58de6d90" ] }, { "id" : "ITEM-2", "itemData" : { "DOI" : "10.1016/S0378-5173(00)00386-0", "ISSN" : "03785173", "PMID" : "10867251", "abstract" : "The molar solubilization capacities (??) and the molar micelle-water partition coefficients (K(M)(N)) in Polysorbate 80 of several drugs (including barbiturates, steroids, and benzoic acid derivatives) are related to their log octanol-water partition coefficients (logP). Both ?? and K(M)(N) values were calculated from solubility versus Polysorbate 80 concentration profiles, which were either experimentally determined or obtained from the literature. There is a linear relationship between logP of the tested compounds and the logarithm of the molar micelle-water partition coefficient (logK(M)(N)). On the other hand molar solubilization capacities are nearly independent of logP. It is shown that the ability of Polysorbate 80 to solubilize a drug can be predicted from its logP value. Copyright (C) 2000 Elsevier Science B.V.", "author" : [ { "dropping-particle" : "", "family" : "Alvarez-N\u00fa\u00f1ez", "given" : "F. A.", "non-dropping-particle" : "", "parse-names" : false, "suffix" : "" }, { "dropping-particle" : "", "family" : "Yalkowsky", "given" : "S. H.", "non-dropping-particle" : "", "parse-names" : false, "suffix" : "" } ], "container-title" : "International Journal of Pharmaceutics", "id" : "ITEM-2", "issue" : "2", "issued" : { "date-parts" : [ [ "2000" ] ] }, "page" : "217-222", "title" : "Relationship between Polysorbate 80 solubilization descriptors and octanol-water partition coefficients of drugs", "type" : "article-journal", "volume" : "200" }, "uris" : [ "http://www.mendeley.com/documents/?uuid=5d4381f1-b1ac-4f61-b0d3-1260484f5d19" ] }, { "id" : "ITEM-3", "itemData" : { "abstract" : "PURPOSE: Micellar solubilization is a pow-erful alternative for dissolving hydrophobic drugs in aqueous environments. In this work, we provide an insight into this subject. METHODS: A concise review of surfactants and micelles applications in phar-macy was carried out. RESULTS: Initially, a descrip-tion of surfactants and aqueous micellar systems is presented. Following, an extensive review on micellar drug solubilization, including both the principles involved on this phenomenon and the work already done regarding solubilization of drugs by micelles is presented. The application of micelles in drug delivery, in order to minimize drug degradation and loss, to pre-vent harmful side effects, and to increase drug bioavail-ability, is also presented. Special emphasis is given to the more recent use of polymeric micelles. Finally, we briefly discuss the importance of surfactants and micelles as biological systems models as well as its application in micellar catalysis. CONCLUSIONS: As can be seen from the review presented, the use of micelles in pharmacy is an important tool that finds numerous applications.", "author" : [ { "dropping-particle" : "", "family" : "Oliveira", "given" : "Carlota", "non-dropping-particle" : "De", "parse-names" : false, "suffix" : "" }, { "dropping-particle" : "", "family" : "Yagui", "given" : "Rangel", "non-dropping-particle" : "", "parse-names" : false, "suffix" : "" }, { "dropping-particle" : "", "family" : "Lineu Prestes", "given" : "Av", "non-dropping-particle" : "", "parse-names" : false, "suffix" : "" }, { "dropping-particle" : "", "family" : "Rangel-Yagui", "given" : "Carlota O", "non-dropping-particle" : "", "parse-names" : false, "suffix" : "" }, { "dropping-particle" : "", "family" : "Pessoa-Jr", "given" : "Adalberto", "non-dropping-particle" : "", "parse-names" : false, "suffix" : "" }, { "dropping-particle" : "", "family" : "Tavares", "given" : "Leoberto Costa", "non-dropping-particle" : "", "parse-names" : false, "suffix" : "" } ], "container-title" : "J Pharm Pharmaceut Sci (www.cspscanada.org)", "id" : "ITEM-3", "issue" : "2", "issued" : { "date-parts" : [ [ "2005" ] ] }, "page" : "147-163", "title" : "Micellar solubilization of drugs", "type" : "article-journal", "volume" : "8" }, "uris" : [ "http://www.mendeley.com/documents/?uuid=d0113e2b-dff8-3380-95eb-ce76cebe0d00" ] } ], "mendeley" : { "formattedCitation" : "&lt;sup&gt;42\u201344&lt;/sup&gt;", "plainTextFormattedCitation" : "42\u201344", "previouslyFormattedCitation" : "&lt;sup&gt;42\u201344&lt;/sup&gt;" }, "properties" : { "noteIndex" : 0 }, "schema" : "https://github.com/citation-style-language/schema/raw/master/csl-citation.json" }</w:instrText>
      </w:r>
      <w:r w:rsidRPr="00EC5244">
        <w:rPr>
          <w:lang w:val="en-CA"/>
        </w:rPr>
        <w:fldChar w:fldCharType="separate"/>
      </w:r>
      <w:r w:rsidRPr="00EC5244">
        <w:rPr>
          <w:noProof/>
          <w:vertAlign w:val="superscript"/>
          <w:lang w:val="en-CA"/>
        </w:rPr>
        <w:t>42–44</w:t>
      </w:r>
      <w:r w:rsidRPr="00EC5244">
        <w:rPr>
          <w:lang w:val="en-CA"/>
        </w:rPr>
        <w:fldChar w:fldCharType="end"/>
      </w:r>
      <w:r w:rsidRPr="00EC5244">
        <w:rPr>
          <w:lang w:val="en-CA"/>
        </w:rPr>
        <w:t xml:space="preserve"> </w:t>
      </w:r>
      <w:r w:rsidR="00CE2C8E" w:rsidRPr="00EC5244">
        <w:rPr>
          <w:lang w:val="en-CA"/>
        </w:rPr>
        <w:t xml:space="preserve">Note here that the </w:t>
      </w:r>
      <w:r w:rsidR="00FD08BC" w:rsidRPr="00EC5244">
        <w:rPr>
          <w:lang w:val="en-CA"/>
        </w:rPr>
        <w:t>“</w:t>
      </w:r>
      <w:r w:rsidR="00CE2C8E" w:rsidRPr="00EC5244">
        <w:rPr>
          <w:lang w:val="en-CA"/>
        </w:rPr>
        <w:t>partition coefficient</w:t>
      </w:r>
      <w:r w:rsidR="00FD08BC" w:rsidRPr="00EC5244">
        <w:rPr>
          <w:lang w:val="en-CA"/>
        </w:rPr>
        <w:t>”</w:t>
      </w:r>
      <w:r w:rsidR="00CE2C8E" w:rsidRPr="00EC5244">
        <w:rPr>
          <w:lang w:val="en-CA"/>
        </w:rPr>
        <w:t xml:space="preserve"> </w:t>
      </w:r>
      <m:oMath>
        <m:sSub>
          <m:sSubPr>
            <m:ctrlPr>
              <w:rPr>
                <w:rFonts w:ascii="Cambria Math" w:hAnsi="Cambria Math"/>
                <w:i/>
                <w:lang w:val="en-CA"/>
              </w:rPr>
            </m:ctrlPr>
          </m:sSubPr>
          <m:e>
            <m:r>
              <w:rPr>
                <w:rFonts w:ascii="Cambria Math" w:hAnsi="Cambria Math"/>
                <w:lang w:val="en-CA"/>
              </w:rPr>
              <m:t>K</m:t>
            </m:r>
          </m:e>
          <m:sub>
            <m:r>
              <w:rPr>
                <w:rFonts w:ascii="Cambria Math" w:hAnsi="Cambria Math"/>
                <w:lang w:val="en-CA"/>
              </w:rPr>
              <m:t>M</m:t>
            </m:r>
          </m:sub>
        </m:sSub>
      </m:oMath>
      <w:r w:rsidRPr="00EC5244">
        <w:rPr>
          <w:lang w:val="en-CA"/>
        </w:rPr>
        <w:t xml:space="preserve"> </w:t>
      </w:r>
      <w:r w:rsidR="00FD08BC" w:rsidRPr="00EC5244">
        <w:rPr>
          <w:lang w:val="en-CA"/>
        </w:rPr>
        <w:t xml:space="preserve">introduced here refers to the partitioning of solute molecules between water and micellar interior, modelled </w:t>
      </w:r>
      <w:r w:rsidR="00CE2C8E" w:rsidRPr="00EC5244">
        <w:rPr>
          <w:lang w:val="en-CA"/>
        </w:rPr>
        <w:t>as</w:t>
      </w:r>
      <w:r w:rsidR="0037267E" w:rsidRPr="00EC5244">
        <w:rPr>
          <w:lang w:val="en-CA"/>
        </w:rPr>
        <w:t xml:space="preserve"> a</w:t>
      </w:r>
      <w:r w:rsidR="00CE2C8E" w:rsidRPr="00EC5244">
        <w:rPr>
          <w:lang w:val="en-CA"/>
        </w:rPr>
        <w:t xml:space="preserve"> “pseudo phase”</w:t>
      </w:r>
      <w:r w:rsidR="00FD08BC" w:rsidRPr="00EC5244">
        <w:rPr>
          <w:lang w:val="en-CA"/>
        </w:rPr>
        <w:t xml:space="preserve">, which even inspired classical studies on the correlation between </w:t>
      </w:r>
      <m:oMath>
        <m:sSub>
          <m:sSubPr>
            <m:ctrlPr>
              <w:rPr>
                <w:rFonts w:ascii="Cambria Math" w:hAnsi="Cambria Math"/>
                <w:i/>
                <w:lang w:val="en-CA"/>
              </w:rPr>
            </m:ctrlPr>
          </m:sSubPr>
          <m:e>
            <m:r>
              <w:rPr>
                <w:rFonts w:ascii="Cambria Math" w:hAnsi="Cambria Math"/>
                <w:lang w:val="en-CA"/>
              </w:rPr>
              <m:t>K</m:t>
            </m:r>
          </m:e>
          <m:sub>
            <m:r>
              <w:rPr>
                <w:rFonts w:ascii="Cambria Math" w:hAnsi="Cambria Math"/>
                <w:lang w:val="en-CA"/>
              </w:rPr>
              <m:t>M</m:t>
            </m:r>
          </m:sub>
        </m:sSub>
      </m:oMath>
      <w:r w:rsidR="00FD08BC" w:rsidRPr="00EC5244">
        <w:rPr>
          <w:lang w:val="en-CA"/>
        </w:rPr>
        <w:t xml:space="preserve"> and octanol-water partition coefficients.</w:t>
      </w:r>
      <w:r w:rsidR="00FD08BC" w:rsidRPr="00EC5244">
        <w:rPr>
          <w:lang w:val="en-CA"/>
        </w:rPr>
        <w:fldChar w:fldCharType="begin" w:fldLock="1"/>
      </w:r>
      <w:r w:rsidR="0039109D" w:rsidRPr="00EC5244">
        <w:rPr>
          <w:lang w:val="en-CA"/>
        </w:rPr>
        <w:instrText>ADDIN CSL_CITATION { "citationItems" : [ { "id" : "ITEM-1", "itemData" : { "DOI" : "10.1002/jps.2600640733", "ISSN" : "00223549", "author" : [ { "dropping-particle" : "", "family" : "Collett", "given" : "J.H.", "non-dropping-particle" : "", "parse-names" : false, "suffix" : "" }, { "dropping-particle" : "", "family" : "Koo", "given" : "L.", "non-dropping-particle" : "", "parse-names" : false, "suffix" : "" } ], "container-title" : "Journal of Pharmaceutical Sciences", "id" : "ITEM-1", "issue" : "7", "issued" : { "date-parts" : [ [ "1975", "7" ] ] }, "page" : "1253-1255", "publisher" : "Wiley Subscription Services, Inc., A Wiley Company", "title" : "Interaction of Substituted Benzoic Acids with Polysorbate 20 Micelles", "type" : "article-journal", "volume" : "64" }, "uris" : [ "http://www.mendeley.com/documents/?uuid=de61035d-6eb8-3fe5-8f91-8c1d4374724c" ] }, { "id" : "ITEM-2", "itemData" : { "DOI" : "10.1021/es00065a012", "ISSN" : "0013-936X", "author" : [ { "dropping-particle" : "", "family" : "Kile", "given" : "D E", "non-dropping-particle" : "", "parse-names" : false, "suffix" : "" }, { "dropping-particle" : "", "family" : "Chiou", "given" : "C T", "non-dropping-particle" : "", "parse-names" : false, "suffix" : "" } ], "container-title" : "Environmental Science and Technology", "id" : "ITEM-2", "issued" : { "date-parts" : [ [ "1989" ] ] }, "page" : "832-838", "title" : "Water solubility enhancements of DDT and trichorobenzene by some surfactants below and above the critical micelle concentration", "type" : "article-journal", "volume" : "23" }, "uris" : [ "http://www.mendeley.com/documents/?uuid=b910ca79-c4f4-48bb-8c43-492521ccbf7f" ] }, { "id" : "ITEM-3", "itemData" : { "DOI" : "10.1016/S0378-5173(00)00386-0", "ISSN" : "03785173", "PMID" : "10867251", "abstract" : "The molar solubilization capacities (??) and the molar micelle-water partition coefficients (K(M)(N)) in Polysorbate 80 of several drugs (including barbiturates, steroids, and benzoic acid derivatives) are related to their log octanol-water partition coefficients (logP). Both ?? and K(M)(N) values were calculated from solubility versus Polysorbate 80 concentration profiles, which were either experimentally determined or obtained from the literature. There is a linear relationship between logP of the tested compounds and the logarithm of the molar micelle-water partition coefficient (logK(M)(N)). On the other hand molar solubilization capacities are nearly independent of logP. It is shown that the ability of Polysorbate 80 to solubilize a drug can be predicted from its logP value. Copyright (C) 2000 Elsevier Science B.V.", "author" : [ { "dropping-particle" : "", "family" : "Alvarez-N\u00fa\u00f1ez", "given" : "F. A.", "non-dropping-particle" : "", "parse-names" : false, "suffix" : "" }, { "dropping-particle" : "", "family" : "Yalkowsky", "given" : "S. H.", "non-dropping-particle" : "", "parse-names" : false, "suffix" : "" } ], "container-title" : "International Journal of Pharmaceutics", "id" : "ITEM-3", "issue" : "2", "issued" : { "date-parts" : [ [ "2000" ] ] }, "page" : "217-222", "title" : "Relationship between Polysorbate 80 solubilization descriptors and octanol-water partition coefficients of drugs", "type" : "article-journal", "volume" : "200" }, "uris" : [ "http://www.mendeley.com/documents/?uuid=5d4381f1-b1ac-4f61-b0d3-1260484f5d19" ] } ], "mendeley" : { "formattedCitation" : "&lt;sup&gt;43,45,46&lt;/sup&gt;", "plainTextFormattedCitation" : "43,45,46", "previouslyFormattedCitation" : "&lt;sup&gt;43,45,46&lt;/sup&gt;" }, "properties" : { "noteIndex" : 0 }, "schema" : "https://github.com/citation-style-language/schema/raw/master/csl-citation.json" }</w:instrText>
      </w:r>
      <w:r w:rsidR="00FD08BC" w:rsidRPr="00EC5244">
        <w:rPr>
          <w:lang w:val="en-CA"/>
        </w:rPr>
        <w:fldChar w:fldCharType="separate"/>
      </w:r>
      <w:r w:rsidR="0039109D" w:rsidRPr="00EC5244">
        <w:rPr>
          <w:noProof/>
          <w:vertAlign w:val="superscript"/>
          <w:lang w:val="en-CA"/>
        </w:rPr>
        <w:t>43,45,46</w:t>
      </w:r>
      <w:r w:rsidR="00FD08BC" w:rsidRPr="00EC5244">
        <w:rPr>
          <w:lang w:val="en-CA"/>
        </w:rPr>
        <w:fldChar w:fldCharType="end"/>
      </w:r>
      <w:r w:rsidR="00FD08BC" w:rsidRPr="00EC5244">
        <w:rPr>
          <w:lang w:val="en-CA"/>
        </w:rPr>
        <w:t xml:space="preserve"> </w:t>
      </w:r>
      <w:r w:rsidR="00795D13" w:rsidRPr="00EC5244">
        <w:rPr>
          <w:lang w:val="en-CA"/>
        </w:rPr>
        <w:t xml:space="preserve">The </w:t>
      </w:r>
      <w:r w:rsidR="00FD08BC" w:rsidRPr="00EC5244">
        <w:rPr>
          <w:lang w:val="en-CA"/>
        </w:rPr>
        <w:t xml:space="preserve">approach </w:t>
      </w:r>
      <w:r w:rsidR="00795D13" w:rsidRPr="00EC5244">
        <w:rPr>
          <w:lang w:val="en-CA"/>
        </w:rPr>
        <w:t xml:space="preserve">based on </w:t>
      </w:r>
      <m:oMath>
        <m:sSub>
          <m:sSubPr>
            <m:ctrlPr>
              <w:rPr>
                <w:rFonts w:ascii="Cambria Math" w:hAnsi="Cambria Math"/>
                <w:i/>
                <w:lang w:val="en-CA"/>
              </w:rPr>
            </m:ctrlPr>
          </m:sSubPr>
          <m:e>
            <m:r>
              <w:rPr>
                <w:rFonts w:ascii="Cambria Math" w:hAnsi="Cambria Math"/>
                <w:lang w:val="en-CA"/>
              </w:rPr>
              <m:t>K</m:t>
            </m:r>
          </m:e>
          <m:sub>
            <m:r>
              <w:rPr>
                <w:rFonts w:ascii="Cambria Math" w:hAnsi="Cambria Math"/>
                <w:lang w:val="en-CA"/>
              </w:rPr>
              <m:t>M</m:t>
            </m:r>
          </m:sub>
        </m:sSub>
      </m:oMath>
      <w:r w:rsidR="00795D13" w:rsidRPr="00EC5244">
        <w:rPr>
          <w:lang w:val="en-CA"/>
        </w:rPr>
        <w:t xml:space="preserve"> is </w:t>
      </w:r>
      <w:r w:rsidR="00FD08BC" w:rsidRPr="00EC5244">
        <w:rPr>
          <w:lang w:val="en-CA"/>
        </w:rPr>
        <w:t>a further simplification of the stoichiometric modelling of solute-surfactant complexation.</w:t>
      </w:r>
      <w:r w:rsidR="00FD08BC" w:rsidRPr="00EC5244">
        <w:rPr>
          <w:lang w:val="en-CA"/>
        </w:rPr>
        <w:fldChar w:fldCharType="begin" w:fldLock="1"/>
      </w:r>
      <w:r w:rsidR="0039109D" w:rsidRPr="00EC5244">
        <w:rPr>
          <w:lang w:val="en-CA"/>
        </w:rPr>
        <w:instrText>ADDIN CSL_CITATION { "citationItems" : [ { "id" : "ITEM-1", "itemData" : { "DOI" : "10.1039/c1cs15191f", "ISSN" : "1460-4744", "PMID" : "21909565", "abstract" : "It is argued that the state of condensation in the micelles of detergent solutions most nearly corresponds to the liquid state. Thermodynamic equations are presented to show that the Krafft point, enthalpy, and entropy of micellization can be interpreted theoretically on a simple basis if the micelle is treated as a pseudo-phase, but that erroneous values for the enthalpy and entropy of micellization are obtained by assuming ideal behavior for the single species and micelles in the simpler treatments of this problem", "author" : [ { "dropping-particle" : "", "family" : "K. Shinoda", "given" : "E. Hutchinson", "non-dropping-particle" : "", "parse-names" : false, "suffix" : "" } ], "container-title" : "The journal of physical chemistry", "id" : "ITEM-1", "issue" : "4", "issued" : { "date-parts" : [ [ "1961" ] ] }, "page" : "577-582", "title" : "Pseudo-Phase Separation Model for Thermodynamic Calculations on Micellar Solutions", "type" : "article-journal", "volume" : "66" }, "uris" : [ "http://www.mendeley.com/documents/?uuid=895812bc-f309-427a-bc67-fe3a11216516" ] } ], "mendeley" : { "formattedCitation" : "&lt;sup&gt;47&lt;/sup&gt;", "plainTextFormattedCitation" : "47", "previouslyFormattedCitation" : "&lt;sup&gt;47&lt;/sup&gt;" }, "properties" : { "noteIndex" : 0 }, "schema" : "https://github.com/citation-style-language/schema/raw/master/csl-citation.json" }</w:instrText>
      </w:r>
      <w:r w:rsidR="00FD08BC" w:rsidRPr="00EC5244">
        <w:rPr>
          <w:lang w:val="en-CA"/>
        </w:rPr>
        <w:fldChar w:fldCharType="separate"/>
      </w:r>
      <w:r w:rsidR="0039109D" w:rsidRPr="00EC5244">
        <w:rPr>
          <w:noProof/>
          <w:vertAlign w:val="superscript"/>
          <w:lang w:val="en-CA"/>
        </w:rPr>
        <w:t>47</w:t>
      </w:r>
      <w:r w:rsidR="00FD08BC" w:rsidRPr="00EC5244">
        <w:rPr>
          <w:lang w:val="en-CA"/>
        </w:rPr>
        <w:fldChar w:fldCharType="end"/>
      </w:r>
      <w:r w:rsidR="00FD08BC" w:rsidRPr="00EC5244">
        <w:rPr>
          <w:lang w:val="en-CA"/>
        </w:rPr>
        <w:t xml:space="preserve"> This is contradictory to accumulating evidence for the multiple possible locations (from interior to the surface) in the micellar system that a solute can be located.</w:t>
      </w:r>
      <w:r w:rsidR="00FD08BC" w:rsidRPr="00EC5244">
        <w:rPr>
          <w:lang w:val="en-CA"/>
        </w:rPr>
        <w:fldChar w:fldCharType="begin" w:fldLock="1"/>
      </w:r>
      <w:r w:rsidR="0039109D" w:rsidRPr="00EC5244">
        <w:rPr>
          <w:lang w:val="en-CA"/>
        </w:rPr>
        <w:instrText>ADDIN CSL_CITATION { "citationItems" : [ { "id" : "ITEM-1", "itemData" : { "DOI" : "10.1021/jp066926w", "ISSN" : "1520-6106", "PMID" : "17388443", "abstract" : "Water solubility enhancements of polycyclic aromatic hydrocarbons (PAHs), viz., naphthalene, anthracene and pyrene, by micellar solutions at 25 degrees C using two series of surfactants, each involving two cationic and one nonionic surfactant in their single as well as equimolar binary and ternary mixed states, were measured and compared. The first series was composed of three surfactants, benzylhexadecyldimethylammonium chloride (C16BzCl), hexadecyltrimethylammonium bromide (C16Br), and polyoxyethylene(20)mono-n-hexadecyl ether (Brij-58) with a 16-carbon (C16) hydrophobic chain; the second series consisted of dodecyltrimethylammonium bromide (C12Br), dodecylethyldimethylammonium bromide (C12EBr), and polyoxyethylene(4)mono-n-dodecyl ether (Brij-30) with a 12-carbon (C12) chain. Solubilization capacity has been quantified in terms of the molar solubilization ratio, the micelle-water partition coefficient, the first stepwise association constant between solubilizate monomer and vacant micelle, and the average number of solubilizate molecules per micelle, determined employing spectrophoto-, tensio-, and flourimetric techniques. Cationic surfactants exhibited lesser solubilization capacity than nonionics in each series of surfactants with higher efficiency in the C16 series compared to the C12 series. Increase in hydrophobicity of head groups of cationics by incorporation of ethyl or benzyl groups enhanced their solubilization capacity. The mixing effect of surfactants on mixed micelle formation and solubilization efficiency has been discussed in light of the regular solution approximation (RSA). Cationic-nonionic binary combinations showed better solubilization capacity than pure cationics, nonionics, or cationic-cationic mixtures, which, in general, showed increase with increased hydrophobicity of PAHs. Equimolar cationic-cationic-nonionic ternary surfactant systems showed lower solubilization efficiency than their binary cationic-nonionic counterparts but higher than cationic-cationic ones. In addition, use of RSA has been extended, with fair success, to predict partition coefficients of ternary surfactant systems using data of binary surfactants systems. Mixed surfactants may improve the performance of surfactant-enhanced remediation of soils and sediments by decreasing the applied surfactant level and thus remediation cost.", "author" : [ { "dropping-particle" : "", "family" : "Dar", "given" : "Aijaz Ahmad", "non-dropping-particle" : "", "parse-names" : false, "suffix" : "" }, { "dropping-particle" : "", "family" : "Rather", "given" : "Ghulam Mohammad", "non-dropping-particle" : "", "parse-names" : false, "suffix" : "" }, { "dropping-particle" : "", "family" : "Das", "given" : "Akhil Ranjan", "non-dropping-particle" : "", "parse-names" : false, "suffix" : "" } ], "container-title" : "Journal of Physical Chemistry Bhysical chemistry. B", "id" : "ITEM-1", "issue" : "91", "issued" : { "date-parts" : [ [ "2007" ] ] }, "page" : "3122-3132", "title" : "Mixed Micelle Formation and Solubilization Behavior toward Polycyclic Aromatic Hydrocarbons of Binary and Ternary Cationic-Nonionic Surfactant Mixtures", "type" : "article-journal", "volume" : "111" }, "uris" : [ "http://www.mendeley.com/documents/?uuid=b113b83d-8834-4215-8d50-34a5d1cd8c2e" ] }, { "id" : "ITEM-2", "itemData" : { "DOI" : "10.1021/jp807229c", "ISBN" : "1520-6106 (Print)\\r1520-5207 (Linking)", "ISSN" : "15206106", "PMID" : "19123827", "abstract" : "Mixed surfactants may improve the performance of surfactant-enhanced solubilization of drugs and thus can serve as the tool for increased bioavalaibility, controlled drug release, and targeted delivery. Solubilization of Naproxen by micellar solutions at 25 degrees C using single and mixed surfactant systems was measured and compared. Solubilization capacity determined with spectrophotometry and tensiometry has been quantified in terms of molar solubilization ratio, micelle-water partition coefficient, and locus of solubilization. Cationic surfactants exhibited higher solubilization capacity than nonionics and anionics, the efficiency increasing with chain length. Mixing effect of surfactants on mixed micelle formation and solubilization efficiency has been discussed in light of regular solution approximation (RSA). Equimolar cationic-nonionic surfactant combinations showed better solubilization capacity than pure cationics or nonionics, which, in general, increased with increase in hydrophobic chain length. Equimolar cationic-nonionic-nonionic ternary surfactant systems exhibited intermediate solubilization efficiency between their single and binary counterparts. Use of RSA has been extended, with fair success, to predict the partition coefficient of ternary surfactant systems using data from binary mixtures. The theoretical micelle-water partition coefficients calculated from the geometric mean equation compared well with experimental values. Locus of solubilization of NAP in different micellar solutions was probed by UV-visible spectroscopy.", "author" : [ { "dropping-particle" : "", "family" : "Bhat", "given" : "Parvaiz Ahmad", "non-dropping-particle" : "", "parse-names" : false, "suffix" : "" }, { "dropping-particle" : "", "family" : "Rather", "given" : "Ghulam Mohammad", "non-dropping-particle" : "", "parse-names" : false, "suffix" : "" }, { "dropping-particle" : "", "family" : "Dar", "given" : "Aijaz Ahmad", "non-dropping-particle" : "", "parse-names" : false, "suffix" : "" } ], "container-title" : "Journal of Physical Chemistry B", "id" : "ITEM-2", "issue" : "4", "issued" : { "date-parts" : [ [ "2009" ] ] }, "page" : "997-1006", "title" : "Effect of surfactant mixing on partitioning of model hydrophobic drug, Naproxen, between aqueous and micellar phases", "type" : "article-journal", "volume" : "113" }, "uris" : [ "http://www.mendeley.com/documents/?uuid=d84334cf-5cc1-4eb3-aa81-75f74ef04186" ] }, { "id" : "ITEM-3", "itemData" : { "abstract" : "PURPOSE: Micellar solubilization is a pow-erful alternative for dissolving hydrophobic drugs in aqueous environments. In this work, we provide an insight into this subject. METHODS: A concise review of surfactants and micelles applications in phar-macy was carried out. RESULTS: Initially, a descrip-tion of surfactants and aqueous micellar systems is presented. Following, an extensive review on micellar drug solubilization, including both the principles involved on this phenomenon and the work already done regarding solubilization of drugs by micelles is presented. The application of micelles in drug delivery, in order to minimize drug degradation and loss, to pre-vent harmful side effects, and to increase drug bioavail-ability, is also presented. Special emphasis is given to the more recent use of polymeric micelles. Finally, we briefly discuss the importance of surfactants and micelles as biological systems models as well as its application in micellar catalysis. CONCLUSIONS: As can be seen from the review presented, the use of micelles in pharmacy is an important tool that finds numerous applications.", "author" : [ { "dropping-particle" : "", "family" : "Oliveira", "given" : "Carlota", "non-dropping-particle" : "De", "parse-names" : false, "suffix" : "" }, { "dropping-particle" : "", "family" : "Yagui", "given" : "Rangel", "non-dropping-particle" : "", "parse-names" : false, "suffix" : "" }, { "dropping-particle" : "", "family" : "Lineu Prestes", "given" : "Av", "non-dropping-particle" : "", "parse-names" : false, "suffix" : "" }, { "dropping-particle" : "", "family" : "Rangel-Yagui", "given" : "Carlota O", "non-dropping-particle" : "", "parse-names" : false, "suffix" : "" }, { "dropping-particle" : "", "family" : "Pessoa-Jr", "given" : "Adalberto", "non-dropping-particle" : "", "parse-names" : false, "suffix" : "" }, { "dropping-particle" : "", "family" : "Tavares", "given" : "Leoberto Costa", "non-dropping-particle" : "", "parse-names" : false, "suffix" : "" } ], "container-title" : "J Pharm Pharmaceut Sci (www.cspscanada.org)", "id" : "ITEM-3", "issue" : "2", "issued" : { "date-parts" : [ [ "2005" ] ] }, "page" : "147-163", "title" : "Micellar solubilization of drugs", "type" : "article-journal", "volume" : "8" }, "uris" : [ "http://www.mendeley.com/documents/?uuid=d0113e2b-dff8-3380-95eb-ce76cebe0d00" ] }, { "id" : "ITEM-4", "itemData" : { "DOI" : "10.1063/1.2186324", "ISSN" : "0021-9606", "author" : [ { "dropping-particle" : "", "family" : "Matubayasi", "given" : "Nobuyuki", "non-dropping-particle" : "", "parse-names" : false, "suffix" : "" }, { "dropping-particle" : "", "family" : "Liang", "given" : "Kuo Kan", "non-dropping-particle" : "", "parse-names" : false, "suffix" : "" }, { "dropping-particle" : "", "family" : "Nakahara", "given" : "Masaru", "non-dropping-particle" : "", "parse-names" : false, "suffix" : "" } ], "container-title" : "The Journal of Chemical Physics", "id" : "ITEM-4", "issue" : "15", "issued" : { "date-parts" : [ [ "2006", "4", "21" ] ] }, "page" : "154908", "title" : "Free-energy analysis of solubilization in micelle", "type" : "article-journal", "volume" : "124" }, "uris" : [ "http://www.mendeley.com/documents/?uuid=d1f0e9c1-c8cc-3891-ab25-bfeb8a83a8f0" ] } ], "mendeley" : { "formattedCitation" : "&lt;sup&gt;30,44,48,49&lt;/sup&gt;", "plainTextFormattedCitation" : "30,44,48,49", "previouslyFormattedCitation" : "&lt;sup&gt;30,44,48,49&lt;/sup&gt;" }, "properties" : { "noteIndex" : 0 }, "schema" : "https://github.com/citation-style-language/schema/raw/master/csl-citation.json" }</w:instrText>
      </w:r>
      <w:r w:rsidR="00FD08BC" w:rsidRPr="00EC5244">
        <w:rPr>
          <w:lang w:val="en-CA"/>
        </w:rPr>
        <w:fldChar w:fldCharType="separate"/>
      </w:r>
      <w:r w:rsidR="0039109D" w:rsidRPr="00EC5244">
        <w:rPr>
          <w:noProof/>
          <w:vertAlign w:val="superscript"/>
          <w:lang w:val="en-CA"/>
        </w:rPr>
        <w:t>30,44,48,49</w:t>
      </w:r>
      <w:r w:rsidR="00FD08BC" w:rsidRPr="00EC5244">
        <w:rPr>
          <w:lang w:val="en-CA"/>
        </w:rPr>
        <w:fldChar w:fldCharType="end"/>
      </w:r>
      <w:r w:rsidR="00FD08BC" w:rsidRPr="00EC5244">
        <w:rPr>
          <w:lang w:val="en-CA"/>
        </w:rPr>
        <w:t xml:space="preserve"> </w:t>
      </w:r>
    </w:p>
    <w:p w14:paraId="776DA3FA" w14:textId="52D8334C" w:rsidR="000C61EC" w:rsidRPr="00EC5244" w:rsidRDefault="000C61EC" w:rsidP="00357723">
      <w:pPr>
        <w:pStyle w:val="TAMainText"/>
        <w:ind w:firstLine="0"/>
        <w:rPr>
          <w:lang w:val="en-CA"/>
        </w:rPr>
      </w:pPr>
    </w:p>
    <w:p w14:paraId="4B34D468" w14:textId="5C0A00C9" w:rsidR="000C61EC" w:rsidRPr="00EC5244" w:rsidRDefault="00FD08BC" w:rsidP="000C61EC">
      <w:pPr>
        <w:pStyle w:val="TAMainText"/>
        <w:rPr>
          <w:szCs w:val="24"/>
        </w:rPr>
      </w:pPr>
      <w:r w:rsidRPr="00EC5244">
        <w:t>Hence, considering the water-micelle partition coefficient merely as a fitting parameter, n</w:t>
      </w:r>
      <w:r w:rsidR="000C61EC" w:rsidRPr="00EC5244">
        <w:t xml:space="preserve">ow we combine the classical framework (Eq. (9)) and the rigorous KB theory (Eq. (7)). Since </w:t>
      </w:r>
      <m:oMath>
        <m:sSubSup>
          <m:sSubSupPr>
            <m:ctrlPr>
              <w:rPr>
                <w:rFonts w:ascii="Cambria Math" w:hAnsi="Cambria Math"/>
                <w:i/>
              </w:rPr>
            </m:ctrlPr>
          </m:sSubSupPr>
          <m:e>
            <m:r>
              <w:rPr>
                <w:rFonts w:ascii="Cambria Math" w:hAnsi="Cambria Math"/>
              </w:rPr>
              <m:t>μ</m:t>
            </m:r>
          </m:e>
          <m:sub>
            <m:r>
              <w:rPr>
                <w:rFonts w:ascii="Cambria Math" w:hAnsi="Cambria Math"/>
              </w:rPr>
              <m:t>u</m:t>
            </m:r>
          </m:sub>
          <m:sup>
            <m:r>
              <w:rPr>
                <w:rFonts w:ascii="Cambria Math" w:hAnsi="Cambria Math"/>
              </w:rPr>
              <m:t>*</m:t>
            </m:r>
          </m:sup>
        </m:sSubSup>
        <m:r>
          <w:rPr>
            <w:rFonts w:ascii="Cambria Math" w:hAnsi="Cambria Math"/>
          </w:rPr>
          <m:t>=-RT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lang w:val="en-CA"/>
                  </w:rPr>
                </m:ctrlPr>
              </m:dPr>
              <m:e>
                <m:r>
                  <w:rPr>
                    <w:rFonts w:ascii="Cambria Math" w:hAnsi="Cambria Math"/>
                    <w:lang w:val="en-CA"/>
                  </w:rPr>
                  <m:t>1+</m:t>
                </m:r>
                <m:sSub>
                  <m:sSubPr>
                    <m:ctrlPr>
                      <w:rPr>
                        <w:rFonts w:ascii="Cambria Math" w:hAnsi="Cambria Math"/>
                        <w:i/>
                        <w:lang w:val="en-CA"/>
                      </w:rPr>
                    </m:ctrlPr>
                  </m:sSubPr>
                  <m:e>
                    <m:r>
                      <w:rPr>
                        <w:rFonts w:ascii="Cambria Math" w:hAnsi="Cambria Math"/>
                        <w:lang w:val="en-CA"/>
                      </w:rPr>
                      <m:t>K</m:t>
                    </m:r>
                  </m:e>
                  <m:sub>
                    <m:r>
                      <w:rPr>
                        <w:rFonts w:ascii="Cambria Math" w:hAnsi="Cambria Math"/>
                        <w:lang w:val="en-CA"/>
                      </w:rPr>
                      <m:t>M</m:t>
                    </m:r>
                  </m:sub>
                </m:sSub>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2</m:t>
                    </m:r>
                  </m:sub>
                  <m:sup>
                    <m:r>
                      <w:rPr>
                        <w:rFonts w:ascii="Cambria Math" w:hAnsi="Cambria Math"/>
                        <w:lang w:val="en-CA"/>
                      </w:rPr>
                      <m:t>'</m:t>
                    </m:r>
                  </m:sup>
                </m:sSubSup>
              </m:e>
            </m:d>
          </m:e>
        </m:func>
        <m:r>
          <w:rPr>
            <w:rFonts w:ascii="Cambria Math" w:hAnsi="Cambria Math"/>
          </w:rPr>
          <m:t>+const</m:t>
        </m:r>
      </m:oMath>
      <w:r w:rsidR="00E37E5E" w:rsidRPr="00EC5244">
        <w:t>, one of us has shown</w:t>
      </w:r>
      <w:r w:rsidR="0039109D" w:rsidRPr="00EC5244">
        <w:fldChar w:fldCharType="begin" w:fldLock="1"/>
      </w:r>
      <w:r w:rsidR="000705E7" w:rsidRPr="00EC5244">
        <w:instrText>ADDIN CSL_CITATION { "citationItems" : [ { "id" : "ITEM-1", "itemData" : { "DOI" : "10.1063/1.2186324", "ISSN" : "0021-9606", "author" : [ { "dropping-particle" : "", "family" : "Matubayasi", "given" : "Nobuyuki", "non-dropping-particle" : "", "parse-names" : false, "suffix" : "" }, { "dropping-particle" : "", "family" : "Liang", "given" : "Kuo Kan", "non-dropping-particle" : "", "parse-names" : false, "suffix" : "" }, { "dropping-particle" : "", "family" : "Nakahara", "given" : "Masaru", "non-dropping-particle" : "", "parse-names" : false, "suffix" : "" } ], "container-title" : "The Journal of Chemical Physics", "id" : "ITEM-1", "issue" : "15", "issued" : { "date-parts" : [ [ "2006", "4", "21" ] ] }, "page" : "154908", "title" : "Free-energy analysis of solubilization in micelle", "type" : "article-journal", "volume" : "124" }, "uris" : [ "http://www.mendeley.com/documents/?uuid=d1f0e9c1-c8cc-3891-ab25-bfeb8a83a8f0" ] } ], "mendeley" : { "formattedCitation" : "&lt;sup&gt;30&lt;/sup&gt;", "plainTextFormattedCitation" : "30", "previouslyFormattedCitation" : "&lt;sup&gt;30&lt;/sup&gt;" }, "properties" : { "noteIndex" : 0 }, "schema" : "https://github.com/citation-style-language/schema/raw/master/csl-citation.json" }</w:instrText>
      </w:r>
      <w:r w:rsidR="0039109D" w:rsidRPr="00EC5244">
        <w:fldChar w:fldCharType="separate"/>
      </w:r>
      <w:r w:rsidR="0039109D" w:rsidRPr="00EC5244">
        <w:rPr>
          <w:noProof/>
          <w:vertAlign w:val="superscript"/>
        </w:rPr>
        <w:t>30</w:t>
      </w:r>
      <w:r w:rsidR="0039109D" w:rsidRPr="00EC5244">
        <w:fldChar w:fldCharType="end"/>
      </w:r>
      <w:r w:rsidR="000C61EC" w:rsidRPr="00EC5244">
        <w:t xml:space="preserve"> </w:t>
      </w:r>
    </w:p>
    <w:p w14:paraId="0796AEF0" w14:textId="07C492F5" w:rsidR="000C61EC" w:rsidRPr="00EC5244" w:rsidRDefault="000C7FF6" w:rsidP="000C61EC">
      <w:pPr>
        <w:pStyle w:val="TAMainText"/>
        <w:rPr>
          <w:szCs w:val="24"/>
          <w:lang w:val="en-CA" w:eastAsia="ja-JP"/>
        </w:rPr>
      </w:pPr>
      <m:oMath>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K</m:t>
                </m:r>
              </m:e>
              <m:sub>
                <m:r>
                  <w:rPr>
                    <w:rFonts w:ascii="Cambria Math" w:hAnsi="Cambria Math"/>
                    <w:szCs w:val="24"/>
                  </w:rPr>
                  <m:t>M</m:t>
                </m:r>
              </m:sub>
            </m:sSub>
          </m:num>
          <m:den>
            <m:r>
              <w:rPr>
                <w:rFonts w:ascii="Cambria Math" w:hAnsi="Cambria Math"/>
                <w:szCs w:val="24"/>
              </w:rPr>
              <m:t>1+</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M</m:t>
                </m:r>
              </m:sub>
            </m:sSub>
            <m:sSubSup>
              <m:sSubSupPr>
                <m:ctrlPr>
                  <w:rPr>
                    <w:rFonts w:ascii="Cambria Math" w:hAnsi="Cambria Math"/>
                    <w:i/>
                    <w:szCs w:val="24"/>
                  </w:rPr>
                </m:ctrlPr>
              </m:sSubSupPr>
              <m:e>
                <m:r>
                  <w:rPr>
                    <w:rFonts w:ascii="Cambria Math" w:hAnsi="Cambria Math"/>
                    <w:szCs w:val="24"/>
                  </w:rPr>
                  <m:t>c</m:t>
                </m:r>
              </m:e>
              <m:sub>
                <m:r>
                  <w:rPr>
                    <w:rFonts w:ascii="Cambria Math" w:hAnsi="Cambria Math"/>
                    <w:szCs w:val="24"/>
                  </w:rPr>
                  <m:t>2</m:t>
                </m:r>
              </m:sub>
              <m:sup>
                <m:r>
                  <w:rPr>
                    <w:rFonts w:ascii="Cambria Math" w:hAnsi="Cambria Math"/>
                    <w:szCs w:val="24"/>
                  </w:rPr>
                  <m:t>'</m:t>
                </m:r>
              </m:sup>
            </m:sSubSup>
          </m:den>
        </m:f>
        <m:r>
          <w:rPr>
            <w:rFonts w:ascii="Cambria Math" w:hAnsi="Cambria Math"/>
            <w:szCs w:val="24"/>
          </w:rPr>
          <m:t>=</m:t>
        </m:r>
        <m:f>
          <m:fPr>
            <m:ctrlPr>
              <w:rPr>
                <w:rFonts w:ascii="Cambria Math" w:hAnsi="Cambria Math" w:cs="Times"/>
                <w:i/>
                <w:szCs w:val="24"/>
                <w:lang w:val="en-CA" w:eastAsia="ja-JP"/>
              </w:rPr>
            </m:ctrlPr>
          </m:fPr>
          <m:num>
            <m:r>
              <w:rPr>
                <w:rFonts w:ascii="Cambria Math" w:hAnsi="Cambria Math" w:cs="Times"/>
                <w:szCs w:val="24"/>
                <w:lang w:val="en-CA" w:eastAsia="ja-JP"/>
              </w:rPr>
              <m:t>1</m:t>
            </m:r>
          </m:num>
          <m:den>
            <m:r>
              <w:rPr>
                <w:rFonts w:ascii="Cambria Math" w:hAnsi="Cambria Math" w:cs="Times"/>
                <w:szCs w:val="24"/>
                <w:lang w:val="en-CA" w:eastAsia="ja-JP"/>
              </w:rPr>
              <m:t>m</m:t>
            </m:r>
          </m:den>
        </m:f>
        <m:d>
          <m:dPr>
            <m:ctrlPr>
              <w:rPr>
                <w:rFonts w:ascii="Cambria Math" w:hAnsi="Cambria Math" w:cs="Times"/>
                <w:i/>
                <w:szCs w:val="24"/>
                <w:lang w:val="en-CA" w:eastAsia="ja-JP"/>
              </w:rPr>
            </m:ctrlPr>
          </m:dPr>
          <m:e>
            <m:sSub>
              <m:sSubPr>
                <m:ctrlPr>
                  <w:rPr>
                    <w:rFonts w:ascii="Cambria Math" w:hAnsi="Cambria Math" w:cs="Times"/>
                    <w:i/>
                    <w:szCs w:val="24"/>
                    <w:lang w:val="en-CA" w:eastAsia="ja-JP"/>
                  </w:rPr>
                </m:ctrlPr>
              </m:sSubPr>
              <m:e>
                <m:r>
                  <w:rPr>
                    <w:rFonts w:ascii="Cambria Math" w:hAnsi="Cambria Math" w:cs="Times"/>
                    <w:szCs w:val="24"/>
                    <w:lang w:val="en-CA" w:eastAsia="ja-JP"/>
                  </w:rPr>
                  <m:t>G</m:t>
                </m:r>
              </m:e>
              <m:sub>
                <m:r>
                  <w:rPr>
                    <w:rFonts w:ascii="Cambria Math" w:hAnsi="Cambria Math" w:cs="Times"/>
                    <w:szCs w:val="24"/>
                    <w:lang w:val="en-CA" w:eastAsia="ja-JP"/>
                  </w:rPr>
                  <m:t>u3</m:t>
                </m:r>
              </m:sub>
            </m:sSub>
            <m:r>
              <w:rPr>
                <w:rFonts w:ascii="Cambria Math" w:hAnsi="Cambria Math" w:cs="Times"/>
                <w:szCs w:val="24"/>
                <w:lang w:val="en-CA" w:eastAsia="ja-JP"/>
              </w:rPr>
              <m:t>-</m:t>
            </m:r>
            <m:sSub>
              <m:sSubPr>
                <m:ctrlPr>
                  <w:rPr>
                    <w:rFonts w:ascii="Cambria Math" w:hAnsi="Cambria Math" w:cs="Times"/>
                    <w:i/>
                    <w:szCs w:val="24"/>
                    <w:lang w:val="en-CA" w:eastAsia="ja-JP"/>
                  </w:rPr>
                </m:ctrlPr>
              </m:sSubPr>
              <m:e>
                <m:r>
                  <w:rPr>
                    <w:rFonts w:ascii="Cambria Math" w:hAnsi="Cambria Math" w:cs="Times"/>
                    <w:szCs w:val="24"/>
                    <w:lang w:val="en-CA" w:eastAsia="ja-JP"/>
                  </w:rPr>
                  <m:t>G</m:t>
                </m:r>
              </m:e>
              <m:sub>
                <m:r>
                  <w:rPr>
                    <w:rFonts w:ascii="Cambria Math" w:hAnsi="Cambria Math" w:cs="Times"/>
                    <w:szCs w:val="24"/>
                    <w:lang w:val="en-CA" w:eastAsia="ja-JP"/>
                  </w:rPr>
                  <m:t>u1</m:t>
                </m:r>
              </m:sub>
            </m:sSub>
          </m:e>
        </m:d>
      </m:oMath>
      <w:r w:rsidR="000C61EC" w:rsidRPr="00EC5244">
        <w:rPr>
          <w:szCs w:val="24"/>
          <w:lang w:val="en-CA" w:eastAsia="ja-JP"/>
        </w:rPr>
        <w:tab/>
      </w:r>
      <w:r w:rsidR="000C61EC" w:rsidRPr="00EC5244">
        <w:rPr>
          <w:szCs w:val="24"/>
          <w:lang w:val="en-CA" w:eastAsia="ja-JP"/>
        </w:rPr>
        <w:tab/>
      </w:r>
      <w:r w:rsidR="000C61EC" w:rsidRPr="00EC5244">
        <w:rPr>
          <w:szCs w:val="24"/>
          <w:lang w:val="en-CA" w:eastAsia="ja-JP"/>
        </w:rPr>
        <w:tab/>
      </w:r>
      <w:r w:rsidR="000C61EC" w:rsidRPr="00EC5244">
        <w:rPr>
          <w:szCs w:val="24"/>
          <w:lang w:val="en-CA" w:eastAsia="ja-JP"/>
        </w:rPr>
        <w:tab/>
      </w:r>
      <w:r w:rsidR="000C61EC" w:rsidRPr="00EC5244">
        <w:rPr>
          <w:szCs w:val="24"/>
          <w:lang w:val="en-CA" w:eastAsia="ja-JP"/>
        </w:rPr>
        <w:tab/>
      </w:r>
      <w:r w:rsidR="000C61EC" w:rsidRPr="00EC5244">
        <w:rPr>
          <w:szCs w:val="24"/>
          <w:lang w:val="en-CA" w:eastAsia="ja-JP"/>
        </w:rPr>
        <w:tab/>
      </w:r>
      <w:r w:rsidR="000C61EC" w:rsidRPr="00EC5244">
        <w:rPr>
          <w:szCs w:val="24"/>
          <w:lang w:val="en-CA" w:eastAsia="ja-JP"/>
        </w:rPr>
        <w:tab/>
      </w:r>
      <w:r w:rsidR="000C61EC" w:rsidRPr="00EC5244">
        <w:rPr>
          <w:szCs w:val="24"/>
          <w:lang w:val="en-CA" w:eastAsia="ja-JP"/>
        </w:rPr>
        <w:tab/>
      </w:r>
      <w:r w:rsidR="000C61EC" w:rsidRPr="00EC5244">
        <w:rPr>
          <w:szCs w:val="24"/>
          <w:lang w:val="en-CA" w:eastAsia="ja-JP"/>
        </w:rPr>
        <w:tab/>
        <w:t xml:space="preserve">(10) </w:t>
      </w:r>
    </w:p>
    <w:p w14:paraId="78745825" w14:textId="2D41C061" w:rsidR="003673FB" w:rsidRPr="00EC5244" w:rsidRDefault="000C61EC" w:rsidP="000C61EC">
      <w:pPr>
        <w:pStyle w:val="TAMainText"/>
        <w:ind w:firstLine="0"/>
        <w:rPr>
          <w:szCs w:val="24"/>
        </w:rPr>
      </w:pPr>
      <w:r w:rsidRPr="00EC5244">
        <w:rPr>
          <w:szCs w:val="24"/>
        </w:rPr>
        <w:t xml:space="preserve">Eq. (10) is significant in </w:t>
      </w:r>
      <w:r w:rsidR="003673FB" w:rsidRPr="00EC5244">
        <w:rPr>
          <w:szCs w:val="24"/>
        </w:rPr>
        <w:t xml:space="preserve">the following manner (which addresses our three-fold aim).  </w:t>
      </w:r>
    </w:p>
    <w:p w14:paraId="08B10075" w14:textId="77777777" w:rsidR="003673FB" w:rsidRPr="00EC5244" w:rsidRDefault="003673FB" w:rsidP="000C61EC">
      <w:pPr>
        <w:pStyle w:val="TAMainText"/>
        <w:ind w:firstLine="0"/>
        <w:rPr>
          <w:szCs w:val="24"/>
        </w:rPr>
      </w:pPr>
    </w:p>
    <w:p w14:paraId="212771CB" w14:textId="2B36EC2E" w:rsidR="003673FB" w:rsidRPr="00EC5244" w:rsidRDefault="000C61EC" w:rsidP="003673FB">
      <w:pPr>
        <w:pStyle w:val="TAMainText"/>
      </w:pPr>
      <w:r w:rsidRPr="00EC5244">
        <w:t xml:space="preserve">(1) </w:t>
      </w:r>
      <w:r w:rsidR="003673FB" w:rsidRPr="00EC5244">
        <w:t>A</w:t>
      </w:r>
      <w:r w:rsidRPr="00EC5244">
        <w:t>ll the molar water-micelle partition coefficients determined in the literature</w:t>
      </w:r>
      <w:r w:rsidR="006855FA" w:rsidRPr="00EC5244">
        <w:rPr>
          <w:lang w:val="en-CA"/>
        </w:rPr>
        <w:fldChar w:fldCharType="begin" w:fldLock="1"/>
      </w:r>
      <w:r w:rsidR="0039109D" w:rsidRPr="00EC5244">
        <w:rPr>
          <w:lang w:val="en-CA"/>
        </w:rPr>
        <w:instrText>ADDIN CSL_CITATION { "citationItems" : [ { "id" : "ITEM-1", "itemData" : { "DOI" : "10.1007/978-94-009-5775-6_5", "author" : [ { "dropping-particle" : "", "family" : "Attwood", "given" : "D.", "non-dropping-particle" : "", "parse-names" : false, "suffix" : "" }, { "dropping-particle" : "", "family" : "Florence", "given" : "A. T.", "non-dropping-particle" : "", "parse-names" : false, "suffix" : "" } ], "container-title" : "Surfactant Systems", "id" : "ITEM-1", "issued" : { "date-parts" : [ [ "1983" ] ] }, "page" : "229-292", "publisher" : "Springer Netherlands", "publisher-place" : "Dordrecht", "title" : "Solubilization", "type" : "chapter" }, "uris" : [ "http://www.mendeley.com/documents/?uuid=563f9364-c5df-39f1-b5e4-bade58de6d90" ] }, { "id" : "ITEM-2", "itemData" : { "DOI" : "10.1016/S0378-5173(00)00386-0", "ISSN" : "03785173", "PMID" : "10867251", "abstract" : "The molar solubilization capacities (??) and the molar micelle-water partition coefficients (K(M)(N)) in Polysorbate 80 of several drugs (including barbiturates, steroids, and benzoic acid derivatives) are related to their log octanol-water partition coefficients (logP). Both ?? and K(M)(N) values were calculated from solubility versus Polysorbate 80 concentration profiles, which were either experimentally determined or obtained from the literature. There is a linear relationship between logP of the tested compounds and the logarithm of the molar micelle-water partition coefficient (logK(M)(N)). On the other hand molar solubilization capacities are nearly independent of logP. It is shown that the ability of Polysorbate 80 to solubilize a drug can be predicted from its logP value. Copyright (C) 2000 Elsevier Science B.V.", "author" : [ { "dropping-particle" : "", "family" : "Alvarez-N\u00fa\u00f1ez", "given" : "F. A.", "non-dropping-particle" : "", "parse-names" : false, "suffix" : "" }, { "dropping-particle" : "", "family" : "Yalkowsky", "given" : "S. H.", "non-dropping-particle" : "", "parse-names" : false, "suffix" : "" } ], "container-title" : "International Journal of Pharmaceutics", "id" : "ITEM-2", "issue" : "2", "issued" : { "date-parts" : [ [ "2000" ] ] }, "page" : "217-222", "title" : "Relationship between Polysorbate 80 solubilization descriptors and octanol-water partition coefficients of drugs", "type" : "article-journal", "volume" : "200" }, "uris" : [ "http://www.mendeley.com/documents/?uuid=5d4381f1-b1ac-4f61-b0d3-1260484f5d19" ] }, { "id" : "ITEM-3", "itemData" : { "abstract" : "PURPOSE: Micellar solubilization is a pow-erful alternative for dissolving hydrophobic drugs in aqueous environments. In this work, we provide an insight into this subject. METHODS: A concise review of surfactants and micelles applications in phar-macy was carried out. RESULTS: Initially, a descrip-tion of surfactants and aqueous micellar systems is presented. Following, an extensive review on micellar drug solubilization, including both the principles involved on this phenomenon and the work already done regarding solubilization of drugs by micelles is presented. The application of micelles in drug delivery, in order to minimize drug degradation and loss, to pre-vent harmful side effects, and to increase drug bioavail-ability, is also presented. Special emphasis is given to the more recent use of polymeric micelles. Finally, we briefly discuss the importance of surfactants and micelles as biological systems models as well as its application in micellar catalysis. CONCLUSIONS: As can be seen from the review presented, the use of micelles in pharmacy is an important tool that finds numerous applications.", "author" : [ { "dropping-particle" : "", "family" : "Oliveira", "given" : "Carlota", "non-dropping-particle" : "De", "parse-names" : false, "suffix" : "" }, { "dropping-particle" : "", "family" : "Yagui", "given" : "Rangel", "non-dropping-particle" : "", "parse-names" : false, "suffix" : "" }, { "dropping-particle" : "", "family" : "Lineu Prestes", "given" : "Av", "non-dropping-particle" : "", "parse-names" : false, "suffix" : "" }, { "dropping-particle" : "", "family" : "Rangel-Yagui", "given" : "Carlota O", "non-dropping-particle" : "", "parse-names" : false, "suffix" : "" }, { "dropping-particle" : "", "family" : "Pessoa-Jr", "given" : "Adalberto", "non-dropping-particle" : "", "parse-names" : false, "suffix" : "" }, { "dropping-particle" : "", "family" : "Tavares", "given" : "Leoberto Costa", "non-dropping-particle" : "", "parse-names" : false, "suffix" : "" } ], "container-title" : "J Pharm Pharmaceut Sci (www.cspscanada.org)", "id" : "ITEM-3", "issue" : "2", "issued" : { "date-parts" : [ [ "2005" ] ] }, "page" : "147-163", "title" : "Micellar solubilization of drugs", "type" : "article-journal", "volume" : "8" }, "uris" : [ "http://www.mendeley.com/documents/?uuid=d0113e2b-dff8-3380-95eb-ce76cebe0d00" ] } ], "mendeley" : { "formattedCitation" : "&lt;sup&gt;42\u201344&lt;/sup&gt;", "plainTextFormattedCitation" : "42\u201344", "previouslyFormattedCitation" : "&lt;sup&gt;42\u201344&lt;/sup&gt;" }, "properties" : { "noteIndex" : 0 }, "schema" : "https://github.com/citation-style-language/schema/raw/master/csl-citation.json" }</w:instrText>
      </w:r>
      <w:r w:rsidR="006855FA" w:rsidRPr="00EC5244">
        <w:rPr>
          <w:lang w:val="en-CA"/>
        </w:rPr>
        <w:fldChar w:fldCharType="separate"/>
      </w:r>
      <w:r w:rsidR="0039109D" w:rsidRPr="00EC5244">
        <w:rPr>
          <w:noProof/>
          <w:vertAlign w:val="superscript"/>
          <w:lang w:val="en-CA"/>
        </w:rPr>
        <w:t>42–44</w:t>
      </w:r>
      <w:r w:rsidR="006855FA" w:rsidRPr="00EC5244">
        <w:rPr>
          <w:lang w:val="en-CA"/>
        </w:rPr>
        <w:fldChar w:fldCharType="end"/>
      </w:r>
      <w:r w:rsidRPr="00EC5244">
        <w:t xml:space="preserve"> can automatically be interprete</w:t>
      </w:r>
      <w:r w:rsidR="003673FB" w:rsidRPr="00EC5244">
        <w:t>d in terms of the KB integrals.</w:t>
      </w:r>
      <w:r w:rsidR="00E37E5E" w:rsidRPr="00EC5244">
        <w:fldChar w:fldCharType="begin" w:fldLock="1"/>
      </w:r>
      <w:r w:rsidR="003F4562" w:rsidRPr="00EC5244">
        <w:instrText>ADDIN CSL_CITATION { "citationItems" : [ { "id" : "ITEM-1", "itemData" : { "DOI" : "10.1063/1.2186324", "ISSN" : "0021-9606", "author" : [ { "dropping-particle" : "", "family" : "Matubayasi", "given" : "Nobuyuki", "non-dropping-particle" : "", "parse-names" : false, "suffix" : "" }, { "dropping-particle" : "", "family" : "Liang", "given" : "Kuo Kan", "non-dropping-particle" : "", "parse-names" : false, "suffix" : "" }, { "dropping-particle" : "", "family" : "Nakahara", "given" : "Masaru", "non-dropping-particle" : "", "parse-names" : false, "suffix" : "" } ], "container-title" : "The Journal of Chemical Physics", "id" : "ITEM-1", "issue" : "15", "issued" : { "date-parts" : [ [ "2006", "4", "21" ] ] }, "page" : "154908", "title" : "Free-energy analysis of solubilization in micelle", "type" : "article-journal", "volume" : "124" }, "uris" : [ "http://www.mendeley.com/documents/?uuid=d1f0e9c1-c8cc-3891-ab25-bfeb8a83a8f0" ] } ], "mendeley" : { "formattedCitation" : "&lt;sup&gt;30&lt;/sup&gt;", "plainTextFormattedCitation" : "30", "previouslyFormattedCitation" : "&lt;sup&gt;30&lt;/sup&gt;" }, "properties" : { "noteIndex" : 0 }, "schema" : "https://github.com/citation-style-language/schema/raw/master/csl-citation.json" }</w:instrText>
      </w:r>
      <w:r w:rsidR="00E37E5E" w:rsidRPr="00EC5244">
        <w:fldChar w:fldCharType="separate"/>
      </w:r>
      <w:r w:rsidR="00E37E5E" w:rsidRPr="00EC5244">
        <w:rPr>
          <w:noProof/>
          <w:vertAlign w:val="superscript"/>
        </w:rPr>
        <w:t>30</w:t>
      </w:r>
      <w:r w:rsidR="00E37E5E" w:rsidRPr="00EC5244">
        <w:fldChar w:fldCharType="end"/>
      </w:r>
      <w:r w:rsidR="003673FB" w:rsidRPr="00EC5244">
        <w:t xml:space="preserve"> </w:t>
      </w:r>
    </w:p>
    <w:p w14:paraId="521045BF" w14:textId="77777777" w:rsidR="003673FB" w:rsidRPr="00EC5244" w:rsidRDefault="003673FB" w:rsidP="003673FB">
      <w:pPr>
        <w:pStyle w:val="TAMainText"/>
      </w:pPr>
    </w:p>
    <w:p w14:paraId="75ED12DF" w14:textId="7A357E95" w:rsidR="003673FB" w:rsidRPr="00EC5244" w:rsidRDefault="000C61EC" w:rsidP="003673FB">
      <w:pPr>
        <w:pStyle w:val="TAMainText"/>
        <w:rPr>
          <w:color w:val="FF0000"/>
          <w:lang w:eastAsia="ja-JP"/>
        </w:rPr>
      </w:pPr>
      <w:r w:rsidRPr="00EC5244">
        <w:t xml:space="preserve">(2) </w:t>
      </w:r>
      <w:r w:rsidR="003673FB" w:rsidRPr="00EC5244">
        <w:t xml:space="preserve">The KB integral interpretation of </w:t>
      </w:r>
      <w:r w:rsidR="00FD08BC" w:rsidRPr="00EC5244">
        <w:t xml:space="preserve">what is now the fitting parameter </w:t>
      </w:r>
      <m:oMath>
        <m:sSub>
          <m:sSubPr>
            <m:ctrlPr>
              <w:rPr>
                <w:rFonts w:ascii="Cambria Math" w:hAnsi="Cambria Math"/>
                <w:i/>
              </w:rPr>
            </m:ctrlPr>
          </m:sSubPr>
          <m:e>
            <m:r>
              <w:rPr>
                <w:rFonts w:ascii="Cambria Math" w:hAnsi="Cambria Math"/>
              </w:rPr>
              <m:t>K</m:t>
            </m:r>
          </m:e>
          <m:sub>
            <m:r>
              <w:rPr>
                <w:rFonts w:ascii="Cambria Math" w:hAnsi="Cambria Math"/>
              </w:rPr>
              <m:t>M</m:t>
            </m:r>
          </m:sub>
        </m:sSub>
      </m:oMath>
      <w:r w:rsidR="003673FB" w:rsidRPr="00EC5244">
        <w:t xml:space="preserve"> is consistent with </w:t>
      </w:r>
      <w:r w:rsidR="00FF1758" w:rsidRPr="00EC5244">
        <w:t>accumula</w:t>
      </w:r>
      <w:r w:rsidR="003673FB" w:rsidRPr="00EC5244">
        <w:t>ting</w:t>
      </w:r>
      <w:r w:rsidR="00FF1758" w:rsidRPr="00EC5244">
        <w:t xml:space="preserve"> evidence </w:t>
      </w:r>
      <w:r w:rsidR="003673FB" w:rsidRPr="00EC5244">
        <w:t>that a solute can be not only within the micelles but also embedded in the micellar layer or bound to the micellar surface.</w:t>
      </w:r>
      <w:r w:rsidR="00FD08BC" w:rsidRPr="00EC5244">
        <w:rPr>
          <w:lang w:val="en-CA"/>
        </w:rPr>
        <w:fldChar w:fldCharType="begin" w:fldLock="1"/>
      </w:r>
      <w:r w:rsidR="0039109D" w:rsidRPr="00EC5244">
        <w:rPr>
          <w:lang w:val="en-CA"/>
        </w:rPr>
        <w:instrText>ADDIN CSL_CITATION { "citationItems" : [ { "id" : "ITEM-1", "itemData" : { "DOI" : "10.1021/jp066926w", "ISSN" : "1520-6106", "PMID" : "17388443", "abstract" : "Water solubility enhancements of polycyclic aromatic hydrocarbons (PAHs), viz., naphthalene, anthracene and pyrene, by micellar solutions at 25 degrees C using two series of surfactants, each involving two cationic and one nonionic surfactant in their single as well as equimolar binary and ternary mixed states, were measured and compared. The first series was composed of three surfactants, benzylhexadecyldimethylammonium chloride (C16BzCl), hexadecyltrimethylammonium bromide (C16Br), and polyoxyethylene(20)mono-n-hexadecyl ether (Brij-58) with a 16-carbon (C16) hydrophobic chain; the second series consisted of dodecyltrimethylammonium bromide (C12Br), dodecylethyldimethylammonium bromide (C12EBr), and polyoxyethylene(4)mono-n-dodecyl ether (Brij-30) with a 12-carbon (C12) chain. Solubilization capacity has been quantified in terms of the molar solubilization ratio, the micelle-water partition coefficient, the first stepwise association constant between solubilizate monomer and vacant micelle, and the average number of solubilizate molecules per micelle, determined employing spectrophoto-, tensio-, and flourimetric techniques. Cationic surfactants exhibited lesser solubilization capacity than nonionics in each series of surfactants with higher efficiency in the C16 series compared to the C12 series. Increase in hydrophobicity of head groups of cationics by incorporation of ethyl or benzyl groups enhanced their solubilization capacity. The mixing effect of surfactants on mixed micelle formation and solubilization efficiency has been discussed in light of the regular solution approximation (RSA). Cationic-nonionic binary combinations showed better solubilization capacity than pure cationics, nonionics, or cationic-cationic mixtures, which, in general, showed increase with increased hydrophobicity of PAHs. Equimolar cationic-cationic-nonionic ternary surfactant systems showed lower solubilization efficiency than their binary cationic-nonionic counterparts but higher than cationic-cationic ones. In addition, use of RSA has been extended, with fair success, to predict partition coefficients of ternary surfactant systems using data of binary surfactants systems. Mixed surfactants may improve the performance of surfactant-enhanced remediation of soils and sediments by decreasing the applied surfactant level and thus remediation cost.", "author" : [ { "dropping-particle" : "", "family" : "Dar", "given" : "Aijaz Ahmad", "non-dropping-particle" : "", "parse-names" : false, "suffix" : "" }, { "dropping-particle" : "", "family" : "Rather", "given" : "Ghulam Mohammad", "non-dropping-particle" : "", "parse-names" : false, "suffix" : "" }, { "dropping-particle" : "", "family" : "Das", "given" : "Akhil Ranjan", "non-dropping-particle" : "", "parse-names" : false, "suffix" : "" } ], "container-title" : "Journal of Physical Chemistry Bhysical chemistry. B", "id" : "ITEM-1", "issue" : "91", "issued" : { "date-parts" : [ [ "2007" ] ] }, "page" : "3122-3132", "title" : "Mixed Micelle Formation and Solubilization Behavior toward Polycyclic Aromatic Hydrocarbons of Binary and Ternary Cationic-Nonionic Surfactant Mixtures", "type" : "article-journal", "volume" : "111" }, "uris" : [ "http://www.mendeley.com/documents/?uuid=b113b83d-8834-4215-8d50-34a5d1cd8c2e" ] }, { "id" : "ITEM-2", "itemData" : { "DOI" : "10.1021/jp807229c", "ISBN" : "1520-6106 (Print)\\r1520-5207 (Linking)", "ISSN" : "15206106", "PMID" : "19123827", "abstract" : "Mixed surfactants may improve the performance of surfactant-enhanced solubilization of drugs and thus can serve as the tool for increased bioavalaibility, controlled drug release, and targeted delivery. Solubilization of Naproxen by micellar solutions at 25 degrees C using single and mixed surfactant systems was measured and compared. Solubilization capacity determined with spectrophotometry and tensiometry has been quantified in terms of molar solubilization ratio, micelle-water partition coefficient, and locus of solubilization. Cationic surfactants exhibited higher solubilization capacity than nonionics and anionics, the efficiency increasing with chain length. Mixing effect of surfactants on mixed micelle formation and solubilization efficiency has been discussed in light of regular solution approximation (RSA). Equimolar cationic-nonionic surfactant combinations showed better solubilization capacity than pure cationics or nonionics, which, in general, increased with increase in hydrophobic chain length. Equimolar cationic-nonionic-nonionic ternary surfactant systems exhibited intermediate solubilization efficiency between their single and binary counterparts. Use of RSA has been extended, with fair success, to predict the partition coefficient of ternary surfactant systems using data from binary mixtures. The theoretical micelle-water partition coefficients calculated from the geometric mean equation compared well with experimental values. Locus of solubilization of NAP in different micellar solutions was probed by UV-visible spectroscopy.", "author" : [ { "dropping-particle" : "", "family" : "Bhat", "given" : "Parvaiz Ahmad", "non-dropping-particle" : "", "parse-names" : false, "suffix" : "" }, { "dropping-particle" : "", "family" : "Rather", "given" : "Ghulam Mohammad", "non-dropping-particle" : "", "parse-names" : false, "suffix" : "" }, { "dropping-particle" : "", "family" : "Dar", "given" : "Aijaz Ahmad", "non-dropping-particle" : "", "parse-names" : false, "suffix" : "" } ], "container-title" : "Journal of Physical Chemistry B", "id" : "ITEM-2", "issue" : "4", "issued" : { "date-parts" : [ [ "2009" ] ] }, "page" : "997-1006", "title" : "Effect of surfactant mixing on partitioning of model hydrophobic drug, Naproxen, between aqueous and micellar phases", "type" : "article-journal", "volume" : "113" }, "uris" : [ "http://www.mendeley.com/documents/?uuid=d84334cf-5cc1-4eb3-aa81-75f74ef04186" ] }, { "id" : "ITEM-3", "itemData" : { "abstract" : "PURPOSE: Micellar solubilization is a pow-erful alternative for dissolving hydrophobic drugs in aqueous environments. In this work, we provide an insight into this subject. METHODS: A concise review of surfactants and micelles applications in phar-macy was carried out. RESULTS: Initially, a descrip-tion of surfactants and aqueous micellar systems is presented. Following, an extensive review on micellar drug solubilization, including both the principles involved on this phenomenon and the work already done regarding solubilization of drugs by micelles is presented. The application of micelles in drug delivery, in order to minimize drug degradation and loss, to pre-vent harmful side effects, and to increase drug bioavail-ability, is also presented. Special emphasis is given to the more recent use of polymeric micelles. Finally, we briefly discuss the importance of surfactants and micelles as biological systems models as well as its application in micellar catalysis. CONCLUSIONS: As can be seen from the review presented, the use of micelles in pharmacy is an important tool that finds numerous applications.", "author" : [ { "dropping-particle" : "", "family" : "Oliveira", "given" : "Carlota", "non-dropping-particle" : "De", "parse-names" : false, "suffix" : "" }, { "dropping-particle" : "", "family" : "Yagui", "given" : "Rangel", "non-dropping-particle" : "", "parse-names" : false, "suffix" : "" }, { "dropping-particle" : "", "family" : "Lineu Prestes", "given" : "Av", "non-dropping-particle" : "", "parse-names" : false, "suffix" : "" }, { "dropping-particle" : "", "family" : "Rangel-Yagui", "given" : "Carlota O", "non-dropping-particle" : "", "parse-names" : false, "suffix" : "" }, { "dropping-particle" : "", "family" : "Pessoa-Jr", "given" : "Adalberto", "non-dropping-particle" : "", "parse-names" : false, "suffix" : "" }, { "dropping-particle" : "", "family" : "Tavares", "given" : "Leoberto Costa", "non-dropping-particle" : "", "parse-names" : false, "suffix" : "" } ], "container-title" : "J Pharm Pharmaceut Sci (www.cspscanada.org)", "id" : "ITEM-3", "issue" : "2", "issued" : { "date-parts" : [ [ "2005" ] ] }, "page" : "147-163", "title" : "Micellar solubilization of drugs", "type" : "article-journal", "volume" : "8" }, "uris" : [ "http://www.mendeley.com/documents/?uuid=d0113e2b-dff8-3380-95eb-ce76cebe0d00" ] }, { "id" : "ITEM-4", "itemData" : { "DOI" : "10.1063/1.2186324", "ISSN" : "0021-9606", "author" : [ { "dropping-particle" : "", "family" : "Matubayasi", "given" : "Nobuyuki", "non-dropping-particle" : "", "parse-names" : false, "suffix" : "" }, { "dropping-particle" : "", "family" : "Liang", "given" : "Kuo Kan", "non-dropping-particle" : "", "parse-names" : false, "suffix" : "" }, { "dropping-particle" : "", "family" : "Nakahara", "given" : "Masaru", "non-dropping-particle" : "", "parse-names" : false, "suffix" : "" } ], "container-title" : "The Journal of Chemical Physics", "id" : "ITEM-4", "issue" : "15", "issued" : { "date-parts" : [ [ "2006", "4", "21" ] ] }, "page" : "154908", "title" : "Free-energy analysis of solubilization in micelle", "type" : "article-journal", "volume" : "124" }, "uris" : [ "http://www.mendeley.com/documents/?uuid=d1f0e9c1-c8cc-3891-ab25-bfeb8a83a8f0" ] } ], "mendeley" : { "formattedCitation" : "&lt;sup&gt;30,44,48,49&lt;/sup&gt;", "plainTextFormattedCitation" : "30,44,48,49", "previouslyFormattedCitation" : "&lt;sup&gt;30,44,48,49&lt;/sup&gt;" }, "properties" : { "noteIndex" : 0 }, "schema" : "https://github.com/citation-style-language/schema/raw/master/csl-citation.json" }</w:instrText>
      </w:r>
      <w:r w:rsidR="00FD08BC" w:rsidRPr="00EC5244">
        <w:rPr>
          <w:lang w:val="en-CA"/>
        </w:rPr>
        <w:fldChar w:fldCharType="separate"/>
      </w:r>
      <w:r w:rsidR="0039109D" w:rsidRPr="00EC5244">
        <w:rPr>
          <w:noProof/>
          <w:vertAlign w:val="superscript"/>
          <w:lang w:val="en-CA"/>
        </w:rPr>
        <w:t>30,44,48,49</w:t>
      </w:r>
      <w:r w:rsidR="00FD08BC" w:rsidRPr="00EC5244">
        <w:rPr>
          <w:lang w:val="en-CA"/>
        </w:rPr>
        <w:fldChar w:fldCharType="end"/>
      </w:r>
      <w:r w:rsidR="003673FB" w:rsidRPr="00EC5244">
        <w:t xml:space="preserve"> Such diversity in the solute location can be probed by simulation and can naturally be incorporated into the KB integrals as in the form of Eq. (10), but breaks the simple interpretation of </w:t>
      </w:r>
      <m:oMath>
        <m:sSub>
          <m:sSubPr>
            <m:ctrlPr>
              <w:rPr>
                <w:rFonts w:ascii="Cambria Math" w:hAnsi="Cambria Math"/>
                <w:i/>
              </w:rPr>
            </m:ctrlPr>
          </m:sSubPr>
          <m:e>
            <m:r>
              <w:rPr>
                <w:rFonts w:ascii="Cambria Math" w:hAnsi="Cambria Math"/>
              </w:rPr>
              <m:t>K</m:t>
            </m:r>
          </m:e>
          <m:sub>
            <m:r>
              <w:rPr>
                <w:rFonts w:ascii="Cambria Math" w:hAnsi="Cambria Math"/>
              </w:rPr>
              <m:t>M</m:t>
            </m:r>
          </m:sub>
        </m:sSub>
      </m:oMath>
      <w:r w:rsidR="003673FB" w:rsidRPr="00EC5244">
        <w:t xml:space="preserve"> as the partition coefficient of a solute between the aqueous p</w:t>
      </w:r>
      <w:r w:rsidR="00FD08BC" w:rsidRPr="00EC5244">
        <w:t>hase and the micellar interior modelled as pseudo-phase.</w:t>
      </w:r>
      <w:r w:rsidR="00FD08BC" w:rsidRPr="00EC5244">
        <w:rPr>
          <w:lang w:val="en-CA"/>
        </w:rPr>
        <w:fldChar w:fldCharType="begin" w:fldLock="1"/>
      </w:r>
      <w:r w:rsidR="0039109D" w:rsidRPr="00EC5244">
        <w:rPr>
          <w:lang w:val="en-CA"/>
        </w:rPr>
        <w:instrText>ADDIN CSL_CITATION { "citationItems" : [ { "id" : "ITEM-1", "itemData" : { "DOI" : "10.1002/jps.2600640733", "ISSN" : "00223549", "author" : [ { "dropping-particle" : "", "family" : "Collett", "given" : "J.H.", "non-dropping-particle" : "", "parse-names" : false, "suffix" : "" }, { "dropping-particle" : "", "family" : "Koo", "given" : "L.", "non-dropping-particle" : "", "parse-names" : false, "suffix" : "" } ], "container-title" : "Journal of Pharmaceutical Sciences", "id" : "ITEM-1", "issue" : "7", "issued" : { "date-parts" : [ [ "1975", "7" ] ] }, "page" : "1253-1255", "publisher" : "Wiley Subscription Services, Inc., A Wiley Company", "title" : "Interaction of Substituted Benzoic Acids with Polysorbate 20 Micelles", "type" : "article-journal", "volume" : "64" }, "uris" : [ "http://www.mendeley.com/documents/?uuid=de61035d-6eb8-3fe5-8f91-8c1d4374724c" ] }, { "id" : "ITEM-2", "itemData" : { "DOI" : "10.1021/es00065a012", "ISSN" : "0013-936X", "author" : [ { "dropping-particle" : "", "family" : "Kile", "given" : "D E", "non-dropping-particle" : "", "parse-names" : false, "suffix" : "" }, { "dropping-particle" : "", "family" : "Chiou", "given" : "C T", "non-dropping-particle" : "", "parse-names" : false, "suffix" : "" } ], "container-title" : "Environmental Science and Technology", "id" : "ITEM-2", "issued" : { "date-parts" : [ [ "1989" ] ] }, "page" : "832-838", "title" : "Water solubility enhancements of DDT and trichorobenzene by some surfactants below and above the critical micelle concentration", "type" : "article-journal", "volume" : "23" }, "uris" : [ "http://www.mendeley.com/documents/?uuid=b910ca79-c4f4-48bb-8c43-492521ccbf7f" ] }, { "id" : "ITEM-3", "itemData" : { "DOI" : "10.1016/S0378-5173(00)00386-0", "ISSN" : "03785173", "PMID" : "10867251", "abstract" : "The molar solubilization capacities (??) and the molar micelle-water partition coefficients (K(M)(N)) in Polysorbate 80 of several drugs (including barbiturates, steroids, and benzoic acid derivatives) are related to their log octanol-water partition coefficients (logP). Both ?? and K(M)(N) values were calculated from solubility versus Polysorbate 80 concentration profiles, which were either experimentally determined or obtained from the literature. There is a linear relationship between logP of the tested compounds and the logarithm of the molar micelle-water partition coefficient (logK(M)(N)). On the other hand molar solubilization capacities are nearly independent of logP. It is shown that the ability of Polysorbate 80 to solubilize a drug can be predicted from its logP value. Copyright (C) 2000 Elsevier Science B.V.", "author" : [ { "dropping-particle" : "", "family" : "Alvarez-N\u00fa\u00f1ez", "given" : "F. A.", "non-dropping-particle" : "", "parse-names" : false, "suffix" : "" }, { "dropping-particle" : "", "family" : "Yalkowsky", "given" : "S. H.", "non-dropping-particle" : "", "parse-names" : false, "suffix" : "" } ], "container-title" : "International Journal of Pharmaceutics", "id" : "ITEM-3", "issue" : "2", "issued" : { "date-parts" : [ [ "2000" ] ] }, "page" : "217-222", "title" : "Relationship between Polysorbate 80 solubilization descriptors and octanol-water partition coefficients of drugs", "type" : "article-journal", "volume" : "200" }, "uris" : [ "http://www.mendeley.com/documents/?uuid=5d4381f1-b1ac-4f61-b0d3-1260484f5d19" ] } ], "mendeley" : { "formattedCitation" : "&lt;sup&gt;43,45,46&lt;/sup&gt;", "plainTextFormattedCitation" : "43,45,46", "previouslyFormattedCitation" : "&lt;sup&gt;43,45,46&lt;/sup&gt;" }, "properties" : { "noteIndex" : 0 }, "schema" : "https://github.com/citation-style-language/schema/raw/master/csl-citation.json" }</w:instrText>
      </w:r>
      <w:r w:rsidR="00FD08BC" w:rsidRPr="00EC5244">
        <w:rPr>
          <w:lang w:val="en-CA"/>
        </w:rPr>
        <w:fldChar w:fldCharType="separate"/>
      </w:r>
      <w:r w:rsidR="0039109D" w:rsidRPr="00EC5244">
        <w:rPr>
          <w:noProof/>
          <w:vertAlign w:val="superscript"/>
          <w:lang w:val="en-CA"/>
        </w:rPr>
        <w:t>43,45,46</w:t>
      </w:r>
      <w:r w:rsidR="00FD08BC" w:rsidRPr="00EC5244">
        <w:rPr>
          <w:lang w:val="en-CA"/>
        </w:rPr>
        <w:fldChar w:fldCharType="end"/>
      </w:r>
      <w:r w:rsidR="00FD08BC" w:rsidRPr="00EC5244">
        <w:t xml:space="preserve"> </w:t>
      </w:r>
    </w:p>
    <w:p w14:paraId="2B084DA6" w14:textId="77777777" w:rsidR="003673FB" w:rsidRPr="00EC5244" w:rsidRDefault="003673FB" w:rsidP="003673FB">
      <w:pPr>
        <w:pStyle w:val="TAMainText"/>
      </w:pPr>
    </w:p>
    <w:p w14:paraId="213ED6DB" w14:textId="1E09DE67" w:rsidR="004A728B" w:rsidRPr="00EC5244" w:rsidRDefault="003673FB" w:rsidP="003673FB">
      <w:pPr>
        <w:pStyle w:val="TAMainText"/>
        <w:rPr>
          <w:lang w:val="en-CA"/>
        </w:rPr>
      </w:pPr>
      <w:r w:rsidRPr="00EC5244">
        <w:t xml:space="preserve">(3) This partition coefficient </w:t>
      </w:r>
      <m:oMath>
        <m:sSub>
          <m:sSubPr>
            <m:ctrlPr>
              <w:rPr>
                <w:rFonts w:ascii="Cambria Math" w:hAnsi="Cambria Math"/>
                <w:i/>
              </w:rPr>
            </m:ctrlPr>
          </m:sSubPr>
          <m:e>
            <m:r>
              <w:rPr>
                <w:rFonts w:ascii="Cambria Math" w:hAnsi="Cambria Math"/>
              </w:rPr>
              <m:t>K</m:t>
            </m:r>
          </m:e>
          <m:sub>
            <m:r>
              <w:rPr>
                <w:rFonts w:ascii="Cambria Math" w:hAnsi="Cambria Math"/>
              </w:rPr>
              <m:t>M</m:t>
            </m:r>
          </m:sub>
        </m:sSub>
      </m:oMath>
      <w:r w:rsidRPr="00EC5244">
        <w:t xml:space="preserve"> has </w:t>
      </w:r>
      <w:r w:rsidR="00FE1D65" w:rsidRPr="00EC5244">
        <w:rPr>
          <w:lang w:val="en-CA"/>
        </w:rPr>
        <w:t>an entirely different significance from the partition</w:t>
      </w:r>
      <w:r w:rsidRPr="00EC5244">
        <w:rPr>
          <w:lang w:val="en-CA"/>
        </w:rPr>
        <w:t xml:space="preserve"> coefficient in biphasic systems, where the latter </w:t>
      </w:r>
      <w:r w:rsidR="00FA2F3A" w:rsidRPr="00EC5244">
        <w:rPr>
          <w:lang w:val="en-CA"/>
        </w:rPr>
        <w:t xml:space="preserve">could not be </w:t>
      </w:r>
      <w:r w:rsidR="00FE1D65" w:rsidRPr="00EC5244">
        <w:rPr>
          <w:lang w:val="en-CA"/>
        </w:rPr>
        <w:t xml:space="preserve">decomposed </w:t>
      </w:r>
      <w:r w:rsidR="00FA2F3A" w:rsidRPr="00EC5244">
        <w:rPr>
          <w:lang w:val="en-CA"/>
        </w:rPr>
        <w:t xml:space="preserve">further </w:t>
      </w:r>
      <w:r w:rsidR="00FE1D65" w:rsidRPr="00EC5244">
        <w:rPr>
          <w:lang w:val="en-CA"/>
        </w:rPr>
        <w:t>into solute-water and solute-hydrotrope interaction</w:t>
      </w:r>
      <w:r w:rsidR="00FA2F3A" w:rsidRPr="00EC5244">
        <w:rPr>
          <w:lang w:val="en-CA"/>
        </w:rPr>
        <w:t>s</w:t>
      </w:r>
      <w:r w:rsidR="00102DCF" w:rsidRPr="00EC5244">
        <w:rPr>
          <w:lang w:val="en-CA"/>
        </w:rPr>
        <w:t xml:space="preserve"> (corresponding to the potentials of mean force)</w:t>
      </w:r>
      <w:r w:rsidR="00FA2F3A" w:rsidRPr="00EC5244">
        <w:rPr>
          <w:lang w:val="en-CA"/>
        </w:rPr>
        <w:t>, due to the limited number of independent variables. I</w:t>
      </w:r>
      <w:r w:rsidR="00FE1D65" w:rsidRPr="00EC5244">
        <w:rPr>
          <w:lang w:val="en-CA"/>
        </w:rPr>
        <w:t xml:space="preserve">n </w:t>
      </w:r>
      <w:r w:rsidR="00FA2F3A" w:rsidRPr="00EC5244">
        <w:rPr>
          <w:lang w:val="en-CA"/>
        </w:rPr>
        <w:t xml:space="preserve">contrast, for </w:t>
      </w:r>
      <w:r w:rsidR="00FE1D65" w:rsidRPr="00EC5244">
        <w:rPr>
          <w:lang w:val="en-CA"/>
        </w:rPr>
        <w:t>micellar solution</w:t>
      </w:r>
      <w:r w:rsidR="00FA2F3A" w:rsidRPr="00EC5244">
        <w:rPr>
          <w:lang w:val="en-CA"/>
        </w:rPr>
        <w:t xml:space="preserve">s, micelle-water partition </w:t>
      </w:r>
      <w:r w:rsidR="00FE1D65" w:rsidRPr="00EC5244">
        <w:rPr>
          <w:lang w:val="en-CA"/>
        </w:rPr>
        <w:t xml:space="preserve">coefficient </w:t>
      </w:r>
      <w:r w:rsidR="00FA2F3A" w:rsidRPr="00EC5244">
        <w:rPr>
          <w:lang w:val="en-CA"/>
        </w:rPr>
        <w:t xml:space="preserve">comprises of </w:t>
      </w:r>
      <w:r w:rsidR="00FE1D65" w:rsidRPr="00EC5244">
        <w:rPr>
          <w:lang w:val="en-CA"/>
        </w:rPr>
        <w:t>a competition between solute-water and solute-micelle interactions both of which are independently-determinabl</w:t>
      </w:r>
      <w:r w:rsidR="00FA2F3A" w:rsidRPr="00EC5244">
        <w:rPr>
          <w:lang w:val="en-CA"/>
        </w:rPr>
        <w:t>e, because the micelle-water mixture, being in a single phase,</w:t>
      </w:r>
      <w:r w:rsidR="00FE1D65" w:rsidRPr="00EC5244">
        <w:rPr>
          <w:lang w:val="en-CA"/>
        </w:rPr>
        <w:t xml:space="preserve"> </w:t>
      </w:r>
      <w:r w:rsidR="00FA2F3A" w:rsidRPr="00EC5244">
        <w:rPr>
          <w:lang w:val="en-CA"/>
        </w:rPr>
        <w:t xml:space="preserve">has one more degree of freedom that aqueous biphasic systems. </w:t>
      </w:r>
    </w:p>
    <w:p w14:paraId="3ACB509A" w14:textId="6A82D51C" w:rsidR="00CD7325" w:rsidRPr="00EC5244" w:rsidRDefault="00CD7325" w:rsidP="00283FBB">
      <w:pPr>
        <w:pStyle w:val="TAMainText"/>
        <w:ind w:firstLine="0"/>
        <w:rPr>
          <w:lang w:val="en-CA"/>
        </w:rPr>
      </w:pPr>
    </w:p>
    <w:p w14:paraId="12A2B3F0" w14:textId="47ABD18C" w:rsidR="00EA168C" w:rsidRPr="00EC5244" w:rsidRDefault="006F588C" w:rsidP="00283FBB">
      <w:pPr>
        <w:pStyle w:val="TAMainText"/>
        <w:ind w:firstLine="0"/>
        <w:rPr>
          <w:b/>
          <w:lang w:val="en-CA"/>
        </w:rPr>
      </w:pPr>
      <w:r w:rsidRPr="00EC5244">
        <w:rPr>
          <w:b/>
          <w:lang w:val="en-CA"/>
        </w:rPr>
        <w:t>4</w:t>
      </w:r>
      <w:r w:rsidR="00B076C9" w:rsidRPr="00EC5244">
        <w:rPr>
          <w:b/>
          <w:lang w:val="en-CA"/>
        </w:rPr>
        <w:t>.2</w:t>
      </w:r>
      <w:r w:rsidR="008A3FA6" w:rsidRPr="00EC5244">
        <w:rPr>
          <w:b/>
          <w:lang w:val="en-CA"/>
        </w:rPr>
        <w:t>. H</w:t>
      </w:r>
      <w:r w:rsidR="00B076C9" w:rsidRPr="00EC5244">
        <w:rPr>
          <w:b/>
          <w:lang w:val="en-CA"/>
        </w:rPr>
        <w:t>ydrotropy with a</w:t>
      </w:r>
      <w:r w:rsidR="00EA168C" w:rsidRPr="00EC5244">
        <w:rPr>
          <w:b/>
          <w:lang w:val="en-CA"/>
        </w:rPr>
        <w:t xml:space="preserve">mbiguous phase behaviour </w:t>
      </w:r>
    </w:p>
    <w:p w14:paraId="7DB91778" w14:textId="7FAD9482" w:rsidR="00FD6CBE" w:rsidRPr="00EC5244" w:rsidRDefault="00FD6CBE" w:rsidP="00283FBB">
      <w:pPr>
        <w:pStyle w:val="TAMainText"/>
        <w:ind w:firstLine="0"/>
        <w:rPr>
          <w:lang w:val="en-CA"/>
        </w:rPr>
      </w:pPr>
    </w:p>
    <w:p w14:paraId="0067CA7B" w14:textId="15E2ECE5" w:rsidR="003673FB" w:rsidRPr="00EC5244" w:rsidRDefault="00323160" w:rsidP="003673FB">
      <w:pPr>
        <w:pStyle w:val="TAMainText"/>
        <w:ind w:firstLine="0"/>
        <w:rPr>
          <w:lang w:val="en-CA"/>
        </w:rPr>
      </w:pPr>
      <w:r w:rsidRPr="00EC5244">
        <w:rPr>
          <w:lang w:val="en-CA"/>
        </w:rPr>
        <w:t>W</w:t>
      </w:r>
      <w:r w:rsidR="003673FB" w:rsidRPr="00EC5244">
        <w:rPr>
          <w:lang w:val="en-CA"/>
        </w:rPr>
        <w:t xml:space="preserve">e have </w:t>
      </w:r>
      <w:r w:rsidRPr="00EC5244">
        <w:rPr>
          <w:lang w:val="en-CA"/>
        </w:rPr>
        <w:t xml:space="preserve">thus </w:t>
      </w:r>
      <w:r w:rsidR="003673FB" w:rsidRPr="00EC5244">
        <w:rPr>
          <w:lang w:val="en-CA"/>
        </w:rPr>
        <w:t xml:space="preserve">derived </w:t>
      </w:r>
      <w:r w:rsidRPr="00EC5244">
        <w:rPr>
          <w:lang w:val="en-CA"/>
        </w:rPr>
        <w:t xml:space="preserve">the </w:t>
      </w:r>
      <w:r w:rsidR="003673FB" w:rsidRPr="00EC5244">
        <w:rPr>
          <w:lang w:val="en-CA"/>
        </w:rPr>
        <w:t>two partition coefficients</w:t>
      </w:r>
      <w:r w:rsidRPr="00EC5244">
        <w:rPr>
          <w:lang w:val="en-CA"/>
        </w:rPr>
        <w:t xml:space="preserve"> that are</w:t>
      </w:r>
      <w:r w:rsidR="003673FB" w:rsidRPr="00EC5244">
        <w:rPr>
          <w:lang w:val="en-CA"/>
        </w:rPr>
        <w:t xml:space="preserve"> </w:t>
      </w:r>
      <w:r w:rsidRPr="00EC5244">
        <w:rPr>
          <w:lang w:val="en-CA"/>
        </w:rPr>
        <w:t xml:space="preserve">similar </w:t>
      </w:r>
      <w:r w:rsidR="003673FB" w:rsidRPr="00EC5244">
        <w:rPr>
          <w:lang w:val="en-CA"/>
        </w:rPr>
        <w:t>according to the classical theories but have fundame</w:t>
      </w:r>
      <w:r w:rsidRPr="00EC5244">
        <w:rPr>
          <w:lang w:val="en-CA"/>
        </w:rPr>
        <w:t>ntally different origins</w:t>
      </w:r>
      <w:r w:rsidR="003673FB" w:rsidRPr="00EC5244">
        <w:rPr>
          <w:lang w:val="en-CA"/>
        </w:rPr>
        <w:t xml:space="preserve">. </w:t>
      </w:r>
    </w:p>
    <w:p w14:paraId="4EE47A40" w14:textId="77777777" w:rsidR="00AD2E94" w:rsidRPr="00EC5244" w:rsidRDefault="00AD2E94" w:rsidP="003673FB">
      <w:pPr>
        <w:pStyle w:val="TAMainText"/>
        <w:ind w:firstLine="0"/>
        <w:rPr>
          <w:lang w:val="en-CA"/>
        </w:rPr>
      </w:pPr>
    </w:p>
    <w:p w14:paraId="6AE26E12" w14:textId="4FCC0BFF" w:rsidR="003673FB" w:rsidRPr="00EC5244" w:rsidRDefault="003673FB" w:rsidP="003673FB">
      <w:pPr>
        <w:pStyle w:val="TAMainText"/>
        <w:numPr>
          <w:ilvl w:val="0"/>
          <w:numId w:val="2"/>
        </w:numPr>
        <w:rPr>
          <w:lang w:val="en-CA"/>
        </w:rPr>
      </w:pPr>
      <w:r w:rsidRPr="00EC5244">
        <w:rPr>
          <w:lang w:val="en-CA"/>
        </w:rPr>
        <w:t>Micelle-water solution</w:t>
      </w:r>
      <w:r w:rsidR="00AC415A" w:rsidRPr="00EC5244">
        <w:rPr>
          <w:lang w:val="en-CA"/>
        </w:rPr>
        <w:t>s</w:t>
      </w:r>
      <w:r w:rsidRPr="00EC5244">
        <w:rPr>
          <w:lang w:val="en-CA"/>
        </w:rPr>
        <w:t xml:space="preserve"> form a single phase, which means that, at a constant temperature, both pressure and micellar concentrations can be changed independently, thereby</w:t>
      </w:r>
      <w:r w:rsidR="00323160" w:rsidRPr="00EC5244">
        <w:rPr>
          <w:lang w:val="en-CA"/>
        </w:rPr>
        <w:t xml:space="preserve"> guaranteeing the existence of </w:t>
      </w:r>
      <w:r w:rsidRPr="00EC5244">
        <w:rPr>
          <w:lang w:val="en-CA"/>
        </w:rPr>
        <w:t xml:space="preserve">solute-water and solute-micelle KB integrals. </w:t>
      </w:r>
    </w:p>
    <w:p w14:paraId="0BA59F01" w14:textId="08DD94E9" w:rsidR="003673FB" w:rsidRPr="00EC5244" w:rsidRDefault="003673FB" w:rsidP="003673FB">
      <w:pPr>
        <w:pStyle w:val="TAMainText"/>
        <w:numPr>
          <w:ilvl w:val="0"/>
          <w:numId w:val="2"/>
        </w:numPr>
        <w:rPr>
          <w:lang w:val="en-CA"/>
        </w:rPr>
      </w:pPr>
      <w:r w:rsidRPr="00EC5244">
        <w:rPr>
          <w:lang w:val="en-CA"/>
        </w:rPr>
        <w:t>The amount of hydrotrope-rich phase in the biphasic system is determined by the lever rule along the tie line; the pressure and composition cannot be changed independently, thereby the solute-water (rich phase) and solute hydrotrope (rich phase) i</w:t>
      </w:r>
      <w:r w:rsidR="00323160" w:rsidRPr="00EC5244">
        <w:rPr>
          <w:lang w:val="en-CA"/>
        </w:rPr>
        <w:t>nteractions cannot be separated</w:t>
      </w:r>
      <w:r w:rsidRPr="00EC5244">
        <w:rPr>
          <w:lang w:val="en-CA"/>
        </w:rPr>
        <w:t xml:space="preserve">. </w:t>
      </w:r>
    </w:p>
    <w:p w14:paraId="6BD1A395" w14:textId="77777777" w:rsidR="003673FB" w:rsidRPr="00EC5244" w:rsidRDefault="003673FB" w:rsidP="003673FB">
      <w:pPr>
        <w:pStyle w:val="TAMainText"/>
        <w:rPr>
          <w:lang w:val="en-CA"/>
        </w:rPr>
      </w:pPr>
    </w:p>
    <w:p w14:paraId="0898BE8D" w14:textId="79329600" w:rsidR="00EA168C" w:rsidRPr="00EC5244" w:rsidRDefault="003673FB" w:rsidP="00AD2E94">
      <w:pPr>
        <w:pStyle w:val="TAMainText"/>
        <w:rPr>
          <w:lang w:val="en-CA"/>
        </w:rPr>
      </w:pPr>
      <w:r w:rsidRPr="00EC5244">
        <w:rPr>
          <w:lang w:val="en-CA"/>
        </w:rPr>
        <w:t>These two p</w:t>
      </w:r>
      <w:r w:rsidR="00AD2E94" w:rsidRPr="00EC5244">
        <w:rPr>
          <w:lang w:val="en-CA"/>
        </w:rPr>
        <w:t xml:space="preserve">artition coefficients, albeit their </w:t>
      </w:r>
      <w:r w:rsidRPr="00EC5244">
        <w:rPr>
          <w:lang w:val="en-CA"/>
        </w:rPr>
        <w:t>completely dif</w:t>
      </w:r>
      <w:r w:rsidR="00AD2E94" w:rsidRPr="00EC5244">
        <w:rPr>
          <w:lang w:val="en-CA"/>
        </w:rPr>
        <w:t>ferent molecular origins, can both give rise to cooperative-like behaviour. This poses a serious difficulty in the systems with ambiguous or unclear phase rules, such as micro</w:t>
      </w:r>
      <w:r w:rsidR="00323160" w:rsidRPr="00EC5244">
        <w:rPr>
          <w:lang w:val="en-CA"/>
        </w:rPr>
        <w:t>-</w:t>
      </w:r>
      <w:r w:rsidR="00AD2E94" w:rsidRPr="00EC5244">
        <w:rPr>
          <w:lang w:val="en-CA"/>
        </w:rPr>
        <w:t xml:space="preserve">emulsions. </w:t>
      </w:r>
      <w:r w:rsidR="006855FA" w:rsidRPr="00EC5244">
        <w:rPr>
          <w:lang w:val="en-CA"/>
        </w:rPr>
        <w:t>This problem will be dis</w:t>
      </w:r>
      <w:r w:rsidR="002B3B0B" w:rsidRPr="00EC5244">
        <w:rPr>
          <w:lang w:val="en-CA"/>
        </w:rPr>
        <w:t>c</w:t>
      </w:r>
      <w:r w:rsidR="006F588C" w:rsidRPr="00EC5244">
        <w:rPr>
          <w:lang w:val="en-CA"/>
        </w:rPr>
        <w:t>ussed more in depth in Section 5</w:t>
      </w:r>
      <w:r w:rsidR="002B3B0B" w:rsidRPr="00EC5244">
        <w:rPr>
          <w:lang w:val="en-CA"/>
        </w:rPr>
        <w:t>.4</w:t>
      </w:r>
      <w:r w:rsidR="006855FA" w:rsidRPr="00EC5244">
        <w:rPr>
          <w:lang w:val="en-CA"/>
        </w:rPr>
        <w:t xml:space="preserve">. </w:t>
      </w:r>
    </w:p>
    <w:p w14:paraId="3B342BE1" w14:textId="2A706117" w:rsidR="00FC0470" w:rsidRPr="00EC5244" w:rsidRDefault="00FC0470" w:rsidP="00283FBB">
      <w:pPr>
        <w:pStyle w:val="TAMainText"/>
        <w:ind w:firstLine="0"/>
        <w:rPr>
          <w:b/>
          <w:lang w:val="en-CA"/>
        </w:rPr>
      </w:pPr>
    </w:p>
    <w:p w14:paraId="34498A65" w14:textId="40F52DEB" w:rsidR="00FA2F3A" w:rsidRPr="00EC5244" w:rsidRDefault="006F588C" w:rsidP="00FA2F3A">
      <w:pPr>
        <w:pStyle w:val="TAMainText"/>
        <w:ind w:firstLine="0"/>
        <w:rPr>
          <w:b/>
          <w:lang w:val="en-CA"/>
        </w:rPr>
      </w:pPr>
      <w:r w:rsidRPr="00EC5244">
        <w:rPr>
          <w:b/>
          <w:lang w:val="en-CA"/>
        </w:rPr>
        <w:t>5</w:t>
      </w:r>
      <w:r w:rsidR="006C558F" w:rsidRPr="00EC5244">
        <w:rPr>
          <w:b/>
          <w:lang w:val="en-CA"/>
        </w:rPr>
        <w:t>. Generalization to concentrated solutes</w:t>
      </w:r>
      <w:r w:rsidR="00FA2F3A" w:rsidRPr="00EC5244">
        <w:rPr>
          <w:b/>
          <w:lang w:val="en-CA"/>
        </w:rPr>
        <w:t xml:space="preserve"> </w:t>
      </w:r>
    </w:p>
    <w:p w14:paraId="66AF36B0" w14:textId="77777777" w:rsidR="00253ACE" w:rsidRPr="00EC5244" w:rsidRDefault="00253ACE" w:rsidP="00FA2F3A">
      <w:pPr>
        <w:pStyle w:val="TAMainText"/>
        <w:ind w:firstLine="0"/>
        <w:rPr>
          <w:lang w:val="en-CA"/>
        </w:rPr>
      </w:pPr>
    </w:p>
    <w:p w14:paraId="030D59A5" w14:textId="357E43FC" w:rsidR="00FA2F3A" w:rsidRPr="00EC5244" w:rsidRDefault="00FA2F3A" w:rsidP="00FA2F3A">
      <w:pPr>
        <w:pStyle w:val="TAMainText"/>
        <w:ind w:firstLine="0"/>
        <w:rPr>
          <w:lang w:val="en-CA"/>
        </w:rPr>
      </w:pPr>
      <w:r w:rsidRPr="00EC5244">
        <w:rPr>
          <w:lang w:val="en-CA"/>
        </w:rPr>
        <w:t xml:space="preserve">Here we </w:t>
      </w:r>
      <w:r w:rsidR="00675CF7" w:rsidRPr="00EC5244">
        <w:rPr>
          <w:lang w:val="en-CA"/>
        </w:rPr>
        <w:t xml:space="preserve">briefly present how </w:t>
      </w:r>
      <w:r w:rsidRPr="00EC5244">
        <w:rPr>
          <w:lang w:val="en-CA"/>
        </w:rPr>
        <w:t xml:space="preserve">our </w:t>
      </w:r>
      <w:r w:rsidR="00675CF7" w:rsidRPr="00EC5244">
        <w:rPr>
          <w:lang w:val="en-CA"/>
        </w:rPr>
        <w:t xml:space="preserve">rigorous statistical thermodynamic approach to hydrotropy, based on the KB theory and the </w:t>
      </w:r>
      <w:r w:rsidRPr="00EC5244">
        <w:rPr>
          <w:lang w:val="en-CA"/>
        </w:rPr>
        <w:t>phase rul</w:t>
      </w:r>
      <w:r w:rsidR="00675CF7" w:rsidRPr="00EC5244">
        <w:rPr>
          <w:lang w:val="en-CA"/>
        </w:rPr>
        <w:t xml:space="preserve">e, can be generalized to solutes beyond infinite dilution and to the </w:t>
      </w:r>
      <w:r w:rsidR="00675CF7" w:rsidRPr="00EC5244">
        <w:rPr>
          <w:i/>
          <w:lang w:val="en-CA"/>
        </w:rPr>
        <w:t>n</w:t>
      </w:r>
      <w:r w:rsidR="00675CF7" w:rsidRPr="00EC5244">
        <w:rPr>
          <w:lang w:val="en-CA"/>
        </w:rPr>
        <w:t xml:space="preserve">-component systems in general. </w:t>
      </w:r>
      <w:r w:rsidRPr="00EC5244">
        <w:rPr>
          <w:lang w:val="en-CA"/>
        </w:rPr>
        <w:t xml:space="preserve"> </w:t>
      </w:r>
    </w:p>
    <w:p w14:paraId="3823045F" w14:textId="77777777" w:rsidR="00FA2F3A" w:rsidRPr="00EC5244" w:rsidRDefault="00FA2F3A" w:rsidP="00FA2F3A">
      <w:pPr>
        <w:pStyle w:val="TAMainText"/>
        <w:ind w:firstLine="0"/>
        <w:rPr>
          <w:lang w:val="en-CA"/>
        </w:rPr>
      </w:pPr>
    </w:p>
    <w:p w14:paraId="575C5D3B" w14:textId="6B2A0774" w:rsidR="00FC0470" w:rsidRPr="00EC5244" w:rsidRDefault="006F588C" w:rsidP="00283FBB">
      <w:pPr>
        <w:pStyle w:val="TAMainText"/>
        <w:ind w:firstLine="0"/>
        <w:rPr>
          <w:b/>
          <w:lang w:val="en-CA"/>
        </w:rPr>
      </w:pPr>
      <w:r w:rsidRPr="00EC5244">
        <w:rPr>
          <w:b/>
          <w:lang w:val="en-CA"/>
        </w:rPr>
        <w:t>5</w:t>
      </w:r>
      <w:r w:rsidR="00FA2F3A" w:rsidRPr="00EC5244">
        <w:rPr>
          <w:b/>
          <w:lang w:val="en-CA"/>
        </w:rPr>
        <w:t>.1. Small molecule hydrotropes</w:t>
      </w:r>
    </w:p>
    <w:p w14:paraId="6958D399" w14:textId="77777777" w:rsidR="00253ACE" w:rsidRPr="00EC5244" w:rsidRDefault="00253ACE" w:rsidP="00283FBB">
      <w:pPr>
        <w:pStyle w:val="TAMainText"/>
        <w:ind w:firstLine="0"/>
        <w:rPr>
          <w:lang w:val="en-CA"/>
        </w:rPr>
      </w:pPr>
    </w:p>
    <w:p w14:paraId="05F23C3C" w14:textId="2CF8893B" w:rsidR="006C558F" w:rsidRPr="00EC5244" w:rsidRDefault="00B151FD" w:rsidP="00283FBB">
      <w:pPr>
        <w:pStyle w:val="TAMainText"/>
        <w:ind w:firstLine="0"/>
        <w:rPr>
          <w:lang w:val="en-CA"/>
        </w:rPr>
      </w:pPr>
      <w:r w:rsidRPr="00EC5244">
        <w:rPr>
          <w:lang w:val="en-CA"/>
        </w:rPr>
        <w:t>F</w:t>
      </w:r>
      <w:r w:rsidR="00713B03" w:rsidRPr="00EC5244">
        <w:rPr>
          <w:lang w:val="en-CA"/>
        </w:rPr>
        <w:t xml:space="preserve">or the sake of simplicity, let </w:t>
      </w:r>
      <w:r w:rsidRPr="00EC5244">
        <w:rPr>
          <w:lang w:val="en-CA"/>
        </w:rPr>
        <w:t>us focus on 3-component systems consisting of solute, water and hydrotrope, in which the solute</w:t>
      </w:r>
      <w:r w:rsidR="0037267E" w:rsidRPr="00EC5244">
        <w:rPr>
          <w:lang w:val="en-CA"/>
        </w:rPr>
        <w:t>,</w:t>
      </w:r>
      <w:r w:rsidRPr="00EC5244">
        <w:rPr>
          <w:lang w:val="en-CA"/>
        </w:rPr>
        <w:t xml:space="preserve"> </w:t>
      </w:r>
      <w:r w:rsidR="0037267E" w:rsidRPr="00EC5244">
        <w:rPr>
          <w:lang w:val="en-CA"/>
        </w:rPr>
        <w:t xml:space="preserve">being </w:t>
      </w:r>
      <w:r w:rsidRPr="00EC5244">
        <w:rPr>
          <w:lang w:val="en-CA"/>
        </w:rPr>
        <w:t>no longer dilute</w:t>
      </w:r>
      <w:r w:rsidR="0037267E" w:rsidRPr="00EC5244">
        <w:rPr>
          <w:lang w:val="en-CA"/>
        </w:rPr>
        <w:t xml:space="preserve">, </w:t>
      </w:r>
      <w:r w:rsidR="00B21683" w:rsidRPr="00EC5244">
        <w:rPr>
          <w:lang w:val="en-CA"/>
        </w:rPr>
        <w:t xml:space="preserve">now </w:t>
      </w:r>
      <w:r w:rsidR="0037267E" w:rsidRPr="00EC5244">
        <w:rPr>
          <w:lang w:val="en-CA"/>
        </w:rPr>
        <w:t>counts as a component</w:t>
      </w:r>
      <w:r w:rsidRPr="00EC5244">
        <w:rPr>
          <w:lang w:val="en-CA"/>
        </w:rPr>
        <w:t xml:space="preserve">. (Generalization to </w:t>
      </w:r>
      <m:oMath>
        <m:r>
          <w:rPr>
            <w:rFonts w:ascii="Cambria Math" w:hAnsi="Cambria Math"/>
            <w:lang w:val="en-CA"/>
          </w:rPr>
          <m:t>n</m:t>
        </m:r>
      </m:oMath>
      <w:r w:rsidRPr="00EC5244">
        <w:rPr>
          <w:lang w:val="en-CA"/>
        </w:rPr>
        <w:t xml:space="preserve">-component systems including non-dilute solutes is straightforward). </w:t>
      </w:r>
      <w:r w:rsidR="00FA2F3A" w:rsidRPr="00EC5244">
        <w:rPr>
          <w:lang w:val="en-CA"/>
        </w:rPr>
        <w:t>According to the Gibbs</w:t>
      </w:r>
      <w:r w:rsidR="00713B03" w:rsidRPr="00EC5244">
        <w:rPr>
          <w:lang w:val="en-CA"/>
        </w:rPr>
        <w:t xml:space="preserve"> phase rule, if</w:t>
      </w:r>
      <w:r w:rsidR="00253ACE" w:rsidRPr="00EC5244">
        <w:rPr>
          <w:lang w:val="en-CA"/>
        </w:rPr>
        <w:t xml:space="preserve"> there are three</w:t>
      </w:r>
      <w:r w:rsidR="00FA2F3A" w:rsidRPr="00EC5244">
        <w:rPr>
          <w:lang w:val="en-CA"/>
        </w:rPr>
        <w:t xml:space="preserve"> components (</w:t>
      </w:r>
      <m:oMath>
        <m:r>
          <w:rPr>
            <w:rFonts w:ascii="Cambria Math" w:hAnsi="Cambria Math"/>
            <w:lang w:val="en-CA"/>
          </w:rPr>
          <m:t>C=3</m:t>
        </m:r>
      </m:oMath>
      <w:r w:rsidR="00FA2F3A" w:rsidRPr="00EC5244">
        <w:rPr>
          <w:lang w:val="en-CA"/>
        </w:rPr>
        <w:t xml:space="preserve">) and the solution is in a single phase </w:t>
      </w:r>
      <m:oMath>
        <m:r>
          <w:rPr>
            <w:rFonts w:ascii="Cambria Math" w:hAnsi="Cambria Math"/>
            <w:lang w:val="en-CA"/>
          </w:rPr>
          <m:t>(P=1)</m:t>
        </m:r>
      </m:oMath>
      <w:r w:rsidR="00FA2F3A" w:rsidRPr="00EC5244">
        <w:rPr>
          <w:lang w:val="en-CA"/>
        </w:rPr>
        <w:t xml:space="preserve">, the degrees of freedom are </w:t>
      </w:r>
      <m:oMath>
        <m:r>
          <w:rPr>
            <w:rFonts w:ascii="Cambria Math" w:hAnsi="Cambria Math"/>
            <w:lang w:val="en-CA"/>
          </w:rPr>
          <m:t>F=3-1+2=4</m:t>
        </m:r>
      </m:oMath>
      <w:r w:rsidR="00FA2F3A" w:rsidRPr="00EC5244">
        <w:rPr>
          <w:lang w:val="en-CA"/>
        </w:rPr>
        <w:t>. Thus</w:t>
      </w:r>
      <w:r w:rsidR="006C558F" w:rsidRPr="00EC5244">
        <w:rPr>
          <w:lang w:val="en-CA"/>
        </w:rPr>
        <w:t>,</w:t>
      </w:r>
      <w:r w:rsidR="00FA2F3A" w:rsidRPr="00EC5244">
        <w:rPr>
          <w:lang w:val="en-CA"/>
        </w:rPr>
        <w:t xml:space="preserve"> </w:t>
      </w:r>
      <w:r w:rsidR="00253ACE" w:rsidRPr="00EC5244">
        <w:rPr>
          <w:lang w:val="en-CA"/>
        </w:rPr>
        <w:t xml:space="preserve">in addition to </w:t>
      </w:r>
      <m:oMath>
        <m:r>
          <w:rPr>
            <w:rFonts w:ascii="Cambria Math" w:hAnsi="Cambria Math"/>
            <w:lang w:val="en-CA"/>
          </w:rPr>
          <m:t>T</m:t>
        </m:r>
      </m:oMath>
      <w:r w:rsidR="00253ACE" w:rsidRPr="00EC5244">
        <w:rPr>
          <w:lang w:val="en-CA"/>
        </w:rPr>
        <w:t xml:space="preserve"> and</w:t>
      </w:r>
      <w:r w:rsidR="00FA2F3A" w:rsidRPr="00EC5244">
        <w:rPr>
          <w:lang w:val="en-CA"/>
        </w:rPr>
        <w:t xml:space="preserve"> </w:t>
      </w:r>
      <m:oMath>
        <m:r>
          <w:rPr>
            <w:rFonts w:ascii="Cambria Math" w:hAnsi="Cambria Math"/>
            <w:lang w:val="en-CA"/>
          </w:rPr>
          <m:t>P</m:t>
        </m:r>
      </m:oMath>
      <w:r w:rsidR="00253ACE" w:rsidRPr="00EC5244">
        <w:rPr>
          <w:lang w:val="en-CA"/>
        </w:rPr>
        <w:t xml:space="preserve">, two </w:t>
      </w:r>
      <w:r w:rsidR="00FA2F3A" w:rsidRPr="00EC5244">
        <w:rPr>
          <w:lang w:val="en-CA"/>
        </w:rPr>
        <w:t>composition</w:t>
      </w:r>
      <w:r w:rsidR="00253ACE" w:rsidRPr="00EC5244">
        <w:rPr>
          <w:lang w:val="en-CA"/>
        </w:rPr>
        <w:t xml:space="preserve"> ratios can be changed independently</w:t>
      </w:r>
      <w:r w:rsidR="00FA2F3A" w:rsidRPr="00EC5244">
        <w:rPr>
          <w:lang w:val="en-CA"/>
        </w:rPr>
        <w:t>.</w:t>
      </w:r>
      <w:r w:rsidR="00253ACE" w:rsidRPr="00EC5244">
        <w:rPr>
          <w:lang w:val="en-CA"/>
        </w:rPr>
        <w:t xml:space="preserve"> This means, under constant temperature, </w:t>
      </w:r>
      <w:r w:rsidR="006C558F" w:rsidRPr="00EC5244">
        <w:rPr>
          <w:lang w:val="en-CA"/>
        </w:rPr>
        <w:t xml:space="preserve">that </w:t>
      </w:r>
      <w:r w:rsidR="00253ACE" w:rsidRPr="00EC5244">
        <w:rPr>
          <w:lang w:val="en-CA"/>
        </w:rPr>
        <w:t>there are three variables that can be changed, guaranteeing the independent determination of solute-solute, solute-water and</w:t>
      </w:r>
      <w:r w:rsidR="006C558F" w:rsidRPr="00EC5244">
        <w:rPr>
          <w:lang w:val="en-CA"/>
        </w:rPr>
        <w:t xml:space="preserve"> solute-hydrotrope KB integrals. </w:t>
      </w:r>
    </w:p>
    <w:p w14:paraId="41EBC6DD" w14:textId="77777777" w:rsidR="006C558F" w:rsidRPr="00EC5244" w:rsidRDefault="006C558F" w:rsidP="00283FBB">
      <w:pPr>
        <w:pStyle w:val="TAMainText"/>
        <w:ind w:firstLine="0"/>
        <w:rPr>
          <w:lang w:val="en-CA"/>
        </w:rPr>
      </w:pPr>
    </w:p>
    <w:p w14:paraId="0B0F2411" w14:textId="668BC284" w:rsidR="00FA2F3A" w:rsidRPr="00EC5244" w:rsidRDefault="00253ACE" w:rsidP="008A37CB">
      <w:pPr>
        <w:pStyle w:val="TAMainText"/>
        <w:rPr>
          <w:lang w:val="en-CA"/>
        </w:rPr>
      </w:pPr>
      <w:r w:rsidRPr="00EC5244">
        <w:rPr>
          <w:lang w:val="en-CA"/>
        </w:rPr>
        <w:t xml:space="preserve"> </w:t>
      </w:r>
      <w:r w:rsidR="006C558F" w:rsidRPr="00EC5244">
        <w:rPr>
          <w:lang w:val="en-CA"/>
        </w:rPr>
        <w:t xml:space="preserve">In our previous papers, we have intentionally restricted our discussion to the case of dilute solutes, so as to </w:t>
      </w:r>
      <w:r w:rsidR="00DC2377" w:rsidRPr="00EC5244">
        <w:rPr>
          <w:lang w:val="en-CA"/>
        </w:rPr>
        <w:t>clarify the mechanism of hydrotropy.</w:t>
      </w:r>
      <w:r w:rsidR="00DD6CE3" w:rsidRPr="00EC5244">
        <w:rPr>
          <w:lang w:val="en-CA"/>
        </w:rPr>
        <w:fldChar w:fldCharType="begin" w:fldLock="1"/>
      </w:r>
      <w:r w:rsidR="004D1EB5" w:rsidRPr="00EC5244">
        <w:rPr>
          <w:lang w:val="en-CA"/>
        </w:rPr>
        <w:instrText>ADDIN CSL_CITATION { "citationItems" : [ { "id" : "ITEM-1", "itemData" : { "DOI" : "10.1021/jp309819r", "ISBN" : "1520-6106", "ISSN" : "15205207", "PMID" : "23236952", "abstract" : "Drugs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 "author" : [ { "dropping-particle" : "", "family" : "Booth", "given" : "Jonathan J.", "non-dropping-particle" : "", "parse-names" : false, "suffix" : "" }, { "dropping-particle" : "", "family" : "Abbott", "given" : "Steven", "non-dropping-particle" : "", "parse-names" : false, "suffix" : "" }, { "dropping-particle" : "", "family" : "Shimizu", "given" : "Seishi", "non-dropping-particle" : "", "parse-names" : false, "suffix" : "" } ], "container-title" : "Journal of Physical Chemistry B", "id" : "ITEM-1", "issue" : "51", "issued" : { "date-parts" : [ [ "2012" ] ] }, "page" : "14915-14921", "title" : "Mechanism of hydrophobic drug solubilization by small molecule hydrotropes", "type" : "article-journal", "volume" : "116" }, "uris" : [ "http://www.mendeley.com/documents/?uuid=33c3cbc9-707a-4097-91a4-e91008bc3dd6" ] }, { "id" : "ITEM-2",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"ITEM-2", "issue" : "47", "issued" : { "date-parts" : [ [ "2013" ] ] }, "page" : "20625-20632", "title" : "Hydrotropy: binding models vs. statistical thermodynamics.", "type" : "article-journal", "volume" : "15" }, "uris" : [ "http://www.mendeley.com/documents/?uuid=d239f09f-553e-48eb-882f-c22d5aa8ac8c" ] }, { "id" : "ITEM-3",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"35", "issued" : { "date-parts" : [ [ "2014" ] ] }, "page" : "10515-10524", "title" : "Hydrotropy: Monomer-micelle equilibrium and minimum hydrotrope concentration", "type" : "article-journal", "volume" : "118" }, "uris" : [ "http://www.mendeley.com/documents/?uuid=0cd1508f-d197-4e8d-a474-504cfaeae922" ] }, { "id" : "ITEM-4", "itemData" : { "DOI" : "10.1039/C4CP05414H", "ISBN" : "1463-9084", "ISSN" : "1463-9076", "abstract" : "Nicotinamide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 "author" : [ { "dropping-particle" : "", "family" : "Booth", "given" : "Jonathan J", "non-dropping-particle" : "", "parse-names" : false, "suffix" : "" }, { "dropping-particle" : "", "family" : "Omar", "given" : "Muhiadin", "non-dropping-particle" : "", "parse-names" : false, "suffix" : "" }, { "dropping-particle" : "", "family" : "Abbott", "given" : "Steven", "non-dropping-particle" : "", "parse-names" : false, "suffix" : "" }, { "dropping-particle" : "", "family" : "Shimizu", "given" : "Seishi", "non-dropping-particle" : "", "parse-names" : false, "suffix" : "" } ], "container-title" : "Phys Chem Chem Phys", "id" : "ITEM-4", "issue" : "12", "issued" : { "date-parts" : [ [ "2015" ] ] }, "page" : "8028-8037", "publisher" : "Royal Society of Chemistry", "title" : "Hydrotrope accumulation around the drug: the driving force for solubilization and minimum hydrotrope concentration for nicotinamide and urea", "type" : "article-journal", "volume" : "17" }, "uris" : [ "http://www.mendeley.com/documents/?uuid=5c6e1dca-c577-4d43-8836-d1f313635128" ] }, { "id" : "ITEM-5", "itemData" : { "DOI" : "10.1039/C6CP04823D", "ISSN" : "1463-9076", "author" : [ { "dropping-particle" : "", "family" : "Shimizu", "given" : "Seishi", "non-dropping-particle" : "", "parse-names" : false, "suffix" : "" }, { "dropping-particle" : "", "family" : "Matubayasi", "given" : "Nobuyuki", "non-dropping-particle" : "", "parse-names" : false, "suffix" : "" } ], "container-title" : "Phys. Chem. Chem. Phys.", "id" : "ITEM-5", "issue" : "36", "issued" : { "date-parts" : [ [ "2016" ] ] }, "page" : "25621-25628", "publisher" : "Royal Society of Chemistry", "title" : "The origin of cooperative solubilisation by hydrotropes", "type" : "article-journal", "volume" : "18" }, "uris" : [ "http://www.mendeley.com/documents/?uuid=dcc5121c-094a-4702-bc34-1086a5612e68" ] }, { "id" : "ITEM-6", "itemData" : { "DOI" : "10.1039/C6GC03002E", "ISBN" : "1463-9262 1463-9270", "ISSN" : "1463-9262", "author" : [ { "dropping-particle" : "", "family" : "Abbott", "given" : "Steven", "non-dropping-particle" : "", "parse-names" : false, "suffix" : "" }, { "dropping-particle" : "", "family" : "Booth", "given" : "Jonathan J.", "non-dropping-particle" : "", "parse-names" : false, "suffix" : "" }, { "dropping-particle" : "", "family" : "Shimizu", "given" : "Seishi", "non-dropping-particle" : "", "parse-names" : false, "suffix" : "" } ], "container-title" : "Green Chem.", "id" : "ITEM-6", "issued" : { "date-parts" : [ [ "2017" ] ] }, "page" : "68-75", "publisher" : "Royal Society of Chemistry", "title" : "Practical molecular thermodynamics for greener solution chemistry", "type" : "article-journal", "volume" : "19" }, "uris" : [ "http://www.mendeley.com/documents/?uuid=38793dd8-a3eb-4655-8aa4-d9f4d4b3778b" ] } ], "mendeley" : { "formattedCitation" : "&lt;sup&gt;8\u201313&lt;/sup&gt;", "plainTextFormattedCitation" : "8\u201313", "previouslyFormattedCitation" : "&lt;sup&gt;8\u201313&lt;/sup&gt;" }, "properties" : { "noteIndex" : 0 }, "schema" : "https://github.com/citation-style-language/schema/raw/master/csl-citation.json" }</w:instrText>
      </w:r>
      <w:r w:rsidR="00DD6CE3" w:rsidRPr="00EC5244">
        <w:rPr>
          <w:lang w:val="en-CA"/>
        </w:rPr>
        <w:fldChar w:fldCharType="separate"/>
      </w:r>
      <w:r w:rsidR="004D1EB5" w:rsidRPr="00EC5244">
        <w:rPr>
          <w:noProof/>
          <w:vertAlign w:val="superscript"/>
          <w:lang w:val="en-CA"/>
        </w:rPr>
        <w:t>8–13</w:t>
      </w:r>
      <w:r w:rsidR="00DD6CE3" w:rsidRPr="00EC5244">
        <w:rPr>
          <w:lang w:val="en-CA"/>
        </w:rPr>
        <w:fldChar w:fldCharType="end"/>
      </w:r>
      <w:r w:rsidR="00DC2377" w:rsidRPr="00EC5244">
        <w:rPr>
          <w:lang w:val="en-CA"/>
        </w:rPr>
        <w:t xml:space="preserve"> However, we emphasise that the analysis of hydrotropy for concentrated solutes via the KB integrals can be performed using the inversion of the </w:t>
      </w:r>
      <w:r w:rsidR="00713B03" w:rsidRPr="00EC5244">
        <w:rPr>
          <w:lang w:val="en-CA"/>
        </w:rPr>
        <w:t xml:space="preserve">KB theory, applicable to </w:t>
      </w:r>
      <w:r w:rsidR="00DC2377" w:rsidRPr="00EC5244">
        <w:rPr>
          <w:lang w:val="en-CA"/>
        </w:rPr>
        <w:t xml:space="preserve">in general to </w:t>
      </w:r>
      <w:r w:rsidR="00DC2377" w:rsidRPr="00EC5244">
        <w:rPr>
          <w:i/>
          <w:lang w:val="en-CA"/>
        </w:rPr>
        <w:t>n</w:t>
      </w:r>
      <w:r w:rsidR="00DC2377" w:rsidRPr="00EC5244">
        <w:rPr>
          <w:lang w:val="en-CA"/>
        </w:rPr>
        <w:t>-component systems</w:t>
      </w:r>
      <w:r w:rsidR="00713B03" w:rsidRPr="00EC5244">
        <w:rPr>
          <w:lang w:val="en-CA"/>
        </w:rPr>
        <w:t>.</w:t>
      </w:r>
      <w:r w:rsidR="00DD6CE3" w:rsidRPr="00EC5244">
        <w:rPr>
          <w:lang w:val="en-CA"/>
        </w:rPr>
        <w:fldChar w:fldCharType="begin" w:fldLock="1"/>
      </w:r>
      <w:r w:rsidR="00BB4DD1" w:rsidRPr="00EC5244">
        <w:rPr>
          <w:lang w:val="en-CA"/>
        </w:rPr>
        <w:instrText>ADDIN CSL_CITATION { "citationItems" : [ { "id" : "ITEM-1", "itemData" : { "DOI" : "10.1063/1.434669", "ISSN" : "0021-9606", "abstract" : "A general procedure is outlined whereby experimental data such as partial molar volumes, isothermal compressibilities, and partial vapor pressures may be processed to obtain information on the extent of the affinity between two species in a mixture of two (or more) components. A particular example of the water\u2013ethanol system is processed in this manner to obtain the quantities G\u03b1\u03b2 which are integrals over the pair correlation functions between two species \u03b1 and \u03b2. This information is relevant to several topics of interest in the field of aqueous solutions, such as the solvation of solutes, hydrophobic interactions, and structural changes in the solvent brought by the addition of solutes to water. More generally it may be used to characterize the properties of various mixtures on a molecular level.", "author" : [ { "dropping-particle" : "", "family" : "Ben-Naim", "given" : "A.", "non-dropping-particle" : "", "parse-names" : false, "suffix" : "" } ], "container-title" : "The Journal of Chemical Physics", "id" : "ITEM-1", "issue" : "11", "issued" : { "date-parts" : [ [ "1977", "12" ] ] }, "page" : "4884-4890", "publisher" : "American Institute of PhysicsAIP", "title" : "Inversion of the Kirkwood\u2013Buff theory of solutions: Application to the water\u2013ethanol system", "type" : "article-journal", "volume" : "67" }, "uris" : [ "http://www.mendeley.com/documents/?uuid=81e02811-c8ed-3278-8ff2-693fe9432f12" ] } ], "mendeley" : { "formattedCitation" : "&lt;sup&gt;24&lt;/sup&gt;", "plainTextFormattedCitation" : "24", "previouslyFormattedCitation" : "&lt;sup&gt;24&lt;/sup&gt;" }, "properties" : { "noteIndex" : 0 }, "schema" : "https://github.com/citation-style-language/schema/raw/master/csl-citation.json" }</w:instrText>
      </w:r>
      <w:r w:rsidR="00DD6CE3" w:rsidRPr="00EC5244">
        <w:rPr>
          <w:lang w:val="en-CA"/>
        </w:rPr>
        <w:fldChar w:fldCharType="separate"/>
      </w:r>
      <w:r w:rsidR="00A07779" w:rsidRPr="00EC5244">
        <w:rPr>
          <w:noProof/>
          <w:vertAlign w:val="superscript"/>
          <w:lang w:val="en-CA"/>
        </w:rPr>
        <w:t>24</w:t>
      </w:r>
      <w:r w:rsidR="00DD6CE3" w:rsidRPr="00EC5244">
        <w:rPr>
          <w:lang w:val="en-CA"/>
        </w:rPr>
        <w:fldChar w:fldCharType="end"/>
      </w:r>
      <w:r w:rsidR="00713B03" w:rsidRPr="00EC5244">
        <w:rPr>
          <w:lang w:val="en-CA"/>
        </w:rPr>
        <w:t xml:space="preserve"> </w:t>
      </w:r>
      <w:r w:rsidR="00675CF7" w:rsidRPr="00EC5244">
        <w:rPr>
          <w:lang w:val="en-CA"/>
        </w:rPr>
        <w:t xml:space="preserve">The matrix </w:t>
      </w:r>
      <m:oMath>
        <m:r>
          <m:rPr>
            <m:sty m:val="bi"/>
          </m:rPr>
          <w:rPr>
            <w:rFonts w:ascii="Cambria Math" w:hAnsi="Cambria Math"/>
            <w:lang w:val="en-CA"/>
          </w:rPr>
          <m:t>B</m:t>
        </m:r>
      </m:oMath>
      <w:r w:rsidR="00675CF7" w:rsidRPr="00EC5244">
        <w:rPr>
          <w:lang w:val="en-CA"/>
        </w:rPr>
        <w:t xml:space="preserve">, whose elements are defined in terms of the KB integrals as </w:t>
      </w:r>
    </w:p>
    <w:p w14:paraId="7182A1FF" w14:textId="693B1D83" w:rsidR="00675CF7" w:rsidRPr="00EC5244" w:rsidRDefault="000C7FF6" w:rsidP="00283FBB">
      <w:pPr>
        <w:pStyle w:val="TAMainText"/>
        <w:ind w:firstLine="0"/>
        <w:rPr>
          <w:lang w:val="en-CA"/>
        </w:rPr>
      </w:pPr>
      <m:oMath>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ij</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i</m:t>
            </m:r>
          </m:sub>
        </m:sSub>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j</m:t>
            </m:r>
          </m:sub>
        </m:sSub>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ij</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i</m:t>
            </m:r>
          </m:sub>
        </m:sSub>
        <m:sSub>
          <m:sSubPr>
            <m:ctrlPr>
              <w:rPr>
                <w:rFonts w:ascii="Cambria Math" w:hAnsi="Cambria Math"/>
                <w:i/>
                <w:lang w:val="en-CA"/>
              </w:rPr>
            </m:ctrlPr>
          </m:sSubPr>
          <m:e>
            <m:r>
              <w:rPr>
                <w:rFonts w:ascii="Cambria Math" w:hAnsi="Cambria Math"/>
                <w:lang w:val="en-CA"/>
              </w:rPr>
              <m:t>δ</m:t>
            </m:r>
          </m:e>
          <m:sub>
            <m:r>
              <w:rPr>
                <w:rFonts w:ascii="Cambria Math" w:hAnsi="Cambria Math"/>
                <w:lang w:val="en-CA"/>
              </w:rPr>
              <m:t>ij</m:t>
            </m:r>
          </m:sub>
        </m:sSub>
      </m:oMath>
      <w:r w:rsidR="00675CF7" w:rsidRPr="00EC5244">
        <w:rPr>
          <w:lang w:val="en-CA"/>
        </w:rPr>
        <w:tab/>
      </w:r>
      <w:r w:rsidR="00675CF7" w:rsidRPr="00EC5244">
        <w:rPr>
          <w:lang w:val="en-CA"/>
        </w:rPr>
        <w:tab/>
      </w:r>
      <w:r w:rsidR="00675CF7" w:rsidRPr="00EC5244">
        <w:rPr>
          <w:lang w:val="en-CA"/>
        </w:rPr>
        <w:tab/>
      </w:r>
      <w:r w:rsidR="00675CF7" w:rsidRPr="00EC5244">
        <w:rPr>
          <w:lang w:val="en-CA"/>
        </w:rPr>
        <w:tab/>
      </w:r>
      <w:r w:rsidR="00675CF7" w:rsidRPr="00EC5244">
        <w:rPr>
          <w:lang w:val="en-CA"/>
        </w:rPr>
        <w:tab/>
      </w:r>
      <w:r w:rsidR="00675CF7" w:rsidRPr="00EC5244">
        <w:rPr>
          <w:lang w:val="en-CA"/>
        </w:rPr>
        <w:tab/>
      </w:r>
      <w:r w:rsidR="00675CF7" w:rsidRPr="00EC5244">
        <w:rPr>
          <w:lang w:val="en-CA"/>
        </w:rPr>
        <w:tab/>
      </w:r>
      <w:r w:rsidR="00675CF7" w:rsidRPr="00EC5244">
        <w:rPr>
          <w:lang w:val="en-CA"/>
        </w:rPr>
        <w:tab/>
      </w:r>
      <w:r w:rsidR="00675CF7" w:rsidRPr="00EC5244">
        <w:rPr>
          <w:lang w:val="en-CA"/>
        </w:rPr>
        <w:tab/>
      </w:r>
      <w:r w:rsidR="00675CF7" w:rsidRPr="00EC5244">
        <w:rPr>
          <w:lang w:val="en-CA"/>
        </w:rPr>
        <w:tab/>
        <w:t xml:space="preserve">(11) </w:t>
      </w:r>
    </w:p>
    <w:p w14:paraId="1BE81DD5" w14:textId="0F334FC3" w:rsidR="00675CF7" w:rsidRPr="00EC5244" w:rsidRDefault="00675CF7" w:rsidP="00283FBB">
      <w:pPr>
        <w:pStyle w:val="TAMainText"/>
        <w:ind w:firstLine="0"/>
        <w:rPr>
          <w:lang w:val="en-CA"/>
        </w:rPr>
      </w:pPr>
      <w:r w:rsidRPr="00EC5244">
        <w:rPr>
          <w:lang w:val="en-CA"/>
        </w:rPr>
        <w:t xml:space="preserve">can be determined from the following matrix inversion </w:t>
      </w:r>
    </w:p>
    <w:p w14:paraId="3E87A011" w14:textId="354284C3" w:rsidR="00675CF7" w:rsidRPr="00EC5244" w:rsidRDefault="00675CF7" w:rsidP="00283FBB">
      <w:pPr>
        <w:pStyle w:val="TAMainText"/>
        <w:ind w:firstLine="0"/>
        <w:rPr>
          <w:lang w:val="en-CA"/>
        </w:rPr>
      </w:pPr>
      <m:oMath>
        <m:r>
          <m:rPr>
            <m:sty m:val="bi"/>
          </m:rPr>
          <w:rPr>
            <w:rFonts w:ascii="Cambria Math" w:hAnsi="Cambria Math"/>
            <w:lang w:val="en-CA"/>
          </w:rPr>
          <m:t>B</m:t>
        </m:r>
        <m:r>
          <w:rPr>
            <w:rFonts w:ascii="Cambria Math" w:hAnsi="Cambria Math"/>
            <w:lang w:val="en-CA"/>
          </w:rPr>
          <m:t>=</m:t>
        </m:r>
        <m:sSup>
          <m:sSupPr>
            <m:ctrlPr>
              <w:rPr>
                <w:rFonts w:ascii="Cambria Math" w:hAnsi="Cambria Math"/>
                <w:b/>
                <w:i/>
                <w:lang w:val="en-CA"/>
              </w:rPr>
            </m:ctrlPr>
          </m:sSupPr>
          <m:e>
            <m:r>
              <m:rPr>
                <m:sty m:val="bi"/>
              </m:rPr>
              <w:rPr>
                <w:rFonts w:ascii="Cambria Math" w:hAnsi="Cambria Math"/>
                <w:lang w:val="en-CA"/>
              </w:rPr>
              <m:t>A</m:t>
            </m:r>
          </m:e>
          <m:sup>
            <m:r>
              <m:rPr>
                <m:sty m:val="bi"/>
              </m:rPr>
              <w:rPr>
                <w:rFonts w:ascii="Cambria Math" w:hAnsi="Cambria Math"/>
                <w:lang w:val="en-CA"/>
              </w:rPr>
              <m:t>-1</m:t>
            </m:r>
          </m:sup>
        </m:sSup>
      </m:oMath>
      <w:r w:rsidRPr="00EC5244">
        <w:rPr>
          <w:b/>
          <w:lang w:val="en-CA"/>
        </w:rPr>
        <w:tab/>
      </w:r>
      <w:r w:rsidRPr="00EC5244">
        <w:rPr>
          <w:b/>
          <w:lang w:val="en-CA"/>
        </w:rPr>
        <w:tab/>
      </w:r>
      <w:r w:rsidRPr="00EC5244">
        <w:rPr>
          <w:b/>
          <w:lang w:val="en-CA"/>
        </w:rPr>
        <w:tab/>
      </w:r>
      <w:r w:rsidRPr="00EC5244">
        <w:rPr>
          <w:b/>
          <w:lang w:val="en-CA"/>
        </w:rPr>
        <w:tab/>
      </w:r>
      <w:r w:rsidRPr="00EC5244">
        <w:rPr>
          <w:b/>
          <w:lang w:val="en-CA"/>
        </w:rPr>
        <w:tab/>
      </w:r>
      <w:r w:rsidRPr="00EC5244">
        <w:rPr>
          <w:b/>
          <w:lang w:val="en-CA"/>
        </w:rPr>
        <w:tab/>
      </w:r>
      <w:r w:rsidRPr="00EC5244">
        <w:rPr>
          <w:b/>
          <w:lang w:val="en-CA"/>
        </w:rPr>
        <w:tab/>
      </w:r>
      <w:r w:rsidRPr="00EC5244">
        <w:rPr>
          <w:b/>
          <w:lang w:val="en-CA"/>
        </w:rPr>
        <w:tab/>
      </w:r>
      <w:r w:rsidRPr="00EC5244">
        <w:rPr>
          <w:b/>
          <w:lang w:val="en-CA"/>
        </w:rPr>
        <w:tab/>
      </w:r>
      <w:r w:rsidRPr="00EC5244">
        <w:rPr>
          <w:b/>
          <w:lang w:val="en-CA"/>
        </w:rPr>
        <w:tab/>
      </w:r>
      <w:r w:rsidRPr="00EC5244">
        <w:rPr>
          <w:b/>
          <w:lang w:val="en-CA"/>
        </w:rPr>
        <w:tab/>
      </w:r>
      <w:r w:rsidRPr="00EC5244">
        <w:rPr>
          <w:lang w:val="en-CA"/>
        </w:rPr>
        <w:t>(12)</w:t>
      </w:r>
    </w:p>
    <w:p w14:paraId="53EBFE96" w14:textId="00A5AEF3" w:rsidR="00675CF7" w:rsidRPr="00EC5244" w:rsidRDefault="00675CF7" w:rsidP="00283FBB">
      <w:pPr>
        <w:pStyle w:val="TAMainText"/>
        <w:ind w:firstLine="0"/>
        <w:rPr>
          <w:lang w:val="en-CA"/>
        </w:rPr>
      </w:pPr>
      <w:r w:rsidRPr="00EC5244">
        <w:rPr>
          <w:lang w:val="en-CA"/>
        </w:rPr>
        <w:t xml:space="preserve">in which the elements of </w:t>
      </w:r>
      <m:oMath>
        <m:r>
          <m:rPr>
            <m:sty m:val="bi"/>
          </m:rPr>
          <w:rPr>
            <w:rFonts w:ascii="Cambria Math" w:hAnsi="Cambria Math"/>
            <w:lang w:val="en-CA"/>
          </w:rPr>
          <m:t>A</m:t>
        </m:r>
      </m:oMath>
      <w:r w:rsidRPr="00EC5244">
        <w:rPr>
          <w:lang w:val="en-CA"/>
        </w:rPr>
        <w:t xml:space="preserve"> defined as </w:t>
      </w:r>
    </w:p>
    <w:p w14:paraId="116194DA" w14:textId="77777777" w:rsidR="00675CF7" w:rsidRPr="00EC5244" w:rsidRDefault="000C7FF6" w:rsidP="00675CF7">
      <w:pPr>
        <w:pStyle w:val="TAMainText"/>
        <w:ind w:firstLine="0"/>
        <w:rPr>
          <w:lang w:val="en-CA"/>
        </w:rPr>
      </w:pPr>
      <m:oMath>
        <m:sSub>
          <m:sSubPr>
            <m:ctrlPr>
              <w:rPr>
                <w:rFonts w:ascii="Cambria Math" w:hAnsi="Cambria Math"/>
                <w:i/>
                <w:lang w:val="en-CA"/>
              </w:rPr>
            </m:ctrlPr>
          </m:sSubPr>
          <m:e>
            <m:r>
              <w:rPr>
                <w:rFonts w:ascii="Cambria Math" w:hAnsi="Cambria Math"/>
                <w:lang w:val="en-CA"/>
              </w:rPr>
              <m:t>A</m:t>
            </m:r>
          </m:e>
          <m:sub>
            <m:r>
              <w:rPr>
                <w:rFonts w:ascii="Cambria Math" w:hAnsi="Cambria Math"/>
                <w:lang w:val="en-CA"/>
              </w:rPr>
              <m:t>ij</m:t>
            </m:r>
          </m:sub>
        </m:sSub>
        <m:r>
          <w:rPr>
            <w:rFonts w:ascii="Cambria Math" w:hAnsi="Cambria Math"/>
            <w:lang w:val="en-CA"/>
          </w:rPr>
          <m:t>=</m:t>
        </m:r>
        <m:f>
          <m:fPr>
            <m:ctrlPr>
              <w:rPr>
                <w:rFonts w:ascii="Cambria Math" w:hAnsi="Cambria Math"/>
                <w:i/>
                <w:lang w:val="en-CA"/>
              </w:rPr>
            </m:ctrlPr>
          </m:fPr>
          <m:num>
            <m:r>
              <w:rPr>
                <w:rFonts w:ascii="Cambria Math" w:hAnsi="Cambria Math"/>
                <w:lang w:val="en-CA"/>
              </w:rPr>
              <m:t>1</m:t>
            </m:r>
          </m:num>
          <m:den>
            <m:r>
              <w:rPr>
                <w:rFonts w:ascii="Cambria Math" w:hAnsi="Cambria Math"/>
                <w:lang w:val="en-CA"/>
              </w:rPr>
              <m:t>RT</m:t>
            </m:r>
          </m:den>
        </m:f>
        <m:sSub>
          <m:sSubPr>
            <m:ctrlPr>
              <w:rPr>
                <w:rFonts w:ascii="Cambria Math" w:hAnsi="Cambria Math"/>
                <w:i/>
                <w:lang w:val="en-CA"/>
              </w:rPr>
            </m:ctrlPr>
          </m:sSubPr>
          <m:e>
            <m:d>
              <m:dPr>
                <m:ctrlPr>
                  <w:rPr>
                    <w:rFonts w:ascii="Cambria Math" w:hAnsi="Cambria Math"/>
                    <w:i/>
                    <w:lang w:val="en-CA"/>
                  </w:rPr>
                </m:ctrlPr>
              </m:dPr>
              <m:e>
                <m:f>
                  <m:fPr>
                    <m:ctrlPr>
                      <w:rPr>
                        <w:rFonts w:ascii="Cambria Math" w:hAnsi="Cambria Math"/>
                        <w:i/>
                        <w:lang w:val="en-CA"/>
                      </w:rPr>
                    </m:ctrlPr>
                  </m:fPr>
                  <m:num>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i</m:t>
                        </m:r>
                      </m:sub>
                    </m:sSub>
                  </m:num>
                  <m:den>
                    <m:r>
                      <w:rPr>
                        <w:rFonts w:ascii="Cambria Math" w:hAnsi="Cambria Math"/>
                        <w:lang w:val="en-CA"/>
                      </w:rPr>
                      <m:t>∂</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j</m:t>
                        </m:r>
                      </m:sub>
                    </m:sSub>
                  </m:den>
                </m:f>
              </m:e>
            </m:d>
          </m:e>
          <m:sub>
            <m:r>
              <w:rPr>
                <w:rFonts w:ascii="Cambria Math" w:hAnsi="Cambria Math"/>
                <w:lang w:val="en-CA"/>
              </w:rPr>
              <m:t>T,</m:t>
            </m:r>
            <m:sSub>
              <m:sSubPr>
                <m:ctrlPr>
                  <w:rPr>
                    <w:rFonts w:ascii="Cambria Math" w:hAnsi="Cambria Math"/>
                    <w:i/>
                    <w:lang w:val="en-CA"/>
                  </w:rPr>
                </m:ctrlPr>
              </m:sSubPr>
              <m:e>
                <m:r>
                  <w:rPr>
                    <w:rFonts w:ascii="Cambria Math" w:hAnsi="Cambria Math"/>
                    <w:lang w:val="en-CA"/>
                  </w:rPr>
                  <m:t>c</m:t>
                </m:r>
              </m:e>
              <m:sub>
                <m:sSup>
                  <m:sSupPr>
                    <m:ctrlPr>
                      <w:rPr>
                        <w:rFonts w:ascii="Cambria Math" w:hAnsi="Cambria Math"/>
                        <w:i/>
                        <w:lang w:val="en-CA"/>
                      </w:rPr>
                    </m:ctrlPr>
                  </m:sSupPr>
                  <m:e>
                    <m:r>
                      <w:rPr>
                        <w:rFonts w:ascii="Cambria Math" w:hAnsi="Cambria Math"/>
                        <w:lang w:val="en-CA"/>
                      </w:rPr>
                      <m:t>j</m:t>
                    </m:r>
                  </m:e>
                  <m:sup>
                    <m:r>
                      <w:rPr>
                        <w:rFonts w:ascii="Cambria Math" w:hAnsi="Cambria Math"/>
                        <w:lang w:val="en-CA"/>
                      </w:rPr>
                      <m:t>'</m:t>
                    </m:r>
                  </m:sup>
                </m:sSup>
                <m:r>
                  <w:rPr>
                    <w:rFonts w:ascii="Cambria Math" w:hAnsi="Cambria Math"/>
                    <w:lang w:val="en-CA"/>
                  </w:rPr>
                  <m:t>≠j</m:t>
                </m:r>
              </m:sub>
            </m:sSub>
          </m:sub>
        </m:sSub>
      </m:oMath>
      <w:r w:rsidR="00675CF7" w:rsidRPr="00EC5244">
        <w:rPr>
          <w:lang w:val="en-CA"/>
        </w:rPr>
        <w:tab/>
      </w:r>
      <w:r w:rsidR="00675CF7" w:rsidRPr="00EC5244">
        <w:rPr>
          <w:lang w:val="en-CA"/>
        </w:rPr>
        <w:tab/>
      </w:r>
      <w:r w:rsidR="00675CF7" w:rsidRPr="00EC5244">
        <w:rPr>
          <w:lang w:val="en-CA"/>
        </w:rPr>
        <w:tab/>
      </w:r>
      <w:r w:rsidR="00675CF7" w:rsidRPr="00EC5244">
        <w:rPr>
          <w:lang w:val="en-CA"/>
        </w:rPr>
        <w:tab/>
      </w:r>
      <w:r w:rsidR="00675CF7" w:rsidRPr="00EC5244">
        <w:rPr>
          <w:lang w:val="en-CA"/>
        </w:rPr>
        <w:tab/>
      </w:r>
      <w:r w:rsidR="00675CF7" w:rsidRPr="00EC5244">
        <w:rPr>
          <w:lang w:val="en-CA"/>
        </w:rPr>
        <w:tab/>
      </w:r>
      <w:r w:rsidR="00675CF7" w:rsidRPr="00EC5244">
        <w:rPr>
          <w:lang w:val="en-CA"/>
        </w:rPr>
        <w:tab/>
      </w:r>
      <w:r w:rsidR="00675CF7" w:rsidRPr="00EC5244">
        <w:rPr>
          <w:lang w:val="en-CA"/>
        </w:rPr>
        <w:tab/>
      </w:r>
      <w:r w:rsidR="00675CF7" w:rsidRPr="00EC5244">
        <w:rPr>
          <w:lang w:val="en-CA"/>
        </w:rPr>
        <w:tab/>
      </w:r>
      <w:r w:rsidR="00675CF7" w:rsidRPr="00EC5244">
        <w:rPr>
          <w:lang w:val="en-CA"/>
        </w:rPr>
        <w:tab/>
        <w:t>(13)</w:t>
      </w:r>
    </w:p>
    <w:p w14:paraId="5A692329" w14:textId="029D6D8B" w:rsidR="00CE78AA" w:rsidRPr="00EC5244" w:rsidRDefault="00675CF7" w:rsidP="00CE78AA">
      <w:pPr>
        <w:pStyle w:val="TAMainText"/>
        <w:ind w:firstLine="0"/>
        <w:rPr>
          <w:lang w:val="en-CA"/>
        </w:rPr>
      </w:pPr>
      <w:r w:rsidRPr="00EC5244">
        <w:rPr>
          <w:lang w:val="en-CA"/>
        </w:rPr>
        <w:t>can be accessible from thermodynamic measurements.</w:t>
      </w:r>
      <w:r w:rsidR="00DD6CE3" w:rsidRPr="00EC5244">
        <w:rPr>
          <w:lang w:val="en-CA"/>
        </w:rPr>
        <w:fldChar w:fldCharType="begin" w:fldLock="1"/>
      </w:r>
      <w:r w:rsidR="00BB4DD1" w:rsidRPr="00EC5244">
        <w:rPr>
          <w:lang w:val="en-CA"/>
        </w:rPr>
        <w:instrText>ADDIN CSL_CITATION { "citationItems" : [ { "id" : "ITEM-1", "itemData" : { "DOI" : "10.1063/1.434669", "ISSN" : "0021-9606", "abstract" : "A general procedure is outlined whereby experimental data such as partial molar volumes, isothermal compressibilities, and partial vapor pressures may be processed to obtain information on the extent of the affinity between two species in a mixture of two (or more) components. A particular example of the water\u2013ethanol system is processed in this manner to obtain the quantities G\u03b1\u03b2 which are integrals over the pair correlation functions between two species \u03b1 and \u03b2. This information is relevant to several topics of interest in the field of aqueous solutions, such as the solvation of solutes, hydrophobic interactions, and structural changes in the solvent brought by the addition of solutes to water. More generally it may be used to characterize the properties of various mixtures on a molecular level.", "author" : [ { "dropping-particle" : "", "family" : "Ben-Naim", "given" : "A.", "non-dropping-particle" : "", "parse-names" : false, "suffix" : "" } ], "container-title" : "The Journal of Chemical Physics", "id" : "ITEM-1", "issue" : "11", "issued" : { "date-parts" : [ [ "1977", "12" ] ] }, "page" : "4884-4890", "publisher" : "American Institute of PhysicsAIP", "title" : "Inversion of the Kirkwood\u2013Buff theory of solutions: Application to the water\u2013ethanol system", "type" : "article-journal", "volume" : "67" }, "uris" : [ "http://www.mendeley.com/documents/?uuid=81e02811-c8ed-3278-8ff2-693fe9432f12" ] } ], "mendeley" : { "formattedCitation" : "&lt;sup&gt;24&lt;/sup&gt;", "plainTextFormattedCitation" : "24", "previouslyFormattedCitation" : "&lt;sup&gt;24&lt;/sup&gt;" }, "properties" : { "noteIndex" : 0 }, "schema" : "https://github.com/citation-style-language/schema/raw/master/csl-citation.json" }</w:instrText>
      </w:r>
      <w:r w:rsidR="00DD6CE3" w:rsidRPr="00EC5244">
        <w:rPr>
          <w:lang w:val="en-CA"/>
        </w:rPr>
        <w:fldChar w:fldCharType="separate"/>
      </w:r>
      <w:r w:rsidR="00A07779" w:rsidRPr="00EC5244">
        <w:rPr>
          <w:noProof/>
          <w:vertAlign w:val="superscript"/>
          <w:lang w:val="en-CA"/>
        </w:rPr>
        <w:t>24</w:t>
      </w:r>
      <w:r w:rsidR="00DD6CE3" w:rsidRPr="00EC5244">
        <w:rPr>
          <w:lang w:val="en-CA"/>
        </w:rPr>
        <w:fldChar w:fldCharType="end"/>
      </w:r>
      <w:r w:rsidRPr="00EC5244">
        <w:rPr>
          <w:lang w:val="en-CA"/>
        </w:rPr>
        <w:t xml:space="preserve"> </w:t>
      </w:r>
    </w:p>
    <w:p w14:paraId="4C0AE073" w14:textId="77777777" w:rsidR="00CE78AA" w:rsidRPr="00EC5244" w:rsidRDefault="00CE78AA" w:rsidP="00CE78AA">
      <w:pPr>
        <w:pStyle w:val="TAMainText"/>
        <w:ind w:firstLine="0"/>
        <w:rPr>
          <w:lang w:val="en-CA"/>
        </w:rPr>
      </w:pPr>
    </w:p>
    <w:p w14:paraId="4F5B9D6B" w14:textId="43DCB34B" w:rsidR="00CE78AA" w:rsidRPr="00EC5244" w:rsidRDefault="00CE78AA" w:rsidP="00CE78AA">
      <w:pPr>
        <w:pStyle w:val="TAMainText"/>
        <w:ind w:firstLine="0"/>
        <w:rPr>
          <w:lang w:val="en-CA"/>
        </w:rPr>
      </w:pPr>
      <w:r w:rsidRPr="00EC5244">
        <w:rPr>
          <w:lang w:val="en-CA"/>
        </w:rPr>
        <w:t>This matrix inversion approach (Eqs. (11)-(13)) can be used to generalize our earlier hydrotropy theory, derived for dilute solutes, into solutes with arbitrary concentrations. To do so, let us use the following well-known results:</w:t>
      </w:r>
      <w:r w:rsidRPr="00EC5244">
        <w:rPr>
          <w:lang w:val="en-CA"/>
        </w:rPr>
        <w:fldChar w:fldCharType="begin" w:fldLock="1"/>
      </w:r>
      <w:r w:rsidR="00BB4DD1" w:rsidRPr="00EC5244">
        <w:rPr>
          <w:lang w:val="en-CA"/>
        </w:rPr>
        <w:instrText>ADDIN CSL_CITATION { "citationItems" : [ { "id" : "ITEM-1", "itemData" : { "author" : [ { "dropping-particle" : "", "family" : "Ben-Naim", "given" : "Arieh", "non-dropping-particle" : "", "parse-names" : false, "suffix" : "" } ], "id" : "ITEM-1", "issued" : { "date-parts" : [ [ "2006" ] ] }, "publisher" : "Oxford University Press", "publisher-place" : "Oxford", "title" : "Molecular Theory of Solutions", "type" : "book" }, "uris" : [ "http://www.mendeley.com/documents/?uuid=c69c8ec7-b100-38af-a990-6baa3f6c9810" ] }, { "id" : "ITEM-2", "itemData" : { "abstract" : "A general approach is presented to express the Kirkwood-Buff integrals, the central component of the Kirkwood-Buff theory of solutions, in terms of thermodynamic properties of solution mixtures. A general expression valid for any number of components is provided in terms of matrix cofactors, while explicit expressions are given for three and four component mixtures. The corresponding symmetric ideal solution values are also presented for four and higher component mixtures.", "author" : [ { "dropping-particle" : "", "family" : "Smith", "given" : "Paul E.", "non-dropping-particle" : "", "parse-names" : false, "suffix" : "" } ], "container-title" : "Journal of Chemical Physics", "id" : "ITEM-2", "issue" : "12", "issued" : { "date-parts" : [ [ "2008" ] ] }, "page" : "124509", "title" : "On the Kirkwood-Buff inversion procedure", "type" : "article-journal", "volume" : "129" }, "uris" : [ "http://www.mendeley.com/documents/?uuid=7c36a8c1-0c6c-4bc9-a2ee-64b56b48bd12" ] }, { "id" : "ITEM-3", "itemData" : { "author" : [ { "dropping-particle" : "", "family" : "Gazzillo", "given" : "Domeniko", "non-dropping-particle" : "", "parse-names" : false, "suffix" : "" } ], "container-title" : "Molecular Physics", "id" : "ITEM-3", "issue" : "6", "issued" : { "date-parts" : [ [ "1994" ] ] }, "page" : "1171-1190", "title" : "Stability of fluids with more than two components I. General thermodynamic theory and concentration-concentration structure factor", "type" : "article-journal", "volume" : "83" }, "uris" : [ "http://www.mendeley.com/documents/?uuid=baaba04b-189e-49ed-90c2-8163457aa0b3" ] } ], "mendeley" : { "formattedCitation" : "&lt;sup&gt;50\u201352&lt;/sup&gt;", "plainTextFormattedCitation" : "50\u201352", "previouslyFormattedCitation" : "&lt;sup&gt;50\u201352&lt;/sup&gt;" }, "properties" : { "noteIndex" : 0 }, "schema" : "https://github.com/citation-style-language/schema/raw/master/csl-citation.json" }</w:instrText>
      </w:r>
      <w:r w:rsidRPr="00EC5244">
        <w:rPr>
          <w:lang w:val="en-CA"/>
        </w:rPr>
        <w:fldChar w:fldCharType="separate"/>
      </w:r>
      <w:r w:rsidR="001335E9" w:rsidRPr="00EC5244">
        <w:rPr>
          <w:noProof/>
          <w:vertAlign w:val="superscript"/>
          <w:lang w:val="en-CA"/>
        </w:rPr>
        <w:t>50–52</w:t>
      </w:r>
      <w:r w:rsidRPr="00EC5244">
        <w:rPr>
          <w:lang w:val="en-CA"/>
        </w:rPr>
        <w:fldChar w:fldCharType="end"/>
      </w:r>
      <w:r w:rsidRPr="00EC5244">
        <w:rPr>
          <w:lang w:val="en-CA"/>
        </w:rPr>
        <w:t xml:space="preserve">   </w:t>
      </w:r>
    </w:p>
    <w:p w14:paraId="08B2FDB2" w14:textId="065C1482" w:rsidR="00CE78AA" w:rsidRPr="00EC5244" w:rsidRDefault="000C7FF6" w:rsidP="00CE78AA">
      <w:pPr>
        <w:pStyle w:val="TAMainText"/>
        <w:rPr>
          <w:lang w:val="en-CA"/>
        </w:rPr>
      </w:pPr>
      <m:oMath>
        <m:f>
          <m:fPr>
            <m:ctrlPr>
              <w:rPr>
                <w:rFonts w:ascii="Cambria Math" w:hAnsi="Cambria Math"/>
                <w:i/>
                <w:lang w:val="en-CA"/>
              </w:rPr>
            </m:ctrlPr>
          </m:fPr>
          <m:num>
            <m:r>
              <w:rPr>
                <w:rFonts w:ascii="Cambria Math" w:hAnsi="Cambria Math"/>
                <w:lang w:val="en-CA"/>
              </w:rPr>
              <m:t>1</m:t>
            </m:r>
          </m:num>
          <m:den>
            <m:r>
              <w:rPr>
                <w:rFonts w:ascii="Cambria Math" w:hAnsi="Cambria Math"/>
                <w:lang w:val="en-CA"/>
              </w:rPr>
              <m:t>RT</m:t>
            </m:r>
          </m:den>
        </m:f>
        <m:sSub>
          <m:sSubPr>
            <m:ctrlPr>
              <w:rPr>
                <w:rFonts w:ascii="Cambria Math" w:hAnsi="Cambria Math"/>
                <w:i/>
                <w:lang w:val="en-CA"/>
              </w:rPr>
            </m:ctrlPr>
          </m:sSubPr>
          <m:e>
            <m:d>
              <m:dPr>
                <m:ctrlPr>
                  <w:rPr>
                    <w:rFonts w:ascii="Cambria Math" w:hAnsi="Cambria Math"/>
                    <w:i/>
                    <w:lang w:val="en-CA"/>
                  </w:rPr>
                </m:ctrlPr>
              </m:dPr>
              <m:e>
                <m:f>
                  <m:fPr>
                    <m:ctrlPr>
                      <w:rPr>
                        <w:rFonts w:ascii="Cambria Math" w:hAnsi="Cambria Math"/>
                        <w:i/>
                        <w:lang w:val="en-CA"/>
                      </w:rPr>
                    </m:ctrlPr>
                  </m:fPr>
                  <m:num>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u</m:t>
                        </m:r>
                      </m:sub>
                    </m:sSub>
                  </m:num>
                  <m:den>
                    <m:r>
                      <w:rPr>
                        <w:rFonts w:ascii="Cambria Math" w:hAnsi="Cambria Math"/>
                        <w:lang w:val="en-CA"/>
                      </w:rPr>
                      <m:t>∂</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2</m:t>
                        </m:r>
                      </m:sub>
                    </m:sSub>
                  </m:den>
                </m:f>
              </m:e>
            </m:d>
          </m:e>
          <m:sub>
            <m:r>
              <w:rPr>
                <w:rFonts w:ascii="Cambria Math" w:hAnsi="Cambria Math"/>
                <w:lang w:val="en-CA"/>
              </w:rPr>
              <m:t>T,</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j≠2</m:t>
                </m:r>
              </m:sub>
            </m:sSub>
          </m:sub>
        </m:sSub>
        <m:r>
          <w:rPr>
            <w:rFonts w:ascii="Cambria Math" w:hAnsi="Cambria Math"/>
            <w:lang w:val="en-CA"/>
          </w:rPr>
          <m:t>=</m:t>
        </m:r>
        <m:f>
          <m:fPr>
            <m:ctrlPr>
              <w:rPr>
                <w:rFonts w:ascii="Cambria Math" w:hAnsi="Cambria Math"/>
                <w:i/>
                <w:lang w:val="en-CA"/>
              </w:rPr>
            </m:ctrlPr>
          </m:fPr>
          <m:num>
            <m:sSup>
              <m:sSupPr>
                <m:ctrlPr>
                  <w:rPr>
                    <w:rFonts w:ascii="Cambria Math" w:hAnsi="Cambria Math"/>
                    <w:i/>
                    <w:lang w:val="en-CA"/>
                  </w:rPr>
                </m:ctrlPr>
              </m:sSupPr>
              <m:e>
                <m:r>
                  <w:rPr>
                    <w:rFonts w:ascii="Cambria Math" w:hAnsi="Cambria Math"/>
                    <w:lang w:val="en-CA"/>
                  </w:rPr>
                  <m:t>B</m:t>
                </m:r>
              </m:e>
              <m:sup>
                <m:r>
                  <w:rPr>
                    <w:rFonts w:ascii="Cambria Math" w:hAnsi="Cambria Math"/>
                    <w:lang w:val="en-CA"/>
                  </w:rPr>
                  <m:t>u2</m:t>
                </m:r>
              </m:sup>
            </m:sSup>
          </m:num>
          <m:den>
            <m:d>
              <m:dPr>
                <m:begChr m:val="|"/>
                <m:endChr m:val="|"/>
                <m:ctrlPr>
                  <w:rPr>
                    <w:rFonts w:ascii="Cambria Math" w:hAnsi="Cambria Math"/>
                    <w:i/>
                    <w:lang w:val="en-CA"/>
                  </w:rPr>
                </m:ctrlPr>
              </m:dPr>
              <m:e>
                <m:r>
                  <w:rPr>
                    <w:rFonts w:ascii="Cambria Math" w:hAnsi="Cambria Math"/>
                    <w:lang w:val="en-CA"/>
                  </w:rPr>
                  <m:t>B</m:t>
                </m:r>
              </m:e>
            </m:d>
          </m:den>
        </m:f>
      </m:oMath>
      <w:r w:rsidR="00CE78AA" w:rsidRPr="00EC5244">
        <w:rPr>
          <w:lang w:val="en-CA"/>
        </w:rPr>
        <w:tab/>
      </w:r>
      <w:r w:rsidR="00CE78AA" w:rsidRPr="00EC5244">
        <w:rPr>
          <w:lang w:val="en-CA"/>
        </w:rPr>
        <w:tab/>
      </w:r>
      <w:r w:rsidR="00CE78AA" w:rsidRPr="00EC5244">
        <w:rPr>
          <w:lang w:val="en-CA"/>
        </w:rPr>
        <w:tab/>
      </w:r>
      <w:r w:rsidR="00CE78AA" w:rsidRPr="00EC5244">
        <w:rPr>
          <w:lang w:val="en-CA"/>
        </w:rPr>
        <w:tab/>
      </w:r>
      <w:r w:rsidR="008F2DF2" w:rsidRPr="00EC5244">
        <w:rPr>
          <w:lang w:val="en-CA"/>
        </w:rPr>
        <w:tab/>
      </w:r>
      <w:r w:rsidR="00CE78AA" w:rsidRPr="00EC5244">
        <w:rPr>
          <w:lang w:val="en-CA"/>
        </w:rPr>
        <w:tab/>
      </w:r>
      <w:r w:rsidR="00CE78AA" w:rsidRPr="00EC5244">
        <w:rPr>
          <w:lang w:val="en-CA"/>
        </w:rPr>
        <w:tab/>
      </w:r>
      <w:r w:rsidR="00CE78AA" w:rsidRPr="00EC5244">
        <w:rPr>
          <w:lang w:val="en-CA"/>
        </w:rPr>
        <w:tab/>
      </w:r>
      <w:r w:rsidR="00CE78AA" w:rsidRPr="00EC5244">
        <w:rPr>
          <w:lang w:val="en-CA"/>
        </w:rPr>
        <w:tab/>
      </w:r>
      <w:r w:rsidR="00CE78AA" w:rsidRPr="00EC5244">
        <w:rPr>
          <w:lang w:val="en-CA"/>
        </w:rPr>
        <w:tab/>
        <w:t>(14)</w:t>
      </w:r>
    </w:p>
    <w:p w14:paraId="55BB57C0" w14:textId="77777777" w:rsidR="00CE78AA" w:rsidRPr="00EC5244" w:rsidRDefault="00CE78AA" w:rsidP="00CE78AA">
      <w:pPr>
        <w:pStyle w:val="TAMainText"/>
        <w:ind w:firstLine="0"/>
        <w:rPr>
          <w:lang w:val="en-CA"/>
        </w:rPr>
      </w:pPr>
      <w:r w:rsidRPr="00EC5244">
        <w:rPr>
          <w:lang w:val="en-CA"/>
        </w:rPr>
        <w:t xml:space="preserve">where the cofactor </w:t>
      </w:r>
      <m:oMath>
        <m:sSup>
          <m:sSupPr>
            <m:ctrlPr>
              <w:rPr>
                <w:rFonts w:ascii="Cambria Math" w:hAnsi="Cambria Math"/>
                <w:i/>
                <w:lang w:val="en-CA"/>
              </w:rPr>
            </m:ctrlPr>
          </m:sSupPr>
          <m:e>
            <m:r>
              <w:rPr>
                <w:rFonts w:ascii="Cambria Math" w:hAnsi="Cambria Math"/>
                <w:lang w:val="en-CA"/>
              </w:rPr>
              <m:t>B</m:t>
            </m:r>
          </m:e>
          <m:sup>
            <m:r>
              <w:rPr>
                <w:rFonts w:ascii="Cambria Math" w:hAnsi="Cambria Math"/>
                <w:lang w:val="en-CA"/>
              </w:rPr>
              <m:t>u2</m:t>
            </m:r>
          </m:sup>
        </m:sSup>
      </m:oMath>
      <w:r w:rsidRPr="00EC5244">
        <w:rPr>
          <w:lang w:val="en-CA"/>
        </w:rPr>
        <w:t xml:space="preserve"> is defined, and rewritten via KB integrals via Eq. (11), as </w:t>
      </w:r>
    </w:p>
    <w:p w14:paraId="0F224289" w14:textId="77777777" w:rsidR="00CE78AA" w:rsidRPr="00EC5244" w:rsidRDefault="000C7FF6" w:rsidP="00CE78AA">
      <w:pPr>
        <w:pStyle w:val="TAMainText"/>
        <w:ind w:firstLine="0"/>
        <w:rPr>
          <w:lang w:val="en-CA"/>
        </w:rPr>
      </w:pPr>
      <m:oMath>
        <m:sSup>
          <m:sSupPr>
            <m:ctrlPr>
              <w:rPr>
                <w:rFonts w:ascii="Cambria Math" w:hAnsi="Cambria Math"/>
                <w:i/>
                <w:lang w:val="en-CA"/>
              </w:rPr>
            </m:ctrlPr>
          </m:sSupPr>
          <m:e>
            <m:r>
              <w:rPr>
                <w:rFonts w:ascii="Cambria Math" w:hAnsi="Cambria Math"/>
                <w:lang w:val="en-CA"/>
              </w:rPr>
              <m:t>B</m:t>
            </m:r>
          </m:e>
          <m:sup>
            <m:r>
              <w:rPr>
                <w:rFonts w:ascii="Cambria Math" w:hAnsi="Cambria Math"/>
                <w:lang w:val="en-CA"/>
              </w:rPr>
              <m:t>u2</m:t>
            </m:r>
          </m:sup>
        </m:sSup>
        <m:r>
          <w:rPr>
            <w:rFonts w:ascii="Cambria Math" w:hAnsi="Cambria Math"/>
            <w:lang w:val="en-CA"/>
          </w:rPr>
          <m:t>=-</m:t>
        </m:r>
        <m:d>
          <m:dPr>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11</m:t>
                </m:r>
              </m:sub>
            </m:sSub>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u2</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u1</m:t>
                </m:r>
              </m:sub>
            </m:sSub>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12</m:t>
                </m:r>
              </m:sub>
            </m:sSub>
          </m:e>
        </m:d>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1</m:t>
            </m:r>
          </m:sub>
          <m:sup>
            <m:r>
              <w:rPr>
                <w:rFonts w:ascii="Cambria Math" w:hAnsi="Cambria Math"/>
                <w:lang w:val="en-CA"/>
              </w:rPr>
              <m:t>2</m:t>
            </m:r>
          </m:sup>
        </m:sSubSup>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2</m:t>
            </m:r>
          </m:sub>
        </m:sSub>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u</m:t>
            </m:r>
          </m:sub>
        </m:sSub>
        <m:d>
          <m:dPr>
            <m:begChr m:val="["/>
            <m:endChr m:val="]"/>
            <m:ctrlPr>
              <w:rPr>
                <w:rFonts w:ascii="Cambria Math" w:hAnsi="Cambria Math"/>
                <w:i/>
                <w:lang w:val="en-CA"/>
              </w:rPr>
            </m:ctrlPr>
          </m:dPr>
          <m:e>
            <m:d>
              <m:dPr>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11</m:t>
                    </m:r>
                  </m:sub>
                </m:sSub>
                <m:r>
                  <w:rPr>
                    <w:rFonts w:ascii="Cambria Math" w:hAnsi="Cambria Math"/>
                    <w:lang w:val="en-CA"/>
                  </w:rPr>
                  <m:t>+</m:t>
                </m:r>
                <m:f>
                  <m:fPr>
                    <m:ctrlPr>
                      <w:rPr>
                        <w:rFonts w:ascii="Cambria Math" w:hAnsi="Cambria Math"/>
                        <w:i/>
                        <w:lang w:val="en-CA"/>
                      </w:rPr>
                    </m:ctrlPr>
                  </m:fPr>
                  <m:num>
                    <m:r>
                      <w:rPr>
                        <w:rFonts w:ascii="Cambria Math" w:hAnsi="Cambria Math"/>
                        <w:lang w:val="en-CA"/>
                      </w:rPr>
                      <m:t>1</m:t>
                    </m:r>
                  </m:num>
                  <m:den>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1</m:t>
                        </m:r>
                      </m:sub>
                    </m:sSub>
                  </m:den>
                </m:f>
              </m:e>
            </m:d>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u2</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u1</m:t>
                </m:r>
              </m:sub>
            </m:sSub>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21</m:t>
                </m:r>
              </m:sub>
            </m:sSub>
          </m:e>
        </m:d>
      </m:oMath>
      <w:r w:rsidR="00CE78AA" w:rsidRPr="00EC5244">
        <w:rPr>
          <w:lang w:val="en-CA"/>
        </w:rPr>
        <w:tab/>
      </w:r>
      <w:r w:rsidR="00CE78AA" w:rsidRPr="00EC5244">
        <w:rPr>
          <w:lang w:val="en-CA"/>
        </w:rPr>
        <w:tab/>
      </w:r>
      <w:r w:rsidR="00CE78AA" w:rsidRPr="00EC5244">
        <w:rPr>
          <w:lang w:val="en-CA"/>
        </w:rPr>
        <w:tab/>
        <w:t>(15)</w:t>
      </w:r>
    </w:p>
    <w:p w14:paraId="305F36D2" w14:textId="70AD778D" w:rsidR="00CE78AA" w:rsidRPr="00EC5244" w:rsidRDefault="00CE78AA" w:rsidP="00CE78AA">
      <w:pPr>
        <w:pStyle w:val="TAMainText"/>
        <w:ind w:firstLine="0"/>
        <w:rPr>
          <w:lang w:val="en-CA"/>
        </w:rPr>
      </w:pPr>
      <w:r w:rsidRPr="00EC5244">
        <w:rPr>
          <w:lang w:val="en-CA"/>
        </w:rPr>
        <w:t xml:space="preserve">and the determinant </w:t>
      </w:r>
      <m:oMath>
        <m:d>
          <m:dPr>
            <m:begChr m:val="|"/>
            <m:endChr m:val="|"/>
            <m:ctrlPr>
              <w:rPr>
                <w:rFonts w:ascii="Cambria Math" w:hAnsi="Cambria Math"/>
                <w:i/>
                <w:lang w:val="en-CA"/>
              </w:rPr>
            </m:ctrlPr>
          </m:dPr>
          <m:e>
            <m:r>
              <w:rPr>
                <w:rFonts w:ascii="Cambria Math" w:hAnsi="Cambria Math"/>
                <w:lang w:val="en-CA"/>
              </w:rPr>
              <m:t>B</m:t>
            </m:r>
          </m:e>
        </m:d>
      </m:oMath>
      <w:r w:rsidRPr="00EC5244">
        <w:rPr>
          <w:lang w:val="en-CA"/>
        </w:rPr>
        <w:t>, which is positive due to the stability condition,</w:t>
      </w:r>
      <w:r w:rsidR="001335E9" w:rsidRPr="00EC5244">
        <w:rPr>
          <w:lang w:val="en-CA"/>
        </w:rPr>
        <w:fldChar w:fldCharType="begin" w:fldLock="1"/>
      </w:r>
      <w:r w:rsidR="00B77F33" w:rsidRPr="00EC5244">
        <w:rPr>
          <w:lang w:val="en-CA"/>
        </w:rPr>
        <w:instrText>ADDIN CSL_CITATION { "citationItems" : [ { "id" : "ITEM-1", "itemData" : { "author" : [ { "dropping-particle" : "", "family" : "Gazzillo", "given" : "Domeniko", "non-dropping-particle" : "", "parse-names" : false, "suffix" : "" } ], "container-title" : "Molecular Physics", "id" : "ITEM-1", "issue" : "6", "issued" : { "date-parts" : [ [ "1994" ] ] }, "page" : "1171-1190", "title" : "Stability of fluids with more than two components I. General thermodynamic theory and concentration-concentration structure factor", "type" : "article-journal", "volume" : "83" }, "uris" : [ "http://www.mendeley.com/documents/?uuid=baaba04b-189e-49ed-90c2-8163457aa0b3" ] } ], "mendeley" : { "formattedCitation" : "&lt;sup&gt;52&lt;/sup&gt;", "plainTextFormattedCitation" : "52", "previouslyFormattedCitation" : "&lt;sup&gt;52&lt;/sup&gt;" }, "properties" : { "noteIndex" : 0 }, "schema" : "https://github.com/citation-style-language/schema/raw/master/csl-citation.json" }</w:instrText>
      </w:r>
      <w:r w:rsidR="001335E9" w:rsidRPr="00EC5244">
        <w:rPr>
          <w:lang w:val="en-CA"/>
        </w:rPr>
        <w:fldChar w:fldCharType="separate"/>
      </w:r>
      <w:r w:rsidR="001335E9" w:rsidRPr="00EC5244">
        <w:rPr>
          <w:noProof/>
          <w:vertAlign w:val="superscript"/>
          <w:lang w:val="en-CA"/>
        </w:rPr>
        <w:t>52</w:t>
      </w:r>
      <w:r w:rsidR="001335E9" w:rsidRPr="00EC5244">
        <w:rPr>
          <w:lang w:val="en-CA"/>
        </w:rPr>
        <w:fldChar w:fldCharType="end"/>
      </w:r>
      <w:r w:rsidRPr="00EC5244">
        <w:rPr>
          <w:lang w:val="en-CA"/>
        </w:rPr>
        <w:t xml:space="preserve"> can be expressed as   </w:t>
      </w:r>
    </w:p>
    <w:p w14:paraId="4FC6E0D8" w14:textId="77777777" w:rsidR="00CE78AA" w:rsidRPr="00EC5244" w:rsidRDefault="000C7FF6" w:rsidP="00CE78AA">
      <w:pPr>
        <w:pStyle w:val="TAMainText"/>
        <w:ind w:firstLine="0"/>
        <w:rPr>
          <w:lang w:val="en-CA"/>
        </w:rPr>
      </w:pPr>
      <m:oMath>
        <m:d>
          <m:dPr>
            <m:begChr m:val="|"/>
            <m:endChr m:val="|"/>
            <m:ctrlPr>
              <w:rPr>
                <w:rFonts w:ascii="Cambria Math" w:hAnsi="Cambria Math"/>
                <w:i/>
                <w:lang w:val="en-CA"/>
              </w:rPr>
            </m:ctrlPr>
          </m:dPr>
          <m:e>
            <m:r>
              <w:rPr>
                <w:rFonts w:ascii="Cambria Math" w:hAnsi="Cambria Math"/>
                <w:lang w:val="en-CA"/>
              </w:rPr>
              <m:t>B</m:t>
            </m:r>
          </m:e>
        </m:d>
        <m:r>
          <w:rPr>
            <w:rFonts w:ascii="Cambria Math" w:hAnsi="Cambria Math"/>
            <w:lang w:val="en-CA"/>
          </w:rPr>
          <m:t>=-</m:t>
        </m:r>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21</m:t>
            </m:r>
          </m:sub>
        </m:sSub>
        <m:d>
          <m:dPr>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12</m:t>
                </m:r>
              </m:sub>
            </m:sSub>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uu</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u1</m:t>
                </m:r>
              </m:sub>
            </m:sSub>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u2</m:t>
                </m:r>
              </m:sub>
            </m:sSub>
          </m:e>
        </m:d>
        <m:r>
          <w:rPr>
            <w:rFonts w:ascii="Cambria Math" w:hAnsi="Cambria Math"/>
            <w:lang w:val="en-CA"/>
          </w:rPr>
          <m:t>+</m:t>
        </m:r>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22</m:t>
            </m:r>
          </m:sub>
        </m:sSub>
        <m:d>
          <m:dPr>
            <m:begChr m:val="["/>
            <m:endChr m:val="]"/>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11</m:t>
                </m:r>
              </m:sub>
            </m:sSub>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uu</m:t>
                </m:r>
              </m:sub>
            </m:sSub>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B</m:t>
                </m:r>
              </m:e>
              <m:sub>
                <m:r>
                  <w:rPr>
                    <w:rFonts w:ascii="Cambria Math" w:hAnsi="Cambria Math"/>
                    <w:lang w:val="en-CA"/>
                  </w:rPr>
                  <m:t>u1</m:t>
                </m:r>
              </m:sub>
              <m:sup>
                <m:r>
                  <w:rPr>
                    <w:rFonts w:ascii="Cambria Math" w:hAnsi="Cambria Math"/>
                    <w:lang w:val="en-CA"/>
                  </w:rPr>
                  <m:t>2</m:t>
                </m:r>
              </m:sup>
            </m:sSubSup>
          </m:e>
        </m:d>
        <m:r>
          <w:rPr>
            <w:rFonts w:ascii="Cambria Math" w:hAnsi="Cambria Math"/>
            <w:lang w:val="en-CA"/>
          </w:rPr>
          <m:t>-</m:t>
        </m:r>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2u</m:t>
            </m:r>
          </m:sub>
        </m:sSub>
        <m:d>
          <m:dPr>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11</m:t>
                </m:r>
              </m:sub>
            </m:sSub>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u2</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u1</m:t>
                </m:r>
              </m:sub>
            </m:sSub>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12</m:t>
                </m:r>
              </m:sub>
            </m:sSub>
          </m:e>
        </m:d>
      </m:oMath>
      <w:r w:rsidR="00CE78AA" w:rsidRPr="00EC5244">
        <w:rPr>
          <w:lang w:val="en-CA"/>
        </w:rPr>
        <w:tab/>
      </w:r>
      <w:r w:rsidR="00CE78AA" w:rsidRPr="00EC5244">
        <w:rPr>
          <w:lang w:val="en-CA"/>
        </w:rPr>
        <w:tab/>
        <w:t>(16)</w:t>
      </w:r>
    </w:p>
    <w:p w14:paraId="1BAC8E0C" w14:textId="77777777" w:rsidR="00CE78AA" w:rsidRPr="00EC5244" w:rsidRDefault="00CE78AA" w:rsidP="00CE78AA">
      <w:pPr>
        <w:pStyle w:val="TAMainText"/>
        <w:ind w:firstLine="0"/>
        <w:rPr>
          <w:lang w:val="en-CA"/>
        </w:rPr>
      </w:pPr>
      <w:r w:rsidRPr="00EC5244">
        <w:rPr>
          <w:lang w:val="en-CA"/>
        </w:rPr>
        <w:t xml:space="preserve">Note that </w:t>
      </w:r>
      <m:oMath>
        <m:d>
          <m:dPr>
            <m:begChr m:val="|"/>
            <m:endChr m:val="|"/>
            <m:ctrlPr>
              <w:rPr>
                <w:rFonts w:ascii="Cambria Math" w:hAnsi="Cambria Math"/>
                <w:i/>
                <w:lang w:val="en-CA"/>
              </w:rPr>
            </m:ctrlPr>
          </m:dPr>
          <m:e>
            <m:r>
              <w:rPr>
                <w:rFonts w:ascii="Cambria Math" w:hAnsi="Cambria Math"/>
                <w:lang w:val="en-CA"/>
              </w:rPr>
              <m:t>B</m:t>
            </m:r>
          </m:e>
        </m:d>
      </m:oMath>
      <w:r w:rsidRPr="00EC5244">
        <w:rPr>
          <w:lang w:val="en-CA"/>
        </w:rPr>
        <w:t xml:space="preserve"> is the generalization of the solubilization inefficiency concept into the case of concentrated solutes. </w:t>
      </w:r>
    </w:p>
    <w:p w14:paraId="45D21217" w14:textId="77777777" w:rsidR="00CE78AA" w:rsidRPr="00EC5244" w:rsidRDefault="00CE78AA" w:rsidP="00CE78AA">
      <w:pPr>
        <w:pStyle w:val="TAMainText"/>
        <w:rPr>
          <w:lang w:val="en-CA"/>
        </w:rPr>
      </w:pPr>
    </w:p>
    <w:p w14:paraId="270CCAE2" w14:textId="184C0C15" w:rsidR="00CE78AA" w:rsidRPr="00EC5244" w:rsidRDefault="001335E9" w:rsidP="00CE78AA">
      <w:pPr>
        <w:pStyle w:val="TAMainText"/>
        <w:rPr>
          <w:lang w:val="en-CA"/>
        </w:rPr>
      </w:pPr>
      <w:r w:rsidRPr="00EC5244">
        <w:rPr>
          <w:lang w:val="en-CA"/>
        </w:rPr>
        <w:t xml:space="preserve">Now our earlier proposal on hydrotropy mechanism (Eq. (1)) can be generalized to concentrated solutes.  </w:t>
      </w:r>
      <w:r w:rsidR="00CE78AA" w:rsidRPr="00EC5244">
        <w:rPr>
          <w:lang w:val="en-CA"/>
        </w:rPr>
        <w:t xml:space="preserve">Firstly, a large positive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u2</m:t>
            </m:r>
          </m:sub>
        </m:sSub>
      </m:oMath>
      <w:r w:rsidR="00CE78AA" w:rsidRPr="00EC5244">
        <w:rPr>
          <w:lang w:val="en-CA"/>
        </w:rPr>
        <w:t xml:space="preserve"> drives solubilization, through making </w:t>
      </w:r>
      <m:oMath>
        <m:f>
          <m:fPr>
            <m:ctrlPr>
              <w:rPr>
                <w:rFonts w:ascii="Cambria Math" w:hAnsi="Cambria Math"/>
                <w:i/>
                <w:lang w:val="en-CA"/>
              </w:rPr>
            </m:ctrlPr>
          </m:fPr>
          <m:num>
            <m:r>
              <w:rPr>
                <w:rFonts w:ascii="Cambria Math" w:hAnsi="Cambria Math"/>
                <w:lang w:val="en-CA"/>
              </w:rPr>
              <m:t>1</m:t>
            </m:r>
          </m:num>
          <m:den>
            <m:r>
              <w:rPr>
                <w:rFonts w:ascii="Cambria Math" w:hAnsi="Cambria Math"/>
                <w:lang w:val="en-CA"/>
              </w:rPr>
              <m:t>RT</m:t>
            </m:r>
          </m:den>
        </m:f>
        <m:sSub>
          <m:sSubPr>
            <m:ctrlPr>
              <w:rPr>
                <w:rFonts w:ascii="Cambria Math" w:hAnsi="Cambria Math"/>
                <w:i/>
                <w:lang w:val="en-CA"/>
              </w:rPr>
            </m:ctrlPr>
          </m:sSubPr>
          <m:e>
            <m:d>
              <m:dPr>
                <m:ctrlPr>
                  <w:rPr>
                    <w:rFonts w:ascii="Cambria Math" w:hAnsi="Cambria Math"/>
                    <w:i/>
                    <w:lang w:val="en-CA"/>
                  </w:rPr>
                </m:ctrlPr>
              </m:dPr>
              <m:e>
                <m:f>
                  <m:fPr>
                    <m:ctrlPr>
                      <w:rPr>
                        <w:rFonts w:ascii="Cambria Math" w:hAnsi="Cambria Math"/>
                        <w:i/>
                        <w:lang w:val="en-CA"/>
                      </w:rPr>
                    </m:ctrlPr>
                  </m:fPr>
                  <m:num>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u</m:t>
                        </m:r>
                      </m:sub>
                    </m:sSub>
                  </m:num>
                  <m:den>
                    <m:r>
                      <w:rPr>
                        <w:rFonts w:ascii="Cambria Math" w:hAnsi="Cambria Math"/>
                        <w:lang w:val="en-CA"/>
                      </w:rPr>
                      <m:t>∂</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2</m:t>
                        </m:r>
                      </m:sub>
                    </m:sSub>
                  </m:den>
                </m:f>
              </m:e>
            </m:d>
          </m:e>
          <m:sub>
            <m:r>
              <w:rPr>
                <w:rFonts w:ascii="Cambria Math" w:hAnsi="Cambria Math"/>
                <w:lang w:val="en-CA"/>
              </w:rPr>
              <m:t>T,</m:t>
            </m:r>
            <m:sSub>
              <m:sSubPr>
                <m:ctrlPr>
                  <w:rPr>
                    <w:rFonts w:ascii="Cambria Math" w:hAnsi="Cambria Math"/>
                    <w:i/>
                    <w:lang w:val="en-CA"/>
                  </w:rPr>
                </m:ctrlPr>
              </m:sSubPr>
              <m:e>
                <m:r>
                  <w:rPr>
                    <w:rFonts w:ascii="Cambria Math" w:hAnsi="Cambria Math"/>
                    <w:lang w:val="en-CA"/>
                  </w:rPr>
                  <m:t>c</m:t>
                </m:r>
              </m:e>
              <m:sub>
                <m:sSup>
                  <m:sSupPr>
                    <m:ctrlPr>
                      <w:rPr>
                        <w:rFonts w:ascii="Cambria Math" w:hAnsi="Cambria Math"/>
                        <w:i/>
                        <w:lang w:val="en-CA"/>
                      </w:rPr>
                    </m:ctrlPr>
                  </m:sSupPr>
                  <m:e>
                    <m:r>
                      <w:rPr>
                        <w:rFonts w:ascii="Cambria Math" w:hAnsi="Cambria Math"/>
                        <w:lang w:val="en-CA"/>
                      </w:rPr>
                      <m:t>j</m:t>
                    </m:r>
                  </m:e>
                  <m:sup>
                    <m:r>
                      <w:rPr>
                        <w:rFonts w:ascii="Cambria Math" w:hAnsi="Cambria Math"/>
                        <w:lang w:val="en-CA"/>
                      </w:rPr>
                      <m:t>'</m:t>
                    </m:r>
                  </m:sup>
                </m:sSup>
                <m:r>
                  <w:rPr>
                    <w:rFonts w:ascii="Cambria Math" w:hAnsi="Cambria Math"/>
                    <w:lang w:val="en-CA"/>
                  </w:rPr>
                  <m:t>≠2</m:t>
                </m:r>
              </m:sub>
            </m:sSub>
          </m:sub>
        </m:sSub>
      </m:oMath>
      <w:r w:rsidR="005840E7" w:rsidRPr="00EC5244">
        <w:rPr>
          <w:lang w:val="en-CA"/>
        </w:rPr>
        <w:t xml:space="preserve"> negative (a</w:t>
      </w:r>
      <w:r w:rsidR="00CE78AA" w:rsidRPr="00EC5244">
        <w:rPr>
          <w:lang w:val="en-CA"/>
        </w:rPr>
        <w:t>) by making its numerator large and nega</w:t>
      </w:r>
      <w:r w:rsidR="005840E7" w:rsidRPr="00EC5244">
        <w:rPr>
          <w:lang w:val="en-CA"/>
        </w:rPr>
        <w:t>tive (Eqs. (14) and (15)), and (b</w:t>
      </w:r>
      <w:r w:rsidR="00CE78AA" w:rsidRPr="00EC5244">
        <w:rPr>
          <w:lang w:val="en-CA"/>
        </w:rPr>
        <w:t>) by reducing the magnitude of its denominator and increase the solubilization efficiency when the solute-hydrotrope interaction is strong enough</w:t>
      </w:r>
      <w:r w:rsidR="00102DCF" w:rsidRPr="00EC5244">
        <w:rPr>
          <w:lang w:val="en-CA"/>
        </w:rPr>
        <w:t xml:space="preserve"> with attractive potential of mean force</w:t>
      </w:r>
      <w:r w:rsidR="00CE78AA" w:rsidRPr="00EC5244">
        <w:rPr>
          <w:lang w:val="en-CA"/>
        </w:rPr>
        <w:t xml:space="preserve">, which can be seen clearly by the contribution of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u2</m:t>
            </m:r>
          </m:sub>
        </m:sSub>
      </m:oMath>
      <w:r w:rsidR="00CE78AA" w:rsidRPr="00EC5244">
        <w:rPr>
          <w:lang w:val="en-CA"/>
        </w:rPr>
        <w:t xml:space="preserve"> to </w:t>
      </w:r>
      <m:oMath>
        <m:d>
          <m:dPr>
            <m:begChr m:val="|"/>
            <m:endChr m:val="|"/>
            <m:ctrlPr>
              <w:rPr>
                <w:rFonts w:ascii="Cambria Math" w:hAnsi="Cambria Math"/>
                <w:i/>
                <w:lang w:val="en-CA"/>
              </w:rPr>
            </m:ctrlPr>
          </m:dPr>
          <m:e>
            <m:r>
              <w:rPr>
                <w:rFonts w:ascii="Cambria Math" w:hAnsi="Cambria Math"/>
                <w:lang w:val="en-CA"/>
              </w:rPr>
              <m:t>B</m:t>
            </m:r>
          </m:e>
        </m:d>
      </m:oMath>
      <w:r w:rsidR="00CE78AA" w:rsidRPr="00EC5244">
        <w:rPr>
          <w:lang w:val="en-CA"/>
        </w:rPr>
        <w:t xml:space="preserve">, </w:t>
      </w:r>
    </w:p>
    <w:p w14:paraId="30D0015E" w14:textId="04B9405D" w:rsidR="00CE78AA" w:rsidRPr="00EC5244" w:rsidRDefault="00CE78AA" w:rsidP="00CE78AA">
      <w:pPr>
        <w:pStyle w:val="TAMainText"/>
        <w:rPr>
          <w:lang w:val="en-CA"/>
        </w:rPr>
      </w:pPr>
      <m:oMath>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1</m:t>
            </m:r>
          </m:sub>
          <m:sup>
            <m:r>
              <w:rPr>
                <w:rFonts w:ascii="Cambria Math" w:hAnsi="Cambria Math"/>
                <w:lang w:val="en-CA"/>
              </w:rPr>
              <m:t>2</m:t>
            </m:r>
          </m:sup>
        </m:sSubSup>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2</m:t>
            </m:r>
          </m:sub>
          <m:sup>
            <m:r>
              <w:rPr>
                <w:rFonts w:ascii="Cambria Math" w:hAnsi="Cambria Math"/>
                <w:lang w:val="en-CA"/>
              </w:rPr>
              <m:t>2</m:t>
            </m:r>
          </m:sup>
        </m:sSubSup>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u</m:t>
            </m:r>
          </m:sub>
          <m:sup>
            <m:r>
              <w:rPr>
                <w:rFonts w:ascii="Cambria Math" w:hAnsi="Cambria Math"/>
                <w:lang w:val="en-CA"/>
              </w:rPr>
              <m:t>2</m:t>
            </m:r>
          </m:sup>
        </m:sSubSup>
        <m:d>
          <m:dPr>
            <m:begChr m:val="["/>
            <m:endChr m:val="]"/>
            <m:ctrlPr>
              <w:rPr>
                <w:rFonts w:ascii="Cambria Math" w:hAnsi="Cambria Math"/>
                <w:i/>
                <w:lang w:val="en-CA"/>
              </w:rPr>
            </m:ctrlPr>
          </m:dPr>
          <m:e>
            <m:d>
              <m:dPr>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11</m:t>
                    </m:r>
                  </m:sub>
                </m:sSub>
                <m:r>
                  <w:rPr>
                    <w:rFonts w:ascii="Cambria Math" w:hAnsi="Cambria Math"/>
                    <w:lang w:val="en-CA"/>
                  </w:rPr>
                  <m:t>+</m:t>
                </m:r>
                <m:f>
                  <m:fPr>
                    <m:ctrlPr>
                      <w:rPr>
                        <w:rFonts w:ascii="Cambria Math" w:hAnsi="Cambria Math"/>
                        <w:i/>
                        <w:lang w:val="en-CA"/>
                      </w:rPr>
                    </m:ctrlPr>
                  </m:fPr>
                  <m:num>
                    <m:r>
                      <w:rPr>
                        <w:rFonts w:ascii="Cambria Math" w:hAnsi="Cambria Math"/>
                        <w:lang w:val="en-CA"/>
                      </w:rPr>
                      <m:t>1</m:t>
                    </m:r>
                  </m:num>
                  <m:den>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1</m:t>
                        </m:r>
                      </m:sub>
                    </m:sSub>
                  </m:den>
                </m:f>
              </m:e>
            </m:d>
            <m:sSubSup>
              <m:sSubSupPr>
                <m:ctrlPr>
                  <w:rPr>
                    <w:rFonts w:ascii="Cambria Math" w:hAnsi="Cambria Math"/>
                    <w:i/>
                    <w:lang w:val="en-CA"/>
                  </w:rPr>
                </m:ctrlPr>
              </m:sSubSupPr>
              <m:e>
                <m:r>
                  <w:rPr>
                    <w:rFonts w:ascii="Cambria Math" w:hAnsi="Cambria Math"/>
                    <w:lang w:val="en-CA"/>
                  </w:rPr>
                  <m:t>G</m:t>
                </m:r>
              </m:e>
              <m:sub>
                <m:r>
                  <w:rPr>
                    <w:rFonts w:ascii="Cambria Math" w:hAnsi="Cambria Math"/>
                    <w:lang w:val="en-CA"/>
                  </w:rPr>
                  <m:t>u2</m:t>
                </m:r>
              </m:sub>
              <m:sup>
                <m:r>
                  <w:rPr>
                    <w:rFonts w:ascii="Cambria Math" w:hAnsi="Cambria Math"/>
                    <w:lang w:val="en-CA"/>
                  </w:rPr>
                  <m:t>2</m:t>
                </m:r>
              </m:sup>
            </m:sSubSup>
            <m:r>
              <w:rPr>
                <w:rFonts w:ascii="Cambria Math" w:hAnsi="Cambria Math"/>
                <w:lang w:val="en-CA"/>
              </w:rPr>
              <m:t>-</m:t>
            </m:r>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21</m:t>
                </m:r>
              </m:sub>
            </m:sSub>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u1</m:t>
                </m:r>
              </m:sub>
            </m:sSub>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u2</m:t>
                </m:r>
              </m:sub>
            </m:sSub>
          </m:e>
        </m:d>
      </m:oMath>
      <w:r w:rsidRPr="00EC5244">
        <w:rPr>
          <w:lang w:val="en-CA"/>
        </w:rPr>
        <w:tab/>
      </w:r>
      <w:r w:rsidRPr="00EC5244">
        <w:rPr>
          <w:lang w:val="en-CA"/>
        </w:rPr>
        <w:tab/>
      </w:r>
      <w:r w:rsidRPr="00EC5244">
        <w:rPr>
          <w:lang w:val="en-CA"/>
        </w:rPr>
        <w:tab/>
      </w:r>
      <w:r w:rsidRPr="00EC5244">
        <w:rPr>
          <w:lang w:val="en-CA"/>
        </w:rPr>
        <w:tab/>
      </w:r>
      <w:r w:rsidRPr="00EC5244">
        <w:rPr>
          <w:lang w:val="en-CA"/>
        </w:rPr>
        <w:tab/>
      </w:r>
      <w:r w:rsidRPr="00EC5244">
        <w:rPr>
          <w:lang w:val="en-CA"/>
        </w:rPr>
        <w:tab/>
      </w:r>
      <w:r w:rsidRPr="00EC5244">
        <w:rPr>
          <w:lang w:val="en-CA"/>
        </w:rPr>
        <w:tab/>
        <w:t>(17)</w:t>
      </w:r>
    </w:p>
    <w:p w14:paraId="36D12EA4" w14:textId="4BAB26FA" w:rsidR="00CE78AA" w:rsidRPr="00EC5244" w:rsidRDefault="00CE78AA" w:rsidP="00CE78AA">
      <w:pPr>
        <w:pStyle w:val="TAMainText"/>
        <w:ind w:firstLine="0"/>
        <w:rPr>
          <w:lang w:val="en-CA"/>
        </w:rPr>
      </w:pPr>
      <w:r w:rsidRPr="00EC5244">
        <w:rPr>
          <w:lang w:val="en-CA"/>
        </w:rPr>
        <w:t xml:space="preserve">which is a negative contribution when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u2</m:t>
            </m:r>
          </m:sub>
        </m:sSub>
      </m:oMath>
      <w:r w:rsidRPr="00EC5244">
        <w:rPr>
          <w:lang w:val="en-CA"/>
        </w:rPr>
        <w:t xml:space="preserve"> is large enough. Secondly, hydrotrope self-aggregation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22</m:t>
            </m:r>
          </m:sub>
        </m:sSub>
      </m:oMath>
      <w:r w:rsidRPr="00EC5244">
        <w:rPr>
          <w:lang w:val="en-CA"/>
        </w:rPr>
        <w:t xml:space="preserve"> contributes to increase the denominator, thereby making per-hydrotrope solubilization ine</w:t>
      </w:r>
      <w:r w:rsidR="001335E9" w:rsidRPr="00EC5244">
        <w:rPr>
          <w:lang w:val="en-CA"/>
        </w:rPr>
        <w:t>fficient. This is seen in</w:t>
      </w:r>
      <w:r w:rsidRPr="00EC5244">
        <w:rPr>
          <w:lang w:val="en-CA"/>
        </w:rPr>
        <w:t xml:space="preserve"> the following contribution of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22</m:t>
            </m:r>
          </m:sub>
        </m:sSub>
      </m:oMath>
      <w:r w:rsidRPr="00EC5244">
        <w:rPr>
          <w:lang w:val="en-CA"/>
        </w:rPr>
        <w:t xml:space="preserve"> to </w:t>
      </w:r>
      <m:oMath>
        <m:d>
          <m:dPr>
            <m:begChr m:val="|"/>
            <m:endChr m:val="|"/>
            <m:ctrlPr>
              <w:rPr>
                <w:rFonts w:ascii="Cambria Math" w:hAnsi="Cambria Math"/>
                <w:i/>
                <w:lang w:val="en-CA"/>
              </w:rPr>
            </m:ctrlPr>
          </m:dPr>
          <m:e>
            <m:r>
              <w:rPr>
                <w:rFonts w:ascii="Cambria Math" w:hAnsi="Cambria Math"/>
                <w:lang w:val="en-CA"/>
              </w:rPr>
              <m:t>B</m:t>
            </m:r>
          </m:e>
        </m:d>
      </m:oMath>
    </w:p>
    <w:p w14:paraId="11F72BF6" w14:textId="2C4335BE" w:rsidR="00CE78AA" w:rsidRPr="00EC5244" w:rsidRDefault="000C7FF6" w:rsidP="00CE78AA">
      <w:pPr>
        <w:pStyle w:val="TAMainText"/>
        <w:ind w:firstLine="0"/>
        <w:rPr>
          <w:lang w:val="en-CA"/>
        </w:rPr>
      </w:pPr>
      <m:oMath>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22</m:t>
            </m:r>
          </m:sub>
        </m:sSub>
        <m:d>
          <m:dPr>
            <m:begChr m:val="["/>
            <m:endChr m:val="]"/>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11</m:t>
                </m:r>
              </m:sub>
            </m:sSub>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uu</m:t>
                </m:r>
              </m:sub>
            </m:sSub>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B</m:t>
                </m:r>
              </m:e>
              <m:sub>
                <m:r>
                  <w:rPr>
                    <w:rFonts w:ascii="Cambria Math" w:hAnsi="Cambria Math"/>
                    <w:lang w:val="en-CA"/>
                  </w:rPr>
                  <m:t>u1</m:t>
                </m:r>
              </m:sub>
              <m:sup>
                <m:r>
                  <w:rPr>
                    <w:rFonts w:ascii="Cambria Math" w:hAnsi="Cambria Math"/>
                    <w:lang w:val="en-CA"/>
                  </w:rPr>
                  <m:t>2</m:t>
                </m:r>
              </m:sup>
            </m:sSubSup>
          </m:e>
        </m:d>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1</m:t>
            </m:r>
          </m:sub>
          <m:sup>
            <m:r>
              <w:rPr>
                <w:rFonts w:ascii="Cambria Math" w:hAnsi="Cambria Math"/>
                <w:lang w:val="en-CA"/>
              </w:rPr>
              <m:t>2</m:t>
            </m:r>
          </m:sup>
        </m:sSubSup>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2</m:t>
            </m:r>
          </m:sub>
          <m:sup>
            <m:r>
              <w:rPr>
                <w:rFonts w:ascii="Cambria Math" w:hAnsi="Cambria Math"/>
                <w:lang w:val="en-CA"/>
              </w:rPr>
              <m:t>2</m:t>
            </m:r>
          </m:sup>
        </m:sSubSup>
        <m:sSubSup>
          <m:sSubSupPr>
            <m:ctrlPr>
              <w:rPr>
                <w:rFonts w:ascii="Cambria Math" w:hAnsi="Cambria Math"/>
                <w:i/>
                <w:lang w:val="en-CA"/>
              </w:rPr>
            </m:ctrlPr>
          </m:sSubSupPr>
          <m:e>
            <m:r>
              <w:rPr>
                <w:rFonts w:ascii="Cambria Math" w:hAnsi="Cambria Math"/>
                <w:lang w:val="en-CA"/>
              </w:rPr>
              <m:t>c</m:t>
            </m:r>
          </m:e>
          <m:sub>
            <m:r>
              <w:rPr>
                <w:rFonts w:ascii="Cambria Math" w:hAnsi="Cambria Math"/>
                <w:lang w:val="en-CA"/>
              </w:rPr>
              <m:t>u</m:t>
            </m:r>
          </m:sub>
          <m:sup>
            <m:r>
              <w:rPr>
                <w:rFonts w:ascii="Cambria Math" w:hAnsi="Cambria Math"/>
                <w:lang w:val="en-CA"/>
              </w:rPr>
              <m:t>2</m:t>
            </m:r>
          </m:sup>
        </m:sSubSup>
        <m:d>
          <m:dPr>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22</m:t>
                </m:r>
              </m:sub>
            </m:sSub>
            <m:r>
              <w:rPr>
                <w:rFonts w:ascii="Cambria Math" w:hAnsi="Cambria Math"/>
                <w:lang w:val="en-CA"/>
              </w:rPr>
              <m:t>+</m:t>
            </m:r>
            <m:f>
              <m:fPr>
                <m:ctrlPr>
                  <w:rPr>
                    <w:rFonts w:ascii="Cambria Math" w:hAnsi="Cambria Math"/>
                    <w:i/>
                    <w:lang w:val="en-CA"/>
                  </w:rPr>
                </m:ctrlPr>
              </m:fPr>
              <m:num>
                <m:r>
                  <w:rPr>
                    <w:rFonts w:ascii="Cambria Math" w:hAnsi="Cambria Math"/>
                    <w:lang w:val="en-CA"/>
                  </w:rPr>
                  <m:t>1</m:t>
                </m:r>
              </m:num>
              <m:den>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2</m:t>
                    </m:r>
                  </m:sub>
                </m:sSub>
              </m:den>
            </m:f>
          </m:e>
        </m:d>
        <m:d>
          <m:dPr>
            <m:begChr m:val="["/>
            <m:endChr m:val="]"/>
            <m:ctrlPr>
              <w:rPr>
                <w:rFonts w:ascii="Cambria Math" w:hAnsi="Cambria Math"/>
                <w:i/>
                <w:lang w:val="en-CA"/>
              </w:rPr>
            </m:ctrlPr>
          </m:dPr>
          <m:e>
            <m:d>
              <m:dPr>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11</m:t>
                    </m:r>
                  </m:sub>
                </m:sSub>
                <m:r>
                  <w:rPr>
                    <w:rFonts w:ascii="Cambria Math" w:hAnsi="Cambria Math"/>
                    <w:lang w:val="en-CA"/>
                  </w:rPr>
                  <m:t>+</m:t>
                </m:r>
                <m:f>
                  <m:fPr>
                    <m:ctrlPr>
                      <w:rPr>
                        <w:rFonts w:ascii="Cambria Math" w:hAnsi="Cambria Math"/>
                        <w:i/>
                        <w:lang w:val="en-CA"/>
                      </w:rPr>
                    </m:ctrlPr>
                  </m:fPr>
                  <m:num>
                    <m:r>
                      <w:rPr>
                        <w:rFonts w:ascii="Cambria Math" w:hAnsi="Cambria Math"/>
                        <w:lang w:val="en-CA"/>
                      </w:rPr>
                      <m:t>1</m:t>
                    </m:r>
                  </m:num>
                  <m:den>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1</m:t>
                        </m:r>
                      </m:sub>
                    </m:sSub>
                  </m:den>
                </m:f>
              </m:e>
            </m:d>
            <m:d>
              <m:dPr>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uu</m:t>
                    </m:r>
                  </m:sub>
                </m:sSub>
                <m:r>
                  <w:rPr>
                    <w:rFonts w:ascii="Cambria Math" w:hAnsi="Cambria Math"/>
                    <w:lang w:val="en-CA"/>
                  </w:rPr>
                  <m:t>+</m:t>
                </m:r>
                <m:f>
                  <m:fPr>
                    <m:ctrlPr>
                      <w:rPr>
                        <w:rFonts w:ascii="Cambria Math" w:hAnsi="Cambria Math"/>
                        <w:i/>
                        <w:lang w:val="en-CA"/>
                      </w:rPr>
                    </m:ctrlPr>
                  </m:fPr>
                  <m:num>
                    <m:r>
                      <w:rPr>
                        <w:rFonts w:ascii="Cambria Math" w:hAnsi="Cambria Math"/>
                        <w:lang w:val="en-CA"/>
                      </w:rPr>
                      <m:t>1</m:t>
                    </m:r>
                  </m:num>
                  <m:den>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u</m:t>
                        </m:r>
                      </m:sub>
                    </m:sSub>
                  </m:den>
                </m:f>
              </m:e>
            </m:d>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G</m:t>
                </m:r>
              </m:e>
              <m:sub>
                <m:r>
                  <w:rPr>
                    <w:rFonts w:ascii="Cambria Math" w:hAnsi="Cambria Math"/>
                    <w:lang w:val="en-CA"/>
                  </w:rPr>
                  <m:t>u1</m:t>
                </m:r>
              </m:sub>
              <m:sup>
                <m:r>
                  <w:rPr>
                    <w:rFonts w:ascii="Cambria Math" w:hAnsi="Cambria Math"/>
                    <w:lang w:val="en-CA"/>
                  </w:rPr>
                  <m:t>2</m:t>
                </m:r>
              </m:sup>
            </m:sSubSup>
          </m:e>
        </m:d>
      </m:oMath>
      <w:r w:rsidR="00AB6D43" w:rsidRPr="00EC5244">
        <w:rPr>
          <w:lang w:val="en-CA"/>
        </w:rPr>
        <w:tab/>
      </w:r>
      <w:r w:rsidR="00AB6D43" w:rsidRPr="00EC5244">
        <w:rPr>
          <w:lang w:val="en-CA"/>
        </w:rPr>
        <w:tab/>
      </w:r>
      <w:r w:rsidR="00AB6D43" w:rsidRPr="00EC5244">
        <w:rPr>
          <w:lang w:val="en-CA"/>
        </w:rPr>
        <w:tab/>
      </w:r>
      <w:r w:rsidR="00CE78AA" w:rsidRPr="00EC5244">
        <w:rPr>
          <w:lang w:val="en-CA"/>
        </w:rPr>
        <w:t xml:space="preserve">(18) </w:t>
      </w:r>
    </w:p>
    <w:p w14:paraId="106BB34E" w14:textId="7F99FCE6" w:rsidR="00CE78AA" w:rsidRPr="00EC5244" w:rsidRDefault="00BD359E" w:rsidP="00675CF7">
      <w:pPr>
        <w:pStyle w:val="TAMainText"/>
        <w:ind w:firstLine="0"/>
        <w:rPr>
          <w:lang w:val="en-CA"/>
        </w:rPr>
      </w:pPr>
      <w:r w:rsidRPr="00EC5244">
        <w:rPr>
          <w:lang w:val="en-CA"/>
        </w:rPr>
        <w:t xml:space="preserve">in </w:t>
      </w:r>
      <w:r w:rsidR="00C4181C" w:rsidRPr="00EC5244">
        <w:rPr>
          <w:lang w:val="en-CA"/>
        </w:rPr>
        <w:t xml:space="preserve">which </w:t>
      </w:r>
      <m:oMath>
        <m:d>
          <m:dPr>
            <m:begChr m:val="["/>
            <m:endChr m:val="]"/>
            <m:ctrlPr>
              <w:rPr>
                <w:rFonts w:ascii="Cambria Math" w:hAnsi="Cambria Math"/>
                <w:i/>
                <w:lang w:val="en-CA"/>
              </w:rPr>
            </m:ctrlPr>
          </m:dPr>
          <m:e>
            <m:d>
              <m:dPr>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11</m:t>
                    </m:r>
                  </m:sub>
                </m:sSub>
                <m:r>
                  <w:rPr>
                    <w:rFonts w:ascii="Cambria Math" w:hAnsi="Cambria Math"/>
                    <w:lang w:val="en-CA"/>
                  </w:rPr>
                  <m:t>+</m:t>
                </m:r>
                <m:f>
                  <m:fPr>
                    <m:ctrlPr>
                      <w:rPr>
                        <w:rFonts w:ascii="Cambria Math" w:hAnsi="Cambria Math"/>
                        <w:i/>
                        <w:lang w:val="en-CA"/>
                      </w:rPr>
                    </m:ctrlPr>
                  </m:fPr>
                  <m:num>
                    <m:r>
                      <w:rPr>
                        <w:rFonts w:ascii="Cambria Math" w:hAnsi="Cambria Math"/>
                        <w:lang w:val="en-CA"/>
                      </w:rPr>
                      <m:t>1</m:t>
                    </m:r>
                  </m:num>
                  <m:den>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1</m:t>
                        </m:r>
                      </m:sub>
                    </m:sSub>
                  </m:den>
                </m:f>
              </m:e>
            </m:d>
            <m:d>
              <m:dPr>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uu</m:t>
                    </m:r>
                  </m:sub>
                </m:sSub>
                <m:r>
                  <w:rPr>
                    <w:rFonts w:ascii="Cambria Math" w:hAnsi="Cambria Math"/>
                    <w:lang w:val="en-CA"/>
                  </w:rPr>
                  <m:t>+</m:t>
                </m:r>
                <m:f>
                  <m:fPr>
                    <m:ctrlPr>
                      <w:rPr>
                        <w:rFonts w:ascii="Cambria Math" w:hAnsi="Cambria Math"/>
                        <w:i/>
                        <w:lang w:val="en-CA"/>
                      </w:rPr>
                    </m:ctrlPr>
                  </m:fPr>
                  <m:num>
                    <m:r>
                      <w:rPr>
                        <w:rFonts w:ascii="Cambria Math" w:hAnsi="Cambria Math"/>
                        <w:lang w:val="en-CA"/>
                      </w:rPr>
                      <m:t>1</m:t>
                    </m:r>
                  </m:num>
                  <m:den>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u</m:t>
                        </m:r>
                      </m:sub>
                    </m:sSub>
                  </m:den>
                </m:f>
              </m:e>
            </m:d>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G</m:t>
                </m:r>
              </m:e>
              <m:sub>
                <m:r>
                  <w:rPr>
                    <w:rFonts w:ascii="Cambria Math" w:hAnsi="Cambria Math"/>
                    <w:lang w:val="en-CA"/>
                  </w:rPr>
                  <m:t>u1</m:t>
                </m:r>
              </m:sub>
              <m:sup>
                <m:r>
                  <w:rPr>
                    <w:rFonts w:ascii="Cambria Math" w:hAnsi="Cambria Math"/>
                    <w:lang w:val="en-CA"/>
                  </w:rPr>
                  <m:t>2</m:t>
                </m:r>
              </m:sup>
            </m:sSubSup>
          </m:e>
        </m:d>
      </m:oMath>
      <w:r w:rsidR="00CE78AA" w:rsidRPr="00EC5244">
        <w:rPr>
          <w:lang w:val="en-CA"/>
        </w:rPr>
        <w:t xml:space="preserve"> </w:t>
      </w:r>
      <w:r w:rsidR="00C4181C" w:rsidRPr="00EC5244">
        <w:rPr>
          <w:lang w:val="en-CA"/>
        </w:rPr>
        <w:t xml:space="preserve">can be proven to be positive based upon Schwartz inequality. </w:t>
      </w:r>
      <w:r w:rsidR="00381C25" w:rsidRPr="00EC5244">
        <w:rPr>
          <w:lang w:val="en-CA"/>
        </w:rPr>
        <w:t xml:space="preserve">This can also be proven through the thermodynamic stability condition using </w:t>
      </w:r>
      <m:oMath>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11</m:t>
            </m:r>
          </m:sub>
        </m:sSub>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uu</m:t>
            </m:r>
          </m:sub>
        </m:sSub>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B</m:t>
            </m:r>
          </m:e>
          <m:sub>
            <m:r>
              <w:rPr>
                <w:rFonts w:ascii="Cambria Math" w:hAnsi="Cambria Math"/>
                <w:lang w:val="en-CA"/>
              </w:rPr>
              <m:t>1u</m:t>
            </m:r>
          </m:sub>
          <m:sup>
            <m:r>
              <w:rPr>
                <w:rFonts w:ascii="Cambria Math" w:hAnsi="Cambria Math"/>
                <w:lang w:val="en-CA"/>
              </w:rPr>
              <m:t>2</m:t>
            </m:r>
          </m:sup>
        </m:sSubSup>
        <m:r>
          <w:rPr>
            <w:rFonts w:ascii="Cambria Math" w:hAnsi="Cambria Math"/>
            <w:lang w:val="en-CA"/>
          </w:rPr>
          <m:t>=</m:t>
        </m:r>
        <m:f>
          <m:fPr>
            <m:ctrlPr>
              <w:rPr>
                <w:rFonts w:ascii="Cambria Math" w:hAnsi="Cambria Math"/>
                <w:i/>
                <w:lang w:val="en-CA"/>
              </w:rPr>
            </m:ctrlPr>
          </m:fPr>
          <m:num>
            <m:r>
              <w:rPr>
                <w:rFonts w:ascii="Cambria Math" w:hAnsi="Cambria Math"/>
                <w:lang w:val="en-CA"/>
              </w:rPr>
              <m:t>1</m:t>
            </m:r>
          </m:num>
          <m:den>
            <m:r>
              <w:rPr>
                <w:rFonts w:ascii="Cambria Math" w:hAnsi="Cambria Math"/>
                <w:lang w:val="en-CA"/>
              </w:rPr>
              <m:t>RT</m:t>
            </m:r>
          </m:den>
        </m:f>
        <m:sSub>
          <m:sSubPr>
            <m:ctrlPr>
              <w:rPr>
                <w:rFonts w:ascii="Cambria Math" w:hAnsi="Cambria Math"/>
                <w:i/>
                <w:lang w:val="en-CA"/>
              </w:rPr>
            </m:ctrlPr>
          </m:sSubPr>
          <m:e>
            <m:d>
              <m:dPr>
                <m:ctrlPr>
                  <w:rPr>
                    <w:rFonts w:ascii="Cambria Math" w:hAnsi="Cambria Math"/>
                    <w:i/>
                    <w:lang w:val="en-CA"/>
                  </w:rPr>
                </m:ctrlPr>
              </m:dPr>
              <m:e>
                <m:f>
                  <m:fPr>
                    <m:ctrlPr>
                      <w:rPr>
                        <w:rFonts w:ascii="Cambria Math" w:hAnsi="Cambria Math"/>
                        <w:i/>
                        <w:lang w:val="en-CA"/>
                      </w:rPr>
                    </m:ctrlPr>
                  </m:fPr>
                  <m:num>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u</m:t>
                        </m:r>
                      </m:sub>
                    </m:sSub>
                  </m:num>
                  <m:den>
                    <m:r>
                      <w:rPr>
                        <w:rFonts w:ascii="Cambria Math" w:hAnsi="Cambria Math"/>
                        <w:lang w:val="en-CA"/>
                      </w:rPr>
                      <m:t>∂</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2</m:t>
                        </m:r>
                      </m:sub>
                    </m:sSub>
                  </m:den>
                </m:f>
              </m:e>
            </m:d>
          </m:e>
          <m:sub>
            <m:r>
              <w:rPr>
                <w:rFonts w:ascii="Cambria Math" w:hAnsi="Cambria Math"/>
                <w:lang w:val="en-CA"/>
              </w:rPr>
              <m:t>T,</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j≠2</m:t>
                </m:r>
              </m:sub>
            </m:sSub>
          </m:sub>
        </m:sSub>
        <m:d>
          <m:dPr>
            <m:begChr m:val="|"/>
            <m:endChr m:val="|"/>
            <m:ctrlPr>
              <w:rPr>
                <w:rFonts w:ascii="Cambria Math" w:hAnsi="Cambria Math"/>
                <w:i/>
                <w:lang w:val="en-CA"/>
              </w:rPr>
            </m:ctrlPr>
          </m:dPr>
          <m:e>
            <m:r>
              <w:rPr>
                <w:rFonts w:ascii="Cambria Math" w:hAnsi="Cambria Math"/>
                <w:lang w:val="en-CA"/>
              </w:rPr>
              <m:t>B</m:t>
            </m:r>
          </m:e>
        </m:d>
        <m:r>
          <w:rPr>
            <w:rFonts w:ascii="Cambria Math" w:hAnsi="Cambria Math"/>
            <w:lang w:val="en-CA"/>
          </w:rPr>
          <m:t>&gt;0</m:t>
        </m:r>
      </m:oMath>
      <w:r w:rsidR="00381C25" w:rsidRPr="00EC5244">
        <w:rPr>
          <w:lang w:val="en-CA"/>
        </w:rPr>
        <w:t>.</w:t>
      </w:r>
      <w:r w:rsidR="004E54F0" w:rsidRPr="00EC5244">
        <w:rPr>
          <w:lang w:val="en-CA"/>
        </w:rPr>
        <w:fldChar w:fldCharType="begin" w:fldLock="1"/>
      </w:r>
      <w:r w:rsidR="004E54F0" w:rsidRPr="00EC5244">
        <w:rPr>
          <w:lang w:val="en-CA"/>
        </w:rPr>
        <w:instrText>ADDIN CSL_CITATION { "citationItems" : [ { "id" : "ITEM-1", "itemData" : { "author" : [ { "dropping-particle" : "", "family" : "Gazzillo", "given" : "Domeniko", "non-dropping-particle" : "", "parse-names" : false, "suffix" : "" } ], "container-title" : "Molecular Physics", "id" : "ITEM-1", "issue" : "6", "issued" : { "date-parts" : [ [ "1994" ] ] }, "page" : "1171-1190", "title" : "Stability of fluids with more than two components I. General thermodynamic theory and concentration-concentration structure factor", "type" : "article-journal", "volume" : "83" }, "uris" : [ "http://www.mendeley.com/documents/?uuid=baaba04b-189e-49ed-90c2-8163457aa0b3" ] } ], "mendeley" : { "formattedCitation" : "&lt;sup&gt;52&lt;/sup&gt;", "plainTextFormattedCitation" : "52", "previouslyFormattedCitation" : "&lt;sup&gt;52&lt;/sup&gt;" }, "properties" : { "noteIndex" : 0 }, "schema" : "https://github.com/citation-style-language/schema/raw/master/csl-citation.json" }</w:instrText>
      </w:r>
      <w:r w:rsidR="004E54F0" w:rsidRPr="00EC5244">
        <w:rPr>
          <w:lang w:val="en-CA"/>
        </w:rPr>
        <w:fldChar w:fldCharType="separate"/>
      </w:r>
      <w:r w:rsidR="004E54F0" w:rsidRPr="00EC5244">
        <w:rPr>
          <w:noProof/>
          <w:vertAlign w:val="superscript"/>
          <w:lang w:val="en-CA"/>
        </w:rPr>
        <w:t>52</w:t>
      </w:r>
      <w:r w:rsidR="004E54F0" w:rsidRPr="00EC5244">
        <w:rPr>
          <w:lang w:val="en-CA"/>
        </w:rPr>
        <w:fldChar w:fldCharType="end"/>
      </w:r>
      <w:r w:rsidR="00381C25" w:rsidRPr="00EC5244">
        <w:rPr>
          <w:lang w:val="en-CA"/>
        </w:rPr>
        <w:t xml:space="preserve"> </w:t>
      </w:r>
      <w:r w:rsidR="00CE78AA" w:rsidRPr="00EC5244">
        <w:rPr>
          <w:lang w:val="en-CA"/>
        </w:rPr>
        <w:t xml:space="preserve">We have shown that the two driving forces of solubilization </w:t>
      </w:r>
      <w:r w:rsidR="001335E9" w:rsidRPr="00EC5244">
        <w:rPr>
          <w:lang w:val="en-CA"/>
        </w:rPr>
        <w:t>identified in Section 2.1 still holds true</w:t>
      </w:r>
      <w:r w:rsidR="00CE78AA" w:rsidRPr="00EC5244">
        <w:rPr>
          <w:lang w:val="en-CA"/>
        </w:rPr>
        <w:t xml:space="preserve"> even for concentrated solutes. </w:t>
      </w:r>
    </w:p>
    <w:p w14:paraId="764E18DE" w14:textId="77777777" w:rsidR="00675CF7" w:rsidRPr="00EC5244" w:rsidRDefault="00675CF7" w:rsidP="00675CF7">
      <w:pPr>
        <w:pStyle w:val="TAMainText"/>
        <w:ind w:firstLine="0"/>
        <w:rPr>
          <w:lang w:val="en-CA"/>
        </w:rPr>
      </w:pPr>
    </w:p>
    <w:p w14:paraId="0D1F18D5" w14:textId="03988CE7" w:rsidR="00FA2F3A" w:rsidRPr="00EC5244" w:rsidRDefault="006F588C" w:rsidP="00283FBB">
      <w:pPr>
        <w:pStyle w:val="TAMainText"/>
        <w:ind w:firstLine="0"/>
        <w:rPr>
          <w:b/>
          <w:lang w:val="en-CA"/>
        </w:rPr>
      </w:pPr>
      <w:r w:rsidRPr="00EC5244">
        <w:rPr>
          <w:b/>
          <w:lang w:val="en-CA"/>
        </w:rPr>
        <w:t>5.</w:t>
      </w:r>
      <w:r w:rsidR="00FA2F3A" w:rsidRPr="00EC5244">
        <w:rPr>
          <w:b/>
          <w:lang w:val="en-CA"/>
        </w:rPr>
        <w:t>2. Biphasic systems</w:t>
      </w:r>
    </w:p>
    <w:p w14:paraId="34954DD5" w14:textId="77777777" w:rsidR="00253ACE" w:rsidRPr="00EC5244" w:rsidRDefault="00253ACE" w:rsidP="00283FBB">
      <w:pPr>
        <w:pStyle w:val="TAMainText"/>
        <w:ind w:firstLine="0"/>
        <w:rPr>
          <w:lang w:val="en-CA"/>
        </w:rPr>
      </w:pPr>
    </w:p>
    <w:p w14:paraId="50BF9F11" w14:textId="03CFABEB" w:rsidR="00253ACE" w:rsidRPr="00EC5244" w:rsidRDefault="00675CF7" w:rsidP="00283FBB">
      <w:pPr>
        <w:pStyle w:val="TAMainText"/>
        <w:ind w:firstLine="0"/>
        <w:rPr>
          <w:lang w:val="en-CA"/>
        </w:rPr>
      </w:pPr>
      <w:r w:rsidRPr="00EC5244">
        <w:rPr>
          <w:lang w:val="en-CA"/>
        </w:rPr>
        <w:t>To illustrate the principle, let us consider the system of t</w:t>
      </w:r>
      <w:r w:rsidR="00253ACE" w:rsidRPr="00EC5244">
        <w:rPr>
          <w:lang w:val="en-CA"/>
        </w:rPr>
        <w:t>hree components (</w:t>
      </w:r>
      <m:oMath>
        <m:r>
          <w:rPr>
            <w:rFonts w:ascii="Cambria Math" w:hAnsi="Cambria Math"/>
            <w:lang w:val="en-CA"/>
          </w:rPr>
          <m:t>C=3</m:t>
        </m:r>
      </m:oMath>
      <w:r w:rsidR="00253ACE" w:rsidRPr="00EC5244">
        <w:rPr>
          <w:lang w:val="en-CA"/>
        </w:rPr>
        <w:t>) with two phases (</w:t>
      </w:r>
      <m:oMath>
        <m:r>
          <w:rPr>
            <w:rFonts w:ascii="Cambria Math" w:hAnsi="Cambria Math"/>
            <w:lang w:val="en-CA"/>
          </w:rPr>
          <m:t>P=2</m:t>
        </m:r>
      </m:oMath>
      <w:r w:rsidR="00253ACE" w:rsidRPr="00EC5244">
        <w:rPr>
          <w:lang w:val="en-CA"/>
        </w:rPr>
        <w:t xml:space="preserve">) yields </w:t>
      </w:r>
      <m:oMath>
        <m:r>
          <w:rPr>
            <w:rFonts w:ascii="Cambria Math" w:hAnsi="Cambria Math"/>
            <w:lang w:val="en-CA"/>
          </w:rPr>
          <m:t>F=3-2+2=3</m:t>
        </m:r>
      </m:oMath>
      <w:r w:rsidR="00253ACE" w:rsidRPr="00EC5244">
        <w:rPr>
          <w:lang w:val="en-CA"/>
        </w:rPr>
        <w:t xml:space="preserve"> as the degree of freedom. Under isothermal condition (</w:t>
      </w:r>
      <m:oMath>
        <m:r>
          <w:rPr>
            <w:rFonts w:ascii="Cambria Math" w:hAnsi="Cambria Math"/>
            <w:lang w:val="en-CA"/>
          </w:rPr>
          <m:t>T</m:t>
        </m:r>
      </m:oMath>
      <w:r w:rsidR="00253ACE" w:rsidRPr="00EC5244">
        <w:rPr>
          <w:lang w:val="en-CA"/>
        </w:rPr>
        <w:t xml:space="preserve">=constant), there are two other variables that can be changed independently. </w:t>
      </w:r>
      <w:r w:rsidR="005B0131" w:rsidRPr="00EC5244">
        <w:t xml:space="preserve">One cannot control </w:t>
      </w:r>
      <w:r w:rsidR="00080940" w:rsidRPr="00EC5244">
        <w:rPr>
          <w:lang w:val="en-CA"/>
        </w:rPr>
        <w:t xml:space="preserve">the concentrations of the solute, water, and hydrotropes independently. </w:t>
      </w:r>
      <w:r w:rsidR="00253ACE" w:rsidRPr="00EC5244">
        <w:rPr>
          <w:lang w:val="en-CA"/>
        </w:rPr>
        <w:t xml:space="preserve">Under this condition, there are only two independent KB integrals determinable in principle out of solute-solute, solute-water and solute-hydrotrope. This means that two relative KB integrals are determinable. Any one of the three KBI can be a reference, </w:t>
      </w:r>
      <w:r w:rsidR="005B0131" w:rsidRPr="00EC5244">
        <w:rPr>
          <w:lang w:val="en-CA"/>
        </w:rPr>
        <w:t xml:space="preserve">and Gibbs dividing surface is an example </w:t>
      </w:r>
      <w:r w:rsidR="00653FC6" w:rsidRPr="00EC5244">
        <w:rPr>
          <w:lang w:val="en-CA"/>
        </w:rPr>
        <w:t>with the solute-water KBI as the reference</w:t>
      </w:r>
      <w:r w:rsidR="006D3CF7" w:rsidRPr="00EC5244">
        <w:rPr>
          <w:lang w:val="en-CA"/>
        </w:rPr>
        <w:t xml:space="preserve">. But </w:t>
      </w:r>
      <w:r w:rsidR="00253ACE" w:rsidRPr="00EC5244">
        <w:rPr>
          <w:lang w:val="en-CA"/>
        </w:rPr>
        <w:t>suppose that we choose solute-solute as a reference. In this case the two relative KBIs, i.e., (solute-water)-(solute-solute) and (solute-hydrotrope)-(solute-solute)</w:t>
      </w:r>
      <w:r w:rsidR="00080940" w:rsidRPr="00EC5244">
        <w:rPr>
          <w:lang w:val="en-CA"/>
        </w:rPr>
        <w:t>, are determinable in principle</w:t>
      </w:r>
      <w:r w:rsidR="00B21683" w:rsidRPr="00EC5244">
        <w:rPr>
          <w:lang w:val="en-CA"/>
        </w:rPr>
        <w:t xml:space="preserve">. This is not the ideal of full information, </w:t>
      </w:r>
      <w:r w:rsidR="00080940" w:rsidRPr="00EC5244">
        <w:rPr>
          <w:lang w:val="en-CA"/>
        </w:rPr>
        <w:t>yet</w:t>
      </w:r>
      <w:r w:rsidR="00B21683" w:rsidRPr="00EC5244">
        <w:rPr>
          <w:lang w:val="en-CA"/>
        </w:rPr>
        <w:t xml:space="preserve"> it</w:t>
      </w:r>
      <w:r w:rsidR="00080940" w:rsidRPr="00EC5244">
        <w:rPr>
          <w:lang w:val="en-CA"/>
        </w:rPr>
        <w:t xml:space="preserve"> is informative enough to yields the </w:t>
      </w:r>
      <w:r w:rsidR="00D8794C" w:rsidRPr="00EC5244">
        <w:rPr>
          <w:lang w:val="en-CA"/>
        </w:rPr>
        <w:t xml:space="preserve">partitioning of the solute into two phases. </w:t>
      </w:r>
      <w:r w:rsidR="00F40C5C" w:rsidRPr="00EC5244">
        <w:rPr>
          <w:lang w:val="en-CA"/>
        </w:rPr>
        <w:t xml:space="preserve">The KBIs can be determinable also by the inversion of the KB theory. </w:t>
      </w:r>
    </w:p>
    <w:p w14:paraId="7F2E99F9" w14:textId="77777777" w:rsidR="00253ACE" w:rsidRPr="00EC5244" w:rsidRDefault="00253ACE" w:rsidP="00283FBB">
      <w:pPr>
        <w:pStyle w:val="TAMainText"/>
        <w:ind w:firstLine="0"/>
        <w:rPr>
          <w:b/>
          <w:lang w:val="en-CA"/>
        </w:rPr>
      </w:pPr>
    </w:p>
    <w:p w14:paraId="043C7D86" w14:textId="6E9233CE" w:rsidR="00FA2F3A" w:rsidRPr="00EC5244" w:rsidRDefault="006F588C" w:rsidP="00283FBB">
      <w:pPr>
        <w:pStyle w:val="TAMainText"/>
        <w:ind w:firstLine="0"/>
        <w:rPr>
          <w:b/>
          <w:lang w:val="en-CA"/>
        </w:rPr>
      </w:pPr>
      <w:r w:rsidRPr="00EC5244">
        <w:rPr>
          <w:b/>
          <w:lang w:val="en-CA"/>
        </w:rPr>
        <w:t>5</w:t>
      </w:r>
      <w:r w:rsidR="00FA2F3A" w:rsidRPr="00EC5244">
        <w:rPr>
          <w:b/>
          <w:lang w:val="en-CA"/>
        </w:rPr>
        <w:t>.3. Micel</w:t>
      </w:r>
      <w:r w:rsidR="00444FD8" w:rsidRPr="00EC5244">
        <w:rPr>
          <w:b/>
          <w:lang w:val="en-CA"/>
        </w:rPr>
        <w:t>lar solubilization</w:t>
      </w:r>
    </w:p>
    <w:p w14:paraId="12CB19CC" w14:textId="77777777" w:rsidR="00D8794C" w:rsidRPr="00EC5244" w:rsidRDefault="00D8794C" w:rsidP="00283FBB">
      <w:pPr>
        <w:pStyle w:val="TAMainText"/>
        <w:ind w:firstLine="0"/>
        <w:rPr>
          <w:lang w:val="en-CA"/>
        </w:rPr>
      </w:pPr>
    </w:p>
    <w:p w14:paraId="04B0041D" w14:textId="7A666774" w:rsidR="00C4181C" w:rsidRPr="00EC5244" w:rsidRDefault="00675CF7" w:rsidP="005B0131">
      <w:pPr>
        <w:pStyle w:val="TAMainText"/>
        <w:ind w:firstLine="0"/>
        <w:rPr>
          <w:lang w:val="en-CA"/>
        </w:rPr>
      </w:pPr>
      <w:r w:rsidRPr="00EC5244">
        <w:rPr>
          <w:lang w:val="en-CA"/>
        </w:rPr>
        <w:t>For illustration purposes, we</w:t>
      </w:r>
      <w:r w:rsidR="00D8794C" w:rsidRPr="00EC5244">
        <w:rPr>
          <w:lang w:val="en-CA"/>
        </w:rPr>
        <w:t xml:space="preserve"> consider a four component (</w:t>
      </w:r>
      <m:oMath>
        <m:r>
          <w:rPr>
            <w:rFonts w:ascii="Cambria Math" w:hAnsi="Cambria Math"/>
            <w:lang w:val="en-CA"/>
          </w:rPr>
          <m:t>C=4</m:t>
        </m:r>
      </m:oMath>
      <w:r w:rsidR="00D8794C" w:rsidRPr="00EC5244">
        <w:rPr>
          <w:lang w:val="en-CA"/>
        </w:rPr>
        <w:t>) system comprised of wat</w:t>
      </w:r>
      <w:r w:rsidR="00164C2C" w:rsidRPr="00EC5244">
        <w:rPr>
          <w:lang w:val="en-CA"/>
        </w:rPr>
        <w:t>er, monomer, micelle and solute.</w:t>
      </w:r>
      <w:r w:rsidR="00D8794C" w:rsidRPr="00EC5244">
        <w:rPr>
          <w:lang w:val="en-CA"/>
        </w:rPr>
        <w:t xml:space="preserve"> The system is in a single phase (</w:t>
      </w:r>
      <m:oMath>
        <m:r>
          <w:rPr>
            <w:rFonts w:ascii="Cambria Math" w:hAnsi="Cambria Math"/>
            <w:lang w:val="en-CA"/>
          </w:rPr>
          <m:t>P=1</m:t>
        </m:r>
      </m:oMath>
      <w:r w:rsidR="00D8794C" w:rsidRPr="00EC5244">
        <w:rPr>
          <w:lang w:val="en-CA"/>
        </w:rPr>
        <w:t xml:space="preserve">). Hence </w:t>
      </w:r>
      <m:oMath>
        <m:r>
          <w:rPr>
            <w:rFonts w:ascii="Cambria Math" w:hAnsi="Cambria Math"/>
            <w:lang w:val="en-CA"/>
          </w:rPr>
          <m:t>F=4-1+2=5</m:t>
        </m:r>
      </m:oMath>
      <w:r w:rsidR="00D8794C" w:rsidRPr="00EC5244">
        <w:rPr>
          <w:lang w:val="en-CA"/>
        </w:rPr>
        <w:t xml:space="preserve">.  A further consideration of an additional </w:t>
      </w:r>
      <w:r w:rsidR="00164C2C" w:rsidRPr="00EC5244">
        <w:rPr>
          <w:lang w:val="en-CA"/>
        </w:rPr>
        <w:t xml:space="preserve">stoichiometric </w:t>
      </w:r>
      <w:r w:rsidR="00D8794C" w:rsidRPr="00EC5244">
        <w:rPr>
          <w:lang w:val="en-CA"/>
        </w:rPr>
        <w:t xml:space="preserve">constraint in terms of the monomer-micelle equilibrium reduces </w:t>
      </w:r>
      <m:oMath>
        <m:r>
          <w:rPr>
            <w:rFonts w:ascii="Cambria Math" w:hAnsi="Cambria Math"/>
            <w:lang w:val="en-CA"/>
          </w:rPr>
          <m:t>F=4</m:t>
        </m:r>
      </m:oMath>
      <w:r w:rsidR="00D8794C" w:rsidRPr="00EC5244">
        <w:rPr>
          <w:lang w:val="en-CA"/>
        </w:rPr>
        <w:t xml:space="preserve">. This, under constant temperature, guarantees three more independent variables, leading to the independent determination of three KB integrals out of four that involve the solute. </w:t>
      </w:r>
      <w:r w:rsidR="00C4181C" w:rsidRPr="00EC5244">
        <w:rPr>
          <w:lang w:val="en-CA"/>
        </w:rPr>
        <w:t xml:space="preserve">Note that the number of independent KB integrals involving solute is unchanged by the presence of micellar equilibrium from Section 5.1. </w:t>
      </w:r>
      <w:r w:rsidR="0053425B" w:rsidRPr="00EC5244">
        <w:rPr>
          <w:lang w:val="en-CA"/>
        </w:rPr>
        <w:t xml:space="preserve">The following two options are especially useful. </w:t>
      </w:r>
    </w:p>
    <w:p w14:paraId="0A4DEFC9" w14:textId="77777777" w:rsidR="0053425B" w:rsidRPr="00EC5244" w:rsidRDefault="0053425B" w:rsidP="005B0131">
      <w:pPr>
        <w:pStyle w:val="TAMainText"/>
        <w:ind w:firstLine="0"/>
        <w:rPr>
          <w:lang w:val="en-CA"/>
        </w:rPr>
      </w:pPr>
    </w:p>
    <w:p w14:paraId="4DAE0FF2" w14:textId="55CA3FDC" w:rsidR="000F5FCD" w:rsidRPr="00EC5244" w:rsidRDefault="0053425B" w:rsidP="0053425B">
      <w:pPr>
        <w:pStyle w:val="TAMainText"/>
        <w:rPr>
          <w:lang w:val="en-CA"/>
        </w:rPr>
      </w:pPr>
      <w:r w:rsidRPr="00EC5244">
        <w:rPr>
          <w:b/>
          <w:lang w:val="en-CA"/>
        </w:rPr>
        <w:t>KBIs relative to solute-solute.</w:t>
      </w:r>
      <w:r w:rsidRPr="00EC5244">
        <w:rPr>
          <w:lang w:val="en-CA"/>
        </w:rPr>
        <w:t xml:space="preserve"> T</w:t>
      </w:r>
      <w:r w:rsidR="00776FFF" w:rsidRPr="00EC5244">
        <w:rPr>
          <w:lang w:val="en-CA"/>
        </w:rPr>
        <w:t>hree KB integrals are fundamentally determinable relative to the one chosen as the reference.</w:t>
      </w:r>
      <w:r w:rsidR="00392F53" w:rsidRPr="00EC5244">
        <w:t xml:space="preserve"> When the solute-solute KBI is taken as the reference, the solute-water, solute-monomer, and solute-micelle KBIs can be determined as the differences from the solute-solute KBI. This is in strong contrast to the arguments in the first paragraph of section 4.1. The contrast is only apparent, however. At finite concentration, one can define the solute-solute KBI and can use it as a reference, whereas with a single solute fixed at the origin of the system, the “solute concentration” does not exist as a controllable variable and </w:t>
      </w:r>
      <w:r w:rsidR="00392F53" w:rsidRPr="00EC5244">
        <w:rPr>
          <w:i/>
        </w:rPr>
        <w:t>F</w:t>
      </w:r>
      <w:r w:rsidR="006D3CF7" w:rsidRPr="00EC5244">
        <w:t xml:space="preserve"> de</w:t>
      </w:r>
      <w:r w:rsidR="00392F53" w:rsidRPr="00EC5244">
        <w:t>creases by one.</w:t>
      </w:r>
      <w:r w:rsidR="006D3CF7" w:rsidRPr="00EC5244">
        <w:rPr>
          <w:color w:val="FF0000"/>
        </w:rPr>
        <w:t xml:space="preserve"> </w:t>
      </w:r>
      <w:r w:rsidR="000F5FCD" w:rsidRPr="00EC5244">
        <w:rPr>
          <w:lang w:val="en-CA"/>
        </w:rPr>
        <w:t xml:space="preserve">The monomer-micelle equilibrium condition </w:t>
      </w:r>
      <w:r w:rsidR="005B0131" w:rsidRPr="00EC5244">
        <w:rPr>
          <w:lang w:val="en-CA"/>
        </w:rPr>
        <w:t xml:space="preserve">thus </w:t>
      </w:r>
      <w:r w:rsidR="000F5FCD" w:rsidRPr="00EC5244">
        <w:rPr>
          <w:lang w:val="en-CA"/>
        </w:rPr>
        <w:t xml:space="preserve">reduces the rank of the A and B matrices by one, but the inversion procedure (Eqs. (11)-(13)) is still applicable to this system. </w:t>
      </w:r>
    </w:p>
    <w:p w14:paraId="30D2A6D9" w14:textId="402A92E1" w:rsidR="00164C2C" w:rsidRPr="00EC5244" w:rsidRDefault="00164C2C" w:rsidP="005B0131">
      <w:pPr>
        <w:pStyle w:val="TAMainText"/>
        <w:ind w:firstLine="0"/>
        <w:rPr>
          <w:lang w:val="en-CA"/>
        </w:rPr>
      </w:pPr>
    </w:p>
    <w:p w14:paraId="09DFDAAD" w14:textId="037AC413" w:rsidR="00164C2C" w:rsidRPr="00EC5244" w:rsidRDefault="0053425B" w:rsidP="0053425B">
      <w:pPr>
        <w:pStyle w:val="TAMainText"/>
      </w:pPr>
      <w:r w:rsidRPr="00EC5244">
        <w:rPr>
          <w:b/>
        </w:rPr>
        <w:t>Implicit treatment of micelle formation.</w:t>
      </w:r>
      <w:r w:rsidRPr="00EC5244">
        <w:t xml:space="preserve"> Instead of considering micelle as an additional species in the solution, it is possible to treat the solution as a three-component system (water, surfactant and solute) by considering micelle formation in terms of </w:t>
      </w:r>
      <m:oMath>
        <m:sSub>
          <m:sSubPr>
            <m:ctrlPr>
              <w:rPr>
                <w:rFonts w:ascii="Cambria Math" w:hAnsi="Cambria Math"/>
                <w:i/>
              </w:rPr>
            </m:ctrlPr>
          </m:sSubPr>
          <m:e>
            <m:r>
              <w:rPr>
                <w:rFonts w:ascii="Cambria Math" w:hAnsi="Cambria Math"/>
              </w:rPr>
              <m:t>G</m:t>
            </m:r>
          </m:e>
          <m:sub>
            <m:r>
              <w:rPr>
                <w:rFonts w:ascii="Cambria Math" w:hAnsi="Cambria Math"/>
              </w:rPr>
              <m:t>22</m:t>
            </m:r>
          </m:sub>
        </m:sSub>
      </m:oMath>
      <w:r w:rsidRPr="00EC5244">
        <w:t xml:space="preserve"> instead of adopting stoichiometric equilibrium and the aggregation number </w:t>
      </w:r>
      <m:oMath>
        <m:r>
          <w:rPr>
            <w:rFonts w:ascii="Cambria Math" w:hAnsi="Cambria Math"/>
          </w:rPr>
          <m:t>m</m:t>
        </m:r>
      </m:oMath>
      <w:r w:rsidRPr="00EC5244">
        <w:t xml:space="preserve"> in the ad-hoc manner, as has been done earlier in this section. Hence the KB-based approach presented in Sections 3.1 and 5.1 are still applicable to micellar solutions. This approach is especially useful when the self-association or pre-clustering in the solution cannot be dealt with under the assumption of mono-dispersity. Indeed, the </w:t>
      </w:r>
      <w:r w:rsidR="00164C2C" w:rsidRPr="00EC5244">
        <w:t xml:space="preserve">presence of solutes in solution can drastically affect the </w:t>
      </w:r>
      <w:r w:rsidR="00B21683" w:rsidRPr="00EC5244">
        <w:t xml:space="preserve">critical </w:t>
      </w:r>
      <w:r w:rsidR="00164C2C" w:rsidRPr="00EC5244">
        <w:t>micelle concentration</w:t>
      </w:r>
      <w:r w:rsidRPr="00EC5244">
        <w:t xml:space="preserve"> </w:t>
      </w:r>
      <w:r w:rsidR="00164C2C" w:rsidRPr="00EC5244">
        <w:t>and the aggregation number.</w:t>
      </w:r>
      <w:r w:rsidR="00164C2C" w:rsidRPr="00EC5244">
        <w:fldChar w:fldCharType="begin" w:fldLock="1"/>
      </w:r>
      <w:r w:rsidR="001335E9" w:rsidRPr="00EC5244">
        <w:instrText>ADDIN CSL_CITATION { "citationItems" : [ { "id" : "ITEM-1", "itemData" : { "ISBN" : "0824790995", "abstract" : "Literaturangaben", "author" : [ { "dropping-particle" : "", "family" : "Ward", "given" : "T J", "non-dropping-particle" : "", "parse-names" : false, "suffix" : "" }, { "dropping-particle" : "", "family" : "Ward", "given" : "K D", "non-dropping-particle" : "", "parse-names" : false, "suffix" : "" } ], "container-title" : "Solubilization in surfactant aggregates", "editor" : [ { "dropping-particle" : "", "family" : "Christian", "given" : "Sherril Duane", "non-dropping-particle" : "", "parse-names" : false, "suffix" : "" }, { "dropping-particle" : "", "family" : "Scamehorn", "given" : "J F", "non-dropping-particle" : "", "parse-names" : false, "suffix" : "" } ], "id" : "ITEM-1", "issued" : { "date-parts" : [ [ "1995" ] ] }, "page" : "518-540", "publisher" : "Marcel Dekker", "publisher-place" : "New York", "title" : "Solubilization in micellar separations.", "type" : "chapter" }, "uris" : [ "http://www.mendeley.com/documents/?uuid=d2162ac4-2c33-352b-89a4-af193f854db5" ] }, { "id" : "ITEM-2", "itemData" : { "DOI" : "10.1021/acs.langmuir.6b00477", "ISSN" : "0743-7463", "abstract" : "Taking advantage of the extremely high dependence of surface tension on the concentration of amphiphilic molecules in aqueous solution, a new model based on the double equilibrium between free and aggregated molecules in the liquid phase and between free molecules in the liquid phase and those adsorbed at the air/liquid interface is presented and validated using literature data and fluorescence measurements. A key point of the model is the use of both the Langmuir isotherm and the Gibbs adsorption equation in terms of free molecules instead of the nominal concentration of the solute. The application of the model should be limited to non ionic compounds since it does not consider the presence of counterions. It requires several coupled nonlinear fittings for which we developed a software that is publicly available in our server as a web application. Using this tool, it is straightforward to get the average aggregation number of an amphiphile, the micellization free energy, the adsorption constant, the maxi...", "author" : [ { "dropping-particle" : "", "family" : "Garrido", "given" : "Pablo F.", "non-dropping-particle" : "", "parse-names" : false, "suffix" : "" }, { "dropping-particle" : "", "family" : "Brocos", "given" : "Pilar", "non-dropping-particle" : "", "parse-names" : false, "suffix" : "" }, { "dropping-particle" : "", "family" : "Amigo", "given" : "Alfredo", "non-dropping-particle" : "", "parse-names" : false, "suffix" : "" }, { "dropping-particle" : "", "family" : "Garc\u00eda-R\u00edo", "given" : "Luis", "non-dropping-particle" : "", "parse-names" : false, "suffix" : "" }, { "dropping-particle" : "", "family" : "Gracia-Fadrique", "given" : "Jes\u00fas", "non-dropping-particle" : "", "parse-names" : false, "suffix" : "" }, { "dropping-particle" : "", "family" : "Pi\u00f1eiro", "given" : "\u00c1ngel", "non-dropping-particle" : "", "parse-names" : false, "suffix" : "" } ], "container-title" : "Langmuir", "id" : "ITEM-2", "issue" : "16", "issued" : { "date-parts" : [ [ "2016", "4", "26" ] ] }, "page" : "3917-3925", "publisher" : "American Chemical Society", "title" : "STAND: Surface Tension for Aggregation Number Determination", "type" : "article-journal", "volume" : "32" }, "uris" : [ "http://www.mendeley.com/documents/?uuid=cedf4130-f76d-34c7-9934-de03092bb4a4" ] } ], "mendeley" : { "formattedCitation" : "&lt;sup&gt;53,54&lt;/sup&gt;", "plainTextFormattedCitation" : "53,54", "previouslyFormattedCitation" : "&lt;sup&gt;53,54&lt;/sup&gt;" }, "properties" : { "noteIndex" : 0 }, "schema" : "https://github.com/citation-style-language/schema/raw/master/csl-citation.json" }</w:instrText>
      </w:r>
      <w:r w:rsidR="00164C2C" w:rsidRPr="00EC5244">
        <w:fldChar w:fldCharType="separate"/>
      </w:r>
      <w:r w:rsidR="001335E9" w:rsidRPr="00EC5244">
        <w:rPr>
          <w:noProof/>
          <w:vertAlign w:val="superscript"/>
        </w:rPr>
        <w:t>53,54</w:t>
      </w:r>
      <w:r w:rsidR="00164C2C" w:rsidRPr="00EC5244">
        <w:fldChar w:fldCharType="end"/>
      </w:r>
      <w:r w:rsidR="00164C2C" w:rsidRPr="00EC5244">
        <w:t xml:space="preserve"> </w:t>
      </w:r>
      <w:r w:rsidRPr="00EC5244">
        <w:t xml:space="preserve">We shall demonstrate the explanatory power of this approach in the following. </w:t>
      </w:r>
    </w:p>
    <w:p w14:paraId="1F2260AA" w14:textId="40076BA2" w:rsidR="00164C2C" w:rsidRPr="00EC5244" w:rsidRDefault="00164C2C" w:rsidP="005B0131">
      <w:pPr>
        <w:pStyle w:val="TAMainText"/>
        <w:ind w:firstLine="0"/>
        <w:rPr>
          <w:lang w:val="en-CA"/>
        </w:rPr>
      </w:pPr>
    </w:p>
    <w:p w14:paraId="4085C92D" w14:textId="40B4FC15" w:rsidR="00AA7E5C" w:rsidRPr="00EC5244" w:rsidRDefault="006F588C" w:rsidP="00AA7E5C">
      <w:pPr>
        <w:pStyle w:val="TAMainText"/>
        <w:ind w:firstLine="0"/>
        <w:rPr>
          <w:b/>
          <w:lang w:val="en-CA"/>
        </w:rPr>
      </w:pPr>
      <w:r w:rsidRPr="00EC5244">
        <w:rPr>
          <w:b/>
          <w:lang w:val="en-CA"/>
        </w:rPr>
        <w:t>5</w:t>
      </w:r>
      <w:r w:rsidR="003F7247" w:rsidRPr="00EC5244">
        <w:rPr>
          <w:b/>
          <w:lang w:val="en-CA"/>
        </w:rPr>
        <w:t xml:space="preserve">.4. </w:t>
      </w:r>
      <w:r w:rsidR="00AA7E5C" w:rsidRPr="00EC5244">
        <w:rPr>
          <w:b/>
          <w:lang w:val="en-CA"/>
        </w:rPr>
        <w:t xml:space="preserve">Effect of </w:t>
      </w:r>
      <w:r w:rsidR="003F7247" w:rsidRPr="00EC5244">
        <w:rPr>
          <w:b/>
          <w:lang w:val="en-CA"/>
        </w:rPr>
        <w:t xml:space="preserve">mesoscale </w:t>
      </w:r>
      <w:r w:rsidR="00AA7E5C" w:rsidRPr="00EC5244">
        <w:rPr>
          <w:b/>
          <w:lang w:val="en-CA"/>
        </w:rPr>
        <w:t>pre-clustering on solubilization</w:t>
      </w:r>
    </w:p>
    <w:p w14:paraId="1B036CEF" w14:textId="77777777" w:rsidR="00AA7E5C" w:rsidRPr="00EC5244" w:rsidRDefault="00AA7E5C" w:rsidP="00AA7E5C">
      <w:pPr>
        <w:pStyle w:val="TAMainText"/>
        <w:ind w:firstLine="0"/>
        <w:rPr>
          <w:lang w:val="en-CA"/>
        </w:rPr>
      </w:pPr>
    </w:p>
    <w:p w14:paraId="3181CC68" w14:textId="17E5F130" w:rsidR="00171757" w:rsidRPr="00EC5244" w:rsidRDefault="00E90C50" w:rsidP="000C6FBF">
      <w:pPr>
        <w:pStyle w:val="TAMainText"/>
        <w:ind w:firstLine="0"/>
        <w:rPr>
          <w:lang w:val="en-CA"/>
        </w:rPr>
      </w:pPr>
      <w:r w:rsidRPr="00EC5244">
        <w:rPr>
          <w:lang w:val="en-CA"/>
        </w:rPr>
        <w:t xml:space="preserve">Let us again consider a three-component mixture consisting of water, hydrotrope and solute. </w:t>
      </w:r>
      <w:r w:rsidR="00EC21B8" w:rsidRPr="00EC5244">
        <w:rPr>
          <w:lang w:val="en-CA"/>
        </w:rPr>
        <w:t>Some hydrotropes, such as tert-butyl alcohol,</w:t>
      </w:r>
      <w:r w:rsidR="00D63CEF" w:rsidRPr="00EC5244">
        <w:rPr>
          <w:lang w:val="en-CA"/>
        </w:rPr>
        <w:fldChar w:fldCharType="begin" w:fldLock="1"/>
      </w:r>
      <w:r w:rsidR="00D63CEF" w:rsidRPr="00EC5244">
        <w:rPr>
          <w:lang w:val="en-CA"/>
        </w:rPr>
        <w:instrText>ADDIN CSL_CITATION { "citationItems" : [ { "id" : "ITEM-1", "itemData" : { "DOI" : "10.1039/C6CP06696H", "ISSN" : "1463-9076", "abstract" : "In the present contribution, the pre-structuring of binary mixtures of hydrotropes and H2O is linked to the solubilisation of poorly water miscible compounds. We have chosen a series of short-chain alcohols as hydrotropes and benzyl alcohol, limonene and a hydrophobic azo-dye (Disperse Red 13) as organic compounds to be dissolved. A very weak pre-structuring is found for ethanol/H2O and 2-propanol/H2O mixtures. Pre-structuring is most developed for binary 1-propanol/H2O and tert-butanol/H2O mixtures and supports the bicontinuity model of alcohol-rich and water-rich domains as already postulated by Anisimov et al. Such a pre-structuring leads to a high solubilisation power for poorly water miscible components (limonene and Disperse Red, characterized by high octanol/water partition coefficients, log(P) values of 4.5 and 4.85), whereas a very weak pre-structuring leads to a high solubilisation power for slightly water miscible components (benzyl alcohol). This difference in solubilisation power can be linked to (i) the formation of mesoscale structures in the cases of ethanol and 2-propanol and (ii) the extension of pre-structures in the cases of 1-propanol and tert-butanol. Three different solubilisation mechanisms could be identified: bulk solubilisation, interface solubilisation and a combination of both. These supramolecular structures in binary and ternary systems were investigated by small-and-wide-angle X-ray and neutron scattering, dynamic light scattering and conductivity measurements (in the presence of small amounts of salt).", "author" : [ { "dropping-particle" : "", "family" : "Buchecker", "given" : "Thomas", "non-dropping-particle" : "", "parse-names" : false, "suffix" : "" }, { "dropping-particle" : "", "family" : "Krickl", "given" : "Sebastian", "non-dropping-particle" : "", "parse-names" : false, "suffix" : "" }, { "dropping-particle" : "", "family" : "Winkler", "given" : "Robert", "non-dropping-particle" : "", "parse-names" : false, "suffix" : "" }, { "dropping-particle" : "", "family" : "Grillo", "given" : "Isabelle", "non-dropping-particle" : "", "parse-names" : false, "suffix" : "" }, { "dropping-particle" : "", "family" : "Bauduin", "given" : "Pierre", "non-dropping-particle" : "", "parse-names" : false, "suffix" : "" }, { "dropping-particle" : "", "family" : "Touraud", "given" : "Didier", "non-dropping-particle" : "", "parse-names" : false, "suffix" : "" }, { "dropping-particle" : "", "family" : "Pfitzner", "given" : "Arno", "non-dropping-particle" : "", "parse-names" : false, "suffix" : "" }, { "dropping-particle" : "", "family" : "Kunz", "given" : "Werner", "non-dropping-particle" : "", "parse-names" : false, "suffix" : "" }, { "dropping-particle" : "", "family" : "Cubitt", "given" : "R.", "non-dropping-particle" : "", "parse-names" : false, "suffix" : "" }, { "dropping-particle" : "", "family" : "Marelja", "given" : "S.", "non-dropping-particle" : "", "parse-names" : false, "suffix" : "" }, { "dropping-particle" : "", "family" : "Kunz", "given" : "W.", "non-dropping-particle" : "", "parse-names" : false, "suffix" : "" } ], "container-title" : "Phys. Chem. Chem. Phys.", "id" : "ITEM-1", "issue" : "3", "issued" : { "date-parts" : [ [ "2017" ] ] }, "page" : "1806-1816", "publisher" : "The Royal Society of Chemistry", "title" : "The impact of the structuring of hydrotropes in water on the mesoscale solubilisation of a third hydrophobic component", "type" : "article-journal", "volume" : "19" }, "uris" : [ "http://www.mendeley.com/documents/?uuid=e46e28c7-f3ae-377d-8317-fe42ef858478" ] } ], "mendeley" : { "formattedCitation" : "&lt;sup&gt;55&lt;/sup&gt;", "plainTextFormattedCitation" : "55", "previouslyFormattedCitation" : "&lt;sup&gt;55&lt;/sup&gt;" }, "properties" : { "noteIndex" : 0 }, "schema" : "https://github.com/citation-style-language/schema/raw/master/csl-citation.json" }</w:instrText>
      </w:r>
      <w:r w:rsidR="00D63CEF" w:rsidRPr="00EC5244">
        <w:rPr>
          <w:lang w:val="en-CA"/>
        </w:rPr>
        <w:fldChar w:fldCharType="separate"/>
      </w:r>
      <w:r w:rsidR="00D63CEF" w:rsidRPr="00EC5244">
        <w:rPr>
          <w:noProof/>
          <w:vertAlign w:val="superscript"/>
          <w:lang w:val="en-CA"/>
        </w:rPr>
        <w:t>55</w:t>
      </w:r>
      <w:r w:rsidR="00D63CEF" w:rsidRPr="00EC5244">
        <w:rPr>
          <w:lang w:val="en-CA"/>
        </w:rPr>
        <w:fldChar w:fldCharType="end"/>
      </w:r>
      <w:r w:rsidR="00EC21B8" w:rsidRPr="00EC5244">
        <w:rPr>
          <w:lang w:val="en-CA"/>
        </w:rPr>
        <w:t xml:space="preserve"> are known to form mesoscale aggregates and droplets when mixed with water, that can be detected by scattering measurements using light, X-ray and neutron. Scattering intensity increase is observed in a region in the pha</w:t>
      </w:r>
      <w:r w:rsidR="00AA7E5C" w:rsidRPr="00EC5244">
        <w:rPr>
          <w:lang w:val="en-CA"/>
        </w:rPr>
        <w:t>se diagram close to de-mixing</w:t>
      </w:r>
      <w:r w:rsidR="00AA7E5C" w:rsidRPr="00EC5244">
        <w:rPr>
          <w:lang w:val="en-CA"/>
        </w:rPr>
        <w:fldChar w:fldCharType="begin" w:fldLock="1"/>
      </w:r>
      <w:r w:rsidR="00D63CEF" w:rsidRPr="00EC5244">
        <w:rPr>
          <w:lang w:val="en-CA"/>
        </w:rPr>
        <w:instrText>ADDIN CSL_CITATION { "citationItems" : [ { "id" : "ITEM-1", "itemData" : { "DOI" : "10.1021/jp2041795", "ISSN" : "1520-6106", "abstract" : "We have resolved a long-standing issue in the discussion on the origin of the mesoscale inhomogeneities observed in aqueous solutions of tertiary butyl alcohol (TBA). We have shown that the formation of stable mesoscale particles (of about 100 nm in size) can be triggered by the addition of trace amounts of propylene oxide (an impurity expected to be present in all commercial samples of TBA) to a solution, which was previously filtered at a low temperature to remove these inhomogeneities. We hypothesize that these particles are aggregates of mixed clathrate-hydrates that are formed through the stabilization of fluctuations of the intrinsic structure in TBA aqueous solutions by the clathrate-forming ability of propylene oxide.", "author" : [ { "dropping-particle" : "", "family" : "Subramanian", "given" : "Deepa", "non-dropping-particle" : "", "parse-names" : false, "suffix" : "" }, { "dropping-particle" : "", "family" : "Anisimov", "given" : "Mikhail A.", "non-dropping-particle" : "", "parse-names" : false, "suffix" : "" } ], "container-title" : "The Journal of Physical Chemistry B", "id" : "ITEM-1", "issue" : "29", "issued" : { "date-parts" : [ [ "2011", "7", "28" ] ] }, "page" : "9179-9183", "publisher" : "American Chemical Society", "title" : "Resolving the Mystery of Aqueous Solutions of Tertiary Butyl Alcohol", "type" : "article-journal", "volume" : "115" }, "uris" : [ "http://www.mendeley.com/documents/?uuid=e35c491f-e526-37be-a096-be3ce1a09ba3" ] }, { "id" : "ITEM-2", "itemData" : { "DOI" : "10.1039/C3FD00070B", "ISBN" : "1359-6640", "ISSN" : "1359-6640", "abstract" : "Small amphiphilic molecules, also known as hydrotropes, are too small to form micelles in aqueous solutions. However, aqueous solutions of nonionic hydrotropes show the presence of a dynamic, loose, non-covalent clustering in the water-rich region. This clustering can be viewed as \"micelle-like structural fluctuations\". Although these fluctuations are short ranged ([similar]1 nm) and short lived (10 ps-50 ps), they may lead to thermodynamic anomalies. In addition, many experiments on aqueous solutions of hydrotropes show the occasional presence of mesoscale ([similar]100 nm) inhomogeneities. We have combined results obtained from molecular dynamics simulations, small-angle neutron scattering, and dynamic light-scattering experiments carried out on tertiary butyl alcohol (hydrotrope)-water solutions and on tertiary butyl alcohol-water-cyclohexane (hydrophobe) solutions to elucidate the nature and structure of these inhomogeneities. We have shown that stable mesoscale inhomogeneities occur in aqueous solutions of nonionic hydrotropes only when the solution contains a third, more hydrophobic, component. Moreover, these inhomogeneities exist in ternary systems only in the concentration range where structural fluctuations and thermodynamic anomalies are observed in the binary water-hydrotrope solutions. Addition of a hydrophobe seems to stabilize the water-hydrotrope structural fluctuations, and leads to the formation of larger (mesoscopic) droplets. The structure of these mesoscopic droplets is such that they have a hydrophobe-rich core, surrounded by a hydrogen-bonded shell of water and hydrotrope molecules. These droplets can be extremely long-lived, being stable for over a year. We refer to the phenomenon of formation of mesoscopic droplets in aqueous solutions of nonionic hydrotropes containing hydrophobes, as mesoscale solubilization. This phenomenon may represent a ubiquitous feature of nonionic hydrotropes that exhibit clustering in water, and may have important practical applications in areas, such as drug delivery, where the replacement of traditional surfactants may be necessary.", "author" : [ { "dropping-particle" : "", "family" : "Subramanian", "given" : "Deepa", "non-dropping-particle" : "", "parse-names" : false, "suffix" : "" }, { "dropping-particle" : "", "family" : "Boughter", "given" : "Christopher T", "non-dropping-particle" : "", "parse-names" : false, "suffix" : "" }, { "dropping-particle" : "", "family" : "Klauda", "given" : "Jeffery B", "non-dropping-particle" : "", "parse-names" : false, "suffix" : "" }, { "dropping-particle" : "", "family" : "Hammouda", "given" : "Boualem", "non-dropping-particle" : "", "parse-names" : false, "suffix" : "" }, { "dropping-particle" : "", "family" : "Anisimov", "given" : "Mikhail a", "non-dropping-particle" : "", "parse-names" : false, "suffix" : "" } ], "container-title" : "Faraday Discussions", "id" : "ITEM-2", "issue" : "0", "issued" : { "date-parts" : [ [ "2013" ] ] }, "page" : "217-238", "title" : "Mesoscale inhomogeneities in aqueous solutions of small amphiphilic molecules", "type" : "article-journal", "volume" : "167" }, "uris" : [ "http://www.mendeley.com/documents/?uuid=bb6973ca-a622-4eb4-8c29-e6c0a6bae19d" ] }, { "id" : "ITEM-3", "itemData" : { "DOI" : "10.1021/jp4125183", "ISSN" : "15205207", "PMID" : "24823321", "abstract" : "The phase behavior and mesoscopic inhomogeneities in the ternary system of tertiary butyl alcohol (TBA), water, and propylene oxide (PO) have been studied by static and dynamic light scattering, gas chromatography, mass spectrometry, and molecular dynamics simulations. Mesoscale inhomogeneities are observed in this system in a broad range of PO concentrations, from 0.02 to about 65 mass %, and at certain TBA/water mass ratios varying from about 3/97 to about 30/70. This TBA/water composition domain corresponds to a region where short-lived micelle-like molecular clustering and thermodynamic anomalies are observed in the TBA-water binary system. At dilute PO concentrations (0.02 to about 1 mass %) the mesoscale inhomogeneities are Brownian diffusive droplets, with a size of the order of a hundred nanometers. We hypothesize that these droplets have a hydrophobic core enriched by oily impurities and oligomerized PO molecules. A hydrogen-bonded layer of TBA, water, and PO molecules surrounds this hydrophobic core. At high PO concentrations (beyond 50 mass %), the interfacial curvature of the mesoscopic inhomogeneities changes its sign and the exteriors of these inhomogeneities become hydrophobic. The inversion of the internal curvature may result in the formation of a spongelike bicontinuous mesoscale structure at intermediate PO concentrations. This mesostructure appears to be at a nonequilibrium state, although extremely long-lived.", "author" : [ { "dropping-particle" : "", "family" : "Subramanian", "given" : "Deepa", "non-dropping-particle" : "", "parse-names" : false, "suffix" : "" }, { "dropping-particle" : "", "family" : "Klauda", "given" : "Jeffery B.", "non-dropping-particle" : "", "parse-names" : false, "suffix" : "" }, { "dropping-particle" : "", "family" : "Collings", "given" : "Peter J.", "non-dropping-particle" : "", "parse-names" : false, "suffix" : "" }, { "dropping-particle" : "", "family" : "Anisimov", "given" : "Mikhail A.", "non-dropping-particle" : "", "parse-names" : false, "suffix" : "" } ], "container-title" : "Journal of Physical Chemistry B", "id" : "ITEM-3", "issue" : "22", "issued" : { "date-parts" : [ [ "2014" ] ] }, "page" : "5994-6006", "title" : "Mesoscale phenomena in ternary solutions of tertiary butyl alcohol, water, and propylene oxide", "type" : "article-journal", "volume" : "118" }, "uris" : [ "http://www.mendeley.com/documents/?uuid=47a95caa-9185-42c5-b3fa-37974f78019f" ] }, { "id" : "ITEM-4", "itemData" : { "DOI" : "10.1016/j.cocis.2016.02.003", "ISSN" : "18790399", "abstract" : "Aggregation in liquid mixtures is a ubiquitous phenomenon when water and at the same time rather unpolar compounds are present. Of special interest in recent years have been systems, in which the tendency of phase separation of a binary mixture is overcome by the solubilization ability of a short-chain alcohol as a third component. In such systems, polar and nonpolar domains coexist in absence of traditional long-chain surfactants. Their microemulsion-like properties, which lead to the names \"detergent-less microemulsions\" and \"surfactant-free microemulsions\" (SFMEs), have been studied by a variety of experimental methods and by simulations. In this review we summarize work that has been pursued to characterize these systems and give a short account of their various applications.", "author" : [ { "dropping-particle" : "", "family" : "Sch\u00f6ttl", "given" : "Sebastian", "non-dropping-particle" : "", "parse-names" : false, "suffix" : "" }, { "dropping-particle" : "", "family" : "Horinek", "given" : "Dominik", "non-dropping-particle" : "", "parse-names" : false, "suffix" : "" } ], "container-title" : "Current Opinion in Colloid and Interface Science", "id" : "ITEM-4", "issued" : { "date-parts" : [ [ "2016" ] ] }, "page" : "8-13", "publisher" : "Elsevier Ltd", "title" : "Aggregation in detergent-free ternary mixtures with microemulsion-like properties", "type" : "article-journal", "volume" : "22" }, "uris" : [ "http://www.mendeley.com/documents/?uuid=8b428efd-3a4c-4ab1-8a7f-cc337bceb4d7" ] } ], "mendeley" : { "formattedCitation" : "&lt;sup&gt;56\u201359&lt;/sup&gt;", "plainTextFormattedCitation" : "56\u201359", "previouslyFormattedCitation" : "&lt;sup&gt;56\u201359&lt;/sup&gt;" }, "properties" : { "noteIndex" : 0 }, "schema" : "https://github.com/citation-style-language/schema/raw/master/csl-citation.json" }</w:instrText>
      </w:r>
      <w:r w:rsidR="00AA7E5C" w:rsidRPr="00EC5244">
        <w:rPr>
          <w:lang w:val="en-CA"/>
        </w:rPr>
        <w:fldChar w:fldCharType="separate"/>
      </w:r>
      <w:r w:rsidR="00D63CEF" w:rsidRPr="00EC5244">
        <w:rPr>
          <w:noProof/>
          <w:vertAlign w:val="superscript"/>
          <w:lang w:val="en-CA"/>
        </w:rPr>
        <w:t>56–59</w:t>
      </w:r>
      <w:r w:rsidR="00AA7E5C" w:rsidRPr="00EC5244">
        <w:rPr>
          <w:lang w:val="en-CA"/>
        </w:rPr>
        <w:fldChar w:fldCharType="end"/>
      </w:r>
      <w:r w:rsidR="00D15A20" w:rsidRPr="00EC5244">
        <w:rPr>
          <w:lang w:val="en-CA"/>
        </w:rPr>
        <w:t xml:space="preserve"> but the </w:t>
      </w:r>
      <w:r w:rsidR="00EC21B8" w:rsidRPr="00EC5244">
        <w:rPr>
          <w:lang w:val="en-CA"/>
        </w:rPr>
        <w:t>general consensus is that this fluctuat</w:t>
      </w:r>
      <w:r w:rsidR="00AA7E5C" w:rsidRPr="00EC5244">
        <w:rPr>
          <w:lang w:val="en-CA"/>
        </w:rPr>
        <w:t>ion, corresponding to mesoscale</w:t>
      </w:r>
      <w:r w:rsidR="00EC21B8" w:rsidRPr="00EC5244">
        <w:rPr>
          <w:lang w:val="en-CA"/>
        </w:rPr>
        <w:t xml:space="preserve"> aggregation</w:t>
      </w:r>
      <w:r w:rsidR="00AA7E5C" w:rsidRPr="00EC5244">
        <w:rPr>
          <w:lang w:val="en-CA"/>
        </w:rPr>
        <w:t xml:space="preserve"> or “bicontinuous phase”</w:t>
      </w:r>
      <w:r w:rsidR="00EC21B8" w:rsidRPr="00EC5244">
        <w:rPr>
          <w:lang w:val="en-CA"/>
        </w:rPr>
        <w:t>, is distinct from critical density fluctuations.</w:t>
      </w:r>
      <w:r w:rsidR="00AD68C8" w:rsidRPr="00EC5244">
        <w:rPr>
          <w:lang w:val="en-CA"/>
        </w:rPr>
        <w:fldChar w:fldCharType="begin" w:fldLock="1"/>
      </w:r>
      <w:r w:rsidR="00D63CEF" w:rsidRPr="00EC5244">
        <w:rPr>
          <w:lang w:val="en-CA"/>
        </w:rPr>
        <w:instrText>ADDIN CSL_CITATION { "citationItems" : [ { "id" : "ITEM-1", "itemData" : { "DOI" : "10.1016/j.cocis.2016.02.003", "ISSN" : "18790399", "abstract" : "Aggregation in liquid mixtures is a ubiquitous phenomenon when water and at the same time rather unpolar compounds are present. Of special interest in recent years have been systems, in which the tendency of phase separation of a binary mixture is overcome by the solubilization ability of a short-chain alcohol as a third component. In such systems, polar and nonpolar domains coexist in absence of traditional long-chain surfactants. Their microemulsion-like properties, which lead to the names \"detergent-less microemulsions\" and \"surfactant-free microemulsions\" (SFMEs), have been studied by a variety of experimental methods and by simulations. In this review we summarize work that has been pursued to characterize these systems and give a short account of their various applications.", "author" : [ { "dropping-particle" : "", "family" : "Sch\u00f6ttl", "given" : "Sebastian", "non-dropping-particle" : "", "parse-names" : false, "suffix" : "" }, { "dropping-particle" : "", "family" : "Horinek", "given" : "Dominik", "non-dropping-particle" : "", "parse-names" : false, "suffix" : "" } ], "container-title" : "Current Opinion in Colloid and Interface Science", "id" : "ITEM-1", "issued" : { "date-parts" : [ [ "2016" ] ] }, "page" : "8-13", "publisher" : "Elsevier Ltd", "title" : "Aggregation in detergent-free ternary mixtures with microemulsion-like properties", "type" : "article-journal", "volume" : "22" }, "uris" : [ "http://www.mendeley.com/documents/?uuid=8b428efd-3a4c-4ab1-8a7f-cc337bceb4d7" ] }, { "id" : "ITEM-2", "itemData" : { "DOI" : "10.1039/c4sc00153b", "ISSN" : "2041-6520", "abstract" : "Curious effects ranging from enzyme activity to anomalies in evaporation rates that have been known for over fifty years suggest the existence and thermodynamic stability of surfactant-free micelles. Only recently, joint X-ray, light and neutron scattering experiments have demonstrated that aggregates and bulk pseudo-phases coexist in presumably normal solutions, in which a water insoluble component is solubilized in a certain domain of concentration of a hydrotrope component like ethanol. Nevertheless, nothing is known about the molecular-level shape and structure of such aggregates. In this work we characterize mixtures of octanol, ethanol, and water by molecular dynamics simulations. For compositions in the \" pre-ouzo \" region (close to the single phase stability limit) we observe micelle-like aggregates that are clearly distinct from simple critical density fluctuations. We define an ethanol partition in the pseudo-phase from an integral of the van der Waals dispersion energy term. From this partition, octanol-rich aggregates swollen with ethanol appear with an emerging interface. Ethanol is present in the water pseudo-phase with an exponential decay similar to the one predicted by Marcelja and Radic forty years ago.", "author" : [ { "dropping-particle" : "", "family" : "Sch\u00f6ttl", "given" : "S.", "non-dropping-particle" : "", "parse-names" : false, "suffix" : "" }, { "dropping-particle" : "", "family" : "Marcus", "given" : "J.", "non-dropping-particle" : "", "parse-names" : false, "suffix" : "" }, { "dropping-particle" : "", "family" : "Diat", "given" : "O.", "non-dropping-particle" : "", "parse-names" : false, "suffix" : "" }, { "dropping-particle" : "", "family" : "Touraud", "given" : "D.", "non-dropping-particle" : "", "parse-names" : false, "suffix" : "" }, { "dropping-particle" : "", "family" : "Kunz", "given" : "W.", "non-dropping-particle" : "", "parse-names" : false, "suffix" : "" }, { "dropping-particle" : "", "family" : "Zemb", "given" : "T.", "non-dropping-particle" : "", "parse-names" : false, "suffix" : "" }, { "dropping-particle" : "", "family" : "Horinek", "given" : "D.", "non-dropping-particle" : "", "parse-names" : false, "suffix" : "" } ], "container-title" : "Chemical Science", "id" : "ITEM-2", "issue" : "8", "issued" : { "date-parts" : [ [ "2014" ] ] }, "page" : "2909-3340", "title" : "Emergence of surfactant-free micelles from ternary solutions", "type" : "article-journal", "volume" : "5" }, "uris" : [ "http://www.mendeley.com/documents/?uuid=f5865d9c-ccb8-46bb-bcb1-2f7942864abd" ] } ], "mendeley" : { "formattedCitation" : "&lt;sup&gt;59,60&lt;/sup&gt;", "plainTextFormattedCitation" : "59,60", "previouslyFormattedCitation" : "&lt;sup&gt;59,60&lt;/sup&gt;" }, "properties" : { "noteIndex" : 0 }, "schema" : "https://github.com/citation-style-language/schema/raw/master/csl-citation.json" }</w:instrText>
      </w:r>
      <w:r w:rsidR="00AD68C8" w:rsidRPr="00EC5244">
        <w:rPr>
          <w:lang w:val="en-CA"/>
        </w:rPr>
        <w:fldChar w:fldCharType="separate"/>
      </w:r>
      <w:r w:rsidR="00D63CEF" w:rsidRPr="00EC5244">
        <w:rPr>
          <w:noProof/>
          <w:vertAlign w:val="superscript"/>
          <w:lang w:val="en-CA"/>
        </w:rPr>
        <w:t>59,60</w:t>
      </w:r>
      <w:r w:rsidR="00AD68C8" w:rsidRPr="00EC5244">
        <w:rPr>
          <w:lang w:val="en-CA"/>
        </w:rPr>
        <w:fldChar w:fldCharType="end"/>
      </w:r>
      <w:r w:rsidR="00AD68C8" w:rsidRPr="00EC5244">
        <w:rPr>
          <w:lang w:val="en-CA"/>
        </w:rPr>
        <w:t xml:space="preserve"> </w:t>
      </w:r>
      <w:r w:rsidRPr="00EC5244">
        <w:rPr>
          <w:lang w:val="en-CA"/>
        </w:rPr>
        <w:t>The difference from Section 5.3 is that hydrotropes can form mesoscale structuring much larger than micelles and hence applying stoichiometry to model aggregation is not a good idea.</w:t>
      </w:r>
      <w:r w:rsidR="00EC21B8" w:rsidRPr="00EC5244">
        <w:rPr>
          <w:lang w:val="en-CA"/>
        </w:rPr>
        <w:t xml:space="preserve"> </w:t>
      </w:r>
      <w:r w:rsidRPr="00EC5244">
        <w:rPr>
          <w:lang w:val="en-CA"/>
        </w:rPr>
        <w:t>Nevertheless, t</w:t>
      </w:r>
      <w:r w:rsidR="002F7F91" w:rsidRPr="00EC5244">
        <w:rPr>
          <w:lang w:val="en-CA"/>
        </w:rPr>
        <w:t xml:space="preserve">he </w:t>
      </w:r>
      <w:r w:rsidR="00AD68C8" w:rsidRPr="00EC5244">
        <w:rPr>
          <w:lang w:val="en-CA"/>
        </w:rPr>
        <w:t xml:space="preserve">system is still in a </w:t>
      </w:r>
      <w:r w:rsidR="00B10878" w:rsidRPr="00EC5244">
        <w:rPr>
          <w:lang w:val="en-CA"/>
        </w:rPr>
        <w:t>single</w:t>
      </w:r>
      <w:r w:rsidR="00AD68C8" w:rsidRPr="00EC5244">
        <w:rPr>
          <w:lang w:val="en-CA"/>
        </w:rPr>
        <w:t xml:space="preserve"> </w:t>
      </w:r>
      <w:r w:rsidR="002F7F91" w:rsidRPr="00EC5244">
        <w:rPr>
          <w:lang w:val="en-CA"/>
        </w:rPr>
        <w:t>macroscopic</w:t>
      </w:r>
      <w:r w:rsidR="00AD68C8" w:rsidRPr="00EC5244">
        <w:rPr>
          <w:lang w:val="en-CA"/>
        </w:rPr>
        <w:t xml:space="preserve"> </w:t>
      </w:r>
      <w:r w:rsidR="00B10878" w:rsidRPr="00EC5244">
        <w:rPr>
          <w:lang w:val="en-CA"/>
        </w:rPr>
        <w:t>phase</w:t>
      </w:r>
      <w:r w:rsidR="00AD68C8" w:rsidRPr="00EC5244">
        <w:rPr>
          <w:lang w:val="en-CA"/>
        </w:rPr>
        <w:t>,</w:t>
      </w:r>
      <w:r w:rsidR="00AD68C8" w:rsidRPr="00EC5244">
        <w:rPr>
          <w:lang w:val="en-CA"/>
        </w:rPr>
        <w:fldChar w:fldCharType="begin" w:fldLock="1"/>
      </w:r>
      <w:r w:rsidR="00D63CEF" w:rsidRPr="00EC5244">
        <w:rPr>
          <w:lang w:val="en-CA"/>
        </w:rPr>
        <w:instrText>ADDIN CSL_CITATION { "citationItems" : [ { "id" : "ITEM-1", "itemData" : { "DOI" : "10.1016/j.cocis.2016.02.003", "ISSN" : "18790399", "abstract" : "Aggregation in liquid mixtures is a ubiquitous phenomenon when water and at the same time rather unpolar compounds are present. Of special interest in recent years have been systems, in which the tendency of phase separation of a binary mixture is overcome by the solubilization ability of a short-chain alcohol as a third component. In such systems, polar and nonpolar domains coexist in absence of traditional long-chain surfactants. Their microemulsion-like properties, which lead to the names \"detergent-less microemulsions\" and \"surfactant-free microemulsions\" (SFMEs), have been studied by a variety of experimental methods and by simulations. In this review we summarize work that has been pursued to characterize these systems and give a short account of their various applications.", "author" : [ { "dropping-particle" : "", "family" : "Sch\u00f6ttl", "given" : "Sebastian", "non-dropping-particle" : "", "parse-names" : false, "suffix" : "" }, { "dropping-particle" : "", "family" : "Horinek", "given" : "Dominik", "non-dropping-particle" : "", "parse-names" : false, "suffix" : "" } ], "container-title" : "Current Opinion in Colloid and Interface Science", "id" : "ITEM-1", "issued" : { "date-parts" : [ [ "2016" ] ] }, "page" : "8-13", "publisher" : "Elsevier Ltd", "title" : "Aggregation in detergent-free ternary mixtures with microemulsion-like properties", "type" : "article-journal", "volume" : "22" }, "uris" : [ "http://www.mendeley.com/documents/?uuid=8b428efd-3a4c-4ab1-8a7f-cc337bceb4d7" ] } ], "mendeley" : { "formattedCitation" : "&lt;sup&gt;59&lt;/sup&gt;", "plainTextFormattedCitation" : "59", "previouslyFormattedCitation" : "&lt;sup&gt;59&lt;/sup&gt;" }, "properties" : { "noteIndex" : 0 }, "schema" : "https://github.com/citation-style-language/schema/raw/master/csl-citation.json" }</w:instrText>
      </w:r>
      <w:r w:rsidR="00AD68C8" w:rsidRPr="00EC5244">
        <w:rPr>
          <w:lang w:val="en-CA"/>
        </w:rPr>
        <w:fldChar w:fldCharType="separate"/>
      </w:r>
      <w:r w:rsidR="00D63CEF" w:rsidRPr="00EC5244">
        <w:rPr>
          <w:noProof/>
          <w:vertAlign w:val="superscript"/>
          <w:lang w:val="en-CA"/>
        </w:rPr>
        <w:t>59</w:t>
      </w:r>
      <w:r w:rsidR="00AD68C8" w:rsidRPr="00EC5244">
        <w:rPr>
          <w:lang w:val="en-CA"/>
        </w:rPr>
        <w:fldChar w:fldCharType="end"/>
      </w:r>
      <w:r w:rsidR="00B10878" w:rsidRPr="00EC5244">
        <w:rPr>
          <w:lang w:val="en-CA"/>
        </w:rPr>
        <w:t xml:space="preserve"> </w:t>
      </w:r>
      <w:r w:rsidR="00AD68C8" w:rsidRPr="00EC5244">
        <w:rPr>
          <w:lang w:val="en-CA"/>
        </w:rPr>
        <w:t xml:space="preserve">and </w:t>
      </w:r>
      <w:r w:rsidR="00EC21B8" w:rsidRPr="00EC5244">
        <w:rPr>
          <w:lang w:val="en-CA"/>
        </w:rPr>
        <w:t>KB theory for ternary mixture (solute, water and hydrotrope)</w:t>
      </w:r>
      <w:r w:rsidRPr="00EC5244">
        <w:rPr>
          <w:lang w:val="en-CA"/>
        </w:rPr>
        <w:t xml:space="preserve"> </w:t>
      </w:r>
      <w:r w:rsidR="00AD68C8" w:rsidRPr="00EC5244">
        <w:rPr>
          <w:lang w:val="en-CA"/>
        </w:rPr>
        <w:t>can be applied</w:t>
      </w:r>
      <w:r w:rsidR="001C05C4" w:rsidRPr="00EC5244">
        <w:rPr>
          <w:lang w:val="en-CA"/>
        </w:rPr>
        <w:t xml:space="preserve"> </w:t>
      </w:r>
      <w:r w:rsidR="00EC21B8" w:rsidRPr="00EC5244">
        <w:rPr>
          <w:lang w:val="en-CA"/>
        </w:rPr>
        <w:t>to clarify the dr</w:t>
      </w:r>
      <w:r w:rsidR="000C6FBF" w:rsidRPr="00EC5244">
        <w:rPr>
          <w:lang w:val="en-CA"/>
        </w:rPr>
        <w:t xml:space="preserve">iving forces for solubilization. </w:t>
      </w:r>
      <w:r w:rsidR="00D63CEF" w:rsidRPr="00EC5244">
        <w:rPr>
          <w:lang w:val="en-CA"/>
        </w:rPr>
        <w:t xml:space="preserve">This is why the same basic mechanism </w:t>
      </w:r>
      <w:r w:rsidR="000C6FBF" w:rsidRPr="00EC5244">
        <w:rPr>
          <w:lang w:val="en-CA"/>
        </w:rPr>
        <w:t>(Eq. (14))</w:t>
      </w:r>
      <w:r w:rsidR="00D63CEF" w:rsidRPr="00EC5244">
        <w:rPr>
          <w:lang w:val="en-CA"/>
        </w:rPr>
        <w:t xml:space="preserve"> still applies here, which are </w:t>
      </w:r>
      <w:r w:rsidR="00EE5F4F" w:rsidRPr="00EC5244">
        <w:rPr>
          <w:lang w:val="en-CA"/>
        </w:rPr>
        <w:t xml:space="preserve"> </w:t>
      </w:r>
    </w:p>
    <w:p w14:paraId="1B91B9A8" w14:textId="5953BEA9" w:rsidR="00171757" w:rsidRPr="00EC5244" w:rsidRDefault="00171757" w:rsidP="00171757">
      <w:pPr>
        <w:pStyle w:val="TAMainText"/>
        <w:numPr>
          <w:ilvl w:val="0"/>
          <w:numId w:val="7"/>
        </w:numPr>
        <w:rPr>
          <w:lang w:val="en-CA"/>
        </w:rPr>
      </w:pPr>
      <w:r w:rsidRPr="00EC5244">
        <w:rPr>
          <w:lang w:val="en-CA"/>
        </w:rPr>
        <w:t xml:space="preserve">Large positive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u2</m:t>
            </m:r>
          </m:sub>
        </m:sSub>
      </m:oMath>
      <w:r w:rsidRPr="00EC5244">
        <w:rPr>
          <w:lang w:val="en-CA"/>
        </w:rPr>
        <w:t xml:space="preserve"> drives solubilization (Eq. (15)).</w:t>
      </w:r>
    </w:p>
    <w:p w14:paraId="5ACFF17B" w14:textId="77777777" w:rsidR="00171757" w:rsidRPr="00EC5244" w:rsidRDefault="00171757" w:rsidP="00171757">
      <w:pPr>
        <w:pStyle w:val="TAMainText"/>
        <w:numPr>
          <w:ilvl w:val="0"/>
          <w:numId w:val="7"/>
        </w:numPr>
        <w:rPr>
          <w:lang w:val="en-CA"/>
        </w:rPr>
      </w:pPr>
      <w:r w:rsidRPr="00EC5244">
        <w:rPr>
          <w:lang w:val="en-CA"/>
        </w:rPr>
        <w:t xml:space="preserve">Pre-clustering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22</m:t>
            </m:r>
          </m:sub>
        </m:sSub>
      </m:oMath>
      <w:r w:rsidRPr="00EC5244">
        <w:rPr>
          <w:lang w:val="en-CA"/>
        </w:rPr>
        <w:t xml:space="preserve"> which reduces solubilization efficiency (Eq. (16)). </w:t>
      </w:r>
    </w:p>
    <w:p w14:paraId="33E117DA" w14:textId="77D7139D" w:rsidR="00A04BE2" w:rsidRPr="00EC5244" w:rsidRDefault="00FB6A45" w:rsidP="00171757">
      <w:pPr>
        <w:pStyle w:val="TAMainText"/>
        <w:ind w:firstLine="0"/>
        <w:rPr>
          <w:lang w:val="en-CA"/>
        </w:rPr>
      </w:pPr>
      <w:r w:rsidRPr="00EC5244">
        <w:rPr>
          <w:lang w:val="en-CA"/>
        </w:rPr>
        <w:t xml:space="preserve">Here, </w:t>
      </w:r>
    </w:p>
    <w:p w14:paraId="5403A481" w14:textId="20189805" w:rsidR="00171757" w:rsidRPr="00EC5244" w:rsidRDefault="00A04BE2" w:rsidP="00A04BE2">
      <w:pPr>
        <w:pStyle w:val="TAMainText"/>
        <w:rPr>
          <w:lang w:val="en-CA"/>
        </w:rPr>
      </w:pPr>
      <w:r w:rsidRPr="00EC5244">
        <w:rPr>
          <w:b/>
          <w:lang w:val="en-CA"/>
        </w:rPr>
        <w:t xml:space="preserve">Solute-hydrotrope interaction, </w:t>
      </w:r>
      <m:oMath>
        <m:sSub>
          <m:sSubPr>
            <m:ctrlPr>
              <w:rPr>
                <w:rFonts w:ascii="Cambria Math" w:hAnsi="Cambria Math"/>
                <w:b/>
                <w:i/>
                <w:lang w:val="en-CA"/>
              </w:rPr>
            </m:ctrlPr>
          </m:sSubPr>
          <m:e>
            <m:r>
              <m:rPr>
                <m:sty m:val="bi"/>
              </m:rPr>
              <w:rPr>
                <w:rFonts w:ascii="Cambria Math" w:hAnsi="Cambria Math"/>
                <w:lang w:val="en-CA"/>
              </w:rPr>
              <m:t>G</m:t>
            </m:r>
          </m:e>
          <m:sub>
            <m:r>
              <m:rPr>
                <m:sty m:val="bi"/>
              </m:rPr>
              <w:rPr>
                <w:rFonts w:ascii="Cambria Math" w:hAnsi="Cambria Math"/>
                <w:lang w:val="en-CA"/>
              </w:rPr>
              <m:t>u</m:t>
            </m:r>
            <m:r>
              <m:rPr>
                <m:sty m:val="bi"/>
              </m:rPr>
              <w:rPr>
                <w:rFonts w:ascii="Cambria Math" w:hAnsi="Cambria Math"/>
                <w:lang w:val="en-CA"/>
              </w:rPr>
              <m:t>2</m:t>
            </m:r>
          </m:sub>
        </m:sSub>
      </m:oMath>
      <w:r w:rsidRPr="00EC5244">
        <w:rPr>
          <w:b/>
          <w:lang w:val="en-CA"/>
        </w:rPr>
        <w:t>.</w:t>
      </w:r>
      <w:r w:rsidRPr="00EC5244">
        <w:rPr>
          <w:lang w:val="en-CA"/>
        </w:rPr>
        <w:t xml:space="preserve">  </w:t>
      </w:r>
      <w:r w:rsidR="00171757" w:rsidRPr="00EC5244">
        <w:rPr>
          <w:lang w:val="en-CA"/>
        </w:rPr>
        <w:t xml:space="preserve">In </w:t>
      </w:r>
      <w:r w:rsidR="00444FD8" w:rsidRPr="00EC5244">
        <w:rPr>
          <w:lang w:val="en-CA"/>
        </w:rPr>
        <w:t>the case of micellar solubilization</w:t>
      </w:r>
      <w:r w:rsidR="00171757" w:rsidRPr="00EC5244">
        <w:rPr>
          <w:lang w:val="en-CA"/>
        </w:rPr>
        <w:t xml:space="preserve">, </w:t>
      </w:r>
      <w:r w:rsidR="005B26AB" w:rsidRPr="00EC5244">
        <w:rPr>
          <w:lang w:val="en-CA"/>
        </w:rPr>
        <w:t xml:space="preserve">a </w:t>
      </w:r>
      <w:r w:rsidR="00171757" w:rsidRPr="00EC5244">
        <w:rPr>
          <w:lang w:val="en-CA"/>
        </w:rPr>
        <w:t xml:space="preserve">favourable solute-hydrotrope interaction, </w:t>
      </w:r>
      <w:r w:rsidR="005B26AB" w:rsidRPr="00EC5244">
        <w:rPr>
          <w:lang w:val="en-CA"/>
        </w:rPr>
        <w:t xml:space="preserve">signified by a large positive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u2</m:t>
            </m:r>
          </m:sub>
        </m:sSub>
      </m:oMath>
      <w:r w:rsidR="005B26AB" w:rsidRPr="00EC5244">
        <w:rPr>
          <w:lang w:val="en-CA"/>
        </w:rPr>
        <w:t>, can be caused in a variety of manner, as can be seen from the location of the solute such as (a) incorporated inside the hydrophobic interior of the micelle, (b) embedded in the micellar layer, and (c) bound to the micellar surface.</w:t>
      </w:r>
      <w:r w:rsidR="005B26AB" w:rsidRPr="00EC5244">
        <w:rPr>
          <w:lang w:val="en-CA"/>
        </w:rPr>
        <w:fldChar w:fldCharType="begin" w:fldLock="1"/>
      </w:r>
      <w:r w:rsidR="005B26AB" w:rsidRPr="00EC5244">
        <w:rPr>
          <w:lang w:val="en-CA"/>
        </w:rPr>
        <w:instrText>ADDIN CSL_CITATION { "citationItems" : [ { "id" : "ITEM-1", "itemData" : { "DOI" : "10.1021/jp066926w", "ISSN" : "1520-6106", "PMID" : "17388443", "abstract" : "Water solubility enhancements of polycyclic aromatic hydrocarbons (PAHs), viz., naphthalene, anthracene and pyrene, by micellar solutions at 25 degrees C using two series of surfactants, each involving two cationic and one nonionic surfactant in their single as well as equimolar binary and ternary mixed states, were measured and compared. The first series was composed of three surfactants, benzylhexadecyldimethylammonium chloride (C16BzCl), hexadecyltrimethylammonium bromide (C16Br), and polyoxyethylene(20)mono-n-hexadecyl ether (Brij-58) with a 16-carbon (C16) hydrophobic chain; the second series consisted of dodecyltrimethylammonium bromide (C12Br), dodecylethyldimethylammonium bromide (C12EBr), and polyoxyethylene(4)mono-n-dodecyl ether (Brij-30) with a 12-carbon (C12) chain. Solubilization capacity has been quantified in terms of the molar solubilization ratio, the micelle-water partition coefficient, the first stepwise association constant between solubilizate monomer and vacant micelle, and the average number of solubilizate molecules per micelle, determined employing spectrophoto-, tensio-, and flourimetric techniques. Cationic surfactants exhibited lesser solubilization capacity than nonionics in each series of surfactants with higher efficiency in the C16 series compared to the C12 series. Increase in hydrophobicity of head groups of cationics by incorporation of ethyl or benzyl groups enhanced their solubilization capacity. The mixing effect of surfactants on mixed micelle formation and solubilization efficiency has been discussed in light of the regular solution approximation (RSA). Cationic-nonionic binary combinations showed better solubilization capacity than pure cationics, nonionics, or cationic-cationic mixtures, which, in general, showed increase with increased hydrophobicity of PAHs. Equimolar cationic-cationic-nonionic ternary surfactant systems showed lower solubilization efficiency than their binary cationic-nonionic counterparts but higher than cationic-cationic ones. In addition, use of RSA has been extended, with fair success, to predict partition coefficients of ternary surfactant systems using data of binary surfactants systems. Mixed surfactants may improve the performance of surfactant-enhanced remediation of soils and sediments by decreasing the applied surfactant level and thus remediation cost.", "author" : [ { "dropping-particle" : "", "family" : "Dar", "given" : "Aijaz Ahmad", "non-dropping-particle" : "", "parse-names" : false, "suffix" : "" }, { "dropping-particle" : "", "family" : "Rather", "given" : "Ghulam Mohammad", "non-dropping-particle" : "", "parse-names" : false, "suffix" : "" }, { "dropping-particle" : "", "family" : "Das", "given" : "Akhil Ranjan", "non-dropping-particle" : "", "parse-names" : false, "suffix" : "" } ], "container-title" : "Journal of Physical Chemistry Bhysical chemistry. B", "id" : "ITEM-1", "issue" : "91", "issued" : { "date-parts" : [ [ "2007" ] ] }, "page" : "3122-3132", "title" : "Mixed Micelle Formation and Solubilization Behavior toward Polycyclic Aromatic Hydrocarbons of Binary and Ternary Cationic-Nonionic Surfactant Mixtures", "type" : "article-journal", "volume" : "111" }, "uris" : [ "http://www.mendeley.com/documents/?uuid=b113b83d-8834-4215-8d50-34a5d1cd8c2e" ] }, { "id" : "ITEM-2", "itemData" : { "DOI" : "10.1021/jp807229c", "ISBN" : "1520-6106 (Print)\\r1520-5207 (Linking)", "ISSN" : "15206106", "PMID" : "19123827", "abstract" : "Mixed surfactants may improve the performance of surfactant-enhanced solubilization of drugs and thus can serve as the tool for increased bioavalaibility, controlled drug release, and targeted delivery. Solubilization of Naproxen by micellar solutions at 25 degrees C using single and mixed surfactant systems was measured and compared. Solubilization capacity determined with spectrophotometry and tensiometry has been quantified in terms of molar solubilization ratio, micelle-water partition coefficient, and locus of solubilization. Cationic surfactants exhibited higher solubilization capacity than nonionics and anionics, the efficiency increasing with chain length. Mixing effect of surfactants on mixed micelle formation and solubilization efficiency has been discussed in light of regular solution approximation (RSA). Equimolar cationic-nonionic surfactant combinations showed better solubilization capacity than pure cationics or nonionics, which, in general, increased with increase in hydrophobic chain length. Equimolar cationic-nonionic-nonionic ternary surfactant systems exhibited intermediate solubilization efficiency between their single and binary counterparts. Use of RSA has been extended, with fair success, to predict the partition coefficient of ternary surfactant systems using data from binary mixtures. The theoretical micelle-water partition coefficients calculated from the geometric mean equation compared well with experimental values. Locus of solubilization of NAP in different micellar solutions was probed by UV-visible spectroscopy.", "author" : [ { "dropping-particle" : "", "family" : "Bhat", "given" : "Parvaiz Ahmad", "non-dropping-particle" : "", "parse-names" : false, "suffix" : "" }, { "dropping-particle" : "", "family" : "Rather", "given" : "Ghulam Mohammad", "non-dropping-particle" : "", "parse-names" : false, "suffix" : "" }, { "dropping-particle" : "", "family" : "Dar", "given" : "Aijaz Ahmad", "non-dropping-particle" : "", "parse-names" : false, "suffix" : "" } ], "container-title" : "Journal of Physical Chemistry B", "id" : "ITEM-2", "issue" : "4", "issued" : { "date-parts" : [ [ "2009" ] ] }, "page" : "997-1006", "title" : "Effect of surfactant mixing on partitioning of model hydrophobic drug, Naproxen, between aqueous and micellar phases", "type" : "article-journal", "volume" : "113" }, "uris" : [ "http://www.mendeley.com/documents/?uuid=d84334cf-5cc1-4eb3-aa81-75f74ef04186" ] }, { "id" : "ITEM-3", "itemData" : { "abstract" : "PURPOSE: Micellar solubilization is a pow-erful alternative for dissolving hydrophobic drugs in aqueous environments. In this work, we provide an insight into this subject. METHODS: A concise review of surfactants and micelles applications in phar-macy was carried out. RESULTS: Initially, a descrip-tion of surfactants and aqueous micellar systems is presented. Following, an extensive review on micellar drug solubilization, including both the principles involved on this phenomenon and the work already done regarding solubilization of drugs by micelles is presented. The application of micelles in drug delivery, in order to minimize drug degradation and loss, to pre-vent harmful side effects, and to increase drug bioavail-ability, is also presented. Special emphasis is given to the more recent use of polymeric micelles. Finally, we briefly discuss the importance of surfactants and micelles as biological systems models as well as its application in micellar catalysis. CONCLUSIONS: As can be seen from the review presented, the use of micelles in pharmacy is an important tool that finds numerous applications.", "author" : [ { "dropping-particle" : "", "family" : "Oliveira", "given" : "Carlota", "non-dropping-particle" : "De", "parse-names" : false, "suffix" : "" }, { "dropping-particle" : "", "family" : "Yagui", "given" : "Rangel", "non-dropping-particle" : "", "parse-names" : false, "suffix" : "" }, { "dropping-particle" : "", "family" : "Lineu Prestes", "given" : "Av", "non-dropping-particle" : "", "parse-names" : false, "suffix" : "" }, { "dropping-particle" : "", "family" : "Rangel-Yagui", "given" : "Carlota O", "non-dropping-particle" : "", "parse-names" : false, "suffix" : "" }, { "dropping-particle" : "", "family" : "Pessoa-Jr", "given" : "Adalberto", "non-dropping-particle" : "", "parse-names" : false, "suffix" : "" }, { "dropping-particle" : "", "family" : "Tavares", "given" : "Leoberto Costa", "non-dropping-particle" : "", "parse-names" : false, "suffix" : "" } ], "container-title" : "J Pharm Pharmaceut Sci (www.cspscanada.org)", "id" : "ITEM-3", "issue" : "2", "issued" : { "date-parts" : [ [ "2005" ] ] }, "page" : "147-163", "title" : "Micellar solubilization of drugs", "type" : "article-journal", "volume" : "8" }, "uris" : [ "http://www.mendeley.com/documents/?uuid=d0113e2b-dff8-3380-95eb-ce76cebe0d00" ] }, { "id" : "ITEM-4", "itemData" : { "DOI" : "10.1063/1.2186324", "ISSN" : "0021-9606", "author" : [ { "dropping-particle" : "", "family" : "Matubayasi", "given" : "Nobuyuki", "non-dropping-particle" : "", "parse-names" : false, "suffix" : "" }, { "dropping-particle" : "", "family" : "Liang", "given" : "Kuo Kan", "non-dropping-particle" : "", "parse-names" : false, "suffix" : "" }, { "dropping-particle" : "", "family" : "Nakahara", "given" : "Masaru", "non-dropping-particle" : "", "parse-names" : false, "suffix" : "" } ], "container-title" : "The Journal of Chemical Physics", "id" : "ITEM-4", "issue" : "15", "issued" : { "date-parts" : [ [ "2006", "4", "21" ] ] }, "page" : "154908", "title" : "Free-energy analysis of solubilization in micelle", "type" : "article-journal", "volume" : "124" }, "uris" : [ "http://www.mendeley.com/documents/?uuid=d1f0e9c1-c8cc-3891-ab25-bfeb8a83a8f0" ] } ], "mendeley" : { "formattedCitation" : "&lt;sup&gt;30,44,48,49&lt;/sup&gt;", "plainTextFormattedCitation" : "30,44,48,49", "previouslyFormattedCitation" : "&lt;sup&gt;30,44,48,49&lt;/sup&gt;" }, "properties" : { "noteIndex" : 0 }, "schema" : "https://github.com/citation-style-language/schema/raw/master/csl-citation.json" }</w:instrText>
      </w:r>
      <w:r w:rsidR="005B26AB" w:rsidRPr="00EC5244">
        <w:rPr>
          <w:lang w:val="en-CA"/>
        </w:rPr>
        <w:fldChar w:fldCharType="separate"/>
      </w:r>
      <w:r w:rsidR="005B26AB" w:rsidRPr="00EC5244">
        <w:rPr>
          <w:noProof/>
          <w:vertAlign w:val="superscript"/>
          <w:lang w:val="en-CA"/>
        </w:rPr>
        <w:t>30,44,48,49</w:t>
      </w:r>
      <w:r w:rsidR="005B26AB" w:rsidRPr="00EC5244">
        <w:rPr>
          <w:lang w:val="en-CA"/>
        </w:rPr>
        <w:fldChar w:fldCharType="end"/>
      </w:r>
      <w:r w:rsidR="005B26AB" w:rsidRPr="00EC5244">
        <w:t xml:space="preserve"> </w:t>
      </w:r>
      <w:r w:rsidR="005B26AB" w:rsidRPr="00EC5244">
        <w:rPr>
          <w:lang w:val="en-CA"/>
        </w:rPr>
        <w:t xml:space="preserve"> The multiplicity of solute locations depends on the chemistry of solute and hydrotrope molecules, and reflect the dominant interaction that is responsible for solubilizat</w:t>
      </w:r>
      <w:r w:rsidRPr="00EC5244">
        <w:rPr>
          <w:lang w:val="en-CA"/>
        </w:rPr>
        <w:t xml:space="preserve">ion. Thus, in the present case, observation of different </w:t>
      </w:r>
      <w:r w:rsidR="005B26AB" w:rsidRPr="00EC5244">
        <w:rPr>
          <w:lang w:val="en-CA"/>
        </w:rPr>
        <w:t>solute locations</w:t>
      </w:r>
      <w:r w:rsidRPr="00EC5244">
        <w:rPr>
          <w:lang w:val="en-CA"/>
        </w:rPr>
        <w:t xml:space="preserve"> depending on hydrotrope-solute combination</w:t>
      </w:r>
      <w:r w:rsidR="005B26AB" w:rsidRPr="00EC5244">
        <w:rPr>
          <w:lang w:val="en-CA"/>
        </w:rPr>
        <w:t>, ranging from the interior of t</w:t>
      </w:r>
      <w:r w:rsidRPr="00EC5244">
        <w:rPr>
          <w:lang w:val="en-CA"/>
        </w:rPr>
        <w:t xml:space="preserve">he hydrotrope aggregates to within interfacial </w:t>
      </w:r>
      <w:r w:rsidR="005B26AB" w:rsidRPr="00EC5244">
        <w:rPr>
          <w:lang w:val="en-CA"/>
        </w:rPr>
        <w:t>film</w:t>
      </w:r>
      <w:r w:rsidRPr="00EC5244">
        <w:rPr>
          <w:lang w:val="en-CA"/>
        </w:rPr>
        <w:t xml:space="preserve">, </w:t>
      </w:r>
      <w:r w:rsidR="00D63CEF" w:rsidRPr="00EC5244">
        <w:rPr>
          <w:lang w:val="en-CA"/>
        </w:rPr>
        <w:t>shows</w:t>
      </w:r>
      <w:r w:rsidRPr="00EC5244">
        <w:rPr>
          <w:lang w:val="en-CA"/>
        </w:rPr>
        <w:t xml:space="preserve"> a variety of mechanisms </w:t>
      </w:r>
      <w:r w:rsidR="00D63CEF" w:rsidRPr="00EC5244">
        <w:rPr>
          <w:lang w:val="en-CA"/>
        </w:rPr>
        <w:t xml:space="preserve">by which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u2</m:t>
            </m:r>
          </m:sub>
        </m:sSub>
      </m:oMath>
      <w:r w:rsidRPr="00EC5244">
        <w:rPr>
          <w:lang w:val="en-CA"/>
        </w:rPr>
        <w:t xml:space="preserve"> is made large and positive. </w:t>
      </w:r>
    </w:p>
    <w:p w14:paraId="5E93B48C" w14:textId="77777777" w:rsidR="005B26AB" w:rsidRPr="00EC5244" w:rsidRDefault="005B26AB" w:rsidP="00171757">
      <w:pPr>
        <w:pStyle w:val="TAMainText"/>
        <w:ind w:firstLine="0"/>
        <w:rPr>
          <w:lang w:val="en-CA"/>
        </w:rPr>
      </w:pPr>
    </w:p>
    <w:p w14:paraId="56C90943" w14:textId="3367130F" w:rsidR="00A04BE2" w:rsidRPr="00EC5244" w:rsidRDefault="00A04BE2" w:rsidP="003F7247">
      <w:pPr>
        <w:pStyle w:val="TAMainText"/>
        <w:rPr>
          <w:lang w:val="en-CA"/>
        </w:rPr>
      </w:pPr>
      <w:r w:rsidRPr="00EC5244">
        <w:rPr>
          <w:b/>
          <w:lang w:val="en-CA"/>
        </w:rPr>
        <w:t xml:space="preserve">Pre-clustering, </w:t>
      </w:r>
      <m:oMath>
        <m:sSub>
          <m:sSubPr>
            <m:ctrlPr>
              <w:rPr>
                <w:rFonts w:ascii="Cambria Math" w:hAnsi="Cambria Math"/>
                <w:b/>
                <w:i/>
                <w:lang w:val="en-CA"/>
              </w:rPr>
            </m:ctrlPr>
          </m:sSubPr>
          <m:e>
            <m:r>
              <m:rPr>
                <m:sty m:val="bi"/>
              </m:rPr>
              <w:rPr>
                <w:rFonts w:ascii="Cambria Math" w:hAnsi="Cambria Math"/>
                <w:lang w:val="en-CA"/>
              </w:rPr>
              <m:t>G</m:t>
            </m:r>
          </m:e>
          <m:sub>
            <m:r>
              <m:rPr>
                <m:sty m:val="bi"/>
              </m:rPr>
              <w:rPr>
                <w:rFonts w:ascii="Cambria Math" w:hAnsi="Cambria Math"/>
                <w:lang w:val="en-CA"/>
              </w:rPr>
              <m:t>22</m:t>
            </m:r>
          </m:sub>
        </m:sSub>
      </m:oMath>
      <w:r w:rsidRPr="00EC5244">
        <w:rPr>
          <w:b/>
          <w:lang w:val="en-CA"/>
        </w:rPr>
        <w:t>.</w:t>
      </w:r>
      <w:r w:rsidRPr="00EC5244">
        <w:rPr>
          <w:lang w:val="en-CA"/>
        </w:rPr>
        <w:t xml:space="preserve"> </w:t>
      </w:r>
      <w:r w:rsidR="001335E9" w:rsidRPr="00EC5244">
        <w:rPr>
          <w:lang w:val="en-CA"/>
        </w:rPr>
        <w:t>The relationship between solubilization and hydrotrope pre-clustering is an important question.</w:t>
      </w:r>
      <w:r w:rsidR="00B77F33" w:rsidRPr="00EC5244">
        <w:rPr>
          <w:lang w:val="en-CA"/>
        </w:rPr>
        <w:fldChar w:fldCharType="begin" w:fldLock="1"/>
      </w:r>
      <w:r w:rsidR="00D63CEF" w:rsidRPr="00EC5244">
        <w:rPr>
          <w:lang w:val="en-CA"/>
        </w:rPr>
        <w:instrText>ADDIN CSL_CITATION { "citationItems" : [ { "id" : "ITEM-1", "itemData" : { "DOI" : "10.1039/C6CP06696H", "ISSN" : "1463-9076", "abstract" : "In the present contribution, the pre-structuring of binary mixtures of hydrotropes and H2O is linked to the solubilisation of poorly water miscible compounds. We have chosen a series of short-chain alcohols as hydrotropes and benzyl alcohol, limonene and a hydrophobic azo-dye (Disperse Red 13) as organic compounds to be dissolved. A very weak pre-structuring is found for ethanol/H2O and 2-propanol/H2O mixtures. Pre-structuring is most developed for binary 1-propanol/H2O and tert-butanol/H2O mixtures and supports the bicontinuity model of alcohol-rich and water-rich domains as already postulated by Anisimov et al. Such a pre-structuring leads to a high solubilisation power for poorly water miscible components (limonene and Disperse Red, characterized by high octanol/water partition coefficients, log(P) values of 4.5 and 4.85), whereas a very weak pre-structuring leads to a high solubilisation power for slightly water miscible components (benzyl alcohol). This difference in solubilisation power can be linked to (i) the formation of mesoscale structures in the cases of ethanol and 2-propanol and (ii) the extension of pre-structures in the cases of 1-propanol and tert-butanol. Three different solubilisation mechanisms could be identified: bulk solubilisation, interface solubilisation and a combination of both. These supramolecular structures in binary and ternary systems were investigated by small-and-wide-angle X-ray and neutron scattering, dynamic light scattering and conductivity measurements (in the presence of small amounts of salt).", "author" : [ { "dropping-particle" : "", "family" : "Buchecker", "given" : "Thomas", "non-dropping-particle" : "", "parse-names" : false, "suffix" : "" }, { "dropping-particle" : "", "family" : "Krickl", "given" : "Sebastian", "non-dropping-particle" : "", "parse-names" : false, "suffix" : "" }, { "dropping-particle" : "", "family" : "Winkler", "given" : "Robert", "non-dropping-particle" : "", "parse-names" : false, "suffix" : "" }, { "dropping-particle" : "", "family" : "Grillo", "given" : "Isabelle", "non-dropping-particle" : "", "parse-names" : false, "suffix" : "" }, { "dropping-particle" : "", "family" : "Bauduin", "given" : "Pierre", "non-dropping-particle" : "", "parse-names" : false, "suffix" : "" }, { "dropping-particle" : "", "family" : "Touraud", "given" : "Didier", "non-dropping-particle" : "", "parse-names" : false, "suffix" : "" }, { "dropping-particle" : "", "family" : "Pfitzner", "given" : "Arno", "non-dropping-particle" : "", "parse-names" : false, "suffix" : "" }, { "dropping-particle" : "", "family" : "Kunz", "given" : "Werner", "non-dropping-particle" : "", "parse-names" : false, "suffix" : "" }, { "dropping-particle" : "", "family" : "Cubitt", "given" : "R.", "non-dropping-particle" : "", "parse-names" : false, "suffix" : "" }, { "dropping-particle" : "", "family" : "Marelja", "given" : "S.", "non-dropping-particle" : "", "parse-names" : false, "suffix" : "" }, { "dropping-particle" : "", "family" : "Kunz", "given" : "W.", "non-dropping-particle" : "", "parse-names" : false, "suffix" : "" } ], "container-title" : "Phys. Chem. Chem. Phys.", "id" : "ITEM-1", "issue" : "3", "issued" : { "date-parts" : [ [ "2017" ] ] }, "page" : "1806-1816", "publisher" : "The Royal Society of Chemistry", "title" : "The impact of the structuring of hydrotropes in water on the mesoscale solubilisation of a third hydrophobic component", "type" : "article-journal", "volume" : "19" }, "uris" : [ "http://www.mendeley.com/documents/?uuid=e46e28c7-f3ae-377d-8317-fe42ef858478" ] } ], "mendeley" : { "formattedCitation" : "&lt;sup&gt;55&lt;/sup&gt;", "plainTextFormattedCitation" : "55", "previouslyFormattedCitation" : "&lt;sup&gt;55&lt;/sup&gt;" }, "properties" : { "noteIndex" : 0 }, "schema" : "https://github.com/citation-style-language/schema/raw/master/csl-citation.json" }</w:instrText>
      </w:r>
      <w:r w:rsidR="00B77F33" w:rsidRPr="00EC5244">
        <w:rPr>
          <w:lang w:val="en-CA"/>
        </w:rPr>
        <w:fldChar w:fldCharType="separate"/>
      </w:r>
      <w:r w:rsidR="00D63CEF" w:rsidRPr="00EC5244">
        <w:rPr>
          <w:noProof/>
          <w:vertAlign w:val="superscript"/>
          <w:lang w:val="en-CA"/>
        </w:rPr>
        <w:t>55</w:t>
      </w:r>
      <w:r w:rsidR="00B77F33" w:rsidRPr="00EC5244">
        <w:rPr>
          <w:lang w:val="en-CA"/>
        </w:rPr>
        <w:fldChar w:fldCharType="end"/>
      </w:r>
      <w:r w:rsidR="001335E9" w:rsidRPr="00EC5244">
        <w:rPr>
          <w:lang w:val="en-CA"/>
        </w:rPr>
        <w:t xml:space="preserve"> In the language of the KB theory, pre-clustering refers to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22</m:t>
            </m:r>
          </m:sub>
        </m:sSub>
      </m:oMath>
      <w:r w:rsidR="001335E9" w:rsidRPr="00EC5244">
        <w:rPr>
          <w:lang w:val="en-CA"/>
        </w:rPr>
        <w:t>, which decreases solubilization efficiency</w:t>
      </w:r>
      <w:r w:rsidR="00B77F33" w:rsidRPr="00EC5244">
        <w:rPr>
          <w:lang w:val="en-CA"/>
        </w:rPr>
        <w:t xml:space="preserve"> (Eq. (16))</w:t>
      </w:r>
      <w:r w:rsidR="001335E9" w:rsidRPr="00EC5244">
        <w:rPr>
          <w:lang w:val="en-CA"/>
        </w:rPr>
        <w:t>, namely the apparent reduction of per-hydrotrope solubilizatio</w:t>
      </w:r>
      <w:r w:rsidR="00B77F33" w:rsidRPr="00EC5244">
        <w:rPr>
          <w:lang w:val="en-CA"/>
        </w:rPr>
        <w:t>n</w:t>
      </w:r>
      <w:r w:rsidR="001335E9" w:rsidRPr="00EC5244">
        <w:rPr>
          <w:lang w:val="en-CA"/>
        </w:rPr>
        <w:t xml:space="preserve">. But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22</m:t>
            </m:r>
          </m:sub>
        </m:sSub>
      </m:oMath>
      <w:r w:rsidR="00B77F33" w:rsidRPr="00EC5244">
        <w:rPr>
          <w:lang w:val="en-CA"/>
        </w:rPr>
        <w:t xml:space="preserve"> is not the sole</w:t>
      </w:r>
      <w:r w:rsidR="001335E9" w:rsidRPr="00EC5244">
        <w:rPr>
          <w:lang w:val="en-CA"/>
        </w:rPr>
        <w:t xml:space="preserve"> contributio</w:t>
      </w:r>
      <w:r w:rsidR="00B77F33" w:rsidRPr="00EC5244">
        <w:rPr>
          <w:lang w:val="en-CA"/>
        </w:rPr>
        <w:t>n to solubilization. Section 5.1 has clarified</w:t>
      </w:r>
      <w:r w:rsidR="001335E9" w:rsidRPr="00EC5244">
        <w:rPr>
          <w:lang w:val="en-CA"/>
        </w:rPr>
        <w:t xml:space="preserve"> that the major driving force of hydrotropic solubilization is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u2</m:t>
            </m:r>
          </m:sub>
        </m:sSub>
      </m:oMath>
      <w:r w:rsidR="001335E9" w:rsidRPr="00EC5244">
        <w:rPr>
          <w:lang w:val="en-CA"/>
        </w:rPr>
        <w:t xml:space="preserve">, and that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u2</m:t>
            </m:r>
          </m:sub>
        </m:sSub>
      </m:oMath>
      <w:r w:rsidR="001335E9" w:rsidRPr="00EC5244">
        <w:rPr>
          <w:lang w:val="en-CA"/>
        </w:rPr>
        <w:t xml:space="preserve"> and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22</m:t>
            </m:r>
          </m:sub>
        </m:sSub>
      </m:oMath>
      <w:r w:rsidR="001335E9" w:rsidRPr="00EC5244">
        <w:rPr>
          <w:lang w:val="en-CA"/>
        </w:rPr>
        <w:t xml:space="preserve"> are independent KB integrals.</w:t>
      </w:r>
      <w:r w:rsidR="001335E9" w:rsidRPr="00EC5244">
        <w:rPr>
          <w:lang w:val="en-CA"/>
        </w:rPr>
        <w:fldChar w:fldCharType="begin" w:fldLock="1"/>
      </w:r>
      <w:r w:rsidR="001335E9" w:rsidRPr="00EC5244">
        <w:rPr>
          <w:lang w:val="en-CA"/>
        </w:rPr>
        <w:instrText>ADDIN CSL_CITATION { "citationItems" : [ { "id" : "ITEM-1",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"35", "issued" : { "date-parts" : [ [ "2014" ] ] }, "page" : "10515-10524", "title" : "Hydrotropy: Monomer-micelle equilibrium and minimum hydrotrope concentration", "type" : "article-journal", "volume" : "118" }, "uris" : [ "http://www.mendeley.com/documents/?uuid=0cd1508f-d197-4e8d-a474-504cfaeae922" ] } ], "mendeley" : { "formattedCitation" : "&lt;sup&gt;10&lt;/sup&gt;", "plainTextFormattedCitation" : "10", "previouslyFormattedCitation" : "&lt;sup&gt;10&lt;/sup&gt;" }, "properties" : { "noteIndex" : 0 }, "schema" : "https://github.com/citation-style-language/schema/raw/master/csl-citation.json" }</w:instrText>
      </w:r>
      <w:r w:rsidR="001335E9" w:rsidRPr="00EC5244">
        <w:rPr>
          <w:lang w:val="en-CA"/>
        </w:rPr>
        <w:fldChar w:fldCharType="separate"/>
      </w:r>
      <w:r w:rsidR="001335E9" w:rsidRPr="00EC5244">
        <w:rPr>
          <w:noProof/>
          <w:vertAlign w:val="superscript"/>
          <w:lang w:val="en-CA"/>
        </w:rPr>
        <w:t>10</w:t>
      </w:r>
      <w:r w:rsidR="001335E9" w:rsidRPr="00EC5244">
        <w:rPr>
          <w:lang w:val="en-CA"/>
        </w:rPr>
        <w:fldChar w:fldCharType="end"/>
      </w:r>
      <w:r w:rsidR="001335E9" w:rsidRPr="00EC5244">
        <w:rPr>
          <w:lang w:val="en-CA"/>
        </w:rPr>
        <w:t xml:space="preserve"> Hence the lack of </w:t>
      </w:r>
      <w:r w:rsidR="008879A6" w:rsidRPr="00EC5244">
        <w:rPr>
          <w:lang w:val="en-CA"/>
        </w:rPr>
        <w:t xml:space="preserve">a simple </w:t>
      </w:r>
      <w:r w:rsidR="001335E9" w:rsidRPr="00EC5244">
        <w:rPr>
          <w:lang w:val="en-CA"/>
        </w:rPr>
        <w:t xml:space="preserve">correlation between solubilization and </w:t>
      </w:r>
      <w:r w:rsidR="00F73418" w:rsidRPr="00EC5244">
        <w:rPr>
          <w:lang w:val="en-CA"/>
        </w:rPr>
        <w:t>hydrotrope pre-clustering</w:t>
      </w:r>
      <w:r w:rsidR="00F73418" w:rsidRPr="00EC5244">
        <w:rPr>
          <w:lang w:val="en-CA"/>
        </w:rPr>
        <w:fldChar w:fldCharType="begin" w:fldLock="1"/>
      </w:r>
      <w:r w:rsidR="00D63CEF" w:rsidRPr="00EC5244">
        <w:rPr>
          <w:lang w:val="en-CA"/>
        </w:rPr>
        <w:instrText>ADDIN CSL_CITATION { "citationItems" : [ { "id" : "ITEM-1", "itemData" : { "DOI" : "10.1039/C6CP06696H", "ISSN" : "1463-9076", "abstract" : "In the present contribution, the pre-structuring of binary mixtures of hydrotropes and H2O is linked to the solubilisation of poorly water miscible compounds. We have chosen a series of short-chain alcohols as hydrotropes and benzyl alcohol, limonene and a hydrophobic azo-dye (Disperse Red 13) as organic compounds to be dissolved. A very weak pre-structuring is found for ethanol/H2O and 2-propanol/H2O mixtures. Pre-structuring is most developed for binary 1-propanol/H2O and tert-butanol/H2O mixtures and supports the bicontinuity model of alcohol-rich and water-rich domains as already postulated by Anisimov et al. Such a pre-structuring leads to a high solubilisation power for poorly water miscible components (limonene and Disperse Red, characterized by high octanol/water partition coefficients, log(P) values of 4.5 and 4.85), whereas a very weak pre-structuring leads to a high solubilisation power for slightly water miscible components (benzyl alcohol). This difference in solubilisation power can be linked to (i) the formation of mesoscale structures in the cases of ethanol and 2-propanol and (ii) the extension of pre-structures in the cases of 1-propanol and tert-butanol. Three different solubilisation mechanisms could be identified: bulk solubilisation, interface solubilisation and a combination of both. These supramolecular structures in binary and ternary systems were investigated by small-and-wide-angle X-ray and neutron scattering, dynamic light scattering and conductivity measurements (in the presence of small amounts of salt).", "author" : [ { "dropping-particle" : "", "family" : "Buchecker", "given" : "Thomas", "non-dropping-particle" : "", "parse-names" : false, "suffix" : "" }, { "dropping-particle" : "", "family" : "Krickl", "given" : "Sebastian", "non-dropping-particle" : "", "parse-names" : false, "suffix" : "" }, { "dropping-particle" : "", "family" : "Winkler", "given" : "Robert", "non-dropping-particle" : "", "parse-names" : false, "suffix" : "" }, { "dropping-particle" : "", "family" : "Grillo", "given" : "Isabelle", "non-dropping-particle" : "", "parse-names" : false, "suffix" : "" }, { "dropping-particle" : "", "family" : "Bauduin", "given" : "Pierre", "non-dropping-particle" : "", "parse-names" : false, "suffix" : "" }, { "dropping-particle" : "", "family" : "Touraud", "given" : "Didier", "non-dropping-particle" : "", "parse-names" : false, "suffix" : "" }, { "dropping-particle" : "", "family" : "Pfitzner", "given" : "Arno", "non-dropping-particle" : "", "parse-names" : false, "suffix" : "" }, { "dropping-particle" : "", "family" : "Kunz", "given" : "Werner", "non-dropping-particle" : "", "parse-names" : false, "suffix" : "" }, { "dropping-particle" : "", "family" : "Cubitt", "given" : "R.", "non-dropping-particle" : "", "parse-names" : false, "suffix" : "" }, { "dropping-particle" : "", "family" : "Marelja", "given" : "S.", "non-dropping-particle" : "", "parse-names" : false, "suffix" : "" }, { "dropping-particle" : "", "family" : "Kunz", "given" : "W.", "non-dropping-particle" : "", "parse-names" : false, "suffix" : "" } ], "container-title" : "Phys. Chem. Chem. Phys.", "id" : "ITEM-1", "issue" : "3", "issued" : { "date-parts" : [ [ "2017" ] ] }, "page" : "1806-1816", "publisher" : "The Royal Society of Chemistry", "title" : "The impact of the structuring of hydrotropes in water on the mesoscale solubilisation of a third hydrophobic component", "type" : "article-journal", "volume" : "19" }, "uris" : [ "http://www.mendeley.com/documents/?uuid=e46e28c7-f3ae-377d-8317-fe42ef858478" ] } ], "mendeley" : { "formattedCitation" : "&lt;sup&gt;55&lt;/sup&gt;", "plainTextFormattedCitation" : "55", "previouslyFormattedCitation" : "&lt;sup&gt;55&lt;/sup&gt;" }, "properties" : { "noteIndex" : 0 }, "schema" : "https://github.com/citation-style-language/schema/raw/master/csl-citation.json" }</w:instrText>
      </w:r>
      <w:r w:rsidR="00F73418" w:rsidRPr="00EC5244">
        <w:rPr>
          <w:lang w:val="en-CA"/>
        </w:rPr>
        <w:fldChar w:fldCharType="separate"/>
      </w:r>
      <w:r w:rsidR="00D63CEF" w:rsidRPr="00EC5244">
        <w:rPr>
          <w:noProof/>
          <w:vertAlign w:val="superscript"/>
          <w:lang w:val="en-CA"/>
        </w:rPr>
        <w:t>55</w:t>
      </w:r>
      <w:r w:rsidR="00F73418" w:rsidRPr="00EC5244">
        <w:rPr>
          <w:lang w:val="en-CA"/>
        </w:rPr>
        <w:fldChar w:fldCharType="end"/>
      </w:r>
      <w:r w:rsidR="001335E9" w:rsidRPr="00EC5244">
        <w:rPr>
          <w:lang w:val="en-CA"/>
        </w:rPr>
        <w:t xml:space="preserve"> </w:t>
      </w:r>
      <w:r w:rsidR="00F73418" w:rsidRPr="00EC5244">
        <w:rPr>
          <w:lang w:val="en-CA"/>
        </w:rPr>
        <w:t>(i.e.,</w:t>
      </w:r>
      <w:r w:rsidR="001335E9" w:rsidRPr="00EC5244">
        <w:rPr>
          <w:lang w:val="en-CA"/>
        </w:rPr>
        <w:t xml:space="preserve">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22</m:t>
            </m:r>
          </m:sub>
        </m:sSub>
      </m:oMath>
      <w:r w:rsidR="00F73418" w:rsidRPr="00EC5244">
        <w:rPr>
          <w:lang w:val="en-CA"/>
        </w:rPr>
        <w:t>)</w:t>
      </w:r>
      <w:r w:rsidR="001335E9" w:rsidRPr="00EC5244">
        <w:rPr>
          <w:lang w:val="en-CA"/>
        </w:rPr>
        <w:t xml:space="preserve"> is not surprising nor does it constitute a refutation of </w:t>
      </w:r>
      <w:r w:rsidR="005840E7" w:rsidRPr="00EC5244">
        <w:rPr>
          <w:lang w:val="en-CA"/>
        </w:rPr>
        <w:t xml:space="preserve">or </w:t>
      </w:r>
      <w:r w:rsidR="00F73418" w:rsidRPr="00EC5244">
        <w:rPr>
          <w:lang w:val="en-CA"/>
        </w:rPr>
        <w:t xml:space="preserve">a </w:t>
      </w:r>
      <w:r w:rsidR="005840E7" w:rsidRPr="00EC5244">
        <w:rPr>
          <w:lang w:val="en-CA"/>
        </w:rPr>
        <w:t xml:space="preserve">counter-example to </w:t>
      </w:r>
      <w:r w:rsidR="001335E9" w:rsidRPr="00EC5244">
        <w:rPr>
          <w:lang w:val="en-CA"/>
        </w:rPr>
        <w:t>the rigorous statistical thermodynamic approach</w:t>
      </w:r>
      <w:r w:rsidR="00782280" w:rsidRPr="00EC5244">
        <w:rPr>
          <w:lang w:val="en-CA"/>
        </w:rPr>
        <w:t xml:space="preserve"> to hydrotropy. </w:t>
      </w:r>
    </w:p>
    <w:p w14:paraId="7DF8C20C" w14:textId="77777777" w:rsidR="00A04BE2" w:rsidRPr="00EC5244" w:rsidRDefault="00A04BE2" w:rsidP="003F7247">
      <w:pPr>
        <w:pStyle w:val="TAMainText"/>
        <w:rPr>
          <w:lang w:val="en-CA"/>
        </w:rPr>
      </w:pPr>
    </w:p>
    <w:p w14:paraId="0B7BC9AC" w14:textId="05FAA235" w:rsidR="00AA7E5C" w:rsidRPr="00EC5244" w:rsidRDefault="00A04BE2" w:rsidP="00D63CEF">
      <w:pPr>
        <w:pStyle w:val="TAMainText"/>
        <w:rPr>
          <w:lang w:val="en-CA"/>
        </w:rPr>
      </w:pPr>
      <w:r w:rsidRPr="00EC5244">
        <w:rPr>
          <w:lang w:val="en-CA"/>
        </w:rPr>
        <w:t>Thus, the</w:t>
      </w:r>
      <w:r w:rsidR="00D15A20" w:rsidRPr="00EC5244">
        <w:rPr>
          <w:lang w:val="en-CA"/>
        </w:rPr>
        <w:t xml:space="preserve"> </w:t>
      </w:r>
      <w:r w:rsidR="008879A6" w:rsidRPr="00EC5244">
        <w:rPr>
          <w:lang w:val="en-CA"/>
        </w:rPr>
        <w:t xml:space="preserve">general principle of hydrotropic </w:t>
      </w:r>
      <w:r w:rsidR="00F73418" w:rsidRPr="00EC5244">
        <w:rPr>
          <w:lang w:val="en-CA"/>
        </w:rPr>
        <w:t xml:space="preserve">solubilization </w:t>
      </w:r>
      <w:r w:rsidR="008879A6" w:rsidRPr="00EC5244">
        <w:rPr>
          <w:lang w:val="en-CA"/>
        </w:rPr>
        <w:t xml:space="preserve">still holds true in the presence of mesoscale structuring: solubilization </w:t>
      </w:r>
      <w:r w:rsidR="00F73418" w:rsidRPr="00EC5244">
        <w:rPr>
          <w:lang w:val="en-CA"/>
        </w:rPr>
        <w:t>is driven</w:t>
      </w:r>
      <w:r w:rsidR="00B77F33" w:rsidRPr="00EC5244">
        <w:rPr>
          <w:lang w:val="en-CA"/>
        </w:rPr>
        <w:t xml:space="preserve"> by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u2</m:t>
            </m:r>
          </m:sub>
        </m:sSub>
      </m:oMath>
      <w:r w:rsidR="00F73418" w:rsidRPr="00EC5244">
        <w:rPr>
          <w:lang w:val="en-CA"/>
        </w:rPr>
        <w:t xml:space="preserve"> and attenuated</w:t>
      </w:r>
      <w:r w:rsidR="00B77F33" w:rsidRPr="00EC5244">
        <w:rPr>
          <w:lang w:val="en-CA"/>
        </w:rPr>
        <w:t xml:space="preserve"> by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22</m:t>
            </m:r>
          </m:sub>
        </m:sSub>
      </m:oMath>
      <w:r w:rsidR="00D63CEF" w:rsidRPr="00EC5244">
        <w:rPr>
          <w:lang w:val="en-CA"/>
        </w:rPr>
        <w:t>. A correlation between pre-clustering and solubilization</w:t>
      </w:r>
      <w:r w:rsidR="00D63CEF" w:rsidRPr="00EC5244">
        <w:rPr>
          <w:lang w:val="en-CA"/>
        </w:rPr>
        <w:fldChar w:fldCharType="begin" w:fldLock="1"/>
      </w:r>
      <w:r w:rsidR="00D63CEF" w:rsidRPr="00EC5244">
        <w:rPr>
          <w:lang w:val="en-CA"/>
        </w:rPr>
        <w:instrText>ADDIN CSL_CITATION { "citationItems" : [ { "id" : "ITEM-1", "itemData" : { "DOI" : "10.1039/C6CP06696H", "ISSN" : "1463-9076", "abstract" : "In the present contribution, the pre-structuring of binary mixtures of hydrotropes and H2O is linked to the solubilisation of poorly water miscible compounds. We have chosen a series of short-chain alcohols as hydrotropes and benzyl alcohol, limonene and a hydrophobic azo-dye (Disperse Red 13) as organic compounds to be dissolved. A very weak pre-structuring is found for ethanol/H2O and 2-propanol/H2O mixtures. Pre-structuring is most developed for binary 1-propanol/H2O and tert-butanol/H2O mixtures and supports the bicontinuity model of alcohol-rich and water-rich domains as already postulated by Anisimov et al. Such a pre-structuring leads to a high solubilisation power for poorly water miscible components (limonene and Disperse Red, characterized by high octanol/water partition coefficients, log(P) values of 4.5 and 4.85), whereas a very weak pre-structuring leads to a high solubilisation power for slightly water miscible components (benzyl alcohol). This difference in solubilisation power can be linked to (i) the formation of mesoscale structures in the cases of ethanol and 2-propanol and (ii) the extension of pre-structures in the cases of 1-propanol and tert-butanol. Three different solubilisation mechanisms could be identified: bulk solubilisation, interface solubilisation and a combination of both. These supramolecular structures in binary and ternary systems were investigated by small-and-wide-angle X-ray and neutron scattering, dynamic light scattering and conductivity measurements (in the presence of small amounts of salt).", "author" : [ { "dropping-particle" : "", "family" : "Buchecker", "given" : "Thomas", "non-dropping-particle" : "", "parse-names" : false, "suffix" : "" }, { "dropping-particle" : "", "family" : "Krickl", "given" : "Sebastian", "non-dropping-particle" : "", "parse-names" : false, "suffix" : "" }, { "dropping-particle" : "", "family" : "Winkler", "given" : "Robert", "non-dropping-particle" : "", "parse-names" : false, "suffix" : "" }, { "dropping-particle" : "", "family" : "Grillo", "given" : "Isabelle", "non-dropping-particle" : "", "parse-names" : false, "suffix" : "" }, { "dropping-particle" : "", "family" : "Bauduin", "given" : "Pierre", "non-dropping-particle" : "", "parse-names" : false, "suffix" : "" }, { "dropping-particle" : "", "family" : "Touraud", "given" : "Didier", "non-dropping-particle" : "", "parse-names" : false, "suffix" : "" }, { "dropping-particle" : "", "family" : "Pfitzner", "given" : "Arno", "non-dropping-particle" : "", "parse-names" : false, "suffix" : "" }, { "dropping-particle" : "", "family" : "Kunz", "given" : "Werner", "non-dropping-particle" : "", "parse-names" : false, "suffix" : "" }, { "dropping-particle" : "", "family" : "Cubitt", "given" : "R.", "non-dropping-particle" : "", "parse-names" : false, "suffix" : "" }, { "dropping-particle" : "", "family" : "Marelja", "given" : "S.", "non-dropping-particle" : "", "parse-names" : false, "suffix" : "" }, { "dropping-particle" : "", "family" : "Kunz", "given" : "W.", "non-dropping-particle" : "", "parse-names" : false, "suffix" : "" } ], "container-title" : "Phys. Chem. Chem. Phys.", "id" : "ITEM-1", "issue" : "3", "issued" : { "date-parts" : [ [ "2017" ] ] }, "page" : "1806-1816", "publisher" : "The Royal Society of Chemistry", "title" : "The impact of the structuring of hydrotropes in water on the mesoscale solubilisation of a third hydrophobic component", "type" : "article-journal", "volume" : "19" }, "uris" : [ "http://www.mendeley.com/documents/?uuid=e46e28c7-f3ae-377d-8317-fe42ef858478" ] } ], "mendeley" : { "formattedCitation" : "&lt;sup&gt;55&lt;/sup&gt;", "plainTextFormattedCitation" : "55", "previouslyFormattedCitation" : "&lt;sup&gt;55&lt;/sup&gt;" }, "properties" : { "noteIndex" : 0 }, "schema" : "https://github.com/citation-style-language/schema/raw/master/csl-citation.json" }</w:instrText>
      </w:r>
      <w:r w:rsidR="00D63CEF" w:rsidRPr="00EC5244">
        <w:rPr>
          <w:lang w:val="en-CA"/>
        </w:rPr>
        <w:fldChar w:fldCharType="separate"/>
      </w:r>
      <w:r w:rsidR="00D63CEF" w:rsidRPr="00EC5244">
        <w:rPr>
          <w:noProof/>
          <w:vertAlign w:val="superscript"/>
          <w:lang w:val="en-CA"/>
        </w:rPr>
        <w:t>55</w:t>
      </w:r>
      <w:r w:rsidR="00D63CEF" w:rsidRPr="00EC5244">
        <w:rPr>
          <w:lang w:val="en-CA"/>
        </w:rPr>
        <w:fldChar w:fldCharType="end"/>
      </w:r>
      <w:r w:rsidR="00D63CEF" w:rsidRPr="00EC5244">
        <w:rPr>
          <w:lang w:val="en-CA"/>
        </w:rPr>
        <w:t xml:space="preserve"> alone cannot disentangle the cause and the effect. We hope that the wealth of scattering data</w:t>
      </w:r>
      <w:r w:rsidR="00D63CEF" w:rsidRPr="00EC5244">
        <w:rPr>
          <w:lang w:val="en-CA"/>
        </w:rPr>
        <w:fldChar w:fldCharType="begin" w:fldLock="1"/>
      </w:r>
      <w:r w:rsidR="00FB6A45" w:rsidRPr="00EC5244">
        <w:rPr>
          <w:lang w:val="en-CA"/>
        </w:rPr>
        <w:instrText>ADDIN CSL_CITATION { "citationItems" : [ { "id" : "ITEM-1", "itemData" : { "DOI" : "10.1039/C6CP06696H", "ISSN" : "1463-9076", "abstract" : "In the present contribution, the pre-structuring of binary mixtures of hydrotropes and H2O is linked to the solubilisation of poorly water miscible compounds. We have chosen a series of short-chain alcohols as hydrotropes and benzyl alcohol, limonene and a hydrophobic azo-dye (Disperse Red 13) as organic compounds to be dissolved. A very weak pre-structuring is found for ethanol/H2O and 2-propanol/H2O mixtures. Pre-structuring is most developed for binary 1-propanol/H2O and tert-butanol/H2O mixtures and supports the bicontinuity model of alcohol-rich and water-rich domains as already postulated by Anisimov et al. Such a pre-structuring leads to a high solubilisation power for poorly water miscible components (limonene and Disperse Red, characterized by high octanol/water partition coefficients, log(P) values of 4.5 and 4.85), whereas a very weak pre-structuring leads to a high solubilisation power for slightly water miscible components (benzyl alcohol). This difference in solubilisation power can be linked to (i) the formation of mesoscale structures in the cases of ethanol and 2-propanol and (ii) the extension of pre-structures in the cases of 1-propanol and tert-butanol. Three different solubilisation mechanisms could be identified: bulk solubilisation, interface solubilisation and a combination of both. These supramolecular structures in binary and ternary systems were investigated by small-and-wide-angle X-ray and neutron scattering, dynamic light scattering and conductivity measurements (in the presence of small amounts of salt).", "author" : [ { "dropping-particle" : "", "family" : "Buchecker", "given" : "Thomas", "non-dropping-particle" : "", "parse-names" : false, "suffix" : "" }, { "dropping-particle" : "", "family" : "Krickl", "given" : "Sebastian", "non-dropping-particle" : "", "parse-names" : false, "suffix" : "" }, { "dropping-particle" : "", "family" : "Winkler", "given" : "Robert", "non-dropping-particle" : "", "parse-names" : false, "suffix" : "" }, { "dropping-particle" : "", "family" : "Grillo", "given" : "Isabelle", "non-dropping-particle" : "", "parse-names" : false, "suffix" : "" }, { "dropping-particle" : "", "family" : "Bauduin", "given" : "Pierre", "non-dropping-particle" : "", "parse-names" : false, "suffix" : "" }, { "dropping-particle" : "", "family" : "Touraud", "given" : "Didier", "non-dropping-particle" : "", "parse-names" : false, "suffix" : "" }, { "dropping-particle" : "", "family" : "Pfitzner", "given" : "Arno", "non-dropping-particle" : "", "parse-names" : false, "suffix" : "" }, { "dropping-particle" : "", "family" : "Kunz", "given" : "Werner", "non-dropping-particle" : "", "parse-names" : false, "suffix" : "" }, { "dropping-particle" : "", "family" : "Cubitt", "given" : "R.", "non-dropping-particle" : "", "parse-names" : false, "suffix" : "" }, { "dropping-particle" : "", "family" : "Marelja", "given" : "S.", "non-dropping-particle" : "", "parse-names" : false, "suffix" : "" }, { "dropping-particle" : "", "family" : "Kunz", "given" : "W.", "non-dropping-particle" : "", "parse-names" : false, "suffix" : "" } ], "container-title" : "Phys. Chem. Chem. Phys.", "id" : "ITEM-1", "issue" : "3", "issued" : { "date-parts" : [ [ "2017" ] ] }, "page" : "1806-1816", "publisher" : "The Royal Society of Chemistry", "title" : "The impact of the structuring of hydrotropes in water on the mesoscale solubilisation of a third hydrophobic component", "type" : "article-journal", "volume" : "19" }, "uris" : [ "http://www.mendeley.com/documents/?uuid=e46e28c7-f3ae-377d-8317-fe42ef858478" ] } ], "mendeley" : { "formattedCitation" : "&lt;sup&gt;55&lt;/sup&gt;", "plainTextFormattedCitation" : "55", "previouslyFormattedCitation" : "&lt;sup&gt;55&lt;/sup&gt;" }, "properties" : { "noteIndex" : 0 }, "schema" : "https://github.com/citation-style-language/schema/raw/master/csl-citation.json" }</w:instrText>
      </w:r>
      <w:r w:rsidR="00D63CEF" w:rsidRPr="00EC5244">
        <w:rPr>
          <w:lang w:val="en-CA"/>
        </w:rPr>
        <w:fldChar w:fldCharType="separate"/>
      </w:r>
      <w:r w:rsidR="00D63CEF" w:rsidRPr="00EC5244">
        <w:rPr>
          <w:noProof/>
          <w:vertAlign w:val="superscript"/>
          <w:lang w:val="en-CA"/>
        </w:rPr>
        <w:t>55</w:t>
      </w:r>
      <w:r w:rsidR="00D63CEF" w:rsidRPr="00EC5244">
        <w:rPr>
          <w:lang w:val="en-CA"/>
        </w:rPr>
        <w:fldChar w:fldCharType="end"/>
      </w:r>
      <w:r w:rsidR="00D63CEF" w:rsidRPr="00EC5244">
        <w:rPr>
          <w:lang w:val="en-CA"/>
        </w:rPr>
        <w:t xml:space="preserve"> will lead to an extensive evaluation of KB integrals to quantify each of the driving forces.  </w:t>
      </w:r>
    </w:p>
    <w:p w14:paraId="73F77921" w14:textId="2524060A" w:rsidR="00E90C50" w:rsidRPr="00EC5244" w:rsidRDefault="00E90C50" w:rsidP="003F7247">
      <w:pPr>
        <w:pStyle w:val="TAMainText"/>
        <w:rPr>
          <w:lang w:val="en-CA"/>
        </w:rPr>
      </w:pPr>
    </w:p>
    <w:p w14:paraId="720872CA" w14:textId="01C6277D" w:rsidR="00E90C50" w:rsidRPr="00EC5244" w:rsidRDefault="00A04BE2" w:rsidP="00E90C50">
      <w:pPr>
        <w:pStyle w:val="TAMainText"/>
        <w:ind w:firstLine="0"/>
        <w:rPr>
          <w:b/>
          <w:lang w:val="en-CA"/>
        </w:rPr>
      </w:pPr>
      <w:r w:rsidRPr="00EC5244">
        <w:rPr>
          <w:b/>
          <w:lang w:val="en-CA"/>
        </w:rPr>
        <w:t>6.</w:t>
      </w:r>
      <w:r w:rsidR="00E90C50" w:rsidRPr="00EC5244">
        <w:rPr>
          <w:b/>
          <w:lang w:val="en-CA"/>
        </w:rPr>
        <w:t xml:space="preserve"> Pre-ouzo </w:t>
      </w:r>
      <w:r w:rsidRPr="00EC5244">
        <w:rPr>
          <w:b/>
          <w:lang w:val="en-CA"/>
        </w:rPr>
        <w:t xml:space="preserve">effect </w:t>
      </w:r>
      <w:r w:rsidR="00E90C50" w:rsidRPr="00EC5244">
        <w:rPr>
          <w:b/>
          <w:lang w:val="en-CA"/>
        </w:rPr>
        <w:t>and surfactant-free micro-emulsion</w:t>
      </w:r>
    </w:p>
    <w:p w14:paraId="6AF38C48" w14:textId="77777777" w:rsidR="00F8414E" w:rsidRPr="00EC5244" w:rsidRDefault="00F8414E" w:rsidP="003F4562">
      <w:pPr>
        <w:pStyle w:val="TAMainText"/>
        <w:rPr>
          <w:lang w:val="en-CA"/>
        </w:rPr>
      </w:pPr>
    </w:p>
    <w:p w14:paraId="09A0B07A" w14:textId="60D3FB6D" w:rsidR="00F8414E" w:rsidRPr="00EC5244" w:rsidRDefault="00F8414E" w:rsidP="00DE289E">
      <w:pPr>
        <w:pStyle w:val="TAMainText"/>
        <w:ind w:firstLine="0"/>
        <w:rPr>
          <w:lang w:val="en-CA"/>
        </w:rPr>
      </w:pPr>
      <w:r w:rsidRPr="00EC5244">
        <w:rPr>
          <w:lang w:val="en-CA"/>
        </w:rPr>
        <w:t xml:space="preserve">So far we have focused on three component systems consisting of water, hydrotrope and solute. Here we extend our theory further to 4-component systems comprising of </w:t>
      </w:r>
      <w:r w:rsidR="00F96A0A" w:rsidRPr="00EC5244">
        <w:rPr>
          <w:lang w:val="en-CA"/>
        </w:rPr>
        <w:t>water, “solvent”</w:t>
      </w:r>
      <w:r w:rsidR="008D6F6F" w:rsidRPr="00EC5244">
        <w:rPr>
          <w:lang w:val="en-CA"/>
        </w:rPr>
        <w:t xml:space="preserve"> </w:t>
      </w:r>
      <w:r w:rsidR="00E40C45" w:rsidRPr="00EC5244">
        <w:rPr>
          <w:lang w:val="en-CA"/>
        </w:rPr>
        <w:t xml:space="preserve">or “cosolvent” </w:t>
      </w:r>
      <w:r w:rsidR="008D6F6F" w:rsidRPr="00EC5244">
        <w:rPr>
          <w:lang w:val="en-CA"/>
        </w:rPr>
        <w:t>(species 2</w:t>
      </w:r>
      <w:r w:rsidR="004F135D" w:rsidRPr="00EC5244">
        <w:rPr>
          <w:lang w:val="en-CA"/>
        </w:rPr>
        <w:t>, partly-miscible with water</w:t>
      </w:r>
      <w:r w:rsidR="00F96A0A" w:rsidRPr="00EC5244">
        <w:rPr>
          <w:lang w:val="en-CA"/>
        </w:rPr>
        <w:t>), hydrotrope (species 3, that mixes with water and solvent),</w:t>
      </w:r>
      <w:r w:rsidR="008D6F6F" w:rsidRPr="00EC5244">
        <w:rPr>
          <w:lang w:val="en-CA"/>
        </w:rPr>
        <w:t xml:space="preserve"> </w:t>
      </w:r>
      <w:r w:rsidRPr="00EC5244">
        <w:rPr>
          <w:lang w:val="en-CA"/>
        </w:rPr>
        <w:t>and solute.</w:t>
      </w:r>
      <w:r w:rsidR="004F135D" w:rsidRPr="00EC5244">
        <w:rPr>
          <w:lang w:val="en-CA"/>
        </w:rPr>
        <w:fldChar w:fldCharType="begin" w:fldLock="1"/>
      </w:r>
      <w:r w:rsidR="00BB4DD1" w:rsidRPr="00EC5244">
        <w:rPr>
          <w:lang w:val="en-CA"/>
        </w:rPr>
        <w:instrText>ADDIN CSL_CITATION { "citationItems" : [ { "id" : "ITEM-1", "itemData" : { "DOI" : "10.1107/S002188981302606X", "ISBN" : "0021889813", "ISSN" : "00218898", "abstract" : "Ternary mixtures of medium-chain fatty alcohols, water and a hydrotrope (such as ethanol), near the immiscibility gap, make stable single phases at constant temperature. Interestingly, in this \u2018pre-ouzo region\u2019 these single phases consist of two distinct nanoscopic pseudo-phases, one octanol-rich and one water-rich. This domain of composition, which is known to produce strong light scattering and to separate under ultracentrifugation into two phases, has been studied using contrast variation in small-angle neutron scattering (SANS) combined with small- and wide-angle X-ray scattering (SWAXS). The existence of fatty alcohol-rich domains of well defined size of the order of 2 nm radius is proven. The scattering can be approximated by an Ornstein\u2013Zernike function, which is close to the general expression of Choi, Chen, Sottmann &amp; Strey [Physica B, (1998), 241\u2013243, 976\u2013978] with vanishing quadratic Porod term. Exploitation of the relative intensities at the vanishing scattering angle in SANS demonstrates that the distribution coefficient of ethanol between the octanol-rich and the water-rich domains is close to one.WAXS of the two coexisting pseudo-phases is compared with the corresponding binary water\u2013ethanol and octanol\u2013ethanol samples.", "author" : [ { "dropping-particle" : "", "family" : "Diat", "given" : "Olivier", "non-dropping-particle" : "", "parse-names" : false, "suffix" : "" }, { "dropping-particle" : "", "family" : "Klossek", "given" : "Michael L.", "non-dropping-particle" : "", "parse-names" : false, "suffix" : "" }, { "dropping-particle" : "", "family" : "Touraud", "given" : "Didier", "non-dropping-particle" : "", "parse-names" : false, "suffix" : "" }, { "dropping-particle" : "", "family" : "Deme", "given" : "Bruno", "non-dropping-particle" : "", "parse-names" : false, "suffix" : "" }, { "dropping-particle" : "", "family" : "Grillo", "given" : "Isabelle", "non-dropping-particle" : "", "parse-names" : false, "suffix" : "" }, { "dropping-particle" : "", "family" : "Kunz", "given" : "Werner", "non-dropping-particle" : "", "parse-names" : false, "suffix" : "" }, { "dropping-particle" : "", "family" : "Zemb", "given" : "Thomas", "non-dropping-particle" : "", "parse-names" : false, "suffix" : "" } ], "container-title" : "Journal of Applied Crystallography", "id" : "ITEM-1", "issue" : "6", "issued" : { "date-parts" : [ [ "2013" ] ] }, "page" : "1665-1669", "title" : "Octanol-rich and water-rich domains in dynamic equilibrium in the pre-ouzo region of ternary systems containing a hydrotrope", "type" : "article-journal", "volume" : "46" }, "uris" : [ "http://www.mendeley.com/documents/?uuid=cc4fb429-79e5-4e24-9bcc-904ff2db4f0a" ] }, { "id" : "ITEM-2", "itemData" : { "DOI" : "10.1039/c4sc00153b", "ISSN" : "2041-6520", "abstract" : "Curious effects ranging from enzyme activity to anomalies in evaporation rates that have been known for over fifty years suggest the existence and thermodynamic stability of surfactant-free micelles. Only recently, joint X-ray, light and neutron scattering experiments have demonstrated that aggregates and bulk pseudo-phases coexist in presumably normal solutions, in which a water insoluble component is solubilized in a certain domain of concentration of a hydrotrope component like ethanol. Nevertheless, nothing is known about the molecular-level shape and structure of such aggregates. In this work we characterize mixtures of octanol, ethanol, and water by molecular dynamics simulations. For compositions in the \" pre-ouzo \" region (close to the single phase stability limit) we observe micelle-like aggregates that are clearly distinct from simple critical density fluctuations. We define an ethanol partition in the pseudo-phase from an integral of the van der Waals dispersion energy term. From this partition, octanol-rich aggregates swollen with ethanol appear with an emerging interface. Ethanol is present in the water pseudo-phase with an exponential decay similar to the one predicted by Marcelja and Radic forty years ago.", "author" : [ { "dropping-particle" : "", "family" : "Sch\u00f6ttl", "given" : "S.", "non-dropping-particle" : "", "parse-names" : false, "suffix" : "" }, { "dropping-particle" : "", "family" : "Marcus", "given" : "J.", "non-dropping-particle" : "", "parse-names" : false, "suffix" : "" }, { "dropping-particle" : "", "family" : "Diat", "given" : "O.", "non-dropping-particle" : "", "parse-names" : false, "suffix" : "" }, { "dropping-particle" : "", "family" : "Touraud", "given" : "D.", "non-dropping-particle" : "", "parse-names" : false, "suffix" : "" }, { "dropping-particle" : "", "family" : "Kunz", "given" : "W.", "non-dropping-particle" : "", "parse-names" : false, "suffix" : "" }, { "dropping-particle" : "", "family" : "Zemb", "given" : "T.", "non-dropping-particle" : "", "parse-names" : false, "suffix" : "" }, { "dropping-particle" : "", "family" : "Horinek", "given" : "D.", "non-dropping-particle" : "", "parse-names" : false, "suffix" : "" } ], "container-title" : "Chemical Science", "id" : "ITEM-2", "issue" : "8", "issued" : { "date-parts" : [ [ "2014" ] ] }, "page" : "2909-3340", "title" : "Emergence of surfactant-free micelles from ternary solutions", "type" : "article-journal", "volume" : "5" }, "uris" : [ "http://www.mendeley.com/documents/?uuid=f5865d9c-ccb8-46bb-bcb1-2f7942864abd" ] }, { "id" : "ITEM-3", "itemData" : { "DOI" : "10.1016/j.colsurfa.2014.11.029", "ISBN" : "9419434745", "ISSN" : "09277757", "abstract" : "The theoretical description of systems with soft interfaces requires a precise definition of the interfaces that are present. Such definitions are common for interfaces of simple liquids and for surfactant assemblies like micelles, membranes, and microemulsions. Here, we focus on several possible rigorous definitions in a recently described surfactant-free microemulsion that consists of octanol, ethanol, and water, in which micelle-like aggregates are in dynamic equilibrium with the surrounding pseudo phase. We test different definitions that are based on the radial distribution functions of the components with respect to the center of these surfactant-free micelles. All definitions result in experimentally indistinguishable locations of the interface within the limits of resolution of light, X-ray, and neutron scattering experiments, since their locations differ by at most 0.4nm, which corresponds to roughly 2-3 bond lengths.", "author" : [ { "dropping-particle" : "", "family" : "Sch\u00f6ttl", "given" : "Sebastian", "non-dropping-particle" : "", "parse-names" : false, "suffix" : "" }, { "dropping-particle" : "", "family" : "Touraud", "given" : "Didier", "non-dropping-particle" : "", "parse-names" : false, "suffix" : "" }, { "dropping-particle" : "", "family" : "Kunz", "given" : "Werner", "non-dropping-particle" : "", "parse-names" : false, "suffix" : "" }, { "dropping-particle" : "", "family" : "Zemb", "given" : "Thomas", "non-dropping-particle" : "", "parse-names" : false, "suffix" : "" }, { "dropping-particle" : "", "family" : "Horinek", "given" : "Dominik", "non-dropping-particle" : "", "parse-names" : false, "suffix" : "" } ], "container-title" : "Colloids and Surfaces A: Physicochemical and Engineering Aspects", "id" : "ITEM-3", "issued" : { "date-parts" : [ [ "2015" ] ] }, "page" : "222-227", "publisher" : "Elsevier B.V.", "title" : "Consistent definitions of \u201cthe interface\u201d in surfactant-free micellar aggregates", "type" : "article-journal", "volume" : "480" }, "uris" : [ "http://www.mendeley.com/documents/?uuid=28e5a2f2-8ffb-44d0-a7df-817eb8ab6420" ] }, { "id" : "ITEM-4", "itemData" : { "DOI" : "10.1039/c5cp06364g", "ISSN" : "1463-9084", "PMID" : "26593697", "abstract" : "We study the addition of electrolytes to surfactant-free microemulsions in the domain where polydisperse pre-Ouzo aggregates are present. As in previous studies, the microemulsion is the ternary system water/ethanol/1-octanol, where ethanol acts as co-solvent. Addition of electrolytes modifies the static X-ray and neutron scattering, and dynamic light scattering patterns, as well as the position of the miscibility gap, where spontaneous emulsification occurs upon dilution with water. All observations can be rationalized considering that electrolytes are either \"salting out\" the ethanol, which is the main component of the interface stabilizing the aggregates, or producing charge separation via the antagonistic ion effect discovered by Onuki et al. Amphiphilic electrolytes, such as sodium dodecylsulfate or sodium dietheylhexylphosphate, induce a gradual transition towards monodisperse ionic micelles with their characteristic broad scattering \"peak\". In these micelles the ethanol plays then the role of a cosurfactant. Dynamic light scattering can only be understood by combination of fluctuations of aggregate concentration due to the vicinity of a critical point and in-out fluctuations of ethanol.", "author" : [ { "dropping-particle" : "", "family" : "Marcus", "given" : "J", "non-dropping-particle" : "", "parse-names" : false, "suffix" : "" }, { "dropping-particle" : "", "family" : "Touraud", "given" : "D", "non-dropping-particle" : "", "parse-names" : false, "suffix" : "" }, { "dropping-particle" : "", "family" : "Pr\u00e9vost", "given" : "S", "non-dropping-particle" : "", "parse-names" : false, "suffix" : "" }, { "dropping-particle" : "", "family" : "Diat", "given" : "O", "non-dropping-particle" : "", "parse-names" : false, "suffix" : "" }, { "dropping-particle" : "", "family" : "Zemb", "given" : "T", "non-dropping-particle" : "", "parse-names" : false, "suffix" : "" }, { "dropping-particle" : "", "family" : "Kunz", "given" : "W", "non-dropping-particle" : "", "parse-names" : false, "suffix" : "" } ], "container-title" : "Physical chemistry chemical physics : PCCP", "id" : "ITEM-4", "issue" : "48", "issued" : { "date-parts" : [ [ "2015" ] ] }, "page" : "32528-38", "publisher" : "Royal Society of Chemistry", "title" : "Influence of additives on the structure of surfactant-free microemulsions.", "type" : "article-journal", "volume" : "17" }, "uris" : [ "http://www.mendeley.com/documents/?uuid=3254b6b6-bf4c-4134-a266-060aefc772c6" ] }, { "id" : "ITEM-5", "itemData" : { "DOI" : "10.1073/pnas.1515708113", "ISSN" : "0027-8424", "PMID" : "27044068", "abstract" : "Ternary solutions containing one hydrotrope (such as ethanol) and two immiscible fluids, both being soluble in the hydrotrope at any proportion, show unexpected solubilization power and allow strange but yet unexplained membrane enzyme activity. We study the system ethanol-water-octanol as a simple model of such kinds of ternary solutions. The stability of \"detergentless\" micelles or microemulsions in such mixtures was proposed in the pioneering works of Barden and coworkers [Smith GD, Donelan CE, Barden RE (1977)J Colloid Interface Sci60(3):488-496 and Keiser BA, Varie D, Barden RE, Holt SL (1979)J Phys Chem83(10):1276-1281] in the 1970s and then, neglected, because no general explanation for the observations was available. Recent direct microstructural evidence by light, X-ray, and neutron scattering using contrast variation reopened the debate. We propose here a general principle for solubilization without conventional surfactants: the balance between hydration force and entropy. This balance explains the stability of microemulsions in homogeneous ternary mixtures based on cosolvents.", "author" : [ { "dropping-particle" : "", "family" : "Zemb", "given" : "Thomas N.", "non-dropping-particle" : "", "parse-names" : false, "suffix" : "" }, { "dropping-particle" : "", "family" : "Klossek", "given" : "Michael", "non-dropping-particle" : "", "parse-names" : false, "suffix" : "" }, { "dropping-particle" : "", "family" : "Lopian", "given" : "Tobias", "non-dropping-particle" : "", "parse-names" : false, "suffix" : "" }, { "dropping-particle" : "", "family" : "Marcus", "given" : "Julien", "non-dropping-particle" : "", "parse-names" : false, "suffix" : "" }, { "dropping-particle" : "", "family" : "Sch\u00f6ettl", "given" : "Sebastian", "non-dropping-particle" : "", "parse-names" : false, "suffix" : "" }, { "dropping-particle" : "", "family" : "Horinek", "given" : "Dominik", "non-dropping-particle" : "", "parse-names" : false, "suffix" : "" }, { "dropping-particle" : "", "family" : "Prevost", "given" : "Sylvain F.", "non-dropping-particle" : "", "parse-names" : false, "suffix" : "" }, { "dropping-particle" : "", "family" : "Touraud", "given" : "Didier", "non-dropping-particle" : "", "parse-names" : false, "suffix" : "" }, { "dropping-particle" : "", "family" : "Diat", "given" : "Olivier", "non-dropping-particle" : "", "parse-names" : false, "suffix" : "" }, { "dropping-particle" : "", "family" : "Mar\u010delja", "given" : "Stjepan", "non-dropping-particle" : "", "parse-names" : false, "suffix" : "" }, { "dropping-particle" : "", "family" : "Kunz", "given" : "Werner", "non-dropping-particle" : "", "parse-names" : false, "suffix" : "" } ], "container-title" : "Proceedings of the National Academy of Sciences", "id" : "ITEM-5", "issue" : "16", "issued" : { "date-parts" : [ [ "2016" ] ] }, "page" : "4260-4265", "title" : "How to explain microemulsions formed by solvent mixtures without conventional surfactants", "type" : "article-journal", "volume" : "113" }, "uris" : [ "http://www.mendeley.com/documents/?uuid=8e80dbba-2c3f-4a3a-a65e-7e3fdbe3e67c" ] }, { "id" : "ITEM-6", "itemData" : { "DOI" : "10.1016/j.cocis.2016.04.002", "ISSN" : "18790399", "abstract" : "This paper gives an overview of weak aggregation due to long-range molecular forces beyond the first neighbor. Such subtle self-assemblies are an important part of modern colloidal chemistry and concern organic molecules as well as inorganic electrolytes and hybrid aggregates. Diverse aspects of such colloidal aggregations, as described in this special issue, can be characterized by the effective free energy per molecule involved. We discuss here expectations about emerging knowledge in this field and predictive modeling of inorganic as well as organic colloids and hybrid aggregates. Some still open questions are also given.", "author" : [ { "dropping-particle" : "", "family" : "Zemb", "given" : "Thomas", "non-dropping-particle" : "", "parse-names" : false, "suffix" : "" }, { "dropping-particle" : "", "family" : "Kunz", "given" : "Werner", "non-dropping-particle" : "", "parse-names" : false, "suffix" : "" } ], "container-title" : "Current Opinion in Colloid and Interface Science", "id" : "ITEM-6", "issued" : { "date-parts" : [ [ "2016" ] ] }, "page" : "113-119", "publisher" : "Elsevier Ltd", "title" : "Weak aggregation: State of the art, expectations and open questions", "type" : "article-journal", "volume" : "22" }, "uris" : [ "http://www.mendeley.com/documents/?uuid=b0efcade-f2a1-452d-ad33-6d11544b772e" ] }, { "id" : "ITEM-7", "itemData" : { "DOI" : "10.1016/j.cocis.2016.03.005", "ISSN" : "13590294", "author" : [ { "dropping-particle" : "", "family" : "Kunz", "given" : "Werner", "non-dropping-particle" : "", "parse-names" : false, "suffix" : "" }, { "dropping-particle" : "", "family" : "Holmberg", "given" : "Krister", "non-dropping-particle" : "", "parse-names" : false, "suffix" : "" }, { "dropping-particle" : "", "family" : "Zemb", "given" : "Thomas", "non-dropping-particle" : "", "parse-names" : false, "suffix" : "" } ], "container-title" : "Current Opinion in Colloid &amp; Interface Science", "id" : "ITEM-7", "issued" : { "date-parts" : [ [ "2016" ] ] }, "page" : "99-107", "title" : "Hydrotropes", "type" : "article-journal", "volume" : "22" }, "uris" : [ "http://www.mendeley.com/documents/?uuid=c63892f6-f40b-4433-a7ae-392ad4c78409" ] }, { "id" : "ITEM-8", "itemData" : { "DOI" : "10.1039/C6CP06696H", "ISSN" : "1463-9076", "abstract" : "In the present contribution, the pre-structuring of binary mixtures of hydrotropes and H2O is linked to the solubilisation of poorly water miscible compounds. We have chosen a series of short-chain alcohols as hydrotropes and benzyl alcohol, limonene and a hydrophobic azo-dye (Disperse Red 13) as organic compounds to be dissolved. A very weak pre-structuring is found for ethanol/H2O and 2-propanol/H2O mixtures. Pre-structuring is most developed for binary 1-propanol/H2O and tert-butanol/H2O mixtures and supports the bicontinuity model of alcohol-rich and water-rich domains as already postulated by Anisimov et al. Such a pre-structuring leads to a high solubilisation power for poorly water miscible components (limonene and Disperse Red, characterized by high octanol/water partition coefficients, log(P) values of 4.5 and 4.85), whereas a very weak pre-structuring leads to a high solubilisation power for slightly water miscible components (benzyl alcohol). This difference in solubilisation power can be linked to (i) the formation of mesoscale structures in the cases of ethanol and 2-propanol and (ii) the extension of pre-structures in the cases of 1-propanol and tert-butanol. Three different solubilisation mechanisms could be identified: bulk solubilisation, interface solubilisation and a combination of both. These supramolecular structures in binary and ternary systems were investigated by small-and-wide-angle X-ray and neutron scattering, dynamic light scattering and conductivity measurements (in the presence of small amounts of salt).", "author" : [ { "dropping-particle" : "", "family" : "Buchecker", "given" : "Thomas", "non-dropping-particle" : "", "parse-names" : false, "suffix" : "" }, { "dropping-particle" : "", "family" : "Krickl", "given" : "Sebastian", "non-dropping-particle" : "", "parse-names" : false, "suffix" : "" }, { "dropping-particle" : "", "family" : "Winkler", "given" : "Robert", "non-dropping-particle" : "", "parse-names" : false, "suffix" : "" }, { "dropping-particle" : "", "family" : "Grillo", "given" : "Isabelle", "non-dropping-particle" : "", "parse-names" : false, "suffix" : "" }, { "dropping-particle" : "", "family" : "Bauduin", "given" : "Pierre", "non-dropping-particle" : "", "parse-names" : false, "suffix" : "" }, { "dropping-particle" : "", "family" : "Touraud", "given" : "Didier", "non-dropping-particle" : "", "parse-names" : false, "suffix" : "" }, { "dropping-particle" : "", "family" : "Pfitzner", "given" : "Arno", "non-dropping-particle" : "", "parse-names" : false, "suffix" : "" }, { "dropping-particle" : "", "family" : "Kunz", "given" : "Werner", "non-dropping-particle" : "", "parse-names" : false, "suffix" : "" }, { "dropping-particle" : "", "family" : "Cubitt", "given" : "R.", "non-dropping-particle" : "", "parse-names" : false, "suffix" : "" }, { "dropping-particle" : "", "family" : "Marelja", "given" : "S.", "non-dropping-particle" : "", "parse-names" : false, "suffix" : "" }, { "dropping-particle" : "", "family" : "Kunz", "given" : "W.", "non-dropping-particle" : "", "parse-names" : false, "suffix" : "" } ], "container-title" : "Phys. Chem. Chem. Phys.", "id" : "ITEM-8", "issue" : "3", "issued" : { "date-parts" : [ [ "2017" ] ] }, "page" : "1806-1816", "publisher" : "The Royal Society of Chemistry", "title" : "The impact of the structuring of hydrotropes in water on the mesoscale solubilisation of a third hydrophobic component", "type" : "article-journal", "volume" : "19" }, "uris" : [ "http://www.mendeley.com/documents/?uuid=e46e28c7-f3ae-377d-8317-fe42ef858478" ] } ], "mendeley" : { "formattedCitation" : "&lt;sup&gt;7,55,60\u201365&lt;/sup&gt;", "plainTextFormattedCitation" : "7,55,60\u201365", "previouslyFormattedCitation" : "&lt;sup&gt;7,55,60\u201365&lt;/sup&gt;" }, "properties" : { "noteIndex" : 0 }, "schema" : "https://github.com/citation-style-language/schema/raw/master/csl-citation.json" }</w:instrText>
      </w:r>
      <w:r w:rsidR="004F135D" w:rsidRPr="00EC5244">
        <w:rPr>
          <w:lang w:val="en-CA"/>
        </w:rPr>
        <w:fldChar w:fldCharType="separate"/>
      </w:r>
      <w:r w:rsidR="00BB4DD1" w:rsidRPr="00EC5244">
        <w:rPr>
          <w:noProof/>
          <w:vertAlign w:val="superscript"/>
          <w:lang w:val="en-CA"/>
        </w:rPr>
        <w:t>7,55,60–65</w:t>
      </w:r>
      <w:r w:rsidR="004F135D" w:rsidRPr="00EC5244">
        <w:rPr>
          <w:lang w:val="en-CA"/>
        </w:rPr>
        <w:fldChar w:fldCharType="end"/>
      </w:r>
      <w:r w:rsidRPr="00EC5244">
        <w:rPr>
          <w:lang w:val="en-CA"/>
        </w:rPr>
        <w:t xml:space="preserve"> A wealth of data has been published on the mixing propert</w:t>
      </w:r>
      <w:r w:rsidR="00F96A0A" w:rsidRPr="00EC5244">
        <w:rPr>
          <w:lang w:val="en-CA"/>
        </w:rPr>
        <w:t>ies of water-solvent-hydrotrope</w:t>
      </w:r>
      <w:r w:rsidRPr="00EC5244">
        <w:rPr>
          <w:lang w:val="en-CA"/>
        </w:rPr>
        <w:t xml:space="preserve"> that exhibit mesoscale pseudophase domains,</w:t>
      </w:r>
      <w:r w:rsidRPr="00EC5244">
        <w:rPr>
          <w:lang w:val="en-CA"/>
        </w:rPr>
        <w:fldChar w:fldCharType="begin" w:fldLock="1"/>
      </w:r>
      <w:r w:rsidR="00D63CEF" w:rsidRPr="00EC5244">
        <w:rPr>
          <w:lang w:val="en-CA"/>
        </w:rPr>
        <w:instrText>ADDIN CSL_CITATION { "citationItems" : [ { "id" : "ITEM-1", "itemData" : { "DOI" : "10.1073/pnas.1515708113", "ISSN" : "0027-8424", "PMID" : "27044068", "abstract" : "Ternary solutions containing one hydrotrope (such as ethanol) and two immiscible fluids, both being soluble in the hydrotrope at any proportion, show unexpected solubilization power and allow strange but yet unexplained membrane enzyme activity. We study the system ethanol-water-octanol as a simple model of such kinds of ternary solutions. The stability of \"detergentless\" micelles or microemulsions in such mixtures was proposed in the pioneering works of Barden and coworkers [Smith GD, Donelan CE, Barden RE (1977)J Colloid Interface Sci60(3):488-496 and Keiser BA, Varie D, Barden RE, Holt SL (1979)J Phys Chem83(10):1276-1281] in the 1970s and then, neglected, because no general explanation for the observations was available. Recent direct microstructural evidence by light, X-ray, and neutron scattering using contrast variation reopened the debate. We propose here a general principle for solubilization without conventional surfactants: the balance between hydration force and entropy. This balance explains the stability of microemulsions in homogeneous ternary mixtures based on cosolvents.", "author" : [ { "dropping-particle" : "", "family" : "Zemb", "given" : "Thomas N.", "non-dropping-particle" : "", "parse-names" : false, "suffix" : "" }, { "dropping-particle" : "", "family" : "Klossek", "given" : "Michael", "non-dropping-particle" : "", "parse-names" : false, "suffix" : "" }, { "dropping-particle" : "", "family" : "Lopian", "given" : "Tobias", "non-dropping-particle" : "", "parse-names" : false, "suffix" : "" }, { "dropping-particle" : "", "family" : "Marcus", "given" : "Julien", "non-dropping-particle" : "", "parse-names" : false, "suffix" : "" }, { "dropping-particle" : "", "family" : "Sch\u00f6ettl", "given" : "Sebastian", "non-dropping-particle" : "", "parse-names" : false, "suffix" : "" }, { "dropping-particle" : "", "family" : "Horinek", "given" : "Dominik", "non-dropping-particle" : "", "parse-names" : false, "suffix" : "" }, { "dropping-particle" : "", "family" : "Prevost", "given" : "Sylvain F.", "non-dropping-particle" : "", "parse-names" : false, "suffix" : "" }, { "dropping-particle" : "", "family" : "Touraud", "given" : "Didier", "non-dropping-particle" : "", "parse-names" : false, "suffix" : "" }, { "dropping-particle" : "", "family" : "Diat", "given" : "Olivier", "non-dropping-particle" : "", "parse-names" : false, "suffix" : "" }, { "dropping-particle" : "", "family" : "Mar\u010delja", "given" : "Stjepan", "non-dropping-particle" : "", "parse-names" : false, "suffix" : "" }, { "dropping-particle" : "", "family" : "Kunz", "given" : "Werner", "non-dropping-particle" : "", "parse-names" : false, "suffix" : "" } ], "container-title" : "Proceedings of the National Academy of Sciences", "id" : "ITEM-1", "issue" : "16", "issued" : { "date-parts" : [ [ "2016" ] ] }, "page" : "4260-4265", "title" : "How to explain microemulsions formed by solvent mixtures without conventional surfactants", "type" : "article-journal", "volume" : "113" }, "uris" : [ "http://www.mendeley.com/documents/?uuid=8e80dbba-2c3f-4a3a-a65e-7e3fdbe3e67c" ] } ], "mendeley" : { "formattedCitation" : "&lt;sup&gt;64&lt;/sup&gt;", "plainTextFormattedCitation" : "64", "previouslyFormattedCitation" : "&lt;sup&gt;64&lt;/sup&gt;" }, "properties" : { "noteIndex" : 0 }, "schema" : "https://github.com/citation-style-language/schema/raw/master/csl-citation.json" }</w:instrText>
      </w:r>
      <w:r w:rsidRPr="00EC5244">
        <w:rPr>
          <w:lang w:val="en-CA"/>
        </w:rPr>
        <w:fldChar w:fldCharType="separate"/>
      </w:r>
      <w:r w:rsidR="00D63CEF" w:rsidRPr="00EC5244">
        <w:rPr>
          <w:noProof/>
          <w:vertAlign w:val="superscript"/>
          <w:lang w:val="en-CA"/>
        </w:rPr>
        <w:t>64</w:t>
      </w:r>
      <w:r w:rsidRPr="00EC5244">
        <w:rPr>
          <w:lang w:val="en-CA"/>
        </w:rPr>
        <w:fldChar w:fldCharType="end"/>
      </w:r>
      <w:r w:rsidRPr="00EC5244">
        <w:rPr>
          <w:lang w:val="en-CA"/>
        </w:rPr>
        <w:t xml:space="preserve"> commonly referred to as the “pre-ouzo” or “surfactant-free microemulsions.”</w:t>
      </w:r>
      <w:r w:rsidRPr="00EC5244">
        <w:rPr>
          <w:lang w:val="en-CA"/>
        </w:rPr>
        <w:fldChar w:fldCharType="begin" w:fldLock="1"/>
      </w:r>
      <w:r w:rsidR="00BB4DD1" w:rsidRPr="00EC5244">
        <w:rPr>
          <w:lang w:val="en-CA"/>
        </w:rPr>
        <w:instrText>ADDIN CSL_CITATION { "citationItems" : [ { "id" : "ITEM-1", "itemData" : { "DOI" : "10.1107/S002188981302606X", "ISBN" : "0021889813", "ISSN" : "00218898", "abstract" : "Ternary mixtures of medium-chain fatty alcohols, water and a hydrotrope (such as ethanol), near the immiscibility gap, make stable single phases at constant temperature. Interestingly, in this \u2018pre-ouzo region\u2019 these single phases consist of two distinct nanoscopic pseudo-phases, one octanol-rich and one water-rich. This domain of composition, which is known to produce strong light scattering and to separate under ultracentrifugation into two phases, has been studied using contrast variation in small-angle neutron scattering (SANS) combined with small- and wide-angle X-ray scattering (SWAXS). The existence of fatty alcohol-rich domains of well defined size of the order of 2 nm radius is proven. The scattering can be approximated by an Ornstein\u2013Zernike function, which is close to the general expression of Choi, Chen, Sottmann &amp; Strey [Physica B, (1998), 241\u2013243, 976\u2013978] with vanishing quadratic Porod term. Exploitation of the relative intensities at the vanishing scattering angle in SANS demonstrates that the distribution coefficient of ethanol between the octanol-rich and the water-rich domains is close to one.WAXS of the two coexisting pseudo-phases is compared with the corresponding binary water\u2013ethanol and octanol\u2013ethanol samples.", "author" : [ { "dropping-particle" : "", "family" : "Diat", "given" : "Olivier", "non-dropping-particle" : "", "parse-names" : false, "suffix" : "" }, { "dropping-particle" : "", "family" : "Klossek", "given" : "Michael L.", "non-dropping-particle" : "", "parse-names" : false, "suffix" : "" }, { "dropping-particle" : "", "family" : "Touraud", "given" : "Didier", "non-dropping-particle" : "", "parse-names" : false, "suffix" : "" }, { "dropping-particle" : "", "family" : "Deme", "given" : "Bruno", "non-dropping-particle" : "", "parse-names" : false, "suffix" : "" }, { "dropping-particle" : "", "family" : "Grillo", "given" : "Isabelle", "non-dropping-particle" : "", "parse-names" : false, "suffix" : "" }, { "dropping-particle" : "", "family" : "Kunz", "given" : "Werner", "non-dropping-particle" : "", "parse-names" : false, "suffix" : "" }, { "dropping-particle" : "", "family" : "Zemb", "given" : "Thomas", "non-dropping-particle" : "", "parse-names" : false, "suffix" : "" } ], "container-title" : "Journal of Applied Crystallography", "id" : "ITEM-1", "issue" : "6", "issued" : { "date-parts" : [ [ "2013" ] ] }, "page" : "1665-1669", "title" : "Octanol-rich and water-rich domains in dynamic equilibrium in the pre-ouzo region of ternary systems containing a hydrotrope", "type" : "article-journal", "volume" : "46" }, "uris" : [ "http://www.mendeley.com/documents/?uuid=cc4fb429-79e5-4e24-9bcc-904ff2db4f0a" ] }, { "id" : "ITEM-2", "itemData" : { "DOI" : "10.1039/c4sc00153b", "ISSN" : "2041-6520", "abstract" : "Curious effects ranging from enzyme activity to anomalies in evaporation rates that have been known for over fifty years suggest the existence and thermodynamic stability of surfactant-free micelles. Only recently, joint X-ray, light and neutron scattering experiments have demonstrated that aggregates and bulk pseudo-phases coexist in presumably normal solutions, in which a water insoluble component is solubilized in a certain domain of concentration of a hydrotrope component like ethanol. Nevertheless, nothing is known about the molecular-level shape and structure of such aggregates. In this work we characterize mixtures of octanol, ethanol, and water by molecular dynamics simulations. For compositions in the \" pre-ouzo \" region (close to the single phase stability limit) we observe micelle-like aggregates that are clearly distinct from simple critical density fluctuations. We define an ethanol partition in the pseudo-phase from an integral of the van der Waals dispersion energy term. From this partition, octanol-rich aggregates swollen with ethanol appear with an emerging interface. Ethanol is present in the water pseudo-phase with an exponential decay similar to the one predicted by Marcelja and Radic forty years ago.", "author" : [ { "dropping-particle" : "", "family" : "Sch\u00f6ttl", "given" : "S.", "non-dropping-particle" : "", "parse-names" : false, "suffix" : "" }, { "dropping-particle" : "", "family" : "Marcus", "given" : "J.", "non-dropping-particle" : "", "parse-names" : false, "suffix" : "" }, { "dropping-particle" : "", "family" : "Diat", "given" : "O.", "non-dropping-particle" : "", "parse-names" : false, "suffix" : "" }, { "dropping-particle" : "", "family" : "Touraud", "given" : "D.", "non-dropping-particle" : "", "parse-names" : false, "suffix" : "" }, { "dropping-particle" : "", "family" : "Kunz", "given" : "W.", "non-dropping-particle" : "", "parse-names" : false, "suffix" : "" }, { "dropping-particle" : "", "family" : "Zemb", "given" : "T.", "non-dropping-particle" : "", "parse-names" : false, "suffix" : "" }, { "dropping-particle" : "", "family" : "Horinek", "given" : "D.", "non-dropping-particle" : "", "parse-names" : false, "suffix" : "" } ], "container-title" : "Chemical Science", "id" : "ITEM-2", "issue" : "8", "issued" : { "date-parts" : [ [ "2014" ] ] }, "page" : "2909-3340", "title" : "Emergence of surfactant-free micelles from ternary solutions", "type" : "article-journal", "volume" : "5" }, "uris" : [ "http://www.mendeley.com/documents/?uuid=f5865d9c-ccb8-46bb-bcb1-2f7942864abd" ] }, { "id" : "ITEM-3", "itemData" : { "DOI" : "10.1016/j.colsurfa.2014.11.029", "ISBN" : "9419434745", "ISSN" : "09277757", "abstract" : "The theoretical description of systems with soft interfaces requires a precise definition of the interfaces that are present. Such definitions are common for interfaces of simple liquids and for surfactant assemblies like micelles, membranes, and microemulsions. Here, we focus on several possible rigorous definitions in a recently described surfactant-free microemulsion that consists of octanol, ethanol, and water, in which micelle-like aggregates are in dynamic equilibrium with the surrounding pseudo phase. We test different definitions that are based on the radial distribution functions of the components with respect to the center of these surfactant-free micelles. All definitions result in experimentally indistinguishable locations of the interface within the limits of resolution of light, X-ray, and neutron scattering experiments, since their locations differ by at most 0.4nm, which corresponds to roughly 2-3 bond lengths.", "author" : [ { "dropping-particle" : "", "family" : "Sch\u00f6ttl", "given" : "Sebastian", "non-dropping-particle" : "", "parse-names" : false, "suffix" : "" }, { "dropping-particle" : "", "family" : "Touraud", "given" : "Didier", "non-dropping-particle" : "", "parse-names" : false, "suffix" : "" }, { "dropping-particle" : "", "family" : "Kunz", "given" : "Werner", "non-dropping-particle" : "", "parse-names" : false, "suffix" : "" }, { "dropping-particle" : "", "family" : "Zemb", "given" : "Thomas", "non-dropping-particle" : "", "parse-names" : false, "suffix" : "" }, { "dropping-particle" : "", "family" : "Horinek", "given" : "Dominik", "non-dropping-particle" : "", "parse-names" : false, "suffix" : "" } ], "container-title" : "Colloids and Surfaces A: Physicochemical and Engineering Aspects", "id" : "ITEM-3", "issued" : { "date-parts" : [ [ "2015" ] ] }, "page" : "222-227", "publisher" : "Elsevier B.V.", "title" : "Consistent definitions of \u201cthe interface\u201d in surfactant-free micellar aggregates", "type" : "article-journal", "volume" : "480" }, "uris" : [ "http://www.mendeley.com/documents/?uuid=28e5a2f2-8ffb-44d0-a7df-817eb8ab6420" ] }, { "id" : "ITEM-4", "itemData" : { "DOI" : "10.1039/c5cp06364g", "ISSN" : "1463-9084", "PMID" : "26593697", "abstract" : "We study the addition of electrolytes to surfactant-free microemulsions in the domain where polydisperse pre-Ouzo aggregates are present. As in previous studies, the microemulsion is the ternary system water/ethanol/1-octanol, where ethanol acts as co-solvent. Addition of electrolytes modifies the static X-ray and neutron scattering, and dynamic light scattering patterns, as well as the position of the miscibility gap, where spontaneous emulsification occurs upon dilution with water. All observations can be rationalized considering that electrolytes are either \"salting out\" the ethanol, which is the main component of the interface stabilizing the aggregates, or producing charge separation via the antagonistic ion effect discovered by Onuki et al. Amphiphilic electrolytes, such as sodium dodecylsulfate or sodium dietheylhexylphosphate, induce a gradual transition towards monodisperse ionic micelles with their characteristic broad scattering \"peak\". In these micelles the ethanol plays then the role of a cosurfactant. Dynamic light scattering can only be understood by combination of fluctuations of aggregate concentration due to the vicinity of a critical point and in-out fluctuations of ethanol.", "author" : [ { "dropping-particle" : "", "family" : "Marcus", "given" : "J", "non-dropping-particle" : "", "parse-names" : false, "suffix" : "" }, { "dropping-particle" : "", "family" : "Touraud", "given" : "D", "non-dropping-particle" : "", "parse-names" : false, "suffix" : "" }, { "dropping-particle" : "", "family" : "Pr\u00e9vost", "given" : "S", "non-dropping-particle" : "", "parse-names" : false, "suffix" : "" }, { "dropping-particle" : "", "family" : "Diat", "given" : "O", "non-dropping-particle" : "", "parse-names" : false, "suffix" : "" }, { "dropping-particle" : "", "family" : "Zemb", "given" : "T", "non-dropping-particle" : "", "parse-names" : false, "suffix" : "" }, { "dropping-particle" : "", "family" : "Kunz", "given" : "W", "non-dropping-particle" : "", "parse-names" : false, "suffix" : "" } ], "container-title" : "Physical chemistry chemical physics : PCCP", "id" : "ITEM-4", "issue" : "48", "issued" : { "date-parts" : [ [ "2015" ] ] }, "page" : "32528-38", "publisher" : "Royal Society of Chemistry", "title" : "Influence of additives on the structure of surfactant-free microemulsions.", "type" : "article-journal", "volume" : "17" }, "uris" : [ "http://www.mendeley.com/documents/?uuid=3254b6b6-bf4c-4134-a266-060aefc772c6" ] }, { "id" : "ITEM-5", "itemData" : { "DOI" : "10.1073/pnas.1515708113", "ISSN" : "0027-8424", "PMID" : "27044068", "abstract" : "Ternary solutions containing one hydrotrope (such as ethanol) and two immiscible fluids, both being soluble in the hydrotrope at any proportion, show unexpected solubilization power and allow strange but yet unexplained membrane enzyme activity. We study the system ethanol-water-octanol as a simple model of such kinds of ternary solutions. The stability of \"detergentless\" micelles or microemulsions in such mixtures was proposed in the pioneering works of Barden and coworkers [Smith GD, Donelan CE, Barden RE (1977)J Colloid Interface Sci60(3):488-496 and Keiser BA, Varie D, Barden RE, Holt SL (1979)J Phys Chem83(10):1276-1281] in the 1970s and then, neglected, because no general explanation for the observations was available. Recent direct microstructural evidence by light, X-ray, and neutron scattering using contrast variation reopened the debate. We propose here a general principle for solubilization without conventional surfactants: the balance between hydration force and entropy. This balance explains the stability of microemulsions in homogeneous ternary mixtures based on cosolvents.", "author" : [ { "dropping-particle" : "", "family" : "Zemb", "given" : "Thomas N.", "non-dropping-particle" : "", "parse-names" : false, "suffix" : "" }, { "dropping-particle" : "", "family" : "Klossek", "given" : "Michael", "non-dropping-particle" : "", "parse-names" : false, "suffix" : "" }, { "dropping-particle" : "", "family" : "Lopian", "given" : "Tobias", "non-dropping-particle" : "", "parse-names" : false, "suffix" : "" }, { "dropping-particle" : "", "family" : "Marcus", "given" : "Julien", "non-dropping-particle" : "", "parse-names" : false, "suffix" : "" }, { "dropping-particle" : "", "family" : "Sch\u00f6ettl", "given" : "Sebastian", "non-dropping-particle" : "", "parse-names" : false, "suffix" : "" }, { "dropping-particle" : "", "family" : "Horinek", "given" : "Dominik", "non-dropping-particle" : "", "parse-names" : false, "suffix" : "" }, { "dropping-particle" : "", "family" : "Prevost", "given" : "Sylvain F.", "non-dropping-particle" : "", "parse-names" : false, "suffix" : "" }, { "dropping-particle" : "", "family" : "Touraud", "given" : "Didier", "non-dropping-particle" : "", "parse-names" : false, "suffix" : "" }, { "dropping-particle" : "", "family" : "Diat", "given" : "Olivier", "non-dropping-particle" : "", "parse-names" : false, "suffix" : "" }, { "dropping-particle" : "", "family" : "Mar\u010delja", "given" : "Stjepan", "non-dropping-particle" : "", "parse-names" : false, "suffix" : "" }, { "dropping-particle" : "", "family" : "Kunz", "given" : "Werner", "non-dropping-particle" : "", "parse-names" : false, "suffix" : "" } ], "container-title" : "Proceedings of the National Academy of Sciences", "id" : "ITEM-5", "issue" : "16", "issued" : { "date-parts" : [ [ "2016" ] ] }, "page" : "4260-4265", "title" : "How to explain microemulsions formed by solvent mixtures without conventional surfactants", "type" : "article-journal", "volume" : "113" }, "uris" : [ "http://www.mendeley.com/documents/?uuid=8e80dbba-2c3f-4a3a-a65e-7e3fdbe3e67c" ] }, { "id" : "ITEM-6", "itemData" : { "DOI" : "10.1016/j.cocis.2016.04.002", "ISSN" : "18790399", "abstract" : "This paper gives an overview of weak aggregation due to long-range molecular forces beyond the first neighbor. Such subtle self-assemblies are an important part of modern colloidal chemistry and concern organic molecules as well as inorganic electrolytes and hybrid aggregates. Diverse aspects of such colloidal aggregations, as described in this special issue, can be characterized by the effective free energy per molecule involved. We discuss here expectations about emerging knowledge in this field and predictive modeling of inorganic as well as organic colloids and hybrid aggregates. Some still open questions are also given.", "author" : [ { "dropping-particle" : "", "family" : "Zemb", "given" : "Thomas", "non-dropping-particle" : "", "parse-names" : false, "suffix" : "" }, { "dropping-particle" : "", "family" : "Kunz", "given" : "Werner", "non-dropping-particle" : "", "parse-names" : false, "suffix" : "" } ], "container-title" : "Current Opinion in Colloid and Interface Science", "id" : "ITEM-6", "issued" : { "date-parts" : [ [ "2016" ] ] }, "page" : "113-119", "publisher" : "Elsevier Ltd", "title" : "Weak aggregation: State of the art, expectations and open questions", "type" : "article-journal", "volume" : "22" }, "uris" : [ "http://www.mendeley.com/documents/?uuid=b0efcade-f2a1-452d-ad33-6d11544b772e" ] }, { "id" : "ITEM-7", "itemData" : { "DOI" : "10.1016/j.cocis.2016.03.005", "ISSN" : "13590294", "author" : [ { "dropping-particle" : "", "family" : "Kunz", "given" : "Werner", "non-dropping-particle" : "", "parse-names" : false, "suffix" : "" }, { "dropping-particle" : "", "family" : "Holmberg", "given" : "Krister", "non-dropping-particle" : "", "parse-names" : false, "suffix" : "" }, { "dropping-particle" : "", "family" : "Zemb", "given" : "Thomas", "non-dropping-particle" : "", "parse-names" : false, "suffix" : "" } ], "container-title" : "Current Opinion in Colloid &amp; Interface Science", "id" : "ITEM-7", "issued" : { "date-parts" : [ [ "2016" ] ] }, "page" : "99-107", "title" : "Hydrotropes", "type" : "article-journal", "volume" : "22" }, "uris" : [ "http://www.mendeley.com/documents/?uuid=c63892f6-f40b-4433-a7ae-392ad4c78409" ] }, { "id" : "ITEM-8", "itemData" : { "DOI" : "10.1039/C6CP06696H", "ISSN" : "1463-9076", "abstract" : "In the present contribution, the pre-structuring of binary mixtures of hydrotropes and H2O is linked to the solubilisation of poorly water miscible compounds. We have chosen a series of short-chain alcohols as hydrotropes and benzyl alcohol, limonene and a hydrophobic azo-dye (Disperse Red 13) as organic compounds to be dissolved. A very weak pre-structuring is found for ethanol/H2O and 2-propanol/H2O mixtures. Pre-structuring is most developed for binary 1-propanol/H2O and tert-butanol/H2O mixtures and supports the bicontinuity model of alcohol-rich and water-rich domains as already postulated by Anisimov et al. Such a pre-structuring leads to a high solubilisation power for poorly water miscible components (limonene and Disperse Red, characterized by high octanol/water partition coefficients, log(P) values of 4.5 and 4.85), whereas a very weak pre-structuring leads to a high solubilisation power for slightly water miscible components (benzyl alcohol). This difference in solubilisation power can be linked to (i) the formation of mesoscale structures in the cases of ethanol and 2-propanol and (ii) the extension of pre-structures in the cases of 1-propanol and tert-butanol. Three different solubilisation mechanisms could be identified: bulk solubilisation, interface solubilisation and a combination of both. These supramolecular structures in binary and ternary systems were investigated by small-and-wide-angle X-ray and neutron scattering, dynamic light scattering and conductivity measurements (in the presence of small amounts of salt).", "author" : [ { "dropping-particle" : "", "family" : "Buchecker", "given" : "Thomas", "non-dropping-particle" : "", "parse-names" : false, "suffix" : "" }, { "dropping-particle" : "", "family" : "Krickl", "given" : "Sebastian", "non-dropping-particle" : "", "parse-names" : false, "suffix" : "" }, { "dropping-particle" : "", "family" : "Winkler", "given" : "Robert", "non-dropping-particle" : "", "parse-names" : false, "suffix" : "" }, { "dropping-particle" : "", "family" : "Grillo", "given" : "Isabelle", "non-dropping-particle" : "", "parse-names" : false, "suffix" : "" }, { "dropping-particle" : "", "family" : "Bauduin", "given" : "Pierre", "non-dropping-particle" : "", "parse-names" : false, "suffix" : "" }, { "dropping-particle" : "", "family" : "Touraud", "given" : "Didier", "non-dropping-particle" : "", "parse-names" : false, "suffix" : "" }, { "dropping-particle" : "", "family" : "Pfitzner", "given" : "Arno", "non-dropping-particle" : "", "parse-names" : false, "suffix" : "" }, { "dropping-particle" : "", "family" : "Kunz", "given" : "Werner", "non-dropping-particle" : "", "parse-names" : false, "suffix" : "" }, { "dropping-particle" : "", "family" : "Cubitt", "given" : "R.", "non-dropping-particle" : "", "parse-names" : false, "suffix" : "" }, { "dropping-particle" : "", "family" : "Marelja", "given" : "S.", "non-dropping-particle" : "", "parse-names" : false, "suffix" : "" }, { "dropping-particle" : "", "family" : "Kunz", "given" : "W.", "non-dropping-particle" : "", "parse-names" : false, "suffix" : "" } ], "container-title" : "Phys. Chem. Chem. Phys.", "id" : "ITEM-8", "issue" : "3", "issued" : { "date-parts" : [ [ "2017" ] ] }, "page" : "1806-1816", "publisher" : "The Royal Society of Chemistry", "title" : "The impact of the structuring of hydrotropes in water on the mesoscale solubilisation of a third hydrophobic component", "type" : "article-journal", "volume" : "19" }, "uris" : [ "http://www.mendeley.com/documents/?uuid=e46e28c7-f3ae-377d-8317-fe42ef858478" ] } ], "mendeley" : { "formattedCitation" : "&lt;sup&gt;7,55,60\u201365&lt;/sup&gt;", "plainTextFormattedCitation" : "7,55,60\u201365", "previouslyFormattedCitation" : "&lt;sup&gt;7,55,60\u201365&lt;/sup&gt;" }, "properties" : { "noteIndex" : 0 }, "schema" : "https://github.com/citation-style-language/schema/raw/master/csl-citation.json" }</w:instrText>
      </w:r>
      <w:r w:rsidRPr="00EC5244">
        <w:rPr>
          <w:lang w:val="en-CA"/>
        </w:rPr>
        <w:fldChar w:fldCharType="separate"/>
      </w:r>
      <w:r w:rsidR="00BB4DD1" w:rsidRPr="00EC5244">
        <w:rPr>
          <w:noProof/>
          <w:vertAlign w:val="superscript"/>
          <w:lang w:val="en-CA"/>
        </w:rPr>
        <w:t>7,55,60–65</w:t>
      </w:r>
      <w:r w:rsidRPr="00EC5244">
        <w:rPr>
          <w:lang w:val="en-CA"/>
        </w:rPr>
        <w:fldChar w:fldCharType="end"/>
      </w:r>
      <w:r w:rsidRPr="00EC5244">
        <w:rPr>
          <w:lang w:val="en-CA"/>
        </w:rPr>
        <w:t xml:space="preserve"> Here we show statistical thermodynamic principles can bring insights into the apparent complexity.</w:t>
      </w:r>
    </w:p>
    <w:p w14:paraId="43C78819" w14:textId="77777777" w:rsidR="000A6D5D" w:rsidRPr="00EC5244" w:rsidRDefault="000A6D5D" w:rsidP="000A6D5D">
      <w:pPr>
        <w:pStyle w:val="TAMainText"/>
        <w:ind w:firstLine="0"/>
        <w:rPr>
          <w:lang w:val="en-CA"/>
        </w:rPr>
      </w:pPr>
    </w:p>
    <w:p w14:paraId="6D89F282" w14:textId="45FECCE8" w:rsidR="000A6D5D" w:rsidRPr="00EC5244" w:rsidRDefault="000A6D5D" w:rsidP="00DE289E">
      <w:pPr>
        <w:pStyle w:val="TAMainText"/>
        <w:rPr>
          <w:lang w:val="en-CA"/>
        </w:rPr>
      </w:pPr>
      <w:r w:rsidRPr="00EC5244">
        <w:rPr>
          <w:lang w:val="en-CA"/>
        </w:rPr>
        <w:t>Extending our theory to the 4-component system, we obtain the following hydrotrope (</w:t>
      </w:r>
      <m:oMath>
        <m:r>
          <w:rPr>
            <w:rFonts w:ascii="Cambria Math" w:hAnsi="Cambria Math"/>
            <w:lang w:val="en-CA"/>
          </w:rPr>
          <m:t>i=3</m:t>
        </m:r>
      </m:oMath>
      <w:r w:rsidRPr="00EC5244">
        <w:rPr>
          <w:lang w:val="en-CA"/>
        </w:rPr>
        <w:t>) concentration dependence of the solute chemical potential:</w:t>
      </w:r>
      <w:r w:rsidRPr="00EC5244">
        <w:rPr>
          <w:lang w:val="en-CA"/>
        </w:rPr>
        <w:fldChar w:fldCharType="begin" w:fldLock="1"/>
      </w:r>
      <w:r w:rsidR="00BB4DD1" w:rsidRPr="00EC5244">
        <w:rPr>
          <w:lang w:val="en-CA"/>
        </w:rPr>
        <w:instrText>ADDIN CSL_CITATION { "citationItems" : [ { "id" : "ITEM-1", "itemData" : { "author" : [ { "dropping-particle" : "", "family" : "Ben-Naim", "given" : "Arieh", "non-dropping-particle" : "", "parse-names" : false, "suffix" : "" } ], "id" : "ITEM-1", "issued" : { "date-parts" : [ [ "2006" ] ] }, "publisher" : "Oxford University Press", "publisher-place" : "Oxford", "title" : "Molecular Theory of Solutions", "type" : "book" }, "uris" : [ "http://www.mendeley.com/documents/?uuid=c69c8ec7-b100-38af-a990-6baa3f6c9810" ] }, { "id" : "ITEM-2", "itemData" : { "abstract" : "A general approach is presented to express the Kirkwood-Buff integrals, the central component of the Kirkwood-Buff theory of solutions, in terms of thermodynamic properties of solution mixtures. A general expression valid for any number of components is provided in terms of matrix cofactors, while explicit expressions are given for three and four component mixtures. The corresponding symmetric ideal solution values are also presented for four and higher component mixtures.", "author" : [ { "dropping-particle" : "", "family" : "Smith", "given" : "Paul E.", "non-dropping-particle" : "", "parse-names" : false, "suffix" : "" } ], "container-title" : "Journal of Chemical Physics", "id" : "ITEM-2", "issue" : "12", "issued" : { "date-parts" : [ [ "2008" ] ] }, "page" : "124509", "title" : "On the Kirkwood-Buff inversion procedure", "type" : "article-journal", "volume" : "129" }, "uris" : [ "http://www.mendeley.com/documents/?uuid=7c36a8c1-0c6c-4bc9-a2ee-64b56b48bd12" ] }, { "id" : "ITEM-3", "itemData" : { "author" : [ { "dropping-particle" : "", "family" : "Gazzillo", "given" : "Domeniko", "non-dropping-particle" : "", "parse-names" : false, "suffix" : "" } ], "container-title" : "Molecular Physics", "id" : "ITEM-3", "issue" : "6", "issued" : { "date-parts" : [ [ "1994" ] ] }, "page" : "1171-1190", "title" : "Stability of fluids with more than two components I. General thermodynamic theory and concentration-concentration structure factor", "type" : "article-journal", "volume" : "83" }, "uris" : [ "http://www.mendeley.com/documents/?uuid=baaba04b-189e-49ed-90c2-8163457aa0b3" ] } ], "mendeley" : { "formattedCitation" : "&lt;sup&gt;50\u201352&lt;/sup&gt;", "plainTextFormattedCitation" : "50\u201352", "previouslyFormattedCitation" : "&lt;sup&gt;50\u201352&lt;/sup&gt;" }, "properties" : { "noteIndex" : 0 }, "schema" : "https://github.com/citation-style-language/schema/raw/master/csl-citation.json" }</w:instrText>
      </w:r>
      <w:r w:rsidRPr="00EC5244">
        <w:rPr>
          <w:lang w:val="en-CA"/>
        </w:rPr>
        <w:fldChar w:fldCharType="separate"/>
      </w:r>
      <w:r w:rsidRPr="00EC5244">
        <w:rPr>
          <w:noProof/>
          <w:vertAlign w:val="superscript"/>
          <w:lang w:val="en-CA"/>
        </w:rPr>
        <w:t>50–52</w:t>
      </w:r>
      <w:r w:rsidRPr="00EC5244">
        <w:rPr>
          <w:lang w:val="en-CA"/>
        </w:rPr>
        <w:fldChar w:fldCharType="end"/>
      </w:r>
      <w:r w:rsidRPr="00EC5244">
        <w:rPr>
          <w:lang w:val="en-CA"/>
        </w:rPr>
        <w:t xml:space="preserve">   </w:t>
      </w:r>
    </w:p>
    <w:p w14:paraId="6029680D" w14:textId="3042B1E8" w:rsidR="000A6D5D" w:rsidRPr="00EC5244" w:rsidRDefault="000C7FF6" w:rsidP="000A6D5D">
      <w:pPr>
        <w:pStyle w:val="TAMainText"/>
        <w:rPr>
          <w:lang w:val="en-CA"/>
        </w:rPr>
      </w:pPr>
      <m:oMath>
        <m:f>
          <m:fPr>
            <m:ctrlPr>
              <w:rPr>
                <w:rFonts w:ascii="Cambria Math" w:hAnsi="Cambria Math"/>
                <w:i/>
                <w:lang w:val="en-CA"/>
              </w:rPr>
            </m:ctrlPr>
          </m:fPr>
          <m:num>
            <m:r>
              <w:rPr>
                <w:rFonts w:ascii="Cambria Math" w:hAnsi="Cambria Math"/>
                <w:lang w:val="en-CA"/>
              </w:rPr>
              <m:t>1</m:t>
            </m:r>
          </m:num>
          <m:den>
            <m:r>
              <w:rPr>
                <w:rFonts w:ascii="Cambria Math" w:hAnsi="Cambria Math"/>
                <w:lang w:val="en-CA"/>
              </w:rPr>
              <m:t>RT</m:t>
            </m:r>
          </m:den>
        </m:f>
        <m:sSub>
          <m:sSubPr>
            <m:ctrlPr>
              <w:rPr>
                <w:rFonts w:ascii="Cambria Math" w:hAnsi="Cambria Math"/>
                <w:i/>
                <w:lang w:val="en-CA"/>
              </w:rPr>
            </m:ctrlPr>
          </m:sSubPr>
          <m:e>
            <m:d>
              <m:dPr>
                <m:ctrlPr>
                  <w:rPr>
                    <w:rFonts w:ascii="Cambria Math" w:hAnsi="Cambria Math"/>
                    <w:i/>
                    <w:lang w:val="en-CA"/>
                  </w:rPr>
                </m:ctrlPr>
              </m:dPr>
              <m:e>
                <m:f>
                  <m:fPr>
                    <m:ctrlPr>
                      <w:rPr>
                        <w:rFonts w:ascii="Cambria Math" w:hAnsi="Cambria Math"/>
                        <w:i/>
                        <w:lang w:val="en-CA"/>
                      </w:rPr>
                    </m:ctrlPr>
                  </m:fPr>
                  <m:num>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u</m:t>
                        </m:r>
                      </m:sub>
                    </m:sSub>
                  </m:num>
                  <m:den>
                    <m:r>
                      <w:rPr>
                        <w:rFonts w:ascii="Cambria Math" w:hAnsi="Cambria Math"/>
                        <w:lang w:val="en-CA"/>
                      </w:rPr>
                      <m:t>∂</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3</m:t>
                        </m:r>
                      </m:sub>
                    </m:sSub>
                  </m:den>
                </m:f>
              </m:e>
            </m:d>
          </m:e>
          <m:sub>
            <m:r>
              <w:rPr>
                <w:rFonts w:ascii="Cambria Math" w:hAnsi="Cambria Math"/>
                <w:lang w:val="en-CA"/>
              </w:rPr>
              <m:t>T,</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j≠3</m:t>
                </m:r>
              </m:sub>
            </m:sSub>
          </m:sub>
        </m:sSub>
        <m:r>
          <w:rPr>
            <w:rFonts w:ascii="Cambria Math" w:hAnsi="Cambria Math"/>
            <w:lang w:val="en-CA"/>
          </w:rPr>
          <m:t>=</m:t>
        </m:r>
        <m:f>
          <m:fPr>
            <m:ctrlPr>
              <w:rPr>
                <w:rFonts w:ascii="Cambria Math" w:hAnsi="Cambria Math"/>
                <w:i/>
                <w:lang w:val="en-CA"/>
              </w:rPr>
            </m:ctrlPr>
          </m:fPr>
          <m:num>
            <m:sSup>
              <m:sSupPr>
                <m:ctrlPr>
                  <w:rPr>
                    <w:rFonts w:ascii="Cambria Math" w:hAnsi="Cambria Math"/>
                    <w:i/>
                    <w:lang w:val="en-CA"/>
                  </w:rPr>
                </m:ctrlPr>
              </m:sSupPr>
              <m:e>
                <m:r>
                  <w:rPr>
                    <w:rFonts w:ascii="Cambria Math" w:hAnsi="Cambria Math"/>
                    <w:lang w:val="en-CA"/>
                  </w:rPr>
                  <m:t>B</m:t>
                </m:r>
              </m:e>
              <m:sup>
                <m:r>
                  <w:rPr>
                    <w:rFonts w:ascii="Cambria Math" w:hAnsi="Cambria Math"/>
                    <w:lang w:val="en-CA"/>
                  </w:rPr>
                  <m:t>u3</m:t>
                </m:r>
              </m:sup>
            </m:sSup>
          </m:num>
          <m:den>
            <m:d>
              <m:dPr>
                <m:begChr m:val="|"/>
                <m:endChr m:val="|"/>
                <m:ctrlPr>
                  <w:rPr>
                    <w:rFonts w:ascii="Cambria Math" w:hAnsi="Cambria Math"/>
                    <w:i/>
                    <w:lang w:val="en-CA"/>
                  </w:rPr>
                </m:ctrlPr>
              </m:dPr>
              <m:e>
                <m:r>
                  <w:rPr>
                    <w:rFonts w:ascii="Cambria Math" w:hAnsi="Cambria Math"/>
                    <w:lang w:val="en-CA"/>
                  </w:rPr>
                  <m:t>B</m:t>
                </m:r>
              </m:e>
            </m:d>
          </m:den>
        </m:f>
      </m:oMath>
      <w:r w:rsidR="000A6D5D" w:rsidRPr="00EC5244">
        <w:rPr>
          <w:lang w:val="en-CA"/>
        </w:rPr>
        <w:tab/>
      </w:r>
      <w:r w:rsidR="000A6D5D" w:rsidRPr="00EC5244">
        <w:rPr>
          <w:lang w:val="en-CA"/>
        </w:rPr>
        <w:tab/>
      </w:r>
      <w:r w:rsidR="000A6D5D" w:rsidRPr="00EC5244">
        <w:rPr>
          <w:lang w:val="en-CA"/>
        </w:rPr>
        <w:tab/>
      </w:r>
      <w:r w:rsidR="000A6D5D" w:rsidRPr="00EC5244">
        <w:rPr>
          <w:lang w:val="en-CA"/>
        </w:rPr>
        <w:tab/>
      </w:r>
      <w:r w:rsidR="000A6D5D" w:rsidRPr="00EC5244">
        <w:rPr>
          <w:lang w:val="en-CA"/>
        </w:rPr>
        <w:tab/>
      </w:r>
      <w:r w:rsidR="000A6D5D" w:rsidRPr="00EC5244">
        <w:rPr>
          <w:lang w:val="en-CA"/>
        </w:rPr>
        <w:tab/>
      </w:r>
      <w:r w:rsidR="000A6D5D" w:rsidRPr="00EC5244">
        <w:rPr>
          <w:lang w:val="en-CA"/>
        </w:rPr>
        <w:tab/>
      </w:r>
      <w:r w:rsidR="00C23070" w:rsidRPr="00EC5244">
        <w:rPr>
          <w:lang w:val="en-CA"/>
        </w:rPr>
        <w:tab/>
      </w:r>
      <w:r w:rsidR="000A6D5D" w:rsidRPr="00EC5244">
        <w:rPr>
          <w:lang w:val="en-CA"/>
        </w:rPr>
        <w:tab/>
      </w:r>
      <w:r w:rsidR="000A6D5D" w:rsidRPr="00EC5244">
        <w:rPr>
          <w:lang w:val="en-CA"/>
        </w:rPr>
        <w:tab/>
        <w:t>(17)</w:t>
      </w:r>
    </w:p>
    <w:p w14:paraId="2F899A42" w14:textId="3F49C6E1" w:rsidR="000A6D5D" w:rsidRPr="00EC5244" w:rsidRDefault="000A6D5D" w:rsidP="000A6D5D">
      <w:pPr>
        <w:pStyle w:val="TAMainText"/>
        <w:ind w:firstLine="0"/>
        <w:rPr>
          <w:lang w:val="en-CA"/>
        </w:rPr>
      </w:pPr>
      <w:r w:rsidRPr="00EC5244">
        <w:rPr>
          <w:lang w:val="en-CA"/>
        </w:rPr>
        <w:t xml:space="preserve">where the cofactor </w:t>
      </w:r>
      <m:oMath>
        <m:sSup>
          <m:sSupPr>
            <m:ctrlPr>
              <w:rPr>
                <w:rFonts w:ascii="Cambria Math" w:hAnsi="Cambria Math"/>
                <w:i/>
                <w:lang w:val="en-CA"/>
              </w:rPr>
            </m:ctrlPr>
          </m:sSupPr>
          <m:e>
            <m:r>
              <w:rPr>
                <w:rFonts w:ascii="Cambria Math" w:hAnsi="Cambria Math"/>
                <w:lang w:val="en-CA"/>
              </w:rPr>
              <m:t>B</m:t>
            </m:r>
          </m:e>
          <m:sup>
            <m:r>
              <w:rPr>
                <w:rFonts w:ascii="Cambria Math" w:hAnsi="Cambria Math"/>
                <w:lang w:val="en-CA"/>
              </w:rPr>
              <m:t>u3</m:t>
            </m:r>
          </m:sup>
        </m:sSup>
      </m:oMath>
      <w:r w:rsidRPr="00EC5244">
        <w:rPr>
          <w:lang w:val="en-CA"/>
        </w:rPr>
        <w:t xml:space="preserve"> </w:t>
      </w:r>
      <w:r w:rsidR="00C23070" w:rsidRPr="00EC5244">
        <w:rPr>
          <w:lang w:val="en-CA"/>
        </w:rPr>
        <w:t xml:space="preserve">is defined as </w:t>
      </w:r>
    </w:p>
    <w:p w14:paraId="286AF63D" w14:textId="0697F938" w:rsidR="00BC5709" w:rsidRPr="00EC5244" w:rsidRDefault="000C7FF6" w:rsidP="00BC5709">
      <w:pPr>
        <w:pStyle w:val="TAMainText"/>
        <w:ind w:firstLine="0"/>
        <w:rPr>
          <w:lang w:val="en-CA"/>
        </w:rPr>
      </w:pPr>
      <m:oMath>
        <m:sSup>
          <m:sSupPr>
            <m:ctrlPr>
              <w:rPr>
                <w:rFonts w:ascii="Cambria Math" w:hAnsi="Cambria Math"/>
                <w:i/>
                <w:lang w:val="en-CA"/>
              </w:rPr>
            </m:ctrlPr>
          </m:sSupPr>
          <m:e>
            <m:r>
              <w:rPr>
                <w:rFonts w:ascii="Cambria Math" w:hAnsi="Cambria Math"/>
                <w:lang w:val="en-CA"/>
              </w:rPr>
              <m:t>B</m:t>
            </m:r>
          </m:e>
          <m:sup>
            <m:r>
              <w:rPr>
                <w:rFonts w:ascii="Cambria Math" w:hAnsi="Cambria Math"/>
                <w:lang w:val="en-CA"/>
              </w:rPr>
              <m:t>u3</m:t>
            </m:r>
          </m:sup>
        </m:sSup>
        <m:r>
          <w:rPr>
            <w:rFonts w:ascii="Cambria Math" w:hAnsi="Cambria Math"/>
            <w:lang w:val="en-CA"/>
          </w:rPr>
          <m:t>=</m:t>
        </m:r>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u1</m:t>
            </m:r>
          </m:sub>
        </m:sSub>
        <m:d>
          <m:dPr>
            <m:begChr m:val="|"/>
            <m:endChr m:val="|"/>
            <m:ctrlPr>
              <w:rPr>
                <w:rFonts w:ascii="Cambria Math" w:hAnsi="Cambria Math"/>
                <w:i/>
                <w:lang w:val="en-CA"/>
              </w:rPr>
            </m:ctrlPr>
          </m:dPr>
          <m:e>
            <m:m>
              <m:mPr>
                <m:mcs>
                  <m:mc>
                    <m:mcPr>
                      <m:count m:val="2"/>
                      <m:mcJc m:val="center"/>
                    </m:mcPr>
                  </m:mc>
                </m:mcs>
                <m:ctrlPr>
                  <w:rPr>
                    <w:rFonts w:ascii="Cambria Math" w:hAnsi="Cambria Math"/>
                    <w:i/>
                    <w:lang w:val="en-CA"/>
                  </w:rPr>
                </m:ctrlPr>
              </m:mPr>
              <m:mr>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21</m:t>
                      </m:r>
                    </m:sub>
                  </m:sSub>
                </m:e>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22</m:t>
                      </m:r>
                    </m:sub>
                  </m:sSub>
                </m:e>
              </m:mr>
              <m:mr>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31</m:t>
                      </m:r>
                    </m:sub>
                  </m:sSub>
                </m:e>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32</m:t>
                      </m:r>
                    </m:sub>
                  </m:sSub>
                </m:e>
              </m:mr>
            </m:m>
          </m:e>
        </m:d>
        <m:r>
          <w:rPr>
            <w:rFonts w:ascii="Cambria Math" w:hAnsi="Cambria Math"/>
            <w:lang w:val="en-CA"/>
          </w:rPr>
          <m:t>+</m:t>
        </m:r>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u2</m:t>
            </m:r>
          </m:sub>
        </m:sSub>
        <m:d>
          <m:dPr>
            <m:begChr m:val="|"/>
            <m:endChr m:val="|"/>
            <m:ctrlPr>
              <w:rPr>
                <w:rFonts w:ascii="Cambria Math" w:hAnsi="Cambria Math"/>
                <w:i/>
                <w:lang w:val="en-CA"/>
              </w:rPr>
            </m:ctrlPr>
          </m:dPr>
          <m:e>
            <m:m>
              <m:mPr>
                <m:mcs>
                  <m:mc>
                    <m:mcPr>
                      <m:count m:val="2"/>
                      <m:mcJc m:val="center"/>
                    </m:mcPr>
                  </m:mc>
                </m:mcs>
                <m:ctrlPr>
                  <w:rPr>
                    <w:rFonts w:ascii="Cambria Math" w:hAnsi="Cambria Math"/>
                    <w:i/>
                    <w:lang w:val="en-CA"/>
                  </w:rPr>
                </m:ctrlPr>
              </m:mPr>
              <m:mr>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11</m:t>
                      </m:r>
                    </m:sub>
                  </m:sSub>
                </m:e>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12</m:t>
                      </m:r>
                    </m:sub>
                  </m:sSub>
                </m:e>
              </m:mr>
              <m:mr>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31</m:t>
                      </m:r>
                    </m:sub>
                  </m:sSub>
                </m:e>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32</m:t>
                      </m:r>
                    </m:sub>
                  </m:sSub>
                </m:e>
              </m:mr>
            </m:m>
          </m:e>
        </m:d>
        <m:r>
          <w:rPr>
            <w:rFonts w:ascii="Cambria Math" w:hAnsi="Cambria Math"/>
            <w:lang w:val="en-CA"/>
          </w:rPr>
          <m:t>-</m:t>
        </m:r>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u3</m:t>
            </m:r>
          </m:sub>
        </m:sSub>
        <m:d>
          <m:dPr>
            <m:begChr m:val="|"/>
            <m:endChr m:val="|"/>
            <m:ctrlPr>
              <w:rPr>
                <w:rFonts w:ascii="Cambria Math" w:hAnsi="Cambria Math"/>
                <w:i/>
                <w:lang w:val="en-CA"/>
              </w:rPr>
            </m:ctrlPr>
          </m:dPr>
          <m:e>
            <m:m>
              <m:mPr>
                <m:mcs>
                  <m:mc>
                    <m:mcPr>
                      <m:count m:val="2"/>
                      <m:mcJc m:val="center"/>
                    </m:mcPr>
                  </m:mc>
                </m:mcs>
                <m:ctrlPr>
                  <w:rPr>
                    <w:rFonts w:ascii="Cambria Math" w:hAnsi="Cambria Math"/>
                    <w:i/>
                    <w:lang w:val="en-CA"/>
                  </w:rPr>
                </m:ctrlPr>
              </m:mPr>
              <m:mr>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11</m:t>
                      </m:r>
                    </m:sub>
                  </m:sSub>
                </m:e>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12</m:t>
                      </m:r>
                    </m:sub>
                  </m:sSub>
                </m:e>
              </m:mr>
              <m:mr>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21</m:t>
                      </m:r>
                    </m:sub>
                  </m:sSub>
                </m:e>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22</m:t>
                      </m:r>
                    </m:sub>
                  </m:sSub>
                </m:e>
              </m:mr>
            </m:m>
          </m:e>
        </m:d>
      </m:oMath>
      <w:r w:rsidR="00BC5709" w:rsidRPr="00EC5244">
        <w:rPr>
          <w:lang w:val="en-CA"/>
        </w:rPr>
        <w:tab/>
      </w:r>
      <w:r w:rsidR="00BC5709" w:rsidRPr="00EC5244">
        <w:rPr>
          <w:lang w:val="en-CA"/>
        </w:rPr>
        <w:tab/>
      </w:r>
      <w:r w:rsidR="00BC5709" w:rsidRPr="00EC5244">
        <w:rPr>
          <w:lang w:val="en-CA"/>
        </w:rPr>
        <w:tab/>
      </w:r>
      <w:r w:rsidR="00C23070" w:rsidRPr="00EC5244">
        <w:rPr>
          <w:lang w:val="en-CA"/>
        </w:rPr>
        <w:tab/>
        <w:t>(18</w:t>
      </w:r>
      <w:r w:rsidR="00BC5709" w:rsidRPr="00EC5244">
        <w:rPr>
          <w:lang w:val="en-CA"/>
        </w:rPr>
        <w:t>)</w:t>
      </w:r>
    </w:p>
    <w:p w14:paraId="77B9A45D" w14:textId="2376E2B9" w:rsidR="003C280E" w:rsidRPr="00EC5244" w:rsidRDefault="003F16D5" w:rsidP="000A6D5D">
      <w:pPr>
        <w:pStyle w:val="TAMainText"/>
        <w:ind w:firstLine="0"/>
        <w:rPr>
          <w:lang w:val="en-CA"/>
        </w:rPr>
      </w:pPr>
      <w:r w:rsidRPr="00EC5244">
        <w:rPr>
          <w:lang w:val="en-CA"/>
        </w:rPr>
        <w:t>Note that, due to Schwartz inequality,</w:t>
      </w:r>
      <w:r w:rsidR="003C280E" w:rsidRPr="00EC5244">
        <w:rPr>
          <w:lang w:val="en-CA"/>
        </w:rPr>
        <w:t xml:space="preserve"> we can show that </w:t>
      </w:r>
    </w:p>
    <w:p w14:paraId="7C0000A9" w14:textId="1E1827DE" w:rsidR="003C280E" w:rsidRPr="00EC5244" w:rsidRDefault="003F16D5" w:rsidP="000A6D5D">
      <w:pPr>
        <w:pStyle w:val="TAMainText"/>
        <w:ind w:firstLine="0"/>
        <w:rPr>
          <w:lang w:val="en-CA"/>
        </w:rPr>
      </w:pPr>
      <w:r w:rsidRPr="00EC5244">
        <w:rPr>
          <w:lang w:val="en-CA"/>
        </w:rPr>
        <w:t xml:space="preserve">  </w:t>
      </w:r>
      <m:oMath>
        <m:d>
          <m:dPr>
            <m:begChr m:val="|"/>
            <m:endChr m:val="|"/>
            <m:ctrlPr>
              <w:rPr>
                <w:rFonts w:ascii="Cambria Math" w:hAnsi="Cambria Math"/>
                <w:i/>
                <w:lang w:val="en-CA"/>
              </w:rPr>
            </m:ctrlPr>
          </m:dPr>
          <m:e>
            <m:m>
              <m:mPr>
                <m:mcs>
                  <m:mc>
                    <m:mcPr>
                      <m:count m:val="2"/>
                      <m:mcJc m:val="center"/>
                    </m:mcPr>
                  </m:mc>
                </m:mcs>
                <m:ctrlPr>
                  <w:rPr>
                    <w:rFonts w:ascii="Cambria Math" w:hAnsi="Cambria Math"/>
                    <w:i/>
                    <w:lang w:val="en-CA"/>
                  </w:rPr>
                </m:ctrlPr>
              </m:mPr>
              <m:mr>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11</m:t>
                      </m:r>
                    </m:sub>
                  </m:sSub>
                </m:e>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12</m:t>
                      </m:r>
                    </m:sub>
                  </m:sSub>
                </m:e>
              </m:mr>
              <m:mr>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21</m:t>
                      </m:r>
                    </m:sub>
                  </m:sSub>
                </m:e>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22</m:t>
                      </m:r>
                    </m:sub>
                  </m:sSub>
                </m:e>
              </m:mr>
            </m:m>
          </m:e>
        </m:d>
        <m:r>
          <w:rPr>
            <w:rFonts w:ascii="Cambria Math" w:hAnsi="Cambria Math"/>
            <w:lang w:val="en-CA"/>
          </w:rPr>
          <m:t>&gt;0</m:t>
        </m:r>
      </m:oMath>
      <w:r w:rsidR="003C280E" w:rsidRPr="00EC5244">
        <w:rPr>
          <w:lang w:val="en-CA"/>
        </w:rPr>
        <w:t xml:space="preserve"> </w:t>
      </w:r>
      <w:r w:rsidR="003C280E" w:rsidRPr="00EC5244">
        <w:rPr>
          <w:lang w:val="en-CA"/>
        </w:rPr>
        <w:tab/>
      </w:r>
      <w:r w:rsidR="003C280E" w:rsidRPr="00EC5244">
        <w:rPr>
          <w:lang w:val="en-CA"/>
        </w:rPr>
        <w:tab/>
      </w:r>
      <w:r w:rsidR="003C280E" w:rsidRPr="00EC5244">
        <w:rPr>
          <w:lang w:val="en-CA"/>
        </w:rPr>
        <w:tab/>
      </w:r>
      <w:r w:rsidR="003C280E" w:rsidRPr="00EC5244">
        <w:rPr>
          <w:lang w:val="en-CA"/>
        </w:rPr>
        <w:tab/>
      </w:r>
      <w:r w:rsidR="003C280E" w:rsidRPr="00EC5244">
        <w:rPr>
          <w:lang w:val="en-CA"/>
        </w:rPr>
        <w:tab/>
      </w:r>
      <w:r w:rsidR="00311853" w:rsidRPr="00EC5244">
        <w:rPr>
          <w:lang w:val="en-CA"/>
        </w:rPr>
        <w:tab/>
      </w:r>
      <w:r w:rsidR="00311853" w:rsidRPr="00EC5244">
        <w:rPr>
          <w:lang w:val="en-CA"/>
        </w:rPr>
        <w:tab/>
      </w:r>
      <w:r w:rsidR="00311853" w:rsidRPr="00EC5244">
        <w:rPr>
          <w:lang w:val="en-CA"/>
        </w:rPr>
        <w:tab/>
      </w:r>
      <w:r w:rsidR="003C280E" w:rsidRPr="00EC5244">
        <w:rPr>
          <w:lang w:val="en-CA"/>
        </w:rPr>
        <w:tab/>
      </w:r>
      <w:r w:rsidR="003C280E" w:rsidRPr="00EC5244">
        <w:rPr>
          <w:lang w:val="en-CA"/>
        </w:rPr>
        <w:tab/>
      </w:r>
      <w:r w:rsidR="00827696" w:rsidRPr="00EC5244">
        <w:rPr>
          <w:lang w:val="en-CA"/>
        </w:rPr>
        <w:t>(19</w:t>
      </w:r>
      <w:r w:rsidR="003C280E" w:rsidRPr="00EC5244">
        <w:rPr>
          <w:lang w:val="en-CA"/>
        </w:rPr>
        <w:t>)</w:t>
      </w:r>
    </w:p>
    <w:p w14:paraId="20FE429A" w14:textId="2A2DB3C3" w:rsidR="003F16D5" w:rsidRPr="00EC5244" w:rsidRDefault="003C280E" w:rsidP="000A6D5D">
      <w:pPr>
        <w:pStyle w:val="TAMainText"/>
        <w:ind w:firstLine="0"/>
        <w:rPr>
          <w:lang w:val="en-CA"/>
        </w:rPr>
      </w:pPr>
      <w:r w:rsidRPr="00EC5244">
        <w:rPr>
          <w:lang w:val="en-CA"/>
        </w:rPr>
        <w:t xml:space="preserve"> </w:t>
      </w:r>
    </w:p>
    <w:p w14:paraId="72F93C65" w14:textId="18B046BA" w:rsidR="003D48EE" w:rsidRPr="00EC5244" w:rsidRDefault="006743F8" w:rsidP="00C222A8">
      <w:pPr>
        <w:pStyle w:val="TAMainText"/>
        <w:rPr>
          <w:lang w:val="en-CA"/>
        </w:rPr>
      </w:pPr>
      <w:r w:rsidRPr="00EC5244">
        <w:rPr>
          <w:b/>
          <w:lang w:val="en-CA"/>
        </w:rPr>
        <w:t xml:space="preserve">(i) </w:t>
      </w:r>
      <w:r w:rsidR="00F6371C" w:rsidRPr="00EC5244">
        <w:rPr>
          <w:b/>
          <w:lang w:val="en-CA"/>
        </w:rPr>
        <w:t>S</w:t>
      </w:r>
      <w:r w:rsidR="00311853" w:rsidRPr="00EC5244">
        <w:rPr>
          <w:b/>
          <w:lang w:val="en-CA"/>
        </w:rPr>
        <w:t xml:space="preserve">olute-hydrotrope interaction, </w:t>
      </w:r>
      <m:oMath>
        <m:sSub>
          <m:sSubPr>
            <m:ctrlPr>
              <w:rPr>
                <w:rFonts w:ascii="Cambria Math" w:hAnsi="Cambria Math"/>
                <w:b/>
                <w:i/>
                <w:lang w:val="en-CA"/>
              </w:rPr>
            </m:ctrlPr>
          </m:sSubPr>
          <m:e>
            <m:r>
              <m:rPr>
                <m:sty m:val="bi"/>
              </m:rPr>
              <w:rPr>
                <w:rFonts w:ascii="Cambria Math" w:hAnsi="Cambria Math"/>
                <w:lang w:val="en-CA"/>
              </w:rPr>
              <m:t>G</m:t>
            </m:r>
          </m:e>
          <m:sub>
            <m:r>
              <m:rPr>
                <m:sty m:val="bi"/>
              </m:rPr>
              <w:rPr>
                <w:rFonts w:ascii="Cambria Math" w:hAnsi="Cambria Math"/>
                <w:lang w:val="en-CA"/>
              </w:rPr>
              <m:t>u</m:t>
            </m:r>
            <m:r>
              <m:rPr>
                <m:sty m:val="bi"/>
              </m:rPr>
              <w:rPr>
                <w:rFonts w:ascii="Cambria Math" w:hAnsi="Cambria Math"/>
                <w:lang w:val="en-CA"/>
              </w:rPr>
              <m:t>3</m:t>
            </m:r>
          </m:sub>
        </m:sSub>
      </m:oMath>
      <w:r w:rsidR="00311853" w:rsidRPr="00EC5244">
        <w:rPr>
          <w:b/>
          <w:lang w:val="en-CA"/>
        </w:rPr>
        <w:t xml:space="preserve">. </w:t>
      </w:r>
      <w:r w:rsidR="00311853" w:rsidRPr="00EC5244">
        <w:rPr>
          <w:lang w:val="en-CA"/>
        </w:rPr>
        <w:t>Thanks</w:t>
      </w:r>
      <w:r w:rsidR="00827696" w:rsidRPr="00EC5244">
        <w:rPr>
          <w:lang w:val="en-CA"/>
        </w:rPr>
        <w:t xml:space="preserve"> to Schwartz inequality (Eq. (19</w:t>
      </w:r>
      <w:r w:rsidR="00311853" w:rsidRPr="00EC5244">
        <w:rPr>
          <w:lang w:val="en-CA"/>
        </w:rPr>
        <w:t>)), a favourable s</w:t>
      </w:r>
      <w:r w:rsidR="008D6F6F" w:rsidRPr="00EC5244">
        <w:rPr>
          <w:lang w:val="en-CA"/>
        </w:rPr>
        <w:t xml:space="preserve">olute-hydrotrope </w:t>
      </w:r>
      <w:r w:rsidR="00311853" w:rsidRPr="00EC5244">
        <w:rPr>
          <w:lang w:val="en-CA"/>
        </w:rPr>
        <w:t xml:space="preserve">interaction, namely a large positive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u3</m:t>
            </m:r>
          </m:sub>
        </m:sSub>
        <m:r>
          <w:rPr>
            <w:rFonts w:ascii="Cambria Math" w:hAnsi="Cambria Math"/>
            <w:lang w:val="en-CA"/>
          </w:rPr>
          <m:t>=</m:t>
        </m:r>
        <m:f>
          <m:fPr>
            <m:ctrlPr>
              <w:rPr>
                <w:rFonts w:ascii="Cambria Math" w:hAnsi="Cambria Math"/>
                <w:i/>
                <w:lang w:val="en-CA"/>
              </w:rPr>
            </m:ctrlPr>
          </m:fPr>
          <m:num>
            <m:sSub>
              <m:sSubPr>
                <m:ctrlPr>
                  <w:rPr>
                    <w:rFonts w:ascii="Cambria Math" w:hAnsi="Cambria Math"/>
                    <w:i/>
                    <w:lang w:val="en-CA"/>
                  </w:rPr>
                </m:ctrlPr>
              </m:sSubPr>
              <m:e>
                <m:r>
                  <w:rPr>
                    <w:rFonts w:ascii="Cambria Math" w:hAnsi="Cambria Math"/>
                    <w:lang w:val="en-CA"/>
                  </w:rPr>
                  <m:t>B</m:t>
                </m:r>
              </m:e>
              <m:sub>
                <m:r>
                  <w:rPr>
                    <w:rFonts w:ascii="Cambria Math" w:hAnsi="Cambria Math" w:cs="Cambria Math"/>
                    <w:lang w:val="en-CA"/>
                  </w:rPr>
                  <m:t>u</m:t>
                </m:r>
                <m:r>
                  <w:rPr>
                    <w:rFonts w:ascii="Cambria Math" w:hAnsi="Cambria Math"/>
                    <w:lang w:val="en-CA"/>
                  </w:rPr>
                  <m:t>3</m:t>
                </m:r>
              </m:sub>
            </m:sSub>
          </m:num>
          <m:den>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u</m:t>
                </m:r>
              </m:sub>
            </m:sSub>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3</m:t>
                </m:r>
              </m:sub>
            </m:sSub>
          </m:den>
        </m:f>
      </m:oMath>
      <w:r w:rsidR="00311853" w:rsidRPr="00EC5244">
        <w:rPr>
          <w:lang w:val="en-CA"/>
        </w:rPr>
        <w:t xml:space="preserve">,  leads to solubilization (negative </w:t>
      </w:r>
      <m:oMath>
        <m:f>
          <m:fPr>
            <m:ctrlPr>
              <w:rPr>
                <w:rFonts w:ascii="Cambria Math" w:hAnsi="Cambria Math"/>
                <w:i/>
                <w:lang w:val="en-CA"/>
              </w:rPr>
            </m:ctrlPr>
          </m:fPr>
          <m:num>
            <m:r>
              <w:rPr>
                <w:rFonts w:ascii="Cambria Math" w:hAnsi="Cambria Math"/>
                <w:lang w:val="en-CA"/>
              </w:rPr>
              <m:t>1</m:t>
            </m:r>
          </m:num>
          <m:den>
            <m:r>
              <w:rPr>
                <w:rFonts w:ascii="Cambria Math" w:hAnsi="Cambria Math"/>
                <w:lang w:val="en-CA"/>
              </w:rPr>
              <m:t>RT</m:t>
            </m:r>
          </m:den>
        </m:f>
        <m:sSub>
          <m:sSubPr>
            <m:ctrlPr>
              <w:rPr>
                <w:rFonts w:ascii="Cambria Math" w:hAnsi="Cambria Math"/>
                <w:i/>
                <w:lang w:val="en-CA"/>
              </w:rPr>
            </m:ctrlPr>
          </m:sSubPr>
          <m:e>
            <m:d>
              <m:dPr>
                <m:ctrlPr>
                  <w:rPr>
                    <w:rFonts w:ascii="Cambria Math" w:hAnsi="Cambria Math"/>
                    <w:i/>
                    <w:lang w:val="en-CA"/>
                  </w:rPr>
                </m:ctrlPr>
              </m:dPr>
              <m:e>
                <m:f>
                  <m:fPr>
                    <m:ctrlPr>
                      <w:rPr>
                        <w:rFonts w:ascii="Cambria Math" w:hAnsi="Cambria Math"/>
                        <w:i/>
                        <w:lang w:val="en-CA"/>
                      </w:rPr>
                    </m:ctrlPr>
                  </m:fPr>
                  <m:num>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u</m:t>
                        </m:r>
                      </m:sub>
                    </m:sSub>
                  </m:num>
                  <m:den>
                    <m:r>
                      <w:rPr>
                        <w:rFonts w:ascii="Cambria Math" w:hAnsi="Cambria Math"/>
                        <w:lang w:val="en-CA"/>
                      </w:rPr>
                      <m:t>∂</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3</m:t>
                        </m:r>
                      </m:sub>
                    </m:sSub>
                  </m:den>
                </m:f>
              </m:e>
            </m:d>
          </m:e>
          <m:sub>
            <m:r>
              <w:rPr>
                <w:rFonts w:ascii="Cambria Math" w:hAnsi="Cambria Math"/>
                <w:lang w:val="en-CA"/>
              </w:rPr>
              <m:t>T,</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j≠3</m:t>
                </m:r>
              </m:sub>
            </m:sSub>
          </m:sub>
        </m:sSub>
      </m:oMath>
      <w:r w:rsidR="00311853" w:rsidRPr="00EC5244">
        <w:rPr>
          <w:lang w:val="en-CA"/>
        </w:rPr>
        <w:t xml:space="preserve">). </w:t>
      </w:r>
    </w:p>
    <w:p w14:paraId="6E53BC6F" w14:textId="2C539322" w:rsidR="003D48EE" w:rsidRPr="00EC5244" w:rsidRDefault="003D48EE" w:rsidP="000A6D5D">
      <w:pPr>
        <w:pStyle w:val="TAMainText"/>
        <w:ind w:firstLine="0"/>
        <w:rPr>
          <w:lang w:val="en-CA"/>
        </w:rPr>
      </w:pPr>
    </w:p>
    <w:p w14:paraId="1D40426A" w14:textId="680F9A34" w:rsidR="00F410C9" w:rsidRPr="00EC5244" w:rsidRDefault="002D7218" w:rsidP="00DE289E">
      <w:pPr>
        <w:pStyle w:val="TAMainText"/>
        <w:rPr>
          <w:lang w:val="en-CA"/>
        </w:rPr>
      </w:pPr>
      <w:r w:rsidRPr="00EC5244">
        <w:rPr>
          <w:b/>
          <w:lang w:val="en-CA"/>
        </w:rPr>
        <w:t>(ii</w:t>
      </w:r>
      <w:r w:rsidR="006743F8" w:rsidRPr="00EC5244">
        <w:rPr>
          <w:b/>
          <w:lang w:val="en-CA"/>
        </w:rPr>
        <w:t xml:space="preserve">) </w:t>
      </w:r>
      <w:r w:rsidR="00C82C0C" w:rsidRPr="00EC5244">
        <w:rPr>
          <w:b/>
          <w:lang w:val="en-CA"/>
        </w:rPr>
        <w:t>Further solubilization through solute-solvent interaction</w:t>
      </w:r>
      <w:r w:rsidR="00F410C9" w:rsidRPr="00EC5244">
        <w:rPr>
          <w:b/>
          <w:lang w:val="en-CA"/>
        </w:rPr>
        <w:t>.</w:t>
      </w:r>
      <w:r w:rsidR="00F410C9" w:rsidRPr="00EC5244">
        <w:rPr>
          <w:lang w:val="en-CA"/>
        </w:rPr>
        <w:t xml:space="preserve"> Since two solvents are immicible, a large negative </w:t>
      </w:r>
      <m:oMath>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12</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1</m:t>
            </m:r>
          </m:sub>
        </m:sSub>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2</m:t>
            </m:r>
          </m:sub>
        </m:sSub>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12</m:t>
            </m:r>
          </m:sub>
        </m:sSub>
      </m:oMath>
      <w:r w:rsidR="00C82C0C" w:rsidRPr="00EC5244">
        <w:rPr>
          <w:lang w:val="en-CA"/>
        </w:rPr>
        <w:t xml:space="preserve"> is expected from the first two terms of Eq. (18).</w:t>
      </w:r>
      <w:r w:rsidR="00F410C9" w:rsidRPr="00EC5244">
        <w:rPr>
          <w:lang w:val="en-CA"/>
        </w:rPr>
        <w:t xml:space="preserve"> The hydrotrope (species 3) interacts favourably with both solvents, yet this favourable interaction does not easily overcome the excluded volume effect to make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31</m:t>
            </m:r>
          </m:sub>
        </m:sSub>
      </m:oMath>
      <w:r w:rsidR="00F410C9" w:rsidRPr="00EC5244">
        <w:rPr>
          <w:lang w:val="en-CA"/>
        </w:rPr>
        <w:t xml:space="preserve"> and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32</m:t>
            </m:r>
          </m:sub>
        </m:sSub>
      </m:oMath>
      <w:r w:rsidR="00F410C9" w:rsidRPr="00EC5244">
        <w:rPr>
          <w:lang w:val="en-CA"/>
        </w:rPr>
        <w:t xml:space="preserve"> positive. </w:t>
      </w:r>
      <w:r w:rsidR="00C82C0C" w:rsidRPr="00EC5244">
        <w:rPr>
          <w:lang w:val="en-CA"/>
        </w:rPr>
        <w:t>Hence</w:t>
      </w:r>
      <w:r w:rsidR="00F410C9" w:rsidRPr="00EC5244">
        <w:rPr>
          <w:lang w:val="en-CA"/>
        </w:rPr>
        <w:t xml:space="preserve"> </w:t>
      </w:r>
      <m:oMath>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12</m:t>
            </m:r>
          </m:sub>
        </m:sSub>
      </m:oMath>
      <w:r w:rsidR="00F410C9" w:rsidRPr="00EC5244">
        <w:rPr>
          <w:lang w:val="en-CA"/>
        </w:rPr>
        <w:t xml:space="preserve"> contribution to </w:t>
      </w:r>
      <w:r w:rsidR="00E40C45" w:rsidRPr="00EC5244">
        <w:rPr>
          <w:lang w:val="en-CA"/>
        </w:rPr>
        <w:t xml:space="preserve">the first two terms of </w:t>
      </w:r>
      <w:r w:rsidR="00F410C9" w:rsidRPr="00EC5244">
        <w:rPr>
          <w:lang w:val="en-CA"/>
        </w:rPr>
        <w:t xml:space="preserve">Eq. (18) is written as </w:t>
      </w:r>
    </w:p>
    <w:p w14:paraId="308EA039" w14:textId="0F0F74BE" w:rsidR="00F410C9" w:rsidRPr="00EC5244" w:rsidRDefault="00C82C0C" w:rsidP="000A6D5D">
      <w:pPr>
        <w:pStyle w:val="TAMainText"/>
        <w:ind w:firstLine="0"/>
        <w:rPr>
          <w:lang w:val="en-CA"/>
        </w:rPr>
      </w:pPr>
      <m:oMath>
        <m:r>
          <w:rPr>
            <w:rFonts w:ascii="Cambria Math" w:hAnsi="Cambria Math"/>
            <w:lang w:val="en-CA"/>
          </w:rPr>
          <m:t>-</m:t>
        </m:r>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u1</m:t>
            </m:r>
          </m:sub>
        </m:sSub>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12</m:t>
            </m:r>
          </m:sub>
        </m:sSub>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23</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u2</m:t>
            </m:r>
          </m:sub>
        </m:sSub>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12</m:t>
            </m:r>
          </m:sub>
        </m:sSub>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13</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u</m:t>
            </m:r>
          </m:sub>
        </m:sSub>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1</m:t>
            </m:r>
          </m:sub>
        </m:sSub>
        <m:d>
          <m:dPr>
            <m:ctrlPr>
              <w:rPr>
                <w:rFonts w:ascii="Cambria Math" w:hAnsi="Cambria Math"/>
                <w:i/>
                <w:lang w:val="en-CA"/>
              </w:rPr>
            </m:ctrlPr>
          </m:dPr>
          <m:e>
            <m:r>
              <w:rPr>
                <w:rFonts w:ascii="Cambria Math" w:hAnsi="Cambria Math"/>
                <w:lang w:val="en-CA"/>
              </w:rPr>
              <m:t>-</m:t>
            </m:r>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12</m:t>
                </m:r>
              </m:sub>
            </m:sSub>
          </m:e>
        </m:d>
        <m:d>
          <m:dPr>
            <m:ctrlPr>
              <w:rPr>
                <w:rFonts w:ascii="Cambria Math" w:hAnsi="Cambria Math"/>
                <w:i/>
                <w:lang w:val="en-CA"/>
              </w:rPr>
            </m:ctrlPr>
          </m:dPr>
          <m:e>
            <m:r>
              <w:rPr>
                <w:rFonts w:ascii="Cambria Math" w:hAnsi="Cambria Math"/>
                <w:lang w:val="en-CA"/>
              </w:rPr>
              <m:t>-</m:t>
            </m:r>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23</m:t>
                </m:r>
              </m:sub>
            </m:sSub>
          </m:e>
        </m:d>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u</m:t>
            </m:r>
          </m:sub>
        </m:sSub>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2</m:t>
            </m:r>
          </m:sub>
        </m:sSub>
        <m:d>
          <m:dPr>
            <m:ctrlPr>
              <w:rPr>
                <w:rFonts w:ascii="Cambria Math" w:hAnsi="Cambria Math"/>
                <w:i/>
                <w:lang w:val="en-CA"/>
              </w:rPr>
            </m:ctrlPr>
          </m:dPr>
          <m:e>
            <m:r>
              <w:rPr>
                <w:rFonts w:ascii="Cambria Math" w:hAnsi="Cambria Math"/>
                <w:lang w:val="en-CA"/>
              </w:rPr>
              <m:t>-</m:t>
            </m:r>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12</m:t>
                </m:r>
              </m:sub>
            </m:sSub>
          </m:e>
        </m:d>
        <m:d>
          <m:dPr>
            <m:ctrlPr>
              <w:rPr>
                <w:rFonts w:ascii="Cambria Math" w:hAnsi="Cambria Math"/>
                <w:i/>
                <w:lang w:val="en-CA"/>
              </w:rPr>
            </m:ctrlPr>
          </m:dPr>
          <m:e>
            <m:r>
              <w:rPr>
                <w:rFonts w:ascii="Cambria Math" w:hAnsi="Cambria Math"/>
                <w:lang w:val="en-CA"/>
              </w:rPr>
              <m:t>-</m:t>
            </m:r>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13</m:t>
                </m:r>
              </m:sub>
            </m:sSub>
          </m:e>
        </m:d>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u2</m:t>
            </m:r>
          </m:sub>
        </m:sSub>
      </m:oMath>
      <w:r w:rsidR="002D7218" w:rsidRPr="00EC5244">
        <w:rPr>
          <w:lang w:val="en-CA"/>
        </w:rPr>
        <w:tab/>
      </w:r>
      <w:r w:rsidR="002D7218" w:rsidRPr="00EC5244">
        <w:rPr>
          <w:lang w:val="en-CA"/>
        </w:rPr>
        <w:tab/>
        <w:t>(20)</w:t>
      </w:r>
    </w:p>
    <w:p w14:paraId="382E97C0" w14:textId="3A453DAA" w:rsidR="00F410C9" w:rsidRPr="00EC5244" w:rsidRDefault="00C82C0C" w:rsidP="000A6D5D">
      <w:pPr>
        <w:pStyle w:val="TAMainText"/>
        <w:ind w:firstLine="0"/>
        <w:rPr>
          <w:lang w:val="en-CA"/>
        </w:rPr>
      </w:pPr>
      <w:r w:rsidRPr="00EC5244">
        <w:rPr>
          <w:lang w:val="en-CA"/>
        </w:rPr>
        <w:t xml:space="preserve">where the r.h.s. has been rewritten clearly to mark the positive sign within </w:t>
      </w:r>
      <m:oMath>
        <m:d>
          <m:dPr>
            <m:ctrlPr>
              <w:rPr>
                <w:rFonts w:ascii="Cambria Math" w:hAnsi="Cambria Math"/>
                <w:i/>
                <w:lang w:val="en-CA"/>
              </w:rPr>
            </m:ctrlPr>
          </m:dPr>
          <m:e>
            <m:r>
              <w:rPr>
                <w:rFonts w:ascii="Cambria Math" w:hAnsi="Cambria Math"/>
                <w:lang w:val="en-CA"/>
              </w:rPr>
              <m:t xml:space="preserve"> </m:t>
            </m:r>
          </m:e>
        </m:d>
      </m:oMath>
      <w:r w:rsidRPr="00EC5244">
        <w:rPr>
          <w:lang w:val="en-CA"/>
        </w:rPr>
        <w:t>. This shows that favourable solute-solvent</w:t>
      </w:r>
      <w:r w:rsidR="00C03951" w:rsidRPr="00EC5244">
        <w:rPr>
          <w:lang w:val="en-CA"/>
        </w:rPr>
        <w:t xml:space="preserve"> </w:t>
      </w:r>
      <w:r w:rsidRPr="00EC5244">
        <w:rPr>
          <w:lang w:val="en-CA"/>
        </w:rPr>
        <w:t>interactions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u1</m:t>
            </m:r>
          </m:sub>
        </m:sSub>
      </m:oMath>
      <w:r w:rsidRPr="00EC5244">
        <w:rPr>
          <w:lang w:val="en-CA"/>
        </w:rPr>
        <w:t xml:space="preserve"> and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u2</m:t>
            </m:r>
          </m:sub>
        </m:sSub>
      </m:oMath>
      <w:r w:rsidRPr="00EC5244">
        <w:rPr>
          <w:lang w:val="en-CA"/>
        </w:rPr>
        <w:t xml:space="preserve">) contribute towards solubilization (i.e., to make </w:t>
      </w:r>
      <m:oMath>
        <m:f>
          <m:fPr>
            <m:ctrlPr>
              <w:rPr>
                <w:rFonts w:ascii="Cambria Math" w:hAnsi="Cambria Math"/>
                <w:i/>
                <w:lang w:val="en-CA"/>
              </w:rPr>
            </m:ctrlPr>
          </m:fPr>
          <m:num>
            <m:r>
              <w:rPr>
                <w:rFonts w:ascii="Cambria Math" w:hAnsi="Cambria Math"/>
                <w:lang w:val="en-CA"/>
              </w:rPr>
              <m:t>1</m:t>
            </m:r>
          </m:num>
          <m:den>
            <m:r>
              <w:rPr>
                <w:rFonts w:ascii="Cambria Math" w:hAnsi="Cambria Math"/>
                <w:lang w:val="en-CA"/>
              </w:rPr>
              <m:t>RT</m:t>
            </m:r>
          </m:den>
        </m:f>
        <m:sSub>
          <m:sSubPr>
            <m:ctrlPr>
              <w:rPr>
                <w:rFonts w:ascii="Cambria Math" w:hAnsi="Cambria Math"/>
                <w:i/>
                <w:lang w:val="en-CA"/>
              </w:rPr>
            </m:ctrlPr>
          </m:sSubPr>
          <m:e>
            <m:d>
              <m:dPr>
                <m:ctrlPr>
                  <w:rPr>
                    <w:rFonts w:ascii="Cambria Math" w:hAnsi="Cambria Math"/>
                    <w:i/>
                    <w:lang w:val="en-CA"/>
                  </w:rPr>
                </m:ctrlPr>
              </m:dPr>
              <m:e>
                <m:f>
                  <m:fPr>
                    <m:ctrlPr>
                      <w:rPr>
                        <w:rFonts w:ascii="Cambria Math" w:hAnsi="Cambria Math"/>
                        <w:i/>
                        <w:lang w:val="en-CA"/>
                      </w:rPr>
                    </m:ctrlPr>
                  </m:fPr>
                  <m:num>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u</m:t>
                        </m:r>
                      </m:sub>
                    </m:sSub>
                  </m:num>
                  <m:den>
                    <m:r>
                      <w:rPr>
                        <w:rFonts w:ascii="Cambria Math" w:hAnsi="Cambria Math"/>
                        <w:lang w:val="en-CA"/>
                      </w:rPr>
                      <m:t>∂</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3</m:t>
                        </m:r>
                      </m:sub>
                    </m:sSub>
                  </m:den>
                </m:f>
              </m:e>
            </m:d>
          </m:e>
          <m:sub>
            <m:r>
              <w:rPr>
                <w:rFonts w:ascii="Cambria Math" w:hAnsi="Cambria Math"/>
                <w:lang w:val="en-CA"/>
              </w:rPr>
              <m:t>T,</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j≠3</m:t>
                </m:r>
              </m:sub>
            </m:sSub>
          </m:sub>
        </m:sSub>
      </m:oMath>
      <w:r w:rsidRPr="00EC5244">
        <w:rPr>
          <w:lang w:val="en-CA"/>
        </w:rPr>
        <w:t xml:space="preserve"> negative) in addition to the contribution from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u3</m:t>
            </m:r>
          </m:sub>
        </m:sSub>
      </m:oMath>
      <w:r w:rsidRPr="00EC5244">
        <w:rPr>
          <w:lang w:val="en-CA"/>
        </w:rPr>
        <w:t xml:space="preserve">. </w:t>
      </w:r>
    </w:p>
    <w:p w14:paraId="03A931D9" w14:textId="6D76FFEC" w:rsidR="006743F8" w:rsidRPr="00EC5244" w:rsidRDefault="006743F8" w:rsidP="006743F8">
      <w:pPr>
        <w:pStyle w:val="TAMainText"/>
        <w:ind w:firstLine="0"/>
        <w:rPr>
          <w:lang w:val="en-CA"/>
        </w:rPr>
      </w:pPr>
    </w:p>
    <w:p w14:paraId="626F656E" w14:textId="3C260C32" w:rsidR="002D7218" w:rsidRPr="00EC5244" w:rsidRDefault="002D7218" w:rsidP="00DE289E">
      <w:pPr>
        <w:pStyle w:val="TAMainText"/>
        <w:rPr>
          <w:lang w:val="en-CA"/>
        </w:rPr>
      </w:pPr>
      <w:r w:rsidRPr="00EC5244">
        <w:rPr>
          <w:b/>
          <w:lang w:val="en-CA"/>
        </w:rPr>
        <w:t>(ii</w:t>
      </w:r>
      <w:r w:rsidR="00BE67E1" w:rsidRPr="00EC5244">
        <w:rPr>
          <w:b/>
          <w:lang w:val="en-CA"/>
        </w:rPr>
        <w:t>i</w:t>
      </w:r>
      <w:r w:rsidRPr="00EC5244">
        <w:rPr>
          <w:b/>
          <w:lang w:val="en-CA"/>
        </w:rPr>
        <w:t>) Hydrotrope self-association</w:t>
      </w:r>
      <w:r w:rsidR="00BE67E1" w:rsidRPr="00EC5244">
        <w:rPr>
          <w:b/>
          <w:lang w:val="en-CA"/>
        </w:rPr>
        <w:t xml:space="preserve"> for solubilization inefficiency.</w:t>
      </w:r>
      <w:r w:rsidRPr="00EC5244">
        <w:rPr>
          <w:lang w:val="en-CA"/>
        </w:rPr>
        <w:t xml:space="preserve"> The contribution of hydrotrope self-association,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33</m:t>
            </m:r>
          </m:sub>
        </m:sSub>
      </m:oMath>
      <w:r w:rsidR="00DE289E" w:rsidRPr="00EC5244">
        <w:rPr>
          <w:lang w:val="en-CA"/>
        </w:rPr>
        <w:t>,</w:t>
      </w:r>
      <w:r w:rsidRPr="00EC5244">
        <w:rPr>
          <w:lang w:val="en-CA"/>
        </w:rPr>
        <w:t xml:space="preserve"> to </w:t>
      </w:r>
      <m:oMath>
        <m:d>
          <m:dPr>
            <m:begChr m:val="|"/>
            <m:endChr m:val="|"/>
            <m:ctrlPr>
              <w:rPr>
                <w:rFonts w:ascii="Cambria Math" w:hAnsi="Cambria Math"/>
                <w:i/>
                <w:lang w:val="en-CA"/>
              </w:rPr>
            </m:ctrlPr>
          </m:dPr>
          <m:e>
            <m:r>
              <w:rPr>
                <w:rFonts w:ascii="Cambria Math" w:hAnsi="Cambria Math"/>
                <w:lang w:val="en-CA"/>
              </w:rPr>
              <m:t>B</m:t>
            </m:r>
          </m:e>
        </m:d>
      </m:oMath>
      <w:r w:rsidRPr="00EC5244">
        <w:rPr>
          <w:lang w:val="en-CA"/>
        </w:rPr>
        <w:t xml:space="preserve"> </w:t>
      </w:r>
      <w:r w:rsidR="00E40C45" w:rsidRPr="00EC5244">
        <w:rPr>
          <w:lang w:val="en-CA"/>
        </w:rPr>
        <w:t>can be seen in its 4-component expression</w:t>
      </w:r>
      <w:r w:rsidR="00EB3D1A" w:rsidRPr="00EC5244">
        <w:rPr>
          <w:lang w:val="en-CA"/>
        </w:rPr>
        <w:t xml:space="preserve"> of the denominator of Eq. (17)</w:t>
      </w:r>
      <w:r w:rsidR="00E40C45" w:rsidRPr="00EC5244">
        <w:rPr>
          <w:lang w:val="en-CA"/>
        </w:rPr>
        <w:t xml:space="preserve"> </w:t>
      </w:r>
    </w:p>
    <w:p w14:paraId="558E2999" w14:textId="5CBEE424" w:rsidR="00E40C45" w:rsidRPr="00EC5244" w:rsidRDefault="000C7FF6" w:rsidP="00E40C45">
      <w:pPr>
        <w:pStyle w:val="TAMainText"/>
        <w:rPr>
          <w:lang w:val="en-CA"/>
        </w:rPr>
      </w:pPr>
      <m:oMath>
        <m:d>
          <m:dPr>
            <m:begChr m:val="|"/>
            <m:endChr m:val="|"/>
            <m:ctrlPr>
              <w:rPr>
                <w:rFonts w:ascii="Cambria Math" w:hAnsi="Cambria Math"/>
                <w:i/>
                <w:lang w:val="en-CA"/>
              </w:rPr>
            </m:ctrlPr>
          </m:dPr>
          <m:e>
            <m:r>
              <w:rPr>
                <w:rFonts w:ascii="Cambria Math" w:hAnsi="Cambria Math"/>
                <w:lang w:val="en-CA"/>
              </w:rPr>
              <m:t>B</m:t>
            </m:r>
          </m:e>
        </m:d>
        <m:r>
          <m:rPr>
            <m:sty m:val="p"/>
          </m:rPr>
          <w:rPr>
            <w:rFonts w:ascii="Cambria Math"/>
            <w:lang w:val="en-CA"/>
          </w:rPr>
          <m:t>=</m:t>
        </m:r>
        <m:sSub>
          <m:sSubPr>
            <m:ctrlPr>
              <w:rPr>
                <w:rFonts w:ascii="Cambria Math" w:hAnsi="Cambria Math"/>
                <w:lang w:val="en-CA"/>
              </w:rPr>
            </m:ctrlPr>
          </m:sSubPr>
          <m:e>
            <m:r>
              <m:rPr>
                <m:sty m:val="p"/>
              </m:rPr>
              <w:rPr>
                <w:rFonts w:ascii="Cambria Math"/>
                <w:lang w:val="en-CA"/>
              </w:rPr>
              <m:t>B</m:t>
            </m:r>
          </m:e>
          <m:sub>
            <m:r>
              <m:rPr>
                <m:sty m:val="p"/>
              </m:rPr>
              <w:rPr>
                <w:rFonts w:ascii="Cambria Math"/>
                <w:lang w:val="en-CA"/>
              </w:rPr>
              <m:t>31</m:t>
            </m:r>
          </m:sub>
        </m:sSub>
        <m:sSup>
          <m:sSupPr>
            <m:ctrlPr>
              <w:rPr>
                <w:rFonts w:ascii="Cambria Math" w:hAnsi="Cambria Math"/>
                <w:i/>
                <w:lang w:val="en-CA"/>
              </w:rPr>
            </m:ctrlPr>
          </m:sSupPr>
          <m:e>
            <m:r>
              <w:rPr>
                <w:rFonts w:ascii="Cambria Math"/>
                <w:lang w:val="en-CA"/>
              </w:rPr>
              <m:t>B</m:t>
            </m:r>
          </m:e>
          <m:sup>
            <m:r>
              <w:rPr>
                <w:rFonts w:ascii="Cambria Math"/>
                <w:lang w:val="en-CA"/>
              </w:rPr>
              <m:t>31</m:t>
            </m:r>
          </m:sup>
        </m:sSup>
        <m:r>
          <w:rPr>
            <w:rFonts w:ascii="Cambria Math"/>
            <w:lang w:val="en-CA"/>
          </w:rPr>
          <m:t>-</m:t>
        </m:r>
        <m:sSub>
          <m:sSubPr>
            <m:ctrlPr>
              <w:rPr>
                <w:rFonts w:ascii="Cambria Math" w:hAnsi="Cambria Math"/>
                <w:i/>
                <w:lang w:val="en-CA"/>
              </w:rPr>
            </m:ctrlPr>
          </m:sSubPr>
          <m:e>
            <m:r>
              <w:rPr>
                <w:rFonts w:ascii="Cambria Math"/>
                <w:lang w:val="en-CA"/>
              </w:rPr>
              <m:t>B</m:t>
            </m:r>
          </m:e>
          <m:sub>
            <m:r>
              <w:rPr>
                <w:rFonts w:ascii="Cambria Math"/>
                <w:lang w:val="en-CA"/>
              </w:rPr>
              <m:t>32</m:t>
            </m:r>
          </m:sub>
        </m:sSub>
        <m:sSup>
          <m:sSupPr>
            <m:ctrlPr>
              <w:rPr>
                <w:rFonts w:ascii="Cambria Math" w:hAnsi="Cambria Math"/>
                <w:i/>
                <w:lang w:val="en-CA"/>
              </w:rPr>
            </m:ctrlPr>
          </m:sSupPr>
          <m:e>
            <m:r>
              <w:rPr>
                <w:rFonts w:ascii="Cambria Math"/>
                <w:lang w:val="en-CA"/>
              </w:rPr>
              <m:t>B</m:t>
            </m:r>
          </m:e>
          <m:sup>
            <m:r>
              <w:rPr>
                <w:rFonts w:ascii="Cambria Math"/>
                <w:lang w:val="en-CA"/>
              </w:rPr>
              <m:t>32</m:t>
            </m:r>
          </m:sup>
        </m:sSup>
        <m:r>
          <w:rPr>
            <w:rFonts w:ascii="Cambria Math"/>
            <w:lang w:val="en-CA"/>
          </w:rPr>
          <m:t>+</m:t>
        </m:r>
        <m:sSub>
          <m:sSubPr>
            <m:ctrlPr>
              <w:rPr>
                <w:rFonts w:ascii="Cambria Math" w:hAnsi="Cambria Math"/>
                <w:i/>
                <w:lang w:val="en-CA"/>
              </w:rPr>
            </m:ctrlPr>
          </m:sSubPr>
          <m:e>
            <m:r>
              <w:rPr>
                <w:rFonts w:ascii="Cambria Math"/>
                <w:lang w:val="en-CA"/>
              </w:rPr>
              <m:t>B</m:t>
            </m:r>
          </m:e>
          <m:sub>
            <m:r>
              <w:rPr>
                <w:rFonts w:ascii="Cambria Math"/>
                <w:lang w:val="en-CA"/>
              </w:rPr>
              <m:t>33</m:t>
            </m:r>
          </m:sub>
        </m:sSub>
        <m:sSup>
          <m:sSupPr>
            <m:ctrlPr>
              <w:rPr>
                <w:rFonts w:ascii="Cambria Math" w:hAnsi="Cambria Math"/>
                <w:i/>
                <w:lang w:val="en-CA"/>
              </w:rPr>
            </m:ctrlPr>
          </m:sSupPr>
          <m:e>
            <m:r>
              <w:rPr>
                <w:rFonts w:ascii="Cambria Math"/>
                <w:lang w:val="en-CA"/>
              </w:rPr>
              <m:t>B</m:t>
            </m:r>
          </m:e>
          <m:sup>
            <m:r>
              <w:rPr>
                <w:rFonts w:ascii="Cambria Math"/>
                <w:lang w:val="en-CA"/>
              </w:rPr>
              <m:t>33</m:t>
            </m:r>
          </m:sup>
        </m:sSup>
        <m:r>
          <w:rPr>
            <w:rFonts w:ascii="Cambria Math"/>
            <w:lang w:val="en-CA"/>
          </w:rPr>
          <m:t>-</m:t>
        </m:r>
        <m:sSub>
          <m:sSubPr>
            <m:ctrlPr>
              <w:rPr>
                <w:rFonts w:ascii="Cambria Math" w:hAnsi="Cambria Math"/>
                <w:i/>
                <w:lang w:val="en-CA"/>
              </w:rPr>
            </m:ctrlPr>
          </m:sSubPr>
          <m:e>
            <m:r>
              <w:rPr>
                <w:rFonts w:ascii="Cambria Math"/>
                <w:lang w:val="en-CA"/>
              </w:rPr>
              <m:t>B</m:t>
            </m:r>
          </m:e>
          <m:sub>
            <m:r>
              <w:rPr>
                <w:rFonts w:ascii="Cambria Math"/>
                <w:lang w:val="en-CA"/>
              </w:rPr>
              <m:t>uu</m:t>
            </m:r>
          </m:sub>
        </m:sSub>
        <m:sSup>
          <m:sSupPr>
            <m:ctrlPr>
              <w:rPr>
                <w:rFonts w:ascii="Cambria Math" w:hAnsi="Cambria Math"/>
                <w:i/>
                <w:lang w:val="en-CA"/>
              </w:rPr>
            </m:ctrlPr>
          </m:sSupPr>
          <m:e>
            <m:r>
              <w:rPr>
                <w:rFonts w:ascii="Cambria Math"/>
                <w:lang w:val="en-CA"/>
              </w:rPr>
              <m:t>B</m:t>
            </m:r>
          </m:e>
          <m:sup>
            <m:r>
              <w:rPr>
                <w:rFonts w:ascii="Cambria Math"/>
                <w:lang w:val="en-CA"/>
              </w:rPr>
              <m:t>uu</m:t>
            </m:r>
          </m:sup>
        </m:sSup>
      </m:oMath>
      <w:r w:rsidR="00551DF0" w:rsidRPr="00EC5244">
        <w:rPr>
          <w:lang w:val="en-CA"/>
        </w:rPr>
        <w:tab/>
      </w:r>
      <w:r w:rsidR="00551DF0" w:rsidRPr="00EC5244">
        <w:rPr>
          <w:lang w:val="en-CA"/>
        </w:rPr>
        <w:tab/>
      </w:r>
      <w:r w:rsidR="00551DF0" w:rsidRPr="00EC5244">
        <w:rPr>
          <w:lang w:val="en-CA"/>
        </w:rPr>
        <w:tab/>
      </w:r>
      <w:r w:rsidR="00551DF0" w:rsidRPr="00EC5244">
        <w:rPr>
          <w:lang w:val="en-CA"/>
        </w:rPr>
        <w:tab/>
      </w:r>
      <w:r w:rsidR="00551DF0" w:rsidRPr="00EC5244">
        <w:rPr>
          <w:lang w:val="en-CA"/>
        </w:rPr>
        <w:tab/>
      </w:r>
      <w:r w:rsidR="00551DF0" w:rsidRPr="00EC5244">
        <w:rPr>
          <w:lang w:val="en-CA"/>
        </w:rPr>
        <w:tab/>
        <w:t>(21</w:t>
      </w:r>
      <w:r w:rsidR="00E40C45" w:rsidRPr="00EC5244">
        <w:rPr>
          <w:lang w:val="en-CA"/>
        </w:rPr>
        <w:t>)</w:t>
      </w:r>
    </w:p>
    <w:p w14:paraId="367AF3C2" w14:textId="1FCF1470" w:rsidR="00DE289E" w:rsidRPr="00EC5244" w:rsidRDefault="00EB3D1A" w:rsidP="00DE289E">
      <w:pPr>
        <w:pStyle w:val="TAMainText"/>
        <w:ind w:firstLine="0"/>
        <w:rPr>
          <w:lang w:val="en-CA"/>
        </w:rPr>
      </w:pPr>
      <w:r w:rsidRPr="00EC5244">
        <w:rPr>
          <w:lang w:val="en-CA"/>
        </w:rPr>
        <w:t>The term</w:t>
      </w:r>
      <w:r w:rsidR="00DE289E" w:rsidRPr="00EC5244">
        <w:rPr>
          <w:lang w:val="en-CA"/>
        </w:rPr>
        <w:t xml:space="preserve"> </w:t>
      </w:r>
      <m:oMath>
        <m:sSub>
          <m:sSubPr>
            <m:ctrlPr>
              <w:rPr>
                <w:rFonts w:ascii="Cambria Math" w:hAnsi="Cambria Math"/>
                <w:i/>
                <w:lang w:val="en-CA"/>
              </w:rPr>
            </m:ctrlPr>
          </m:sSubPr>
          <m:e>
            <m:r>
              <w:rPr>
                <w:rFonts w:ascii="Cambria Math"/>
                <w:lang w:val="en-CA"/>
              </w:rPr>
              <m:t>B</m:t>
            </m:r>
          </m:e>
          <m:sub>
            <m:r>
              <w:rPr>
                <w:rFonts w:ascii="Cambria Math"/>
                <w:lang w:val="en-CA"/>
              </w:rPr>
              <m:t>33</m:t>
            </m:r>
          </m:sub>
        </m:sSub>
        <m:sSup>
          <m:sSupPr>
            <m:ctrlPr>
              <w:rPr>
                <w:rFonts w:ascii="Cambria Math" w:hAnsi="Cambria Math"/>
                <w:i/>
                <w:lang w:val="en-CA"/>
              </w:rPr>
            </m:ctrlPr>
          </m:sSupPr>
          <m:e>
            <m:r>
              <w:rPr>
                <w:rFonts w:ascii="Cambria Math"/>
                <w:lang w:val="en-CA"/>
              </w:rPr>
              <m:t>B</m:t>
            </m:r>
          </m:e>
          <m:sup>
            <m:r>
              <w:rPr>
                <w:rFonts w:ascii="Cambria Math"/>
                <w:lang w:val="en-CA"/>
              </w:rPr>
              <m:t>33</m:t>
            </m:r>
          </m:sup>
        </m:sSup>
      </m:oMath>
      <w:r w:rsidR="00DE289E" w:rsidRPr="00EC5244">
        <w:rPr>
          <w:lang w:val="en-CA"/>
        </w:rPr>
        <w:t xml:space="preserve"> is </w:t>
      </w:r>
      <w:r w:rsidRPr="00EC5244">
        <w:rPr>
          <w:lang w:val="en-CA"/>
        </w:rPr>
        <w:t xml:space="preserve">again </w:t>
      </w:r>
      <w:r w:rsidR="00DE289E" w:rsidRPr="00EC5244">
        <w:rPr>
          <w:lang w:val="en-CA"/>
        </w:rPr>
        <w:t xml:space="preserve">positive, due to stability condition. Hydrotrope self-association thus increases </w:t>
      </w:r>
      <m:oMath>
        <m:d>
          <m:dPr>
            <m:begChr m:val="|"/>
            <m:endChr m:val="|"/>
            <m:ctrlPr>
              <w:rPr>
                <w:rFonts w:ascii="Cambria Math" w:hAnsi="Cambria Math"/>
                <w:i/>
                <w:lang w:val="en-CA"/>
              </w:rPr>
            </m:ctrlPr>
          </m:dPr>
          <m:e>
            <m:r>
              <w:rPr>
                <w:rFonts w:ascii="Cambria Math" w:hAnsi="Cambria Math"/>
                <w:lang w:val="en-CA"/>
              </w:rPr>
              <m:t>B</m:t>
            </m:r>
          </m:e>
        </m:d>
      </m:oMath>
      <w:r w:rsidR="00DE289E" w:rsidRPr="00EC5244">
        <w:rPr>
          <w:lang w:val="en-CA"/>
        </w:rPr>
        <w:t xml:space="preserve">, the denominator of Eq. (17), thereby reducing the solubilization efficiency per hydrotrope. </w:t>
      </w:r>
    </w:p>
    <w:p w14:paraId="0944FE8B" w14:textId="096BE2DE" w:rsidR="002D7218" w:rsidRPr="00EC5244" w:rsidRDefault="002D7218" w:rsidP="006743F8">
      <w:pPr>
        <w:pStyle w:val="TAMainText"/>
        <w:ind w:firstLine="0"/>
        <w:rPr>
          <w:lang w:val="en-CA"/>
        </w:rPr>
      </w:pPr>
    </w:p>
    <w:p w14:paraId="46D15DA6" w14:textId="6D43507D" w:rsidR="002D7218" w:rsidRPr="00EC5244" w:rsidRDefault="00BE67E1" w:rsidP="00EB3D1A">
      <w:pPr>
        <w:pStyle w:val="TAMainText"/>
        <w:rPr>
          <w:lang w:val="en-CA"/>
        </w:rPr>
      </w:pPr>
      <w:r w:rsidRPr="00EC5244">
        <w:rPr>
          <w:b/>
          <w:lang w:val="en-CA"/>
        </w:rPr>
        <w:t>(iv) Immiscibility contribution to solubilization efficiency.</w:t>
      </w:r>
      <w:r w:rsidRPr="00EC5244">
        <w:rPr>
          <w:lang w:val="en-CA"/>
        </w:rPr>
        <w:t xml:space="preserve"> </w:t>
      </w:r>
      <w:r w:rsidR="00EB3D1A" w:rsidRPr="00EC5244">
        <w:rPr>
          <w:lang w:val="en-CA"/>
        </w:rPr>
        <w:t xml:space="preserve">We </w:t>
      </w:r>
      <w:r w:rsidR="00DE289E" w:rsidRPr="00EC5244">
        <w:rPr>
          <w:lang w:val="en-CA"/>
        </w:rPr>
        <w:t xml:space="preserve">need to consider how a large negative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12</m:t>
            </m:r>
          </m:sub>
        </m:sSub>
      </m:oMath>
      <w:r w:rsidR="00DE289E" w:rsidRPr="00EC5244">
        <w:rPr>
          <w:lang w:val="en-CA"/>
        </w:rPr>
        <w:t xml:space="preserve"> contributes to </w:t>
      </w:r>
      <m:oMath>
        <m:d>
          <m:dPr>
            <m:begChr m:val="|"/>
            <m:endChr m:val="|"/>
            <m:ctrlPr>
              <w:rPr>
                <w:rFonts w:ascii="Cambria Math" w:hAnsi="Cambria Math"/>
                <w:i/>
                <w:lang w:val="en-CA"/>
              </w:rPr>
            </m:ctrlPr>
          </m:dPr>
          <m:e>
            <m:r>
              <w:rPr>
                <w:rFonts w:ascii="Cambria Math" w:hAnsi="Cambria Math"/>
                <w:lang w:val="en-CA"/>
              </w:rPr>
              <m:t>B</m:t>
            </m:r>
          </m:e>
        </m:d>
      </m:oMath>
      <w:r w:rsidR="00EB3D1A" w:rsidRPr="00EC5244">
        <w:rPr>
          <w:lang w:val="en-CA"/>
        </w:rPr>
        <w:t xml:space="preserve"> (Eq. (22))</w:t>
      </w:r>
      <w:r w:rsidR="00DE289E" w:rsidRPr="00EC5244">
        <w:rPr>
          <w:lang w:val="en-CA"/>
        </w:rPr>
        <w:t>. To extract the relevant terms</w:t>
      </w:r>
    </w:p>
    <w:p w14:paraId="547D7F2B" w14:textId="322688B9" w:rsidR="00DE289E" w:rsidRPr="00EC5244" w:rsidRDefault="000C7FF6" w:rsidP="006743F8">
      <w:pPr>
        <w:pStyle w:val="TAMainText"/>
        <w:ind w:firstLine="0"/>
        <w:rPr>
          <w:lang w:val="en-CA"/>
        </w:rPr>
      </w:pPr>
      <m:oMath>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13</m:t>
            </m:r>
          </m:sub>
        </m:sSub>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21</m:t>
            </m:r>
          </m:sub>
        </m:sSub>
        <m:d>
          <m:dPr>
            <m:begChr m:val="|"/>
            <m:endChr m:val="|"/>
            <m:ctrlPr>
              <w:rPr>
                <w:rFonts w:ascii="Cambria Math" w:hAnsi="Cambria Math"/>
                <w:i/>
                <w:lang w:val="en-CA"/>
              </w:rPr>
            </m:ctrlPr>
          </m:dPr>
          <m:e>
            <m:m>
              <m:mPr>
                <m:mcs>
                  <m:mc>
                    <m:mcPr>
                      <m:count m:val="2"/>
                      <m:mcJc m:val="center"/>
                    </m:mcPr>
                  </m:mc>
                </m:mcs>
                <m:ctrlPr>
                  <w:rPr>
                    <w:rFonts w:ascii="Cambria Math" w:hAnsi="Cambria Math"/>
                    <w:i/>
                    <w:lang w:val="en-CA"/>
                  </w:rPr>
                </m:ctrlPr>
              </m:mPr>
              <m:mr>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32</m:t>
                      </m:r>
                    </m:sub>
                  </m:sSub>
                </m:e>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3u</m:t>
                      </m:r>
                    </m:sub>
                  </m:sSub>
                </m:e>
              </m:mr>
              <m:mr>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u2</m:t>
                      </m:r>
                    </m:sub>
                  </m:sSub>
                </m:e>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uu</m:t>
                      </m:r>
                    </m:sub>
                  </m:sSub>
                </m:e>
              </m:mr>
            </m:m>
          </m:e>
        </m:d>
        <m:r>
          <w:rPr>
            <w:rFonts w:ascii="Cambria Math" w:hAnsi="Cambria Math"/>
            <w:lang w:val="en-CA"/>
          </w:rPr>
          <m:t>+</m:t>
        </m:r>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23</m:t>
            </m:r>
          </m:sub>
        </m:sSub>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12</m:t>
            </m:r>
          </m:sub>
        </m:sSub>
        <m:d>
          <m:dPr>
            <m:begChr m:val="|"/>
            <m:endChr m:val="|"/>
            <m:ctrlPr>
              <w:rPr>
                <w:rFonts w:ascii="Cambria Math" w:hAnsi="Cambria Math"/>
                <w:i/>
                <w:lang w:val="en-CA"/>
              </w:rPr>
            </m:ctrlPr>
          </m:dPr>
          <m:e>
            <m:m>
              <m:mPr>
                <m:mcs>
                  <m:mc>
                    <m:mcPr>
                      <m:count m:val="2"/>
                      <m:mcJc m:val="center"/>
                    </m:mcPr>
                  </m:mc>
                </m:mcs>
                <m:ctrlPr>
                  <w:rPr>
                    <w:rFonts w:ascii="Cambria Math" w:hAnsi="Cambria Math"/>
                    <w:i/>
                    <w:lang w:val="en-CA"/>
                  </w:rPr>
                </m:ctrlPr>
              </m:mPr>
              <m:mr>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31</m:t>
                      </m:r>
                    </m:sub>
                  </m:sSub>
                </m:e>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3u</m:t>
                      </m:r>
                    </m:sub>
                  </m:sSub>
                </m:e>
              </m:mr>
              <m:mr>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u1</m:t>
                      </m:r>
                    </m:sub>
                  </m:sSub>
                </m:e>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uu</m:t>
                      </m:r>
                    </m:sub>
                  </m:sSub>
                </m:e>
              </m:mr>
            </m:m>
          </m:e>
        </m:d>
        <m:r>
          <w:rPr>
            <w:rFonts w:ascii="Cambria Math" w:hAnsi="Cambria Math"/>
            <w:lang w:val="en-CA"/>
          </w:rPr>
          <m:t>+</m:t>
        </m:r>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u3</m:t>
            </m:r>
          </m:sub>
        </m:sSub>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12</m:t>
            </m:r>
          </m:sub>
        </m:sSub>
        <m:d>
          <m:dPr>
            <m:begChr m:val="|"/>
            <m:endChr m:val="|"/>
            <m:ctrlPr>
              <w:rPr>
                <w:rFonts w:ascii="Cambria Math" w:hAnsi="Cambria Math"/>
                <w:i/>
                <w:lang w:val="en-CA"/>
              </w:rPr>
            </m:ctrlPr>
          </m:dPr>
          <m:e>
            <m:m>
              <m:mPr>
                <m:mcs>
                  <m:mc>
                    <m:mcPr>
                      <m:count m:val="2"/>
                      <m:mcJc m:val="center"/>
                    </m:mcPr>
                  </m:mc>
                </m:mcs>
                <m:ctrlPr>
                  <w:rPr>
                    <w:rFonts w:ascii="Cambria Math" w:hAnsi="Cambria Math"/>
                    <w:i/>
                    <w:lang w:val="en-CA"/>
                  </w:rPr>
                </m:ctrlPr>
              </m:mPr>
              <m:mr>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21</m:t>
                      </m:r>
                    </m:sub>
                  </m:sSub>
                </m:e>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2u</m:t>
                      </m:r>
                    </m:sub>
                  </m:sSub>
                </m:e>
              </m:mr>
              <m:mr>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31</m:t>
                      </m:r>
                    </m:sub>
                  </m:sSub>
                </m:e>
                <m:e>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3u</m:t>
                      </m:r>
                    </m:sub>
                  </m:sSub>
                </m:e>
              </m:mr>
            </m:m>
          </m:e>
        </m:d>
      </m:oMath>
      <w:r w:rsidR="00462D00" w:rsidRPr="00EC5244">
        <w:rPr>
          <w:lang w:val="en-CA"/>
        </w:rPr>
        <w:tab/>
      </w:r>
      <w:r w:rsidR="00462D00" w:rsidRPr="00EC5244">
        <w:rPr>
          <w:lang w:val="en-CA"/>
        </w:rPr>
        <w:tab/>
      </w:r>
      <w:r w:rsidR="00462D00" w:rsidRPr="00EC5244">
        <w:rPr>
          <w:lang w:val="en-CA"/>
        </w:rPr>
        <w:tab/>
      </w:r>
      <w:r w:rsidR="00462D00" w:rsidRPr="00EC5244">
        <w:rPr>
          <w:lang w:val="en-CA"/>
        </w:rPr>
        <w:tab/>
      </w:r>
      <w:r w:rsidR="00551DF0" w:rsidRPr="00EC5244">
        <w:rPr>
          <w:lang w:val="en-CA"/>
        </w:rPr>
        <w:t>(22</w:t>
      </w:r>
      <w:r w:rsidR="00462D00" w:rsidRPr="00EC5244">
        <w:rPr>
          <w:lang w:val="en-CA"/>
        </w:rPr>
        <w:t>)</w:t>
      </w:r>
    </w:p>
    <w:p w14:paraId="073F2F68" w14:textId="08C39584" w:rsidR="00BE67E1" w:rsidRPr="00EC5244" w:rsidRDefault="001E1AA8" w:rsidP="006743F8">
      <w:pPr>
        <w:pStyle w:val="TAMainText"/>
        <w:ind w:firstLine="0"/>
        <w:rPr>
          <w:lang w:val="en-CA"/>
        </w:rPr>
      </w:pPr>
      <w:r w:rsidRPr="00EC5244">
        <w:rPr>
          <w:lang w:val="en-CA"/>
        </w:rPr>
        <w:t>I</w:t>
      </w:r>
      <w:r w:rsidR="00462D00" w:rsidRPr="00EC5244">
        <w:rPr>
          <w:lang w:val="en-CA"/>
        </w:rPr>
        <w:t xml:space="preserve">t is difficult to draw a definitive conclusion without evaluating each of the KBIs </w:t>
      </w:r>
      <w:r w:rsidR="00551DF0" w:rsidRPr="00EC5244">
        <w:rPr>
          <w:lang w:val="en-CA"/>
        </w:rPr>
        <w:t>in Eq. (22</w:t>
      </w:r>
      <w:r w:rsidR="00462D00" w:rsidRPr="00EC5244">
        <w:rPr>
          <w:lang w:val="en-CA"/>
        </w:rPr>
        <w:t xml:space="preserve">). Yet we can at least say that a strong solute-solvent (species 2) interaction contribute negatively to </w:t>
      </w:r>
      <m:oMath>
        <m:d>
          <m:dPr>
            <m:begChr m:val="|"/>
            <m:endChr m:val="|"/>
            <m:ctrlPr>
              <w:rPr>
                <w:rFonts w:ascii="Cambria Math" w:hAnsi="Cambria Math"/>
                <w:i/>
                <w:lang w:val="en-CA"/>
              </w:rPr>
            </m:ctrlPr>
          </m:dPr>
          <m:e>
            <m:r>
              <w:rPr>
                <w:rFonts w:ascii="Cambria Math" w:hAnsi="Cambria Math"/>
                <w:lang w:val="en-CA"/>
              </w:rPr>
              <m:t>B</m:t>
            </m:r>
          </m:e>
        </m:d>
      </m:oMath>
      <w:r w:rsidR="00462D00" w:rsidRPr="00EC5244">
        <w:rPr>
          <w:lang w:val="en-CA"/>
        </w:rPr>
        <w:t>, thereby increasing the solubilizat</w:t>
      </w:r>
      <w:r w:rsidR="00EB3D1A" w:rsidRPr="00EC5244">
        <w:rPr>
          <w:lang w:val="en-CA"/>
        </w:rPr>
        <w:t xml:space="preserve">ion efficiency. For the sake of </w:t>
      </w:r>
      <w:r w:rsidR="00462D00" w:rsidRPr="00EC5244">
        <w:rPr>
          <w:lang w:val="en-CA"/>
        </w:rPr>
        <w:t xml:space="preserve">argument, we consider the case when hydrotrope makes very strong interaction, sufficient to make KBI positive, only with the solute, </w:t>
      </w:r>
      <m:oMath>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13</m:t>
            </m:r>
          </m:sub>
        </m:sSub>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21</m:t>
            </m:r>
          </m:sub>
        </m:sSub>
        <m:r>
          <w:rPr>
            <w:rFonts w:ascii="Cambria Math" w:hAnsi="Cambria Math"/>
            <w:lang w:val="en-CA"/>
          </w:rPr>
          <m:t>&gt;0</m:t>
        </m:r>
      </m:oMath>
      <w:r w:rsidR="00462D00" w:rsidRPr="00EC5244">
        <w:rPr>
          <w:lang w:val="en-CA"/>
        </w:rPr>
        <w:t xml:space="preserve">, </w:t>
      </w:r>
      <m:oMath>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23</m:t>
            </m:r>
          </m:sub>
        </m:sSub>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21</m:t>
            </m:r>
          </m:sub>
        </m:sSub>
        <m:r>
          <w:rPr>
            <w:rFonts w:ascii="Cambria Math" w:hAnsi="Cambria Math"/>
            <w:lang w:val="en-CA"/>
          </w:rPr>
          <m:t>&gt;0</m:t>
        </m:r>
      </m:oMath>
      <w:r w:rsidR="00462D00" w:rsidRPr="00EC5244">
        <w:rPr>
          <w:lang w:val="en-CA"/>
        </w:rPr>
        <w:t xml:space="preserve"> and </w:t>
      </w:r>
      <m:oMath>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u3</m:t>
            </m:r>
          </m:sub>
        </m:sSub>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12</m:t>
            </m:r>
          </m:sub>
        </m:sSub>
        <m:r>
          <w:rPr>
            <w:rFonts w:ascii="Cambria Math" w:hAnsi="Cambria Math"/>
            <w:lang w:val="en-CA"/>
          </w:rPr>
          <m:t>&lt;0</m:t>
        </m:r>
      </m:oMath>
      <w:r w:rsidR="00462D00" w:rsidRPr="00EC5244">
        <w:rPr>
          <w:lang w:val="en-CA"/>
        </w:rPr>
        <w:t xml:space="preserve">. In this case, when not only </w:t>
      </w:r>
      <m:oMath>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u3</m:t>
            </m:r>
          </m:sub>
        </m:sSub>
      </m:oMath>
      <w:r w:rsidR="00462D00" w:rsidRPr="00EC5244">
        <w:rPr>
          <w:lang w:val="en-CA"/>
        </w:rPr>
        <w:t xml:space="preserve"> but also </w:t>
      </w:r>
      <m:oMath>
        <m:sSub>
          <m:sSubPr>
            <m:ctrlPr>
              <w:rPr>
                <w:rFonts w:ascii="Cambria Math" w:hAnsi="Cambria Math"/>
                <w:i/>
                <w:lang w:val="en-CA"/>
              </w:rPr>
            </m:ctrlPr>
          </m:sSubPr>
          <m:e>
            <m:r>
              <w:rPr>
                <w:rFonts w:ascii="Cambria Math" w:hAnsi="Cambria Math"/>
                <w:lang w:val="en-CA"/>
              </w:rPr>
              <m:t>B</m:t>
            </m:r>
          </m:e>
          <m:sub>
            <m:r>
              <w:rPr>
                <w:rFonts w:ascii="Cambria Math" w:hAnsi="Cambria Math"/>
                <w:lang w:val="en-CA"/>
              </w:rPr>
              <m:t>u2</m:t>
            </m:r>
          </m:sub>
        </m:sSub>
      </m:oMath>
      <w:r w:rsidR="00EB3D1A" w:rsidRPr="00EC5244">
        <w:rPr>
          <w:lang w:val="en-CA"/>
        </w:rPr>
        <w:t xml:space="preserve"> is positive</w:t>
      </w:r>
      <w:r w:rsidR="00462D00" w:rsidRPr="00EC5244">
        <w:rPr>
          <w:lang w:val="en-CA"/>
        </w:rPr>
        <w:t xml:space="preserve">, the first two terms can become negative (considering that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u1</m:t>
            </m:r>
          </m:sub>
        </m:sSub>
      </m:oMath>
      <w:r w:rsidR="00462D00" w:rsidRPr="00EC5244">
        <w:rPr>
          <w:lang w:val="en-CA"/>
        </w:rPr>
        <w:t xml:space="preserve"> is negative). The third term can become negative only when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u2</m:t>
            </m:r>
          </m:sub>
        </m:sSub>
      </m:oMath>
      <w:r w:rsidR="00462D00" w:rsidRPr="00EC5244">
        <w:rPr>
          <w:lang w:val="en-CA"/>
        </w:rPr>
        <w:t xml:space="preserve"> is sufficiently stronger than </w:t>
      </w:r>
      <m:oMath>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u3</m:t>
            </m:r>
          </m:sub>
        </m:sSub>
      </m:oMath>
      <w:r w:rsidR="00462D00" w:rsidRPr="00EC5244">
        <w:rPr>
          <w:lang w:val="en-CA"/>
        </w:rPr>
        <w:t xml:space="preserve">. Hence there is possibility that immicibility of two solvents may contribute to increase the solubilization efficiency. </w:t>
      </w:r>
    </w:p>
    <w:p w14:paraId="0D1F8196" w14:textId="77777777" w:rsidR="001E1AA8" w:rsidRPr="00EC5244" w:rsidRDefault="001E1AA8" w:rsidP="006743F8">
      <w:pPr>
        <w:pStyle w:val="TAMainText"/>
        <w:ind w:firstLine="0"/>
        <w:rPr>
          <w:lang w:val="en-CA"/>
        </w:rPr>
      </w:pPr>
    </w:p>
    <w:p w14:paraId="2B877F5C" w14:textId="4EF382C4" w:rsidR="00F8414E" w:rsidRPr="00EC5244" w:rsidRDefault="006743F8" w:rsidP="00374062">
      <w:pPr>
        <w:pStyle w:val="TAMainText"/>
        <w:rPr>
          <w:lang w:val="en-CA"/>
        </w:rPr>
      </w:pPr>
      <w:r w:rsidRPr="00EC5244">
        <w:rPr>
          <w:lang w:val="en-CA"/>
        </w:rPr>
        <w:t xml:space="preserve">The </w:t>
      </w:r>
      <w:r w:rsidR="0088029A" w:rsidRPr="00EC5244">
        <w:rPr>
          <w:lang w:val="en-CA"/>
        </w:rPr>
        <w:t xml:space="preserve">strong solubilization power of surfactant-free micro-emulsions should come from the combination of solute-hydrotrope affinity in addition to solute-solvent, which overrides the </w:t>
      </w:r>
      <w:r w:rsidR="00462D00" w:rsidRPr="00EC5244">
        <w:rPr>
          <w:lang w:val="en-CA"/>
        </w:rPr>
        <w:t xml:space="preserve">solubilization inefficiency. What we have carried out here is merely to identify some possible scenarios. A full analysis requires the determination of all the KBIs. </w:t>
      </w:r>
    </w:p>
    <w:p w14:paraId="3E246D57" w14:textId="1E599833" w:rsidR="00EC21B8" w:rsidRPr="00EC5244" w:rsidRDefault="00EC21B8" w:rsidP="00283FBB">
      <w:pPr>
        <w:pStyle w:val="TAMainText"/>
        <w:ind w:firstLine="0"/>
        <w:rPr>
          <w:b/>
          <w:lang w:val="en-CA"/>
        </w:rPr>
      </w:pPr>
    </w:p>
    <w:p w14:paraId="17159AFE" w14:textId="624882B1" w:rsidR="009E0893" w:rsidRPr="00EC5244" w:rsidRDefault="00A04BE2" w:rsidP="00283FBB">
      <w:pPr>
        <w:pStyle w:val="TAMainText"/>
        <w:ind w:firstLine="0"/>
        <w:rPr>
          <w:b/>
          <w:lang w:val="en-CA"/>
        </w:rPr>
      </w:pPr>
      <w:r w:rsidRPr="00EC5244">
        <w:rPr>
          <w:b/>
          <w:lang w:val="en-CA"/>
        </w:rPr>
        <w:t>7</w:t>
      </w:r>
      <w:r w:rsidR="00EA168C" w:rsidRPr="00EC5244">
        <w:rPr>
          <w:b/>
          <w:lang w:val="en-CA"/>
        </w:rPr>
        <w:t xml:space="preserve">. Conclusion </w:t>
      </w:r>
    </w:p>
    <w:p w14:paraId="3BA0EADA" w14:textId="77777777" w:rsidR="0025761A" w:rsidRPr="00EC5244" w:rsidRDefault="0025761A" w:rsidP="00550394">
      <w:pPr>
        <w:pStyle w:val="TAMainText"/>
        <w:ind w:firstLine="0"/>
        <w:rPr>
          <w:lang w:val="en-CA"/>
        </w:rPr>
      </w:pPr>
    </w:p>
    <w:p w14:paraId="688E3A15" w14:textId="53B876A9" w:rsidR="008D11A8" w:rsidRPr="00EC5244" w:rsidRDefault="00F40C5C" w:rsidP="00550394">
      <w:pPr>
        <w:pStyle w:val="TAMainText"/>
        <w:ind w:firstLine="0"/>
        <w:rPr>
          <w:lang w:val="en-CA"/>
        </w:rPr>
      </w:pPr>
      <w:r w:rsidRPr="00EC5244">
        <w:rPr>
          <w:lang w:val="en-CA"/>
        </w:rPr>
        <w:t>Against the long-standing confusion on the origin of hydrotropy, rigorous statistical thermodynamics</w:t>
      </w:r>
      <w:r w:rsidR="00D80986" w:rsidRPr="00EC5244">
        <w:rPr>
          <w:lang w:val="en-GB"/>
        </w:rPr>
        <w:t>,</w:t>
      </w:r>
      <w:r w:rsidRPr="00EC5244">
        <w:rPr>
          <w:lang w:val="en-CA"/>
        </w:rPr>
        <w:t xml:space="preserve"> based on the KB theory</w:t>
      </w:r>
      <w:r w:rsidR="00F26E46" w:rsidRPr="00EC5244">
        <w:rPr>
          <w:lang w:val="en-CA"/>
        </w:rPr>
        <w:t xml:space="preserve"> of solutions</w:t>
      </w:r>
      <w:r w:rsidRPr="00EC5244">
        <w:rPr>
          <w:lang w:val="en-CA"/>
        </w:rPr>
        <w:t xml:space="preserve">, has brought clarity for the first time in elucidating how hydrotropes increase the solubility of solutes in </w:t>
      </w:r>
      <w:r w:rsidR="00D80986" w:rsidRPr="00EC5244">
        <w:rPr>
          <w:lang w:val="en-CA"/>
        </w:rPr>
        <w:t>aqueous solutions for some classes of hydrotropes.</w:t>
      </w:r>
      <w:r w:rsidR="008F64C5" w:rsidRPr="00EC5244">
        <w:rPr>
          <w:lang w:val="en-CA"/>
        </w:rPr>
        <w:fldChar w:fldCharType="begin" w:fldLock="1"/>
      </w:r>
      <w:r w:rsidR="008F64C5" w:rsidRPr="00EC5244">
        <w:rPr>
          <w:lang w:val="en-CA"/>
        </w:rPr>
        <w:instrText>ADDIN CSL_CITATION { "citationItems" : [ { "id" : "ITEM-1", "itemData" : { "DOI" : "10.1021/jp309819r", "ISBN" : "1520-6106", "ISSN" : "15205207", "PMID" : "23236952", "abstract" : "Drugs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 "author" : [ { "dropping-particle" : "", "family" : "Booth", "given" : "Jonathan J.", "non-dropping-particle" : "", "parse-names" : false, "suffix" : "" }, { "dropping-particle" : "", "family" : "Abbott", "given" : "Steven", "non-dropping-particle" : "", "parse-names" : false, "suffix" : "" }, { "dropping-particle" : "", "family" : "Shimizu", "given" : "Seishi", "non-dropping-particle" : "", "parse-names" : false, "suffix" : "" } ], "container-title" : "Journal of Physical Chemistry B", "id" : "ITEM-1", "issue" : "51", "issued" : { "date-parts" : [ [ "2012" ] ] }, "page" : "14915-14921", "title" : "Mechanism of hydrophobic drug solubilization by small molecule hydrotropes", "type" : "article-journal", "volume" : "116" }, "uris" : [ "http://www.mendeley.com/documents/?uuid=33c3cbc9-707a-4097-91a4-e91008bc3dd6" ] }, { "id" : "ITEM-2",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"ITEM-2", "issue" : "47", "issued" : { "date-parts" : [ [ "2013" ] ] }, "page" : "20625-20632", "title" : "Hydrotropy: binding models vs. statistical thermodynamics.", "type" : "article-journal", "volume" : "15" }, "uris" : [ "http://www.mendeley.com/documents/?uuid=d239f09f-553e-48eb-882f-c22d5aa8ac8c" ] }, { "id" : "ITEM-3",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"35", "issued" : { "date-parts" : [ [ "2014" ] ] }, "page" : "10515-10524", "title" : "Hydrotropy: Monomer-micelle equilibrium and minimum hydrotrope concentration", "type" : "article-journal", "volume" : "118" }, "uris" : [ "http://www.mendeley.com/documents/?uuid=0cd1508f-d197-4e8d-a474-504cfaeae922" ] }, { "id" : "ITEM-4", "itemData" : { "DOI" : "10.1039/C4CP05414H", "ISBN" : "1463-9084", "ISSN" : "1463-9076", "abstract" : "Nicotinamide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 "author" : [ { "dropping-particle" : "", "family" : "Booth", "given" : "Jonathan J", "non-dropping-particle" : "", "parse-names" : false, "suffix" : "" }, { "dropping-particle" : "", "family" : "Omar", "given" : "Muhiadin", "non-dropping-particle" : "", "parse-names" : false, "suffix" : "" }, { "dropping-particle" : "", "family" : "Abbott", "given" : "Steven", "non-dropping-particle" : "", "parse-names" : false, "suffix" : "" }, { "dropping-particle" : "", "family" : "Shimizu", "given" : "Seishi", "non-dropping-particle" : "", "parse-names" : false, "suffix" : "" } ], "container-title" : "Phys Chem Chem Phys", "id" : "ITEM-4", "issue" : "12", "issued" : { "date-parts" : [ [ "2015" ] ] }, "page" : "8028-8037", "publisher" : "Royal Society of Chemistry", "title" : "Hydrotrope accumulation around the drug: the driving force for solubilization and minimum hydrotrope concentration for nicotinamide and urea", "type" : "article-journal", "volume" : "17" }, "uris" : [ "http://www.mendeley.com/documents/?uuid=5c6e1dca-c577-4d43-8836-d1f313635128" ] }, { "id" : "ITEM-5", "itemData" : { "DOI" : "10.1039/C6CP04823D", "ISSN" : "1463-9076", "author" : [ { "dropping-particle" : "", "family" : "Shimizu", "given" : "Seishi", "non-dropping-particle" : "", "parse-names" : false, "suffix" : "" }, { "dropping-particle" : "", "family" : "Matubayasi", "given" : "Nobuyuki", "non-dropping-particle" : "", "parse-names" : false, "suffix" : "" } ], "container-title" : "Phys. Chem. Chem. Phys.", "id" : "ITEM-5", "issue" : "36", "issued" : { "date-parts" : [ [ "2016" ] ] }, "page" : "25621-25628", "publisher" : "Royal Society of Chemistry", "title" : "The origin of cooperative solubilisation by hydrotropes", "type" : "article-journal", "volume" : "18" }, "uris" : [ "http://www.mendeley.com/documents/?uuid=dcc5121c-094a-4702-bc34-1086a5612e68" ] }, { "id" : "ITEM-6", "itemData" : { "DOI" : "10.1039/C6GC03002E", "ISBN" : "1463-9262 1463-9270", "ISSN" : "1463-9262", "author" : [ { "dropping-particle" : "", "family" : "Abbott", "given" : "Steven", "non-dropping-particle" : "", "parse-names" : false, "suffix" : "" }, { "dropping-particle" : "", "family" : "Booth", "given" : "Jonathan J.", "non-dropping-particle" : "", "parse-names" : false, "suffix" : "" }, { "dropping-particle" : "", "family" : "Shimizu", "given" : "Seishi", "non-dropping-particle" : "", "parse-names" : false, "suffix" : "" } ], "container-title" : "Green Chem.", "id" : "ITEM-6", "issued" : { "date-parts" : [ [ "2017" ] ] }, "page" : "68-75", "publisher" : "Royal Society of Chemistry", "title" : "Practical molecular thermodynamics for greener solution chemistry", "type" : "article-journal", "volume" : "19" }, "uris" : [ "http://www.mendeley.com/documents/?uuid=38793dd8-a3eb-4655-8aa4-d9f4d4b3778b" ] } ], "mendeley" : { "formattedCitation" : "&lt;sup&gt;8\u201313&lt;/sup&gt;", "plainTextFormattedCitation" : "8\u201313", "previouslyFormattedCitation" : "&lt;sup&gt;8\u201313&lt;/sup&gt;" }, "properties" : { "noteIndex" : 0 }, "schema" : "https://github.com/citation-style-language/schema/raw/master/csl-citation.json" }</w:instrText>
      </w:r>
      <w:r w:rsidR="008F64C5" w:rsidRPr="00EC5244">
        <w:rPr>
          <w:lang w:val="en-CA"/>
        </w:rPr>
        <w:fldChar w:fldCharType="separate"/>
      </w:r>
      <w:r w:rsidR="008F64C5" w:rsidRPr="00EC5244">
        <w:rPr>
          <w:noProof/>
          <w:vertAlign w:val="superscript"/>
          <w:lang w:val="en-CA"/>
        </w:rPr>
        <w:t>8–13</w:t>
      </w:r>
      <w:r w:rsidR="008F64C5" w:rsidRPr="00EC5244">
        <w:rPr>
          <w:lang w:val="en-CA"/>
        </w:rPr>
        <w:fldChar w:fldCharType="end"/>
      </w:r>
      <w:r w:rsidR="00D80986" w:rsidRPr="00EC5244">
        <w:rPr>
          <w:lang w:val="en-CA"/>
        </w:rPr>
        <w:t xml:space="preserve"> </w:t>
      </w:r>
      <w:r w:rsidR="00F26E46" w:rsidRPr="00EC5244">
        <w:rPr>
          <w:lang w:val="en-CA"/>
        </w:rPr>
        <w:t xml:space="preserve">However, a </w:t>
      </w:r>
      <w:r w:rsidR="008D11A8" w:rsidRPr="00EC5244">
        <w:rPr>
          <w:lang w:val="en-CA"/>
        </w:rPr>
        <w:t>great variety in the ty</w:t>
      </w:r>
      <w:r w:rsidR="00F26E46" w:rsidRPr="00EC5244">
        <w:rPr>
          <w:lang w:val="en-CA"/>
        </w:rPr>
        <w:t xml:space="preserve">pes of molecules </w:t>
      </w:r>
      <w:r w:rsidR="008D11A8" w:rsidRPr="00EC5244">
        <w:rPr>
          <w:lang w:val="en-CA"/>
        </w:rPr>
        <w:t>encompassed under the aegis of “hydrotropes” has posed a major hindrance towards the establishment of the general theory.</w:t>
      </w:r>
      <w:r w:rsidR="008F64C5" w:rsidRPr="00EC5244">
        <w:rPr>
          <w:lang w:val="en-CA"/>
        </w:rPr>
        <w:fldChar w:fldCharType="begin" w:fldLock="1"/>
      </w:r>
      <w:r w:rsidR="008F64C5" w:rsidRPr="00EC5244">
        <w:rPr>
          <w:lang w:val="en-CA"/>
        </w:rPr>
        <w:instrText>ADDIN CSL_CITATION { "citationItems" : [ { "id" : "ITEM-1", "itemData" : { "DOI" : "10.1021/jp309819r", "ISBN" : "1520-6106", "ISSN" : "15205207", "PMID" : "23236952", "abstract" : "Drugs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 "author" : [ { "dropping-particle" : "", "family" : "Booth", "given" : "Jonathan J.", "non-dropping-particle" : "", "parse-names" : false, "suffix" : "" }, { "dropping-particle" : "", "family" : "Abbott", "given" : "Steven", "non-dropping-particle" : "", "parse-names" : false, "suffix" : "" }, { "dropping-particle" : "", "family" : "Shimizu", "given" : "Seishi", "non-dropping-particle" : "", "parse-names" : false, "suffix" : "" } ], "container-title" : "Journal of Physical Chemistry B", "id" : "ITEM-1", "issue" : "51", "issued" : { "date-parts" : [ [ "2012" ] ] }, "page" : "14915-14921", "title" : "Mechanism of hydrophobic drug solubilization by small molecule hydrotropes", "type" : "article-journal", "volume" : "116" }, "uris" : [ "http://www.mendeley.com/documents/?uuid=33c3cbc9-707a-4097-91a4-e91008bc3dd6" ] } ], "mendeley" : { "formattedCitation" : "&lt;sup&gt;8&lt;/sup&gt;", "plainTextFormattedCitation" : "8", "previouslyFormattedCitation" : "&lt;sup&gt;8&lt;/sup&gt;" }, "properties" : { "noteIndex" : 0 }, "schema" : "https://github.com/citation-style-language/schema/raw/master/csl-citation.json" }</w:instrText>
      </w:r>
      <w:r w:rsidR="008F64C5" w:rsidRPr="00EC5244">
        <w:rPr>
          <w:lang w:val="en-CA"/>
        </w:rPr>
        <w:fldChar w:fldCharType="separate"/>
      </w:r>
      <w:r w:rsidR="008F64C5" w:rsidRPr="00EC5244">
        <w:rPr>
          <w:noProof/>
          <w:vertAlign w:val="superscript"/>
          <w:lang w:val="en-CA"/>
        </w:rPr>
        <w:t>8</w:t>
      </w:r>
      <w:r w:rsidR="008F64C5" w:rsidRPr="00EC5244">
        <w:rPr>
          <w:lang w:val="en-CA"/>
        </w:rPr>
        <w:fldChar w:fldCharType="end"/>
      </w:r>
      <w:r w:rsidR="008D11A8" w:rsidRPr="00EC5244">
        <w:rPr>
          <w:lang w:val="en-CA"/>
        </w:rPr>
        <w:t xml:space="preserve"> </w:t>
      </w:r>
    </w:p>
    <w:p w14:paraId="771191E7" w14:textId="77777777" w:rsidR="008D11A8" w:rsidRPr="00EC5244" w:rsidRDefault="008D11A8" w:rsidP="00550394">
      <w:pPr>
        <w:pStyle w:val="TAMainText"/>
        <w:ind w:firstLine="0"/>
        <w:rPr>
          <w:lang w:val="en-CA"/>
        </w:rPr>
      </w:pPr>
    </w:p>
    <w:p w14:paraId="0062E06B" w14:textId="24A37BBF" w:rsidR="002F7F91" w:rsidRPr="00EC5244" w:rsidRDefault="00F26E46" w:rsidP="00AA1481">
      <w:pPr>
        <w:pStyle w:val="TAMainText"/>
        <w:rPr>
          <w:lang w:val="en-CA"/>
        </w:rPr>
      </w:pPr>
      <w:r w:rsidRPr="00EC5244">
        <w:rPr>
          <w:lang w:val="en-CA"/>
        </w:rPr>
        <w:t>Such a hindrance, however, has</w:t>
      </w:r>
      <w:r w:rsidR="008D11A8" w:rsidRPr="00EC5244">
        <w:rPr>
          <w:lang w:val="en-CA"/>
        </w:rPr>
        <w:t xml:space="preserve"> be</w:t>
      </w:r>
      <w:r w:rsidRPr="00EC5244">
        <w:rPr>
          <w:lang w:val="en-CA"/>
        </w:rPr>
        <w:t xml:space="preserve">en overcome. The aim of this </w:t>
      </w:r>
      <w:r w:rsidRPr="00EC5244">
        <w:rPr>
          <w:i/>
          <w:lang w:val="en-CA"/>
        </w:rPr>
        <w:t>Perspective</w:t>
      </w:r>
      <w:r w:rsidRPr="00EC5244">
        <w:rPr>
          <w:lang w:val="en-CA"/>
        </w:rPr>
        <w:t xml:space="preserve"> article was to show that a truly general theory of hydrotropy requires the Gibbs phase rule as the foundation.</w:t>
      </w:r>
      <w:r w:rsidR="008F64C5" w:rsidRPr="00EC5244">
        <w:rPr>
          <w:lang w:val="en-CA"/>
        </w:rPr>
        <w:fldChar w:fldCharType="begin" w:fldLock="1"/>
      </w:r>
      <w:r w:rsidR="00BB4DD1" w:rsidRPr="00EC5244">
        <w:rPr>
          <w:lang w:val="en-CA"/>
        </w:rPr>
        <w:instrText>ADDIN CSL_CITATION { "citationItems" : [ { "id" : "ITEM-1",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"14", "issued" : { "date-parts" : [ [ "2014" ] ] }, "page" : "3922-3930", "title" : "Preferential solvation: Dividing surface vs excess numbers", "type" : "article-journal", "volume" : "118" }, "uris" : [ "http://www.mendeley.com/documents/?uuid=896fec6b-354e-41cd-a8de-55bd371a22f5" ] }, { "id" : "ITEM-2", "itemData" : { "DOI" : "10.1016/j.bpc.2017.02.003", "ISSN" : "03014622", "author" : [ { "dropping-particle" : "", "family" : "Shimizu", "given" : "Seishi", "non-dropping-particle" : "", "parse-names" : false, "suffix" : "" }, { "dropping-particle" : "", "family" : "Matubayasi", "given" : "Nobuyuki", "non-dropping-particle" : "", "parse-names" : false, "suffix" : "" } ], "container-title" : "Biophysical Chemistry", "id" : "ITEM-2", "issued" : { "date-parts" : [ [ "2017" ] ] }, "page" : "DOI: 10.1016/j.bpc.2017.02.003", "publisher" : "Elsevier B.V.", "title" : "Osmolyte depletion viewed in terms of the dividing membrane and its work of expansion against osmotic pressure", "type" : "article-journal" }, "uris" : [ "http://www.mendeley.com/documents/?uuid=b0be0468-93f2-4f18-8f9a-a660a03d9df3" ] } ], "mendeley" : { "formattedCitation" : "&lt;sup&gt;27,33&lt;/sup&gt;", "plainTextFormattedCitation" : "27,33", "previouslyFormattedCitation" : "&lt;sup&gt;27,33&lt;/sup&gt;" }, "properties" : { "noteIndex" : 0 }, "schema" : "https://github.com/citation-style-language/schema/raw/master/csl-citation.json" }</w:instrText>
      </w:r>
      <w:r w:rsidR="008F64C5" w:rsidRPr="00EC5244">
        <w:rPr>
          <w:lang w:val="en-CA"/>
        </w:rPr>
        <w:fldChar w:fldCharType="separate"/>
      </w:r>
      <w:r w:rsidR="0039109D" w:rsidRPr="00EC5244">
        <w:rPr>
          <w:noProof/>
          <w:vertAlign w:val="superscript"/>
          <w:lang w:val="en-CA"/>
        </w:rPr>
        <w:t>27,33</w:t>
      </w:r>
      <w:r w:rsidR="008F64C5" w:rsidRPr="00EC5244">
        <w:rPr>
          <w:lang w:val="en-CA"/>
        </w:rPr>
        <w:fldChar w:fldCharType="end"/>
      </w:r>
      <w:r w:rsidRPr="00EC5244">
        <w:rPr>
          <w:lang w:val="en-CA"/>
        </w:rPr>
        <w:t xml:space="preserve"> T</w:t>
      </w:r>
      <w:r w:rsidR="008D11A8" w:rsidRPr="00EC5244">
        <w:rPr>
          <w:lang w:val="en-CA"/>
        </w:rPr>
        <w:t xml:space="preserve">he </w:t>
      </w:r>
      <w:r w:rsidR="008D11A8" w:rsidRPr="00EC5244">
        <w:rPr>
          <w:i/>
          <w:lang w:val="en-CA"/>
        </w:rPr>
        <w:t>apparent</w:t>
      </w:r>
      <w:r w:rsidR="008D11A8" w:rsidRPr="00EC5244">
        <w:rPr>
          <w:lang w:val="en-CA"/>
        </w:rPr>
        <w:t xml:space="preserve"> variety of the hydrotropic mechanisms has been shown to arise from the difference in the number of degrees of freedom, classifiable by the Gibbs phase rule. This has clarified the difference between single phase, micellar and biph</w:t>
      </w:r>
      <w:r w:rsidR="002F7F91" w:rsidRPr="00EC5244">
        <w:rPr>
          <w:lang w:val="en-CA"/>
        </w:rPr>
        <w:t>asic solubilization mechanisms, and have paved a way towards rationalizing how hydrotropes and their mixtures with mesoscale structuring work to solubilize solutes.</w:t>
      </w:r>
      <w:r w:rsidR="00AA1481" w:rsidRPr="00EC5244">
        <w:rPr>
          <w:lang w:val="en-CA"/>
        </w:rPr>
        <w:t xml:space="preserve"> The classical notion of the micelle-water partition constant has been generalized to incorporate the variety of locations within and around the micelle that the solute can be found.</w:t>
      </w:r>
      <w:r w:rsidR="00A25E1F" w:rsidRPr="00EC5244">
        <w:rPr>
          <w:lang w:val="en-CA"/>
        </w:rPr>
        <w:fldChar w:fldCharType="begin" w:fldLock="1"/>
      </w:r>
      <w:r w:rsidR="00E37E5E" w:rsidRPr="00EC5244">
        <w:rPr>
          <w:lang w:val="en-CA"/>
        </w:rPr>
        <w:instrText>ADDIN CSL_CITATION { "citationItems" : [ { "id" : "ITEM-1", "itemData" : { "DOI" : "10.1063/1.2186324", "ISSN" : "0021-9606", "author" : [ { "dropping-particle" : "", "family" : "Matubayasi", "given" : "Nobuyuki", "non-dropping-particle" : "", "parse-names" : false, "suffix" : "" }, { "dropping-particle" : "", "family" : "Liang", "given" : "Kuo Kan", "non-dropping-particle" : "", "parse-names" : false, "suffix" : "" }, { "dropping-particle" : "", "family" : "Nakahara", "given" : "Masaru", "non-dropping-particle" : "", "parse-names" : false, "suffix" : "" } ], "container-title" : "The Journal of Chemical Physics", "id" : "ITEM-1", "issue" : "15", "issued" : { "date-parts" : [ [ "2006", "4", "21" ] ] }, "page" : "154908", "title" : "Free-energy analysis of solubilization in micelle", "type" : "article-journal", "volume" : "124" }, "uris" : [ "http://www.mendeley.com/documents/?uuid=d1f0e9c1-c8cc-3891-ab25-bfeb8a83a8f0" ] } ], "mendeley" : { "formattedCitation" : "&lt;sup&gt;30&lt;/sup&gt;", "plainTextFormattedCitation" : "30", "previouslyFormattedCitation" : "&lt;sup&gt;30&lt;/sup&gt;" }, "properties" : { "noteIndex" : 0 }, "schema" : "https://github.com/citation-style-language/schema/raw/master/csl-citation.json" }</w:instrText>
      </w:r>
      <w:r w:rsidR="00A25E1F" w:rsidRPr="00EC5244">
        <w:rPr>
          <w:lang w:val="en-CA"/>
        </w:rPr>
        <w:fldChar w:fldCharType="separate"/>
      </w:r>
      <w:r w:rsidR="00A25E1F" w:rsidRPr="00EC5244">
        <w:rPr>
          <w:noProof/>
          <w:vertAlign w:val="superscript"/>
          <w:lang w:val="en-CA"/>
        </w:rPr>
        <w:t>30</w:t>
      </w:r>
      <w:r w:rsidR="00A25E1F" w:rsidRPr="00EC5244">
        <w:rPr>
          <w:lang w:val="en-CA"/>
        </w:rPr>
        <w:fldChar w:fldCharType="end"/>
      </w:r>
      <w:r w:rsidR="00AA1481" w:rsidRPr="00EC5244">
        <w:rPr>
          <w:lang w:val="en-CA"/>
        </w:rPr>
        <w:t xml:space="preserve"> The difference between the biphasic partition function and the solute-micelle partition function have been clarified from the Gibbs phase rule. </w:t>
      </w:r>
    </w:p>
    <w:p w14:paraId="641DB7C4" w14:textId="77777777" w:rsidR="002F7F91" w:rsidRPr="00EC5244" w:rsidRDefault="002F7F91" w:rsidP="00AA1481">
      <w:pPr>
        <w:pStyle w:val="TAMainText"/>
        <w:rPr>
          <w:lang w:val="en-CA"/>
        </w:rPr>
      </w:pPr>
    </w:p>
    <w:p w14:paraId="3BE5C43A" w14:textId="517D9A7D" w:rsidR="00AA1481" w:rsidRPr="00EC5244" w:rsidRDefault="002F7F91" w:rsidP="00AA1481">
      <w:pPr>
        <w:pStyle w:val="TAMainText"/>
        <w:rPr>
          <w:lang w:val="en-CA"/>
        </w:rPr>
      </w:pPr>
      <w:r w:rsidRPr="00EC5244">
        <w:rPr>
          <w:lang w:val="en-CA"/>
        </w:rPr>
        <w:t>T</w:t>
      </w:r>
      <w:r w:rsidR="00B77F33" w:rsidRPr="00EC5244">
        <w:rPr>
          <w:lang w:val="en-CA"/>
        </w:rPr>
        <w:t>he generalization of our</w:t>
      </w:r>
      <w:r w:rsidR="00814C17" w:rsidRPr="00EC5244">
        <w:rPr>
          <w:lang w:val="en-CA"/>
        </w:rPr>
        <w:t xml:space="preserve"> previous theory</w:t>
      </w:r>
      <w:r w:rsidR="00814C17" w:rsidRPr="00EC5244">
        <w:rPr>
          <w:lang w:val="en-CA"/>
        </w:rPr>
        <w:fldChar w:fldCharType="begin" w:fldLock="1"/>
      </w:r>
      <w:r w:rsidR="00D63CEF" w:rsidRPr="00EC5244">
        <w:rPr>
          <w:lang w:val="en-CA"/>
        </w:rPr>
        <w:instrText>ADDIN CSL_CITATION { "citationItems" : [ { "id" : "ITEM-1", "itemData" : { "DOI" : "10.1021/jp309819r", "ISBN" : "1520-6106", "ISSN" : "15205207", "PMID" : "23236952", "abstract" : "Drugs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 "author" : [ { "dropping-particle" : "", "family" : "Booth", "given" : "Jonathan J.", "non-dropping-particle" : "", "parse-names" : false, "suffix" : "" }, { "dropping-particle" : "", "family" : "Abbott", "given" : "Steven", "non-dropping-particle" : "", "parse-names" : false, "suffix" : "" }, { "dropping-particle" : "", "family" : "Shimizu", "given" : "Seishi", "non-dropping-particle" : "", "parse-names" : false, "suffix" : "" } ], "container-title" : "Journal of Physical Chemistry B", "id" : "ITEM-1", "issue" : "51", "issued" : { "date-parts" : [ [ "2012" ] ] }, "page" : "14915-14921", "title" : "Mechanism of hydrophobic drug solubilization by small molecule hydrotropes", "type" : "article-journal", "volume" : "116" }, "uris" : [ "http://www.mendeley.com/documents/?uuid=33c3cbc9-707a-4097-91a4-e91008bc3dd6" ] }, { "id" : "ITEM-2", "itemData" : { "DOI" : "10.1039/c3cp53791a", "ISBN" : "1463-9076", "ISSN" : "1463-9084", "PMID" : "24189644", "abstract" : "Hydrophobic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 "author" : [ { "dropping-particle" : "", "family" : "Shimizu", "given" : "Seishi", "non-dropping-particle" : "", "parse-names" : false, "suffix" : "" }, { "dropping-particle" : "", "family" : "Booth", "given" : "Jonathan J", "non-dropping-particle" : "", "parse-names" : false, "suffix" : "" }, { "dropping-particle" : "", "family" : "Abbott", "given" : "Steven", "non-dropping-particle" : "", "parse-names" : false, "suffix" : "" } ], "container-title" : "Physical chemistry chemical physics : PCCP", "id" : "ITEM-2", "issue" : "47", "issued" : { "date-parts" : [ [ "2013" ] ] }, "page" : "20625-20632", "title" : "Hydrotropy: binding models vs. statistical thermodynamics.", "type" : "article-journal", "volume" : "15" }, "uris" : [ "http://www.mendeley.com/documents/?uuid=d239f09f-553e-48eb-882f-c22d5aa8ac8c" ] }, { "id" : "ITEM-3",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"35", "issued" : { "date-parts" : [ [ "2014" ] ] }, "page" : "10515-10524", "title" : "Hydrotropy: Monomer-micelle equilibrium and minimum hydrotrope concentration", "type" : "article-journal", "volume" : "118" }, "uris" : [ "http://www.mendeley.com/documents/?uuid=0cd1508f-d197-4e8d-a474-504cfaeae922" ] }, { "id" : "ITEM-4", "itemData" : { "DOI" : "10.1039/C4CP05414H", "ISBN" : "1463-9084", "ISSN" : "1463-9076", "abstract" : "Nicotinamide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 "author" : [ { "dropping-particle" : "", "family" : "Booth", "given" : "Jonathan J", "non-dropping-particle" : "", "parse-names" : false, "suffix" : "" }, { "dropping-particle" : "", "family" : "Omar", "given" : "Muhiadin", "non-dropping-particle" : "", "parse-names" : false, "suffix" : "" }, { "dropping-particle" : "", "family" : "Abbott", "given" : "Steven", "non-dropping-particle" : "", "parse-names" : false, "suffix" : "" }, { "dropping-particle" : "", "family" : "Shimizu", "given" : "Seishi", "non-dropping-particle" : "", "parse-names" : false, "suffix" : "" } ], "container-title" : "Phys Chem Chem Phys", "id" : "ITEM-4", "issue" : "12", "issued" : { "date-parts" : [ [ "2015" ] ] }, "page" : "8028-8037", "publisher" : "Royal Society of Chemistry", "title" : "Hydrotrope accumulation around the drug: the driving force for solubilization and minimum hydrotrope concentration for nicotinamide and urea", "type" : "article-journal", "volume" : "17" }, "uris" : [ "http://www.mendeley.com/documents/?uuid=5c6e1dca-c577-4d43-8836-d1f313635128" ] }, { "id" : "ITEM-5", "itemData" : { "DOI" : "10.1039/C6CP04823D", "ISSN" : "1463-9076", "author" : [ { "dropping-particle" : "", "family" : "Shimizu", "given" : "Seishi", "non-dropping-particle" : "", "parse-names" : false, "suffix" : "" }, { "dropping-particle" : "", "family" : "Matubayasi", "given" : "Nobuyuki", "non-dropping-particle" : "", "parse-names" : false, "suffix" : "" } ], "container-title" : "Phys. Chem. Chem. Phys.", "id" : "ITEM-5", "issue" : "36", "issued" : { "date-parts" : [ [ "2016" ] ] }, "page" : "25621-25628", "publisher" : "Royal Society of Chemistry", "title" : "The origin of cooperative solubilisation by hydrotropes", "type" : "article-journal", "volume" : "18" }, "uris" : [ "http://www.mendeley.com/documents/?uuid=dcc5121c-094a-4702-bc34-1086a5612e68" ] }, { "id" : "ITEM-6", "itemData" : { "DOI" : "10.1039/C6GC03002E", "ISBN" : "1463-9262 1463-9270", "ISSN" : "1463-9262", "author" : [ { "dropping-particle" : "", "family" : "Abbott", "given" : "Steven", "non-dropping-particle" : "", "parse-names" : false, "suffix" : "" }, { "dropping-particle" : "", "family" : "Booth", "given" : "Jonathan J.", "non-dropping-particle" : "", "parse-names" : false, "suffix" : "" }, { "dropping-particle" : "", "family" : "Shimizu", "given" : "Seishi", "non-dropping-particle" : "", "parse-names" : false, "suffix" : "" } ], "container-title" : "Green Chem.", "id" : "ITEM-6", "issued" : { "date-parts" : [ [ "2017" ] ] }, "page" : "68-75", "publisher" : "Royal Society of Chemistry", "title" : "Practical molecular thermodynamics for greener solution chemistry", "type" : "article-journal", "volume" : "19" }, "uris" : [ "http://www.mendeley.com/documents/?uuid=38793dd8-a3eb-4655-8aa4-d9f4d4b3778b" ] } ], "mendeley" : { "formattedCitation" : "&lt;sup&gt;8\u201313&lt;/sup&gt;", "plainTextFormattedCitation" : "8\u201313", "previouslyFormattedCitation" : "&lt;sup&gt;8\u201313&lt;/sup&gt;" }, "properties" : { "noteIndex" : 0 }, "schema" : "https://github.com/citation-style-language/schema/raw/master/csl-citation.json" }</w:instrText>
      </w:r>
      <w:r w:rsidR="00814C17" w:rsidRPr="00EC5244">
        <w:rPr>
          <w:lang w:val="en-CA"/>
        </w:rPr>
        <w:fldChar w:fldCharType="separate"/>
      </w:r>
      <w:r w:rsidR="00814C17" w:rsidRPr="00EC5244">
        <w:rPr>
          <w:noProof/>
          <w:vertAlign w:val="superscript"/>
          <w:lang w:val="en-CA"/>
        </w:rPr>
        <w:t>8–13</w:t>
      </w:r>
      <w:r w:rsidR="00814C17" w:rsidRPr="00EC5244">
        <w:rPr>
          <w:lang w:val="en-CA"/>
        </w:rPr>
        <w:fldChar w:fldCharType="end"/>
      </w:r>
      <w:r w:rsidR="00814C17" w:rsidRPr="00EC5244">
        <w:rPr>
          <w:lang w:val="en-CA"/>
        </w:rPr>
        <w:t xml:space="preserve"> to </w:t>
      </w:r>
      <w:r w:rsidR="00B77F33" w:rsidRPr="00EC5244">
        <w:rPr>
          <w:lang w:val="en-CA"/>
        </w:rPr>
        <w:t>concentrated solut</w:t>
      </w:r>
      <w:r w:rsidRPr="00EC5244">
        <w:rPr>
          <w:lang w:val="en-CA"/>
        </w:rPr>
        <w:t>es in multiple component mixtures has revealed that the universal</w:t>
      </w:r>
      <w:r w:rsidR="00B77F33" w:rsidRPr="00EC5244">
        <w:rPr>
          <w:lang w:val="en-CA"/>
        </w:rPr>
        <w:t xml:space="preserve"> mechan</w:t>
      </w:r>
      <w:r w:rsidRPr="00EC5244">
        <w:rPr>
          <w:lang w:val="en-CA"/>
        </w:rPr>
        <w:t>ism of hydrotropy is at work; solubilization is driven by a strong solute-hydrotrope</w:t>
      </w:r>
      <w:r w:rsidR="00C03951" w:rsidRPr="00EC5244">
        <w:rPr>
          <w:lang w:val="en-CA"/>
        </w:rPr>
        <w:t xml:space="preserve"> </w:t>
      </w:r>
      <w:r w:rsidRPr="00EC5244">
        <w:rPr>
          <w:lang w:val="en-CA"/>
        </w:rPr>
        <w:t>interaction</w:t>
      </w:r>
      <w:r w:rsidR="00102DCF" w:rsidRPr="00EC5244">
        <w:rPr>
          <w:lang w:val="en-CA"/>
        </w:rPr>
        <w:t xml:space="preserve"> with attractive potential of mean force</w:t>
      </w:r>
      <w:r w:rsidRPr="00EC5244">
        <w:rPr>
          <w:lang w:val="en-CA"/>
        </w:rPr>
        <w:t>, which more than overcomes the attenuation by hydrotrope self-aggregation.</w:t>
      </w:r>
      <w:r w:rsidR="00B77F33" w:rsidRPr="00EC5244">
        <w:rPr>
          <w:lang w:val="en-CA"/>
        </w:rPr>
        <w:t xml:space="preserve"> </w:t>
      </w:r>
      <w:r w:rsidRPr="00EC5244">
        <w:rPr>
          <w:lang w:val="en-CA"/>
        </w:rPr>
        <w:t xml:space="preserve">This general theory is applicable even to hydrotropes that exhibit mesoscale pre-structuring.  </w:t>
      </w:r>
    </w:p>
    <w:p w14:paraId="49028B8B" w14:textId="00E27D61" w:rsidR="006743F8" w:rsidRPr="00EC5244" w:rsidRDefault="006743F8" w:rsidP="00AA1481">
      <w:pPr>
        <w:pStyle w:val="TAMainText"/>
        <w:rPr>
          <w:lang w:val="en-CA"/>
        </w:rPr>
      </w:pPr>
    </w:p>
    <w:p w14:paraId="7BC420CD" w14:textId="132DFCA7" w:rsidR="006743F8" w:rsidRPr="00EC5244" w:rsidRDefault="006743F8" w:rsidP="006743F8">
      <w:pPr>
        <w:pStyle w:val="TAMainText"/>
        <w:rPr>
          <w:lang w:val="en-CA"/>
        </w:rPr>
      </w:pPr>
      <w:r w:rsidRPr="00EC5244">
        <w:rPr>
          <w:lang w:val="en-CA"/>
        </w:rPr>
        <w:t xml:space="preserve">To summarise, so far as the structuring within the solution phase does not reach the macroscopic scale, the basic driving forces of hydrotropic solubilization can be quantified via KBIs regardless of solute concentration or number of components. The Gibbs phase rule has always been the foundation which determines the number of independent KBIs determinable in principle. </w:t>
      </w:r>
    </w:p>
    <w:p w14:paraId="0BF09A54" w14:textId="77777777" w:rsidR="006743F8" w:rsidRPr="00EC5244" w:rsidRDefault="006743F8" w:rsidP="00AA1481">
      <w:pPr>
        <w:pStyle w:val="TAMainText"/>
        <w:rPr>
          <w:lang w:val="en-CA"/>
        </w:rPr>
      </w:pPr>
    </w:p>
    <w:p w14:paraId="2852667E" w14:textId="77777777" w:rsidR="00F40C5C" w:rsidRPr="00EC5244" w:rsidRDefault="00F40C5C" w:rsidP="00550394">
      <w:pPr>
        <w:pStyle w:val="TAMainText"/>
        <w:ind w:firstLine="0"/>
        <w:rPr>
          <w:lang w:val="en-CA" w:eastAsia="ja-JP"/>
        </w:rPr>
      </w:pPr>
    </w:p>
    <w:p w14:paraId="0FFF8A84" w14:textId="00B90541" w:rsidR="00FD6CBE" w:rsidRPr="00EC5244" w:rsidRDefault="006441DE" w:rsidP="00865534">
      <w:pPr>
        <w:shd w:val="clear" w:color="auto" w:fill="FFFFFF"/>
        <w:spacing w:after="0" w:line="480" w:lineRule="auto"/>
        <w:rPr>
          <w:rFonts w:ascii="Times New Roman" w:eastAsia="MS Mincho" w:hAnsi="Times New Roman"/>
          <w:b/>
          <w:szCs w:val="24"/>
          <w:lang w:val="en-CA"/>
        </w:rPr>
      </w:pPr>
      <w:r w:rsidRPr="00EC5244">
        <w:rPr>
          <w:rFonts w:ascii="Times New Roman" w:eastAsia="MS Mincho" w:hAnsi="Times New Roman"/>
          <w:b/>
          <w:szCs w:val="24"/>
          <w:lang w:val="en-CA"/>
        </w:rPr>
        <w:t xml:space="preserve">Acknowledgements </w:t>
      </w:r>
    </w:p>
    <w:p w14:paraId="42BD535E" w14:textId="23F74FFB" w:rsidR="00EA168C" w:rsidRPr="00EC5244" w:rsidRDefault="00E75141" w:rsidP="00EA168C">
      <w:pPr>
        <w:spacing w:line="480" w:lineRule="auto"/>
        <w:rPr>
          <w:rFonts w:eastAsia="MS Mincho" w:cs="Times"/>
          <w:lang w:val="en-CA"/>
        </w:rPr>
      </w:pPr>
      <w:r w:rsidRPr="00EC5244">
        <w:rPr>
          <w:rFonts w:eastAsia="MS Mincho" w:cs="Times"/>
          <w:lang w:val="en-CA"/>
        </w:rPr>
        <w:t>We are deeply grateful to</w:t>
      </w:r>
      <w:r w:rsidR="0035121D" w:rsidRPr="00EC5244">
        <w:rPr>
          <w:rFonts w:eastAsia="MS Mincho" w:cs="Times"/>
          <w:lang w:val="en-CA"/>
        </w:rPr>
        <w:t xml:space="preserve"> Steven Abbott for his </w:t>
      </w:r>
      <w:r w:rsidR="00A25E1F" w:rsidRPr="00EC5244">
        <w:rPr>
          <w:rFonts w:eastAsia="MS Mincho" w:cs="Times"/>
          <w:lang w:val="en-CA"/>
        </w:rPr>
        <w:t xml:space="preserve">generous help in </w:t>
      </w:r>
      <w:r w:rsidR="0035121D" w:rsidRPr="00EC5244">
        <w:rPr>
          <w:rFonts w:eastAsia="MS Mincho" w:cs="Times"/>
          <w:lang w:val="en-CA"/>
        </w:rPr>
        <w:t xml:space="preserve">careful and critical reading of the manuscript. </w:t>
      </w:r>
      <w:r w:rsidR="00615B5C" w:rsidRPr="00EC5244">
        <w:rPr>
          <w:rFonts w:eastAsia="MS Mincho" w:cs="Times"/>
          <w:lang w:val="en-CA"/>
        </w:rPr>
        <w:t xml:space="preserve">We also thank Jonny Booth and Josh Reid for useful comments. </w:t>
      </w:r>
      <w:r w:rsidR="005C624F" w:rsidRPr="00EC5244">
        <w:rPr>
          <w:rFonts w:eastAsia="MS Mincho" w:cs="Times"/>
          <w:lang w:val="en-CA"/>
        </w:rPr>
        <w:t>Th</w:t>
      </w:r>
      <w:r w:rsidR="00C322FD" w:rsidRPr="00EC5244">
        <w:rPr>
          <w:rFonts w:eastAsia="MS Mincho" w:cs="Times"/>
          <w:lang w:val="en-CA"/>
        </w:rPr>
        <w:t>is work was</w:t>
      </w:r>
      <w:r w:rsidR="005C624F" w:rsidRPr="00EC5244">
        <w:rPr>
          <w:rFonts w:eastAsia="MS Mincho" w:cs="Times"/>
          <w:lang w:val="en-CA"/>
        </w:rPr>
        <w:t xml:space="preserve"> supported by the </w:t>
      </w:r>
      <w:r w:rsidR="001B4CC2" w:rsidRPr="00EC5244">
        <w:rPr>
          <w:rFonts w:eastAsia="MS Mincho" w:cs="Times"/>
          <w:lang w:val="en-CA"/>
        </w:rPr>
        <w:t xml:space="preserve">Gen Foundation, by the </w:t>
      </w:r>
      <w:r w:rsidR="005C624F" w:rsidRPr="00EC5244">
        <w:rPr>
          <w:rFonts w:eastAsia="MS Mincho" w:cs="Times"/>
          <w:lang w:val="en-CA"/>
        </w:rPr>
        <w:t xml:space="preserve">Grants-in-Aid for Scientific Research (Nos. 15K13550 and </w:t>
      </w:r>
      <w:r w:rsidR="00682090" w:rsidRPr="00EC5244">
        <w:rPr>
          <w:rFonts w:eastAsia="MS Mincho" w:cs="Times"/>
          <w:lang w:val="en-CA"/>
        </w:rPr>
        <w:t>JP</w:t>
      </w:r>
      <w:r w:rsidR="005C624F" w:rsidRPr="00EC5244">
        <w:rPr>
          <w:rFonts w:eastAsia="MS Mincho" w:cs="Times"/>
          <w:lang w:val="en-CA"/>
        </w:rPr>
        <w:t>26240045) from the Japan Society for the Promotion of Science, by the Elements Strategy Initiative for Catalysts and Batteries and the Post-K Supercomputing Project from the Ministry of Education, Culture, Sports, Science, and Technology, and by the HPCI System Research Project (Project IDs:</w:t>
      </w:r>
      <w:r w:rsidR="00BB2140" w:rsidRPr="00EC5244">
        <w:t xml:space="preserve"> </w:t>
      </w:r>
      <w:r w:rsidR="00BB2140" w:rsidRPr="00EC5244">
        <w:rPr>
          <w:rFonts w:eastAsia="MS Mincho" w:cs="Times"/>
          <w:lang w:val="en-CA"/>
        </w:rPr>
        <w:t>hp170097 and hp170221</w:t>
      </w:r>
      <w:r w:rsidR="005C624F" w:rsidRPr="00EC5244">
        <w:rPr>
          <w:rFonts w:eastAsia="MS Mincho" w:cs="Times"/>
          <w:lang w:val="en-CA"/>
        </w:rPr>
        <w:t>)</w:t>
      </w:r>
      <w:r w:rsidR="00EA168C" w:rsidRPr="00EC5244">
        <w:rPr>
          <w:rFonts w:eastAsia="MS Mincho" w:cs="Times"/>
          <w:lang w:val="en-CA"/>
        </w:rPr>
        <w:t xml:space="preserve">. </w:t>
      </w:r>
    </w:p>
    <w:p w14:paraId="6CA81955" w14:textId="77777777" w:rsidR="00B52DB8" w:rsidRPr="00EC5244" w:rsidRDefault="00B52DB8" w:rsidP="00B52DB8">
      <w:pPr>
        <w:pStyle w:val="TAMainText"/>
        <w:ind w:firstLine="0"/>
        <w:rPr>
          <w:rFonts w:cs="Times"/>
          <w:szCs w:val="24"/>
          <w:lang w:val="en-CA" w:eastAsia="ja-JP"/>
        </w:rPr>
      </w:pPr>
    </w:p>
    <w:p w14:paraId="5621044B" w14:textId="767E76FF" w:rsidR="00B52DB8" w:rsidRPr="00EC5244" w:rsidRDefault="00B52DB8" w:rsidP="00B52DB8">
      <w:pPr>
        <w:pStyle w:val="TAMainText"/>
        <w:ind w:firstLine="0"/>
        <w:rPr>
          <w:rFonts w:cs="Times"/>
          <w:b/>
          <w:szCs w:val="24"/>
          <w:lang w:val="en-CA" w:eastAsia="ja-JP"/>
        </w:rPr>
      </w:pPr>
      <w:r w:rsidRPr="00EC5244">
        <w:rPr>
          <w:rFonts w:cs="Times"/>
          <w:b/>
          <w:szCs w:val="24"/>
          <w:lang w:val="en-CA" w:eastAsia="ja-JP"/>
        </w:rPr>
        <w:t>References</w:t>
      </w:r>
    </w:p>
    <w:p w14:paraId="731DC975" w14:textId="7F796393" w:rsidR="00BB4DD1" w:rsidRPr="00EC5244" w:rsidRDefault="004722FE" w:rsidP="00BB4DD1">
      <w:pPr>
        <w:widowControl w:val="0"/>
        <w:autoSpaceDE w:val="0"/>
        <w:autoSpaceDN w:val="0"/>
        <w:adjustRightInd w:val="0"/>
        <w:spacing w:after="0" w:line="480" w:lineRule="auto"/>
        <w:ind w:left="640" w:hanging="640"/>
        <w:rPr>
          <w:rFonts w:cs="Times"/>
          <w:noProof/>
          <w:szCs w:val="24"/>
        </w:rPr>
      </w:pPr>
      <w:r w:rsidRPr="00EC5244">
        <w:rPr>
          <w:rFonts w:eastAsia="Yu Mincho"/>
          <w:lang w:val="en-CA"/>
        </w:rPr>
        <w:fldChar w:fldCharType="begin" w:fldLock="1"/>
      </w:r>
      <w:r w:rsidRPr="00EC5244">
        <w:rPr>
          <w:rFonts w:eastAsia="Yu Mincho"/>
          <w:lang w:val="en-CA"/>
        </w:rPr>
        <w:instrText xml:space="preserve">ADDIN Mendeley Bibliography CSL_BIBLIOGRAPHY </w:instrText>
      </w:r>
      <w:r w:rsidRPr="00EC5244">
        <w:rPr>
          <w:rFonts w:eastAsia="Yu Mincho"/>
          <w:lang w:val="en-CA"/>
        </w:rPr>
        <w:fldChar w:fldCharType="separate"/>
      </w:r>
      <w:r w:rsidR="00BB4DD1" w:rsidRPr="00EC5244">
        <w:rPr>
          <w:rFonts w:cs="Times"/>
          <w:noProof/>
          <w:szCs w:val="24"/>
        </w:rPr>
        <w:t>1</w:t>
      </w:r>
      <w:r w:rsidR="00BB4DD1" w:rsidRPr="00EC5244">
        <w:rPr>
          <w:rFonts w:cs="Times"/>
          <w:noProof/>
          <w:szCs w:val="24"/>
        </w:rPr>
        <w:tab/>
        <w:t xml:space="preserve">C. Neuberg, </w:t>
      </w:r>
      <w:r w:rsidR="00BB4DD1" w:rsidRPr="00EC5244">
        <w:rPr>
          <w:rFonts w:cs="Times"/>
          <w:i/>
          <w:iCs/>
          <w:noProof/>
          <w:szCs w:val="24"/>
        </w:rPr>
        <w:t>Biochem. Z.</w:t>
      </w:r>
      <w:r w:rsidR="00BB4DD1" w:rsidRPr="00EC5244">
        <w:rPr>
          <w:rFonts w:cs="Times"/>
          <w:noProof/>
          <w:szCs w:val="24"/>
        </w:rPr>
        <w:t xml:space="preserve">, 1912, </w:t>
      </w:r>
      <w:r w:rsidR="00BB4DD1" w:rsidRPr="00EC5244">
        <w:rPr>
          <w:rFonts w:cs="Times"/>
          <w:b/>
          <w:bCs/>
          <w:noProof/>
          <w:szCs w:val="24"/>
        </w:rPr>
        <w:t>76</w:t>
      </w:r>
      <w:r w:rsidR="00BB4DD1" w:rsidRPr="00EC5244">
        <w:rPr>
          <w:rFonts w:cs="Times"/>
          <w:noProof/>
          <w:szCs w:val="24"/>
        </w:rPr>
        <w:t>, 107–176.</w:t>
      </w:r>
    </w:p>
    <w:p w14:paraId="58C67774"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2</w:t>
      </w:r>
      <w:r w:rsidRPr="00EC5244">
        <w:rPr>
          <w:rFonts w:cs="Times"/>
          <w:noProof/>
          <w:szCs w:val="24"/>
        </w:rPr>
        <w:tab/>
        <w:t xml:space="preserve">D. Balasubramanian, V. Srinivas, V. G. Gaikar and M. M. Sharma, </w:t>
      </w:r>
      <w:r w:rsidRPr="00EC5244">
        <w:rPr>
          <w:rFonts w:cs="Times"/>
          <w:i/>
          <w:iCs/>
          <w:noProof/>
          <w:szCs w:val="24"/>
        </w:rPr>
        <w:t>J. Phys. Chem.</w:t>
      </w:r>
      <w:r w:rsidRPr="00EC5244">
        <w:rPr>
          <w:rFonts w:cs="Times"/>
          <w:noProof/>
          <w:szCs w:val="24"/>
        </w:rPr>
        <w:t xml:space="preserve">, 1989, </w:t>
      </w:r>
      <w:r w:rsidRPr="00EC5244">
        <w:rPr>
          <w:rFonts w:cs="Times"/>
          <w:b/>
          <w:bCs/>
          <w:noProof/>
          <w:szCs w:val="24"/>
        </w:rPr>
        <w:t>93</w:t>
      </w:r>
      <w:r w:rsidRPr="00EC5244">
        <w:rPr>
          <w:rFonts w:cs="Times"/>
          <w:noProof/>
          <w:szCs w:val="24"/>
        </w:rPr>
        <w:t>, 3865–3870.</w:t>
      </w:r>
    </w:p>
    <w:p w14:paraId="50E170FC"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3</w:t>
      </w:r>
      <w:r w:rsidRPr="00EC5244">
        <w:rPr>
          <w:rFonts w:cs="Times"/>
          <w:noProof/>
          <w:szCs w:val="24"/>
        </w:rPr>
        <w:tab/>
        <w:t xml:space="preserve">S. E. Friberg, </w:t>
      </w:r>
      <w:r w:rsidRPr="00EC5244">
        <w:rPr>
          <w:rFonts w:cs="Times"/>
          <w:i/>
          <w:iCs/>
          <w:noProof/>
          <w:szCs w:val="24"/>
        </w:rPr>
        <w:t>Curr. Opin. Colloid Interface Sci.</w:t>
      </w:r>
      <w:r w:rsidRPr="00EC5244">
        <w:rPr>
          <w:rFonts w:cs="Times"/>
          <w:noProof/>
          <w:szCs w:val="24"/>
        </w:rPr>
        <w:t xml:space="preserve">, 1997, </w:t>
      </w:r>
      <w:r w:rsidRPr="00EC5244">
        <w:rPr>
          <w:rFonts w:cs="Times"/>
          <w:b/>
          <w:bCs/>
          <w:noProof/>
          <w:szCs w:val="24"/>
        </w:rPr>
        <w:t>2</w:t>
      </w:r>
      <w:r w:rsidRPr="00EC5244">
        <w:rPr>
          <w:rFonts w:cs="Times"/>
          <w:noProof/>
          <w:szCs w:val="24"/>
        </w:rPr>
        <w:t>, 490–494.</w:t>
      </w:r>
    </w:p>
    <w:p w14:paraId="73B85733"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4</w:t>
      </w:r>
      <w:r w:rsidRPr="00EC5244">
        <w:rPr>
          <w:rFonts w:cs="Times"/>
          <w:noProof/>
          <w:szCs w:val="24"/>
        </w:rPr>
        <w:tab/>
        <w:t xml:space="preserve">P. Bauduin, A. Renoncourt, A. Kopf, D. Touraud and W. Kunz, </w:t>
      </w:r>
      <w:r w:rsidRPr="00EC5244">
        <w:rPr>
          <w:rFonts w:cs="Times"/>
          <w:i/>
          <w:iCs/>
          <w:noProof/>
          <w:szCs w:val="24"/>
        </w:rPr>
        <w:t>Langmuir</w:t>
      </w:r>
      <w:r w:rsidRPr="00EC5244">
        <w:rPr>
          <w:rFonts w:cs="Times"/>
          <w:noProof/>
          <w:szCs w:val="24"/>
        </w:rPr>
        <w:t xml:space="preserve">, 2005, </w:t>
      </w:r>
      <w:r w:rsidRPr="00EC5244">
        <w:rPr>
          <w:rFonts w:cs="Times"/>
          <w:b/>
          <w:bCs/>
          <w:noProof/>
          <w:szCs w:val="24"/>
        </w:rPr>
        <w:t>21</w:t>
      </w:r>
      <w:r w:rsidRPr="00EC5244">
        <w:rPr>
          <w:rFonts w:cs="Times"/>
          <w:noProof/>
          <w:szCs w:val="24"/>
        </w:rPr>
        <w:t>, 6769–6775.</w:t>
      </w:r>
    </w:p>
    <w:p w14:paraId="01F62FB3"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5</w:t>
      </w:r>
      <w:r w:rsidRPr="00EC5244">
        <w:rPr>
          <w:rFonts w:cs="Times"/>
          <w:noProof/>
          <w:szCs w:val="24"/>
        </w:rPr>
        <w:tab/>
        <w:t xml:space="preserve">T. K. Hodgdon and E. W. Kaler, </w:t>
      </w:r>
      <w:r w:rsidRPr="00EC5244">
        <w:rPr>
          <w:rFonts w:cs="Times"/>
          <w:i/>
          <w:iCs/>
          <w:noProof/>
          <w:szCs w:val="24"/>
        </w:rPr>
        <w:t>Curr. Opin. Colloid Interface Sci.</w:t>
      </w:r>
      <w:r w:rsidRPr="00EC5244">
        <w:rPr>
          <w:rFonts w:cs="Times"/>
          <w:noProof/>
          <w:szCs w:val="24"/>
        </w:rPr>
        <w:t xml:space="preserve">, 2007, </w:t>
      </w:r>
      <w:r w:rsidRPr="00EC5244">
        <w:rPr>
          <w:rFonts w:cs="Times"/>
          <w:b/>
          <w:bCs/>
          <w:noProof/>
          <w:szCs w:val="24"/>
        </w:rPr>
        <w:t>12</w:t>
      </w:r>
      <w:r w:rsidRPr="00EC5244">
        <w:rPr>
          <w:rFonts w:cs="Times"/>
          <w:noProof/>
          <w:szCs w:val="24"/>
        </w:rPr>
        <w:t>, 121–128.</w:t>
      </w:r>
    </w:p>
    <w:p w14:paraId="5C90965B"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6</w:t>
      </w:r>
      <w:r w:rsidRPr="00EC5244">
        <w:rPr>
          <w:rFonts w:cs="Times"/>
          <w:noProof/>
          <w:szCs w:val="24"/>
        </w:rPr>
        <w:tab/>
        <w:t xml:space="preserve">C. V. Subbarao, I. P. K. Chakravarthy, A. V. S. L. Sai Bharadwaj and K. M. M. Prasad, </w:t>
      </w:r>
      <w:r w:rsidRPr="00EC5244">
        <w:rPr>
          <w:rFonts w:cs="Times"/>
          <w:i/>
          <w:iCs/>
          <w:noProof/>
          <w:szCs w:val="24"/>
        </w:rPr>
        <w:t>Chem. Eng. Technol.</w:t>
      </w:r>
      <w:r w:rsidRPr="00EC5244">
        <w:rPr>
          <w:rFonts w:cs="Times"/>
          <w:noProof/>
          <w:szCs w:val="24"/>
        </w:rPr>
        <w:t xml:space="preserve">, 2012, </w:t>
      </w:r>
      <w:r w:rsidRPr="00EC5244">
        <w:rPr>
          <w:rFonts w:cs="Times"/>
          <w:b/>
          <w:bCs/>
          <w:noProof/>
          <w:szCs w:val="24"/>
        </w:rPr>
        <w:t>35</w:t>
      </w:r>
      <w:r w:rsidRPr="00EC5244">
        <w:rPr>
          <w:rFonts w:cs="Times"/>
          <w:noProof/>
          <w:szCs w:val="24"/>
        </w:rPr>
        <w:t>, 225–237.</w:t>
      </w:r>
    </w:p>
    <w:p w14:paraId="31E500F8"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7</w:t>
      </w:r>
      <w:r w:rsidRPr="00EC5244">
        <w:rPr>
          <w:rFonts w:cs="Times"/>
          <w:noProof/>
          <w:szCs w:val="24"/>
        </w:rPr>
        <w:tab/>
        <w:t xml:space="preserve">W. Kunz, K. Holmberg and T. Zemb, </w:t>
      </w:r>
      <w:r w:rsidRPr="00EC5244">
        <w:rPr>
          <w:rFonts w:cs="Times"/>
          <w:i/>
          <w:iCs/>
          <w:noProof/>
          <w:szCs w:val="24"/>
        </w:rPr>
        <w:t>Curr. Opin. Colloid Interface Sci.</w:t>
      </w:r>
      <w:r w:rsidRPr="00EC5244">
        <w:rPr>
          <w:rFonts w:cs="Times"/>
          <w:noProof/>
          <w:szCs w:val="24"/>
        </w:rPr>
        <w:t xml:space="preserve">, 2016, </w:t>
      </w:r>
      <w:r w:rsidRPr="00EC5244">
        <w:rPr>
          <w:rFonts w:cs="Times"/>
          <w:b/>
          <w:bCs/>
          <w:noProof/>
          <w:szCs w:val="24"/>
        </w:rPr>
        <w:t>22</w:t>
      </w:r>
      <w:r w:rsidRPr="00EC5244">
        <w:rPr>
          <w:rFonts w:cs="Times"/>
          <w:noProof/>
          <w:szCs w:val="24"/>
        </w:rPr>
        <w:t>, 99–107.</w:t>
      </w:r>
    </w:p>
    <w:p w14:paraId="396307C1"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8</w:t>
      </w:r>
      <w:r w:rsidRPr="00EC5244">
        <w:rPr>
          <w:rFonts w:cs="Times"/>
          <w:noProof/>
          <w:szCs w:val="24"/>
        </w:rPr>
        <w:tab/>
        <w:t xml:space="preserve">J. J. Booth, S. Abbott and S. Shimizu, </w:t>
      </w:r>
      <w:r w:rsidRPr="00EC5244">
        <w:rPr>
          <w:rFonts w:cs="Times"/>
          <w:i/>
          <w:iCs/>
          <w:noProof/>
          <w:szCs w:val="24"/>
        </w:rPr>
        <w:t>J. Phys. Chem. B</w:t>
      </w:r>
      <w:r w:rsidRPr="00EC5244">
        <w:rPr>
          <w:rFonts w:cs="Times"/>
          <w:noProof/>
          <w:szCs w:val="24"/>
        </w:rPr>
        <w:t xml:space="preserve">, 2012, </w:t>
      </w:r>
      <w:r w:rsidRPr="00EC5244">
        <w:rPr>
          <w:rFonts w:cs="Times"/>
          <w:b/>
          <w:bCs/>
          <w:noProof/>
          <w:szCs w:val="24"/>
        </w:rPr>
        <w:t>116</w:t>
      </w:r>
      <w:r w:rsidRPr="00EC5244">
        <w:rPr>
          <w:rFonts w:cs="Times"/>
          <w:noProof/>
          <w:szCs w:val="24"/>
        </w:rPr>
        <w:t>, 14915–14921.</w:t>
      </w:r>
    </w:p>
    <w:p w14:paraId="272D52E7"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9</w:t>
      </w:r>
      <w:r w:rsidRPr="00EC5244">
        <w:rPr>
          <w:rFonts w:cs="Times"/>
          <w:noProof/>
          <w:szCs w:val="24"/>
        </w:rPr>
        <w:tab/>
        <w:t xml:space="preserve">S. Shimizu, J. J. Booth and S. Abbott, </w:t>
      </w:r>
      <w:r w:rsidRPr="00EC5244">
        <w:rPr>
          <w:rFonts w:cs="Times"/>
          <w:i/>
          <w:iCs/>
          <w:noProof/>
          <w:szCs w:val="24"/>
        </w:rPr>
        <w:t>Phys. Chem. Chem. Phys.</w:t>
      </w:r>
      <w:r w:rsidRPr="00EC5244">
        <w:rPr>
          <w:rFonts w:cs="Times"/>
          <w:noProof/>
          <w:szCs w:val="24"/>
        </w:rPr>
        <w:t xml:space="preserve">, 2013, </w:t>
      </w:r>
      <w:r w:rsidRPr="00EC5244">
        <w:rPr>
          <w:rFonts w:cs="Times"/>
          <w:b/>
          <w:bCs/>
          <w:noProof/>
          <w:szCs w:val="24"/>
        </w:rPr>
        <w:t>15</w:t>
      </w:r>
      <w:r w:rsidRPr="00EC5244">
        <w:rPr>
          <w:rFonts w:cs="Times"/>
          <w:noProof/>
          <w:szCs w:val="24"/>
        </w:rPr>
        <w:t>, 20625–20632.</w:t>
      </w:r>
    </w:p>
    <w:p w14:paraId="10D22EF4"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10</w:t>
      </w:r>
      <w:r w:rsidRPr="00EC5244">
        <w:rPr>
          <w:rFonts w:cs="Times"/>
          <w:noProof/>
          <w:szCs w:val="24"/>
        </w:rPr>
        <w:tab/>
        <w:t xml:space="preserve">S. Shimizu and N. Matubayasi, </w:t>
      </w:r>
      <w:r w:rsidRPr="00EC5244">
        <w:rPr>
          <w:rFonts w:cs="Times"/>
          <w:i/>
          <w:iCs/>
          <w:noProof/>
          <w:szCs w:val="24"/>
        </w:rPr>
        <w:t>J. Phys. Chem. B</w:t>
      </w:r>
      <w:r w:rsidRPr="00EC5244">
        <w:rPr>
          <w:rFonts w:cs="Times"/>
          <w:noProof/>
          <w:szCs w:val="24"/>
        </w:rPr>
        <w:t xml:space="preserve">, 2014, </w:t>
      </w:r>
      <w:r w:rsidRPr="00EC5244">
        <w:rPr>
          <w:rFonts w:cs="Times"/>
          <w:b/>
          <w:bCs/>
          <w:noProof/>
          <w:szCs w:val="24"/>
        </w:rPr>
        <w:t>118</w:t>
      </w:r>
      <w:r w:rsidRPr="00EC5244">
        <w:rPr>
          <w:rFonts w:cs="Times"/>
          <w:noProof/>
          <w:szCs w:val="24"/>
        </w:rPr>
        <w:t>, 10515–10524.</w:t>
      </w:r>
    </w:p>
    <w:p w14:paraId="6A60019B"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11</w:t>
      </w:r>
      <w:r w:rsidRPr="00EC5244">
        <w:rPr>
          <w:rFonts w:cs="Times"/>
          <w:noProof/>
          <w:szCs w:val="24"/>
        </w:rPr>
        <w:tab/>
        <w:t xml:space="preserve">J. J. Booth, M. Omar, S. Abbott and S. Shimizu, </w:t>
      </w:r>
      <w:r w:rsidRPr="00EC5244">
        <w:rPr>
          <w:rFonts w:cs="Times"/>
          <w:i/>
          <w:iCs/>
          <w:noProof/>
          <w:szCs w:val="24"/>
        </w:rPr>
        <w:t>Phys Chem Chem Phys</w:t>
      </w:r>
      <w:r w:rsidRPr="00EC5244">
        <w:rPr>
          <w:rFonts w:cs="Times"/>
          <w:noProof/>
          <w:szCs w:val="24"/>
        </w:rPr>
        <w:t xml:space="preserve">, 2015, </w:t>
      </w:r>
      <w:r w:rsidRPr="00EC5244">
        <w:rPr>
          <w:rFonts w:cs="Times"/>
          <w:b/>
          <w:bCs/>
          <w:noProof/>
          <w:szCs w:val="24"/>
        </w:rPr>
        <w:t>17</w:t>
      </w:r>
      <w:r w:rsidRPr="00EC5244">
        <w:rPr>
          <w:rFonts w:cs="Times"/>
          <w:noProof/>
          <w:szCs w:val="24"/>
        </w:rPr>
        <w:t>, 8028–8037.</w:t>
      </w:r>
    </w:p>
    <w:p w14:paraId="002A95A4"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12</w:t>
      </w:r>
      <w:r w:rsidRPr="00EC5244">
        <w:rPr>
          <w:rFonts w:cs="Times"/>
          <w:noProof/>
          <w:szCs w:val="24"/>
        </w:rPr>
        <w:tab/>
        <w:t xml:space="preserve">S. Shimizu and N. Matubayasi, </w:t>
      </w:r>
      <w:r w:rsidRPr="00EC5244">
        <w:rPr>
          <w:rFonts w:cs="Times"/>
          <w:i/>
          <w:iCs/>
          <w:noProof/>
          <w:szCs w:val="24"/>
        </w:rPr>
        <w:t>Phys. Chem. Chem. Phys.</w:t>
      </w:r>
      <w:r w:rsidRPr="00EC5244">
        <w:rPr>
          <w:rFonts w:cs="Times"/>
          <w:noProof/>
          <w:szCs w:val="24"/>
        </w:rPr>
        <w:t xml:space="preserve">, 2016, </w:t>
      </w:r>
      <w:r w:rsidRPr="00EC5244">
        <w:rPr>
          <w:rFonts w:cs="Times"/>
          <w:b/>
          <w:bCs/>
          <w:noProof/>
          <w:szCs w:val="24"/>
        </w:rPr>
        <w:t>18</w:t>
      </w:r>
      <w:r w:rsidRPr="00EC5244">
        <w:rPr>
          <w:rFonts w:cs="Times"/>
          <w:noProof/>
          <w:szCs w:val="24"/>
        </w:rPr>
        <w:t>, 25621–25628.</w:t>
      </w:r>
    </w:p>
    <w:p w14:paraId="7CBB717E"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13</w:t>
      </w:r>
      <w:r w:rsidRPr="00EC5244">
        <w:rPr>
          <w:rFonts w:cs="Times"/>
          <w:noProof/>
          <w:szCs w:val="24"/>
        </w:rPr>
        <w:tab/>
        <w:t xml:space="preserve">S. Abbott, J. J. Booth and S. Shimizu, </w:t>
      </w:r>
      <w:r w:rsidRPr="00EC5244">
        <w:rPr>
          <w:rFonts w:cs="Times"/>
          <w:i/>
          <w:iCs/>
          <w:noProof/>
          <w:szCs w:val="24"/>
        </w:rPr>
        <w:t>Green Chem.</w:t>
      </w:r>
      <w:r w:rsidRPr="00EC5244">
        <w:rPr>
          <w:rFonts w:cs="Times"/>
          <w:noProof/>
          <w:szCs w:val="24"/>
        </w:rPr>
        <w:t xml:space="preserve">, 2017, </w:t>
      </w:r>
      <w:r w:rsidRPr="00EC5244">
        <w:rPr>
          <w:rFonts w:cs="Times"/>
          <w:b/>
          <w:bCs/>
          <w:noProof/>
          <w:szCs w:val="24"/>
        </w:rPr>
        <w:t>19</w:t>
      </w:r>
      <w:r w:rsidRPr="00EC5244">
        <w:rPr>
          <w:rFonts w:cs="Times"/>
          <w:noProof/>
          <w:szCs w:val="24"/>
        </w:rPr>
        <w:t>, 68–75.</w:t>
      </w:r>
    </w:p>
    <w:p w14:paraId="3DFDE277"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14</w:t>
      </w:r>
      <w:r w:rsidRPr="00EC5244">
        <w:rPr>
          <w:rFonts w:cs="Times"/>
          <w:noProof/>
          <w:szCs w:val="24"/>
        </w:rPr>
        <w:tab/>
        <w:t xml:space="preserve">H. S. Frank and M. W. Evans, </w:t>
      </w:r>
      <w:r w:rsidRPr="00EC5244">
        <w:rPr>
          <w:rFonts w:cs="Times"/>
          <w:i/>
          <w:iCs/>
          <w:noProof/>
          <w:szCs w:val="24"/>
        </w:rPr>
        <w:t>J. Chem. Phys.</w:t>
      </w:r>
      <w:r w:rsidRPr="00EC5244">
        <w:rPr>
          <w:rFonts w:cs="Times"/>
          <w:noProof/>
          <w:szCs w:val="24"/>
        </w:rPr>
        <w:t xml:space="preserve">, 1945, </w:t>
      </w:r>
      <w:r w:rsidRPr="00EC5244">
        <w:rPr>
          <w:rFonts w:cs="Times"/>
          <w:b/>
          <w:bCs/>
          <w:noProof/>
          <w:szCs w:val="24"/>
        </w:rPr>
        <w:t>13</w:t>
      </w:r>
      <w:r w:rsidRPr="00EC5244">
        <w:rPr>
          <w:rFonts w:cs="Times"/>
          <w:noProof/>
          <w:szCs w:val="24"/>
        </w:rPr>
        <w:t>, 507–532.</w:t>
      </w:r>
    </w:p>
    <w:p w14:paraId="4FE5C27A"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15</w:t>
      </w:r>
      <w:r w:rsidRPr="00EC5244">
        <w:rPr>
          <w:rFonts w:cs="Times"/>
          <w:noProof/>
          <w:szCs w:val="24"/>
        </w:rPr>
        <w:tab/>
        <w:t xml:space="preserve">W. Kauzmann, </w:t>
      </w:r>
      <w:r w:rsidRPr="00EC5244">
        <w:rPr>
          <w:rFonts w:cs="Times"/>
          <w:i/>
          <w:iCs/>
          <w:noProof/>
          <w:szCs w:val="24"/>
        </w:rPr>
        <w:t>Adv. Protein Chem.</w:t>
      </w:r>
      <w:r w:rsidRPr="00EC5244">
        <w:rPr>
          <w:rFonts w:cs="Times"/>
          <w:noProof/>
          <w:szCs w:val="24"/>
        </w:rPr>
        <w:t xml:space="preserve">, 1959, </w:t>
      </w:r>
      <w:r w:rsidRPr="00EC5244">
        <w:rPr>
          <w:rFonts w:cs="Times"/>
          <w:b/>
          <w:bCs/>
          <w:noProof/>
          <w:szCs w:val="24"/>
        </w:rPr>
        <w:t>14</w:t>
      </w:r>
      <w:r w:rsidRPr="00EC5244">
        <w:rPr>
          <w:rFonts w:cs="Times"/>
          <w:noProof/>
          <w:szCs w:val="24"/>
        </w:rPr>
        <w:t>, 1–63.</w:t>
      </w:r>
    </w:p>
    <w:p w14:paraId="3C629498"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16</w:t>
      </w:r>
      <w:r w:rsidRPr="00EC5244">
        <w:rPr>
          <w:rFonts w:cs="Times"/>
          <w:noProof/>
          <w:szCs w:val="24"/>
        </w:rPr>
        <w:tab/>
        <w:t xml:space="preserve">R. W. Gurney, </w:t>
      </w:r>
      <w:r w:rsidRPr="00EC5244">
        <w:rPr>
          <w:rFonts w:cs="Times"/>
          <w:i/>
          <w:iCs/>
          <w:noProof/>
          <w:szCs w:val="24"/>
        </w:rPr>
        <w:t>Ionic processes in solution</w:t>
      </w:r>
      <w:r w:rsidRPr="00EC5244">
        <w:rPr>
          <w:rFonts w:cs="Times"/>
          <w:noProof/>
          <w:szCs w:val="24"/>
        </w:rPr>
        <w:t>, New York, 1953.</w:t>
      </w:r>
    </w:p>
    <w:p w14:paraId="2CEB4FA1"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17</w:t>
      </w:r>
      <w:r w:rsidRPr="00EC5244">
        <w:rPr>
          <w:rFonts w:cs="Times"/>
          <w:noProof/>
          <w:szCs w:val="24"/>
        </w:rPr>
        <w:tab/>
        <w:t xml:space="preserve">R. A. Robinson and R. H. Stokes, </w:t>
      </w:r>
      <w:r w:rsidRPr="00EC5244">
        <w:rPr>
          <w:rFonts w:cs="Times"/>
          <w:i/>
          <w:iCs/>
          <w:noProof/>
          <w:szCs w:val="24"/>
        </w:rPr>
        <w:t>Electrolyte solutions</w:t>
      </w:r>
      <w:r w:rsidRPr="00EC5244">
        <w:rPr>
          <w:rFonts w:cs="Times"/>
          <w:noProof/>
          <w:szCs w:val="24"/>
        </w:rPr>
        <w:t>, Butterworths, London, 1955.</w:t>
      </w:r>
    </w:p>
    <w:p w14:paraId="5A5AA71B"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18</w:t>
      </w:r>
      <w:r w:rsidRPr="00EC5244">
        <w:rPr>
          <w:rFonts w:cs="Times"/>
          <w:noProof/>
          <w:szCs w:val="24"/>
        </w:rPr>
        <w:tab/>
        <w:t xml:space="preserve">H. S. Frank and W.-Y. Wen, </w:t>
      </w:r>
      <w:r w:rsidRPr="00EC5244">
        <w:rPr>
          <w:rFonts w:cs="Times"/>
          <w:i/>
          <w:iCs/>
          <w:noProof/>
          <w:szCs w:val="24"/>
        </w:rPr>
        <w:t>Discuss. Faraday Soc.</w:t>
      </w:r>
      <w:r w:rsidRPr="00EC5244">
        <w:rPr>
          <w:rFonts w:cs="Times"/>
          <w:noProof/>
          <w:szCs w:val="24"/>
        </w:rPr>
        <w:t xml:space="preserve">, 1957, </w:t>
      </w:r>
      <w:r w:rsidRPr="00EC5244">
        <w:rPr>
          <w:rFonts w:cs="Times"/>
          <w:b/>
          <w:bCs/>
          <w:noProof/>
          <w:szCs w:val="24"/>
        </w:rPr>
        <w:t>24</w:t>
      </w:r>
      <w:r w:rsidRPr="00EC5244">
        <w:rPr>
          <w:rFonts w:cs="Times"/>
          <w:noProof/>
          <w:szCs w:val="24"/>
        </w:rPr>
        <w:t>, 133.</w:t>
      </w:r>
    </w:p>
    <w:p w14:paraId="62C9ABEB"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19</w:t>
      </w:r>
      <w:r w:rsidRPr="00EC5244">
        <w:rPr>
          <w:rFonts w:cs="Times"/>
          <w:noProof/>
          <w:szCs w:val="24"/>
        </w:rPr>
        <w:tab/>
        <w:t xml:space="preserve">O. Y. Samoilov, </w:t>
      </w:r>
      <w:r w:rsidRPr="00EC5244">
        <w:rPr>
          <w:rFonts w:cs="Times"/>
          <w:i/>
          <w:iCs/>
          <w:noProof/>
          <w:szCs w:val="24"/>
        </w:rPr>
        <w:t>Discuss. Faraday Soc.</w:t>
      </w:r>
      <w:r w:rsidRPr="00EC5244">
        <w:rPr>
          <w:rFonts w:cs="Times"/>
          <w:noProof/>
          <w:szCs w:val="24"/>
        </w:rPr>
        <w:t xml:space="preserve">, 1957, </w:t>
      </w:r>
      <w:r w:rsidRPr="00EC5244">
        <w:rPr>
          <w:rFonts w:cs="Times"/>
          <w:b/>
          <w:bCs/>
          <w:noProof/>
          <w:szCs w:val="24"/>
        </w:rPr>
        <w:t>24</w:t>
      </w:r>
      <w:r w:rsidRPr="00EC5244">
        <w:rPr>
          <w:rFonts w:cs="Times"/>
          <w:noProof/>
          <w:szCs w:val="24"/>
        </w:rPr>
        <w:t>, 141.</w:t>
      </w:r>
    </w:p>
    <w:p w14:paraId="6DD552E6"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20</w:t>
      </w:r>
      <w:r w:rsidRPr="00EC5244">
        <w:rPr>
          <w:rFonts w:cs="Times"/>
          <w:noProof/>
          <w:szCs w:val="24"/>
        </w:rPr>
        <w:tab/>
        <w:t xml:space="preserve">H. S. Frank and F. Franks, </w:t>
      </w:r>
      <w:r w:rsidRPr="00EC5244">
        <w:rPr>
          <w:rFonts w:cs="Times"/>
          <w:i/>
          <w:iCs/>
          <w:noProof/>
          <w:szCs w:val="24"/>
        </w:rPr>
        <w:t>J. Chem. Phys.</w:t>
      </w:r>
      <w:r w:rsidRPr="00EC5244">
        <w:rPr>
          <w:rFonts w:cs="Times"/>
          <w:noProof/>
          <w:szCs w:val="24"/>
        </w:rPr>
        <w:t xml:space="preserve">, 1968, </w:t>
      </w:r>
      <w:r w:rsidRPr="00EC5244">
        <w:rPr>
          <w:rFonts w:cs="Times"/>
          <w:b/>
          <w:bCs/>
          <w:noProof/>
          <w:szCs w:val="24"/>
        </w:rPr>
        <w:t>48</w:t>
      </w:r>
      <w:r w:rsidRPr="00EC5244">
        <w:rPr>
          <w:rFonts w:cs="Times"/>
          <w:noProof/>
          <w:szCs w:val="24"/>
        </w:rPr>
        <w:t>, 4746–4757.</w:t>
      </w:r>
    </w:p>
    <w:p w14:paraId="2BDA3D6A"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21</w:t>
      </w:r>
      <w:r w:rsidRPr="00EC5244">
        <w:rPr>
          <w:rFonts w:cs="Times"/>
          <w:noProof/>
          <w:szCs w:val="24"/>
        </w:rPr>
        <w:tab/>
        <w:t xml:space="preserve">W. Thomson (Lord Kelvin), </w:t>
      </w:r>
      <w:r w:rsidRPr="00EC5244">
        <w:rPr>
          <w:rFonts w:cs="Times"/>
          <w:i/>
          <w:iCs/>
          <w:noProof/>
          <w:szCs w:val="24"/>
        </w:rPr>
        <w:t>Popular lectures and addresses</w:t>
      </w:r>
      <w:r w:rsidRPr="00EC5244">
        <w:rPr>
          <w:rFonts w:cs="Times"/>
          <w:noProof/>
          <w:szCs w:val="24"/>
        </w:rPr>
        <w:t>, Macmillan, London, 1889.</w:t>
      </w:r>
    </w:p>
    <w:p w14:paraId="6E72C8B9"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22</w:t>
      </w:r>
      <w:r w:rsidRPr="00EC5244">
        <w:rPr>
          <w:rFonts w:cs="Times"/>
          <w:noProof/>
          <w:szCs w:val="24"/>
        </w:rPr>
        <w:tab/>
        <w:t xml:space="preserve">J. G. Kirkwood and F. P. Buff, </w:t>
      </w:r>
      <w:r w:rsidRPr="00EC5244">
        <w:rPr>
          <w:rFonts w:cs="Times"/>
          <w:i/>
          <w:iCs/>
          <w:noProof/>
          <w:szCs w:val="24"/>
        </w:rPr>
        <w:t>J. Chem. Phys.</w:t>
      </w:r>
      <w:r w:rsidRPr="00EC5244">
        <w:rPr>
          <w:rFonts w:cs="Times"/>
          <w:noProof/>
          <w:szCs w:val="24"/>
        </w:rPr>
        <w:t xml:space="preserve">, 1951, </w:t>
      </w:r>
      <w:r w:rsidRPr="00EC5244">
        <w:rPr>
          <w:rFonts w:cs="Times"/>
          <w:b/>
          <w:bCs/>
          <w:noProof/>
          <w:szCs w:val="24"/>
        </w:rPr>
        <w:t>19</w:t>
      </w:r>
      <w:r w:rsidRPr="00EC5244">
        <w:rPr>
          <w:rFonts w:cs="Times"/>
          <w:noProof/>
          <w:szCs w:val="24"/>
        </w:rPr>
        <w:t>, 774–777.</w:t>
      </w:r>
    </w:p>
    <w:p w14:paraId="448B4A68"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23</w:t>
      </w:r>
      <w:r w:rsidRPr="00EC5244">
        <w:rPr>
          <w:rFonts w:cs="Times"/>
          <w:noProof/>
          <w:szCs w:val="24"/>
        </w:rPr>
        <w:tab/>
        <w:t xml:space="preserve">D. G. Hall, </w:t>
      </w:r>
      <w:r w:rsidRPr="00EC5244">
        <w:rPr>
          <w:rFonts w:cs="Times"/>
          <w:i/>
          <w:iCs/>
          <w:noProof/>
          <w:szCs w:val="24"/>
        </w:rPr>
        <w:t>Trans. Faraday Soc.</w:t>
      </w:r>
      <w:r w:rsidRPr="00EC5244">
        <w:rPr>
          <w:rFonts w:cs="Times"/>
          <w:noProof/>
          <w:szCs w:val="24"/>
        </w:rPr>
        <w:t xml:space="preserve">, 1971, </w:t>
      </w:r>
      <w:r w:rsidRPr="00EC5244">
        <w:rPr>
          <w:rFonts w:cs="Times"/>
          <w:b/>
          <w:bCs/>
          <w:noProof/>
          <w:szCs w:val="24"/>
        </w:rPr>
        <w:t>67</w:t>
      </w:r>
      <w:r w:rsidRPr="00EC5244">
        <w:rPr>
          <w:rFonts w:cs="Times"/>
          <w:noProof/>
          <w:szCs w:val="24"/>
        </w:rPr>
        <w:t>, 2516–2524.</w:t>
      </w:r>
    </w:p>
    <w:p w14:paraId="2EB25285"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24</w:t>
      </w:r>
      <w:r w:rsidRPr="00EC5244">
        <w:rPr>
          <w:rFonts w:cs="Times"/>
          <w:noProof/>
          <w:szCs w:val="24"/>
        </w:rPr>
        <w:tab/>
        <w:t xml:space="preserve">A. Ben-Naim, </w:t>
      </w:r>
      <w:r w:rsidRPr="00EC5244">
        <w:rPr>
          <w:rFonts w:cs="Times"/>
          <w:i/>
          <w:iCs/>
          <w:noProof/>
          <w:szCs w:val="24"/>
        </w:rPr>
        <w:t>J. Chem. Phys.</w:t>
      </w:r>
      <w:r w:rsidRPr="00EC5244">
        <w:rPr>
          <w:rFonts w:cs="Times"/>
          <w:noProof/>
          <w:szCs w:val="24"/>
        </w:rPr>
        <w:t xml:space="preserve">, 1977, </w:t>
      </w:r>
      <w:r w:rsidRPr="00EC5244">
        <w:rPr>
          <w:rFonts w:cs="Times"/>
          <w:b/>
          <w:bCs/>
          <w:noProof/>
          <w:szCs w:val="24"/>
        </w:rPr>
        <w:t>67</w:t>
      </w:r>
      <w:r w:rsidRPr="00EC5244">
        <w:rPr>
          <w:rFonts w:cs="Times"/>
          <w:noProof/>
          <w:szCs w:val="24"/>
        </w:rPr>
        <w:t>, 4884–4890.</w:t>
      </w:r>
    </w:p>
    <w:p w14:paraId="0A1490E3"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25</w:t>
      </w:r>
      <w:r w:rsidRPr="00EC5244">
        <w:rPr>
          <w:rFonts w:cs="Times"/>
          <w:noProof/>
          <w:szCs w:val="24"/>
        </w:rPr>
        <w:tab/>
        <w:t xml:space="preserve">S. Shimizu, </w:t>
      </w:r>
      <w:r w:rsidRPr="00EC5244">
        <w:rPr>
          <w:rFonts w:cs="Times"/>
          <w:i/>
          <w:iCs/>
          <w:noProof/>
          <w:szCs w:val="24"/>
        </w:rPr>
        <w:t>Proc. Natl. Acad. Sci. U. S. A.</w:t>
      </w:r>
      <w:r w:rsidRPr="00EC5244">
        <w:rPr>
          <w:rFonts w:cs="Times"/>
          <w:noProof/>
          <w:szCs w:val="24"/>
        </w:rPr>
        <w:t xml:space="preserve">, 2004, </w:t>
      </w:r>
      <w:r w:rsidRPr="00EC5244">
        <w:rPr>
          <w:rFonts w:cs="Times"/>
          <w:b/>
          <w:bCs/>
          <w:noProof/>
          <w:szCs w:val="24"/>
        </w:rPr>
        <w:t>101</w:t>
      </w:r>
      <w:r w:rsidRPr="00EC5244">
        <w:rPr>
          <w:rFonts w:cs="Times"/>
          <w:noProof/>
          <w:szCs w:val="24"/>
        </w:rPr>
        <w:t>, 1195–1199.</w:t>
      </w:r>
    </w:p>
    <w:p w14:paraId="5206FC67"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26</w:t>
      </w:r>
      <w:r w:rsidRPr="00EC5244">
        <w:rPr>
          <w:rFonts w:cs="Times"/>
          <w:noProof/>
          <w:szCs w:val="24"/>
        </w:rPr>
        <w:tab/>
        <w:t xml:space="preserve">S. Shimizu and C. L. Boon, </w:t>
      </w:r>
      <w:r w:rsidRPr="00EC5244">
        <w:rPr>
          <w:rFonts w:cs="Times"/>
          <w:i/>
          <w:iCs/>
          <w:noProof/>
          <w:szCs w:val="24"/>
        </w:rPr>
        <w:t>J. Chem. Phys.</w:t>
      </w:r>
      <w:r w:rsidRPr="00EC5244">
        <w:rPr>
          <w:rFonts w:cs="Times"/>
          <w:noProof/>
          <w:szCs w:val="24"/>
        </w:rPr>
        <w:t xml:space="preserve">, 2004, </w:t>
      </w:r>
      <w:r w:rsidRPr="00EC5244">
        <w:rPr>
          <w:rFonts w:cs="Times"/>
          <w:b/>
          <w:bCs/>
          <w:noProof/>
          <w:szCs w:val="24"/>
        </w:rPr>
        <w:t>121</w:t>
      </w:r>
      <w:r w:rsidRPr="00EC5244">
        <w:rPr>
          <w:rFonts w:cs="Times"/>
          <w:noProof/>
          <w:szCs w:val="24"/>
        </w:rPr>
        <w:t>, 9147–9155.</w:t>
      </w:r>
    </w:p>
    <w:p w14:paraId="710DCE23"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27</w:t>
      </w:r>
      <w:r w:rsidRPr="00EC5244">
        <w:rPr>
          <w:rFonts w:cs="Times"/>
          <w:noProof/>
          <w:szCs w:val="24"/>
        </w:rPr>
        <w:tab/>
        <w:t xml:space="preserve">S. Shimizu and N. Matubayasi, </w:t>
      </w:r>
      <w:r w:rsidRPr="00EC5244">
        <w:rPr>
          <w:rFonts w:cs="Times"/>
          <w:i/>
          <w:iCs/>
          <w:noProof/>
          <w:szCs w:val="24"/>
        </w:rPr>
        <w:t>J. Phys. Chem. B</w:t>
      </w:r>
      <w:r w:rsidRPr="00EC5244">
        <w:rPr>
          <w:rFonts w:cs="Times"/>
          <w:noProof/>
          <w:szCs w:val="24"/>
        </w:rPr>
        <w:t xml:space="preserve">, 2014, </w:t>
      </w:r>
      <w:r w:rsidRPr="00EC5244">
        <w:rPr>
          <w:rFonts w:cs="Times"/>
          <w:b/>
          <w:bCs/>
          <w:noProof/>
          <w:szCs w:val="24"/>
        </w:rPr>
        <w:t>118</w:t>
      </w:r>
      <w:r w:rsidRPr="00EC5244">
        <w:rPr>
          <w:rFonts w:cs="Times"/>
          <w:noProof/>
          <w:szCs w:val="24"/>
        </w:rPr>
        <w:t>, 3922–3930.</w:t>
      </w:r>
    </w:p>
    <w:p w14:paraId="39AA02EF"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28</w:t>
      </w:r>
      <w:r w:rsidRPr="00EC5244">
        <w:rPr>
          <w:rFonts w:cs="Times"/>
          <w:noProof/>
          <w:szCs w:val="24"/>
        </w:rPr>
        <w:tab/>
        <w:t xml:space="preserve">S. Shimizu, R. Stenner and N. Matubayasi, </w:t>
      </w:r>
      <w:r w:rsidRPr="00EC5244">
        <w:rPr>
          <w:rFonts w:cs="Times"/>
          <w:i/>
          <w:iCs/>
          <w:noProof/>
          <w:szCs w:val="24"/>
        </w:rPr>
        <w:t>Food Hydrocoll.</w:t>
      </w:r>
      <w:r w:rsidRPr="00EC5244">
        <w:rPr>
          <w:rFonts w:cs="Times"/>
          <w:noProof/>
          <w:szCs w:val="24"/>
        </w:rPr>
        <w:t xml:space="preserve">, 2017, </w:t>
      </w:r>
      <w:r w:rsidRPr="00EC5244">
        <w:rPr>
          <w:rFonts w:cs="Times"/>
          <w:b/>
          <w:bCs/>
          <w:noProof/>
          <w:szCs w:val="24"/>
        </w:rPr>
        <w:t>62</w:t>
      </w:r>
      <w:r w:rsidRPr="00EC5244">
        <w:rPr>
          <w:rFonts w:cs="Times"/>
          <w:noProof/>
          <w:szCs w:val="24"/>
        </w:rPr>
        <w:t>, 128–139.</w:t>
      </w:r>
    </w:p>
    <w:p w14:paraId="4A3F6C28"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29</w:t>
      </w:r>
      <w:r w:rsidRPr="00EC5244">
        <w:rPr>
          <w:rFonts w:cs="Times"/>
          <w:noProof/>
          <w:szCs w:val="24"/>
        </w:rPr>
        <w:tab/>
        <w:t xml:space="preserve">T. W. J. Nicol, N. Matubayasi and S. Shimizu, </w:t>
      </w:r>
      <w:r w:rsidRPr="00EC5244">
        <w:rPr>
          <w:rFonts w:cs="Times"/>
          <w:i/>
          <w:iCs/>
          <w:noProof/>
          <w:szCs w:val="24"/>
        </w:rPr>
        <w:t>Phys. Chem. Chem. Phys.</w:t>
      </w:r>
      <w:r w:rsidRPr="00EC5244">
        <w:rPr>
          <w:rFonts w:cs="Times"/>
          <w:noProof/>
          <w:szCs w:val="24"/>
        </w:rPr>
        <w:t xml:space="preserve">, 2016, </w:t>
      </w:r>
      <w:r w:rsidRPr="00EC5244">
        <w:rPr>
          <w:rFonts w:cs="Times"/>
          <w:b/>
          <w:bCs/>
          <w:noProof/>
          <w:szCs w:val="24"/>
        </w:rPr>
        <w:t>18</w:t>
      </w:r>
      <w:r w:rsidRPr="00EC5244">
        <w:rPr>
          <w:rFonts w:cs="Times"/>
          <w:noProof/>
          <w:szCs w:val="24"/>
        </w:rPr>
        <w:t>, 15205–15217.</w:t>
      </w:r>
    </w:p>
    <w:p w14:paraId="7E25127E"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30</w:t>
      </w:r>
      <w:r w:rsidRPr="00EC5244">
        <w:rPr>
          <w:rFonts w:cs="Times"/>
          <w:noProof/>
          <w:szCs w:val="24"/>
        </w:rPr>
        <w:tab/>
        <w:t xml:space="preserve">N. Matubayasi, K. K. Liang and M. Nakahara, </w:t>
      </w:r>
      <w:r w:rsidRPr="00EC5244">
        <w:rPr>
          <w:rFonts w:cs="Times"/>
          <w:i/>
          <w:iCs/>
          <w:noProof/>
          <w:szCs w:val="24"/>
        </w:rPr>
        <w:t>J. Chem. Phys.</w:t>
      </w:r>
      <w:r w:rsidRPr="00EC5244">
        <w:rPr>
          <w:rFonts w:cs="Times"/>
          <w:noProof/>
          <w:szCs w:val="24"/>
        </w:rPr>
        <w:t xml:space="preserve">, 2006, </w:t>
      </w:r>
      <w:r w:rsidRPr="00EC5244">
        <w:rPr>
          <w:rFonts w:cs="Times"/>
          <w:b/>
          <w:bCs/>
          <w:noProof/>
          <w:szCs w:val="24"/>
        </w:rPr>
        <w:t>124</w:t>
      </w:r>
      <w:r w:rsidRPr="00EC5244">
        <w:rPr>
          <w:rFonts w:cs="Times"/>
          <w:noProof/>
          <w:szCs w:val="24"/>
        </w:rPr>
        <w:t>, 154908.</w:t>
      </w:r>
    </w:p>
    <w:p w14:paraId="6F43756A"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31</w:t>
      </w:r>
      <w:r w:rsidRPr="00EC5244">
        <w:rPr>
          <w:rFonts w:cs="Times"/>
          <w:noProof/>
          <w:szCs w:val="24"/>
        </w:rPr>
        <w:tab/>
        <w:t xml:space="preserve">J. W. Gibbs, </w:t>
      </w:r>
      <w:r w:rsidRPr="00EC5244">
        <w:rPr>
          <w:rFonts w:cs="Times"/>
          <w:i/>
          <w:iCs/>
          <w:noProof/>
          <w:szCs w:val="24"/>
        </w:rPr>
        <w:t>Trans Conn Acad Arts Sci</w:t>
      </w:r>
      <w:r w:rsidRPr="00EC5244">
        <w:rPr>
          <w:rFonts w:cs="Times"/>
          <w:noProof/>
          <w:szCs w:val="24"/>
        </w:rPr>
        <w:t xml:space="preserve">, 1875, </w:t>
      </w:r>
      <w:r w:rsidRPr="00EC5244">
        <w:rPr>
          <w:rFonts w:cs="Times"/>
          <w:b/>
          <w:bCs/>
          <w:noProof/>
          <w:szCs w:val="24"/>
        </w:rPr>
        <w:t>3</w:t>
      </w:r>
      <w:r w:rsidRPr="00EC5244">
        <w:rPr>
          <w:rFonts w:cs="Times"/>
          <w:noProof/>
          <w:szCs w:val="24"/>
        </w:rPr>
        <w:t>, 108–248.</w:t>
      </w:r>
    </w:p>
    <w:p w14:paraId="09FC5747"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32</w:t>
      </w:r>
      <w:r w:rsidRPr="00EC5244">
        <w:rPr>
          <w:rFonts w:cs="Times"/>
          <w:noProof/>
          <w:szCs w:val="24"/>
        </w:rPr>
        <w:tab/>
        <w:t xml:space="preserve">J. W. Gibbs, </w:t>
      </w:r>
      <w:r w:rsidRPr="00EC5244">
        <w:rPr>
          <w:rFonts w:cs="Times"/>
          <w:i/>
          <w:iCs/>
          <w:noProof/>
          <w:szCs w:val="24"/>
        </w:rPr>
        <w:t>Trans Conn Acad Arts Sci</w:t>
      </w:r>
      <w:r w:rsidRPr="00EC5244">
        <w:rPr>
          <w:rFonts w:cs="Times"/>
          <w:noProof/>
          <w:szCs w:val="24"/>
        </w:rPr>
        <w:t xml:space="preserve">, 1877, </w:t>
      </w:r>
      <w:r w:rsidRPr="00EC5244">
        <w:rPr>
          <w:rFonts w:cs="Times"/>
          <w:b/>
          <w:bCs/>
          <w:noProof/>
          <w:szCs w:val="24"/>
        </w:rPr>
        <w:t>3</w:t>
      </w:r>
      <w:r w:rsidRPr="00EC5244">
        <w:rPr>
          <w:rFonts w:cs="Times"/>
          <w:noProof/>
          <w:szCs w:val="24"/>
        </w:rPr>
        <w:t>, 343–524.</w:t>
      </w:r>
    </w:p>
    <w:p w14:paraId="30ACE455"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33</w:t>
      </w:r>
      <w:r w:rsidRPr="00EC5244">
        <w:rPr>
          <w:rFonts w:cs="Times"/>
          <w:noProof/>
          <w:szCs w:val="24"/>
        </w:rPr>
        <w:tab/>
        <w:t xml:space="preserve">S. Shimizu and N. Matubayasi, </w:t>
      </w:r>
      <w:r w:rsidRPr="00EC5244">
        <w:rPr>
          <w:rFonts w:cs="Times"/>
          <w:i/>
          <w:iCs/>
          <w:noProof/>
          <w:szCs w:val="24"/>
        </w:rPr>
        <w:t>Biophys. Chem.</w:t>
      </w:r>
      <w:r w:rsidRPr="00EC5244">
        <w:rPr>
          <w:rFonts w:cs="Times"/>
          <w:noProof/>
          <w:szCs w:val="24"/>
        </w:rPr>
        <w:t>, 2017, DOI: 10.1016/j.bpc.2017.02.003.</w:t>
      </w:r>
    </w:p>
    <w:p w14:paraId="73C06ACA"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34</w:t>
      </w:r>
      <w:r w:rsidRPr="00EC5244">
        <w:rPr>
          <w:rFonts w:cs="Times"/>
          <w:noProof/>
          <w:szCs w:val="24"/>
        </w:rPr>
        <w:tab/>
        <w:t xml:space="preserve">S. Shimizu and S. Abbott, </w:t>
      </w:r>
      <w:r w:rsidRPr="00EC5244">
        <w:rPr>
          <w:rFonts w:cs="Times"/>
          <w:i/>
          <w:iCs/>
          <w:noProof/>
          <w:szCs w:val="24"/>
        </w:rPr>
        <w:t>J. Phys. Chem. B</w:t>
      </w:r>
      <w:r w:rsidRPr="00EC5244">
        <w:rPr>
          <w:rFonts w:cs="Times"/>
          <w:noProof/>
          <w:szCs w:val="24"/>
        </w:rPr>
        <w:t xml:space="preserve">, 2016, </w:t>
      </w:r>
      <w:r w:rsidRPr="00EC5244">
        <w:rPr>
          <w:rFonts w:cs="Times"/>
          <w:b/>
          <w:bCs/>
          <w:noProof/>
          <w:szCs w:val="24"/>
        </w:rPr>
        <w:t>120</w:t>
      </w:r>
      <w:r w:rsidRPr="00EC5244">
        <w:rPr>
          <w:rFonts w:cs="Times"/>
          <w:noProof/>
          <w:szCs w:val="24"/>
        </w:rPr>
        <w:t>, 3713–3723.</w:t>
      </w:r>
    </w:p>
    <w:p w14:paraId="37CDC663"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35</w:t>
      </w:r>
      <w:r w:rsidRPr="00EC5244">
        <w:rPr>
          <w:rFonts w:cs="Times"/>
          <w:noProof/>
          <w:szCs w:val="24"/>
        </w:rPr>
        <w:tab/>
        <w:t xml:space="preserve">S. N. Timasheff, </w:t>
      </w:r>
      <w:r w:rsidRPr="00EC5244">
        <w:rPr>
          <w:rFonts w:cs="Times"/>
          <w:i/>
          <w:iCs/>
          <w:noProof/>
          <w:szCs w:val="24"/>
        </w:rPr>
        <w:t>Proc. Natl. Acad. Sci.</w:t>
      </w:r>
      <w:r w:rsidRPr="00EC5244">
        <w:rPr>
          <w:rFonts w:cs="Times"/>
          <w:noProof/>
          <w:szCs w:val="24"/>
        </w:rPr>
        <w:t xml:space="preserve">, 1998, </w:t>
      </w:r>
      <w:r w:rsidRPr="00EC5244">
        <w:rPr>
          <w:rFonts w:cs="Times"/>
          <w:b/>
          <w:bCs/>
          <w:noProof/>
          <w:szCs w:val="24"/>
        </w:rPr>
        <w:t>95</w:t>
      </w:r>
      <w:r w:rsidRPr="00EC5244">
        <w:rPr>
          <w:rFonts w:cs="Times"/>
          <w:noProof/>
          <w:szCs w:val="24"/>
        </w:rPr>
        <w:t>, 7363–7367.</w:t>
      </w:r>
    </w:p>
    <w:p w14:paraId="6C40994E"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36</w:t>
      </w:r>
      <w:r w:rsidRPr="00EC5244">
        <w:rPr>
          <w:rFonts w:cs="Times"/>
          <w:noProof/>
          <w:szCs w:val="24"/>
        </w:rPr>
        <w:tab/>
        <w:t xml:space="preserve">V. A. Parsegian, R. P. Rand and D. C. Rau, </w:t>
      </w:r>
      <w:r w:rsidRPr="00EC5244">
        <w:rPr>
          <w:rFonts w:cs="Times"/>
          <w:i/>
          <w:iCs/>
          <w:noProof/>
          <w:szCs w:val="24"/>
        </w:rPr>
        <w:t>Proc. Natl. Acad. Sci. U. S. A.</w:t>
      </w:r>
      <w:r w:rsidRPr="00EC5244">
        <w:rPr>
          <w:rFonts w:cs="Times"/>
          <w:noProof/>
          <w:szCs w:val="24"/>
        </w:rPr>
        <w:t xml:space="preserve">, 2000, </w:t>
      </w:r>
      <w:r w:rsidRPr="00EC5244">
        <w:rPr>
          <w:rFonts w:cs="Times"/>
          <w:b/>
          <w:bCs/>
          <w:noProof/>
          <w:szCs w:val="24"/>
        </w:rPr>
        <w:t>97</w:t>
      </w:r>
      <w:r w:rsidRPr="00EC5244">
        <w:rPr>
          <w:rFonts w:cs="Times"/>
          <w:noProof/>
          <w:szCs w:val="24"/>
        </w:rPr>
        <w:t>, 3987–3992.</w:t>
      </w:r>
    </w:p>
    <w:p w14:paraId="05464145"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37</w:t>
      </w:r>
      <w:r w:rsidRPr="00EC5244">
        <w:rPr>
          <w:rFonts w:cs="Times"/>
          <w:noProof/>
          <w:szCs w:val="24"/>
        </w:rPr>
        <w:tab/>
        <w:t xml:space="preserve">S. N. Timasheff, </w:t>
      </w:r>
      <w:r w:rsidRPr="00EC5244">
        <w:rPr>
          <w:rFonts w:cs="Times"/>
          <w:i/>
          <w:iCs/>
          <w:noProof/>
          <w:szCs w:val="24"/>
        </w:rPr>
        <w:t>Proc. Natl. Acad. Sci.</w:t>
      </w:r>
      <w:r w:rsidRPr="00EC5244">
        <w:rPr>
          <w:rFonts w:cs="Times"/>
          <w:noProof/>
          <w:szCs w:val="24"/>
        </w:rPr>
        <w:t xml:space="preserve">, 2002, </w:t>
      </w:r>
      <w:r w:rsidRPr="00EC5244">
        <w:rPr>
          <w:rFonts w:cs="Times"/>
          <w:b/>
          <w:bCs/>
          <w:noProof/>
          <w:szCs w:val="24"/>
        </w:rPr>
        <w:t>99</w:t>
      </w:r>
      <w:r w:rsidRPr="00EC5244">
        <w:rPr>
          <w:rFonts w:cs="Times"/>
          <w:noProof/>
          <w:szCs w:val="24"/>
        </w:rPr>
        <w:t>, 9721–9726.</w:t>
      </w:r>
    </w:p>
    <w:p w14:paraId="7342B853"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38</w:t>
      </w:r>
      <w:r w:rsidRPr="00EC5244">
        <w:rPr>
          <w:rFonts w:cs="Times"/>
          <w:noProof/>
          <w:szCs w:val="24"/>
        </w:rPr>
        <w:tab/>
        <w:t xml:space="preserve">S. Shimizu, W. M. McLaren and N. Matubayasi, </w:t>
      </w:r>
      <w:r w:rsidRPr="00EC5244">
        <w:rPr>
          <w:rFonts w:cs="Times"/>
          <w:i/>
          <w:iCs/>
          <w:noProof/>
          <w:szCs w:val="24"/>
        </w:rPr>
        <w:t>J. Chem. Phys.</w:t>
      </w:r>
      <w:r w:rsidRPr="00EC5244">
        <w:rPr>
          <w:rFonts w:cs="Times"/>
          <w:noProof/>
          <w:szCs w:val="24"/>
        </w:rPr>
        <w:t xml:space="preserve">, 2006, </w:t>
      </w:r>
      <w:r w:rsidRPr="00EC5244">
        <w:rPr>
          <w:rFonts w:cs="Times"/>
          <w:b/>
          <w:bCs/>
          <w:noProof/>
          <w:szCs w:val="24"/>
        </w:rPr>
        <w:t>124</w:t>
      </w:r>
      <w:r w:rsidRPr="00EC5244">
        <w:rPr>
          <w:rFonts w:cs="Times"/>
          <w:noProof/>
          <w:szCs w:val="24"/>
        </w:rPr>
        <w:t>, 234905/1-234905/4.</w:t>
      </w:r>
    </w:p>
    <w:p w14:paraId="61A63432"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39</w:t>
      </w:r>
      <w:r w:rsidRPr="00EC5244">
        <w:rPr>
          <w:rFonts w:cs="Times"/>
          <w:noProof/>
          <w:szCs w:val="24"/>
        </w:rPr>
        <w:tab/>
        <w:t xml:space="preserve">S. Shimizu, </w:t>
      </w:r>
      <w:r w:rsidRPr="00EC5244">
        <w:rPr>
          <w:rFonts w:cs="Times"/>
          <w:i/>
          <w:iCs/>
          <w:noProof/>
          <w:szCs w:val="24"/>
        </w:rPr>
        <w:t>Chem. Phys. Lett.</w:t>
      </w:r>
      <w:r w:rsidRPr="00EC5244">
        <w:rPr>
          <w:rFonts w:cs="Times"/>
          <w:noProof/>
          <w:szCs w:val="24"/>
        </w:rPr>
        <w:t xml:space="preserve">, 2011, </w:t>
      </w:r>
      <w:r w:rsidRPr="00EC5244">
        <w:rPr>
          <w:rFonts w:cs="Times"/>
          <w:b/>
          <w:bCs/>
          <w:noProof/>
          <w:szCs w:val="24"/>
        </w:rPr>
        <w:t>514</w:t>
      </w:r>
      <w:r w:rsidRPr="00EC5244">
        <w:rPr>
          <w:rFonts w:cs="Times"/>
          <w:noProof/>
          <w:szCs w:val="24"/>
        </w:rPr>
        <w:t>, 156–158.</w:t>
      </w:r>
    </w:p>
    <w:p w14:paraId="402D5FAB"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40</w:t>
      </w:r>
      <w:r w:rsidRPr="00EC5244">
        <w:rPr>
          <w:rFonts w:cs="Times"/>
          <w:noProof/>
          <w:szCs w:val="24"/>
        </w:rPr>
        <w:tab/>
        <w:t xml:space="preserve">S. Shimizu and N. Matubayasi, </w:t>
      </w:r>
      <w:r w:rsidRPr="00EC5244">
        <w:rPr>
          <w:rFonts w:cs="Times"/>
          <w:i/>
          <w:iCs/>
          <w:noProof/>
          <w:szCs w:val="24"/>
        </w:rPr>
        <w:t>J. Phys. Chem. B</w:t>
      </w:r>
      <w:r w:rsidRPr="00EC5244">
        <w:rPr>
          <w:rFonts w:cs="Times"/>
          <w:noProof/>
          <w:szCs w:val="24"/>
        </w:rPr>
        <w:t xml:space="preserve">, 2014, </w:t>
      </w:r>
      <w:r w:rsidRPr="00EC5244">
        <w:rPr>
          <w:rFonts w:cs="Times"/>
          <w:b/>
          <w:bCs/>
          <w:noProof/>
          <w:szCs w:val="24"/>
        </w:rPr>
        <w:t>118</w:t>
      </w:r>
      <w:r w:rsidRPr="00EC5244">
        <w:rPr>
          <w:rFonts w:cs="Times"/>
          <w:noProof/>
          <w:szCs w:val="24"/>
        </w:rPr>
        <w:t>, 13210–13216.</w:t>
      </w:r>
    </w:p>
    <w:p w14:paraId="27BC067A"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41</w:t>
      </w:r>
      <w:r w:rsidRPr="00EC5244">
        <w:rPr>
          <w:rFonts w:cs="Times"/>
          <w:noProof/>
          <w:szCs w:val="24"/>
        </w:rPr>
        <w:tab/>
        <w:t xml:space="preserve">R. Stenner, N. Matubayasi and S. Shimizu, </w:t>
      </w:r>
      <w:r w:rsidRPr="00EC5244">
        <w:rPr>
          <w:rFonts w:cs="Times"/>
          <w:i/>
          <w:iCs/>
          <w:noProof/>
          <w:szCs w:val="24"/>
        </w:rPr>
        <w:t>Food Hydrocoll.</w:t>
      </w:r>
      <w:r w:rsidRPr="00EC5244">
        <w:rPr>
          <w:rFonts w:cs="Times"/>
          <w:noProof/>
          <w:szCs w:val="24"/>
        </w:rPr>
        <w:t xml:space="preserve">, 2016, </w:t>
      </w:r>
      <w:r w:rsidRPr="00EC5244">
        <w:rPr>
          <w:rFonts w:cs="Times"/>
          <w:b/>
          <w:bCs/>
          <w:noProof/>
          <w:szCs w:val="24"/>
        </w:rPr>
        <w:t>54</w:t>
      </w:r>
      <w:r w:rsidRPr="00EC5244">
        <w:rPr>
          <w:rFonts w:cs="Times"/>
          <w:noProof/>
          <w:szCs w:val="24"/>
        </w:rPr>
        <w:t>, 284–292.</w:t>
      </w:r>
    </w:p>
    <w:p w14:paraId="73514A9D"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42</w:t>
      </w:r>
      <w:r w:rsidRPr="00EC5244">
        <w:rPr>
          <w:rFonts w:cs="Times"/>
          <w:noProof/>
          <w:szCs w:val="24"/>
        </w:rPr>
        <w:tab/>
        <w:t xml:space="preserve">D. Attwood and A. T. Florence, in </w:t>
      </w:r>
      <w:r w:rsidRPr="00EC5244">
        <w:rPr>
          <w:rFonts w:cs="Times"/>
          <w:i/>
          <w:iCs/>
          <w:noProof/>
          <w:szCs w:val="24"/>
        </w:rPr>
        <w:t>Surfactant Systems</w:t>
      </w:r>
      <w:r w:rsidRPr="00EC5244">
        <w:rPr>
          <w:rFonts w:cs="Times"/>
          <w:noProof/>
          <w:szCs w:val="24"/>
        </w:rPr>
        <w:t>, Springer Netherlands, Dordrecht, 1983, pp. 229–292.</w:t>
      </w:r>
    </w:p>
    <w:p w14:paraId="10A85024"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43</w:t>
      </w:r>
      <w:r w:rsidRPr="00EC5244">
        <w:rPr>
          <w:rFonts w:cs="Times"/>
          <w:noProof/>
          <w:szCs w:val="24"/>
        </w:rPr>
        <w:tab/>
        <w:t xml:space="preserve">F. A. Alvarez-Núñez and S. H. Yalkowsky, </w:t>
      </w:r>
      <w:r w:rsidRPr="00EC5244">
        <w:rPr>
          <w:rFonts w:cs="Times"/>
          <w:i/>
          <w:iCs/>
          <w:noProof/>
          <w:szCs w:val="24"/>
        </w:rPr>
        <w:t>Int. J. Pharm.</w:t>
      </w:r>
      <w:r w:rsidRPr="00EC5244">
        <w:rPr>
          <w:rFonts w:cs="Times"/>
          <w:noProof/>
          <w:szCs w:val="24"/>
        </w:rPr>
        <w:t xml:space="preserve">, 2000, </w:t>
      </w:r>
      <w:r w:rsidRPr="00EC5244">
        <w:rPr>
          <w:rFonts w:cs="Times"/>
          <w:b/>
          <w:bCs/>
          <w:noProof/>
          <w:szCs w:val="24"/>
        </w:rPr>
        <w:t>200</w:t>
      </w:r>
      <w:r w:rsidRPr="00EC5244">
        <w:rPr>
          <w:rFonts w:cs="Times"/>
          <w:noProof/>
          <w:szCs w:val="24"/>
        </w:rPr>
        <w:t>, 217–222.</w:t>
      </w:r>
    </w:p>
    <w:p w14:paraId="24172628"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44</w:t>
      </w:r>
      <w:r w:rsidRPr="00EC5244">
        <w:rPr>
          <w:rFonts w:cs="Times"/>
          <w:noProof/>
          <w:szCs w:val="24"/>
        </w:rPr>
        <w:tab/>
        <w:t xml:space="preserve">C. De Oliveira, R. Yagui, A. Lineu Prestes, C. O. Rangel-Yagui, A. Pessoa-Jr and L. C. Tavares, </w:t>
      </w:r>
      <w:r w:rsidRPr="00EC5244">
        <w:rPr>
          <w:rFonts w:cs="Times"/>
          <w:i/>
          <w:iCs/>
          <w:noProof/>
          <w:szCs w:val="24"/>
        </w:rPr>
        <w:t>J Pharm Pharm. Sci</w:t>
      </w:r>
      <w:r w:rsidRPr="00EC5244">
        <w:rPr>
          <w:rFonts w:cs="Times"/>
          <w:noProof/>
          <w:szCs w:val="24"/>
        </w:rPr>
        <w:t xml:space="preserve">, 2005, </w:t>
      </w:r>
      <w:r w:rsidRPr="00EC5244">
        <w:rPr>
          <w:rFonts w:cs="Times"/>
          <w:b/>
          <w:bCs/>
          <w:noProof/>
          <w:szCs w:val="24"/>
        </w:rPr>
        <w:t>8</w:t>
      </w:r>
      <w:r w:rsidRPr="00EC5244">
        <w:rPr>
          <w:rFonts w:cs="Times"/>
          <w:noProof/>
          <w:szCs w:val="24"/>
        </w:rPr>
        <w:t>, 147–163.</w:t>
      </w:r>
    </w:p>
    <w:p w14:paraId="271FA566"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45</w:t>
      </w:r>
      <w:r w:rsidRPr="00EC5244">
        <w:rPr>
          <w:rFonts w:cs="Times"/>
          <w:noProof/>
          <w:szCs w:val="24"/>
        </w:rPr>
        <w:tab/>
        <w:t xml:space="preserve">J. H. Collett and L. Koo, </w:t>
      </w:r>
      <w:r w:rsidRPr="00EC5244">
        <w:rPr>
          <w:rFonts w:cs="Times"/>
          <w:i/>
          <w:iCs/>
          <w:noProof/>
          <w:szCs w:val="24"/>
        </w:rPr>
        <w:t>J. Pharm. Sci.</w:t>
      </w:r>
      <w:r w:rsidRPr="00EC5244">
        <w:rPr>
          <w:rFonts w:cs="Times"/>
          <w:noProof/>
          <w:szCs w:val="24"/>
        </w:rPr>
        <w:t xml:space="preserve">, 1975, </w:t>
      </w:r>
      <w:r w:rsidRPr="00EC5244">
        <w:rPr>
          <w:rFonts w:cs="Times"/>
          <w:b/>
          <w:bCs/>
          <w:noProof/>
          <w:szCs w:val="24"/>
        </w:rPr>
        <w:t>64</w:t>
      </w:r>
      <w:r w:rsidRPr="00EC5244">
        <w:rPr>
          <w:rFonts w:cs="Times"/>
          <w:noProof/>
          <w:szCs w:val="24"/>
        </w:rPr>
        <w:t>, 1253–1255.</w:t>
      </w:r>
    </w:p>
    <w:p w14:paraId="0418FDDE"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46</w:t>
      </w:r>
      <w:r w:rsidRPr="00EC5244">
        <w:rPr>
          <w:rFonts w:cs="Times"/>
          <w:noProof/>
          <w:szCs w:val="24"/>
        </w:rPr>
        <w:tab/>
        <w:t xml:space="preserve">D. E. Kile and C. T. Chiou, </w:t>
      </w:r>
      <w:r w:rsidRPr="00EC5244">
        <w:rPr>
          <w:rFonts w:cs="Times"/>
          <w:i/>
          <w:iCs/>
          <w:noProof/>
          <w:szCs w:val="24"/>
        </w:rPr>
        <w:t>Environ. Sci. Technol.</w:t>
      </w:r>
      <w:r w:rsidRPr="00EC5244">
        <w:rPr>
          <w:rFonts w:cs="Times"/>
          <w:noProof/>
          <w:szCs w:val="24"/>
        </w:rPr>
        <w:t xml:space="preserve">, 1989, </w:t>
      </w:r>
      <w:r w:rsidRPr="00EC5244">
        <w:rPr>
          <w:rFonts w:cs="Times"/>
          <w:b/>
          <w:bCs/>
          <w:noProof/>
          <w:szCs w:val="24"/>
        </w:rPr>
        <w:t>23</w:t>
      </w:r>
      <w:r w:rsidRPr="00EC5244">
        <w:rPr>
          <w:rFonts w:cs="Times"/>
          <w:noProof/>
          <w:szCs w:val="24"/>
        </w:rPr>
        <w:t>, 832–838.</w:t>
      </w:r>
    </w:p>
    <w:p w14:paraId="4DCFEFE2"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47</w:t>
      </w:r>
      <w:r w:rsidRPr="00EC5244">
        <w:rPr>
          <w:rFonts w:cs="Times"/>
          <w:noProof/>
          <w:szCs w:val="24"/>
        </w:rPr>
        <w:tab/>
        <w:t xml:space="preserve">E. H. K. Shinoda, </w:t>
      </w:r>
      <w:r w:rsidRPr="00EC5244">
        <w:rPr>
          <w:rFonts w:cs="Times"/>
          <w:i/>
          <w:iCs/>
          <w:noProof/>
          <w:szCs w:val="24"/>
        </w:rPr>
        <w:t>J. Phys. Chem.</w:t>
      </w:r>
      <w:r w:rsidRPr="00EC5244">
        <w:rPr>
          <w:rFonts w:cs="Times"/>
          <w:noProof/>
          <w:szCs w:val="24"/>
        </w:rPr>
        <w:t xml:space="preserve">, 1961, </w:t>
      </w:r>
      <w:r w:rsidRPr="00EC5244">
        <w:rPr>
          <w:rFonts w:cs="Times"/>
          <w:b/>
          <w:bCs/>
          <w:noProof/>
          <w:szCs w:val="24"/>
        </w:rPr>
        <w:t>66</w:t>
      </w:r>
      <w:r w:rsidRPr="00EC5244">
        <w:rPr>
          <w:rFonts w:cs="Times"/>
          <w:noProof/>
          <w:szCs w:val="24"/>
        </w:rPr>
        <w:t>, 577–582.</w:t>
      </w:r>
    </w:p>
    <w:p w14:paraId="3D32A0D2"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48</w:t>
      </w:r>
      <w:r w:rsidRPr="00EC5244">
        <w:rPr>
          <w:rFonts w:cs="Times"/>
          <w:noProof/>
          <w:szCs w:val="24"/>
        </w:rPr>
        <w:tab/>
        <w:t xml:space="preserve">A. A. Dar, G. M. Rather and A. R. Das, </w:t>
      </w:r>
      <w:r w:rsidRPr="00EC5244">
        <w:rPr>
          <w:rFonts w:cs="Times"/>
          <w:i/>
          <w:iCs/>
          <w:noProof/>
          <w:szCs w:val="24"/>
        </w:rPr>
        <w:t>J. Phys. Chem. Bhysical Chem. B</w:t>
      </w:r>
      <w:r w:rsidRPr="00EC5244">
        <w:rPr>
          <w:rFonts w:cs="Times"/>
          <w:noProof/>
          <w:szCs w:val="24"/>
        </w:rPr>
        <w:t xml:space="preserve">, 2007, </w:t>
      </w:r>
      <w:r w:rsidRPr="00EC5244">
        <w:rPr>
          <w:rFonts w:cs="Times"/>
          <w:b/>
          <w:bCs/>
          <w:noProof/>
          <w:szCs w:val="24"/>
        </w:rPr>
        <w:t>111</w:t>
      </w:r>
      <w:r w:rsidRPr="00EC5244">
        <w:rPr>
          <w:rFonts w:cs="Times"/>
          <w:noProof/>
          <w:szCs w:val="24"/>
        </w:rPr>
        <w:t>, 3122–3132.</w:t>
      </w:r>
    </w:p>
    <w:p w14:paraId="5A506B75"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49</w:t>
      </w:r>
      <w:r w:rsidRPr="00EC5244">
        <w:rPr>
          <w:rFonts w:cs="Times"/>
          <w:noProof/>
          <w:szCs w:val="24"/>
        </w:rPr>
        <w:tab/>
        <w:t xml:space="preserve">P. A. Bhat, G. M. Rather and A. A. Dar, </w:t>
      </w:r>
      <w:r w:rsidRPr="00EC5244">
        <w:rPr>
          <w:rFonts w:cs="Times"/>
          <w:i/>
          <w:iCs/>
          <w:noProof/>
          <w:szCs w:val="24"/>
        </w:rPr>
        <w:t>J. Phys. Chem. B</w:t>
      </w:r>
      <w:r w:rsidRPr="00EC5244">
        <w:rPr>
          <w:rFonts w:cs="Times"/>
          <w:noProof/>
          <w:szCs w:val="24"/>
        </w:rPr>
        <w:t xml:space="preserve">, 2009, </w:t>
      </w:r>
      <w:r w:rsidRPr="00EC5244">
        <w:rPr>
          <w:rFonts w:cs="Times"/>
          <w:b/>
          <w:bCs/>
          <w:noProof/>
          <w:szCs w:val="24"/>
        </w:rPr>
        <w:t>113</w:t>
      </w:r>
      <w:r w:rsidRPr="00EC5244">
        <w:rPr>
          <w:rFonts w:cs="Times"/>
          <w:noProof/>
          <w:szCs w:val="24"/>
        </w:rPr>
        <w:t>, 997–1006.</w:t>
      </w:r>
    </w:p>
    <w:p w14:paraId="5A37592B"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50</w:t>
      </w:r>
      <w:r w:rsidRPr="00EC5244">
        <w:rPr>
          <w:rFonts w:cs="Times"/>
          <w:noProof/>
          <w:szCs w:val="24"/>
        </w:rPr>
        <w:tab/>
        <w:t xml:space="preserve">A. Ben-Naim, </w:t>
      </w:r>
      <w:r w:rsidRPr="00EC5244">
        <w:rPr>
          <w:rFonts w:cs="Times"/>
          <w:i/>
          <w:iCs/>
          <w:noProof/>
          <w:szCs w:val="24"/>
        </w:rPr>
        <w:t>Molecular Theory of Solutions</w:t>
      </w:r>
      <w:r w:rsidRPr="00EC5244">
        <w:rPr>
          <w:rFonts w:cs="Times"/>
          <w:noProof/>
          <w:szCs w:val="24"/>
        </w:rPr>
        <w:t>, Oxford University Press, Oxford, 2006.</w:t>
      </w:r>
    </w:p>
    <w:p w14:paraId="1864B585"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51</w:t>
      </w:r>
      <w:r w:rsidRPr="00EC5244">
        <w:rPr>
          <w:rFonts w:cs="Times"/>
          <w:noProof/>
          <w:szCs w:val="24"/>
        </w:rPr>
        <w:tab/>
        <w:t xml:space="preserve">P. E. Smith, </w:t>
      </w:r>
      <w:r w:rsidRPr="00EC5244">
        <w:rPr>
          <w:rFonts w:cs="Times"/>
          <w:i/>
          <w:iCs/>
          <w:noProof/>
          <w:szCs w:val="24"/>
        </w:rPr>
        <w:t>J. Chem. Phys.</w:t>
      </w:r>
      <w:r w:rsidRPr="00EC5244">
        <w:rPr>
          <w:rFonts w:cs="Times"/>
          <w:noProof/>
          <w:szCs w:val="24"/>
        </w:rPr>
        <w:t xml:space="preserve">, 2008, </w:t>
      </w:r>
      <w:r w:rsidRPr="00EC5244">
        <w:rPr>
          <w:rFonts w:cs="Times"/>
          <w:b/>
          <w:bCs/>
          <w:noProof/>
          <w:szCs w:val="24"/>
        </w:rPr>
        <w:t>129</w:t>
      </w:r>
      <w:r w:rsidRPr="00EC5244">
        <w:rPr>
          <w:rFonts w:cs="Times"/>
          <w:noProof/>
          <w:szCs w:val="24"/>
        </w:rPr>
        <w:t>, 124509.</w:t>
      </w:r>
    </w:p>
    <w:p w14:paraId="6A945C32"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52</w:t>
      </w:r>
      <w:r w:rsidRPr="00EC5244">
        <w:rPr>
          <w:rFonts w:cs="Times"/>
          <w:noProof/>
          <w:szCs w:val="24"/>
        </w:rPr>
        <w:tab/>
        <w:t xml:space="preserve">D. Gazzillo, </w:t>
      </w:r>
      <w:r w:rsidRPr="00EC5244">
        <w:rPr>
          <w:rFonts w:cs="Times"/>
          <w:i/>
          <w:iCs/>
          <w:noProof/>
          <w:szCs w:val="24"/>
        </w:rPr>
        <w:t>Mol. Phys.</w:t>
      </w:r>
      <w:r w:rsidRPr="00EC5244">
        <w:rPr>
          <w:rFonts w:cs="Times"/>
          <w:noProof/>
          <w:szCs w:val="24"/>
        </w:rPr>
        <w:t xml:space="preserve">, 1994, </w:t>
      </w:r>
      <w:r w:rsidRPr="00EC5244">
        <w:rPr>
          <w:rFonts w:cs="Times"/>
          <w:b/>
          <w:bCs/>
          <w:noProof/>
          <w:szCs w:val="24"/>
        </w:rPr>
        <w:t>83</w:t>
      </w:r>
      <w:r w:rsidRPr="00EC5244">
        <w:rPr>
          <w:rFonts w:cs="Times"/>
          <w:noProof/>
          <w:szCs w:val="24"/>
        </w:rPr>
        <w:t>, 1171–1190.</w:t>
      </w:r>
    </w:p>
    <w:p w14:paraId="58A1E2CC"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53</w:t>
      </w:r>
      <w:r w:rsidRPr="00EC5244">
        <w:rPr>
          <w:rFonts w:cs="Times"/>
          <w:noProof/>
          <w:szCs w:val="24"/>
        </w:rPr>
        <w:tab/>
        <w:t xml:space="preserve">T. J. Ward and K. D. Ward, in </w:t>
      </w:r>
      <w:r w:rsidRPr="00EC5244">
        <w:rPr>
          <w:rFonts w:cs="Times"/>
          <w:i/>
          <w:iCs/>
          <w:noProof/>
          <w:szCs w:val="24"/>
        </w:rPr>
        <w:t>Solubilization in surfactant aggregates</w:t>
      </w:r>
      <w:r w:rsidRPr="00EC5244">
        <w:rPr>
          <w:rFonts w:cs="Times"/>
          <w:noProof/>
          <w:szCs w:val="24"/>
        </w:rPr>
        <w:t>, eds. S. D. Christian and J. F. Scamehorn, Marcel Dekker, New York, 1995, pp. 518–540.</w:t>
      </w:r>
    </w:p>
    <w:p w14:paraId="558696E2"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54</w:t>
      </w:r>
      <w:r w:rsidRPr="00EC5244">
        <w:rPr>
          <w:rFonts w:cs="Times"/>
          <w:noProof/>
          <w:szCs w:val="24"/>
        </w:rPr>
        <w:tab/>
        <w:t xml:space="preserve">P. F. Garrido, P. Brocos, A. Amigo, L. García-Río, J. Gracia-Fadrique and Á. Piñeiro, </w:t>
      </w:r>
      <w:r w:rsidRPr="00EC5244">
        <w:rPr>
          <w:rFonts w:cs="Times"/>
          <w:i/>
          <w:iCs/>
          <w:noProof/>
          <w:szCs w:val="24"/>
        </w:rPr>
        <w:t>Langmuir</w:t>
      </w:r>
      <w:r w:rsidRPr="00EC5244">
        <w:rPr>
          <w:rFonts w:cs="Times"/>
          <w:noProof/>
          <w:szCs w:val="24"/>
        </w:rPr>
        <w:t xml:space="preserve">, 2016, </w:t>
      </w:r>
      <w:r w:rsidRPr="00EC5244">
        <w:rPr>
          <w:rFonts w:cs="Times"/>
          <w:b/>
          <w:bCs/>
          <w:noProof/>
          <w:szCs w:val="24"/>
        </w:rPr>
        <w:t>32</w:t>
      </w:r>
      <w:r w:rsidRPr="00EC5244">
        <w:rPr>
          <w:rFonts w:cs="Times"/>
          <w:noProof/>
          <w:szCs w:val="24"/>
        </w:rPr>
        <w:t>, 3917–3925.</w:t>
      </w:r>
    </w:p>
    <w:p w14:paraId="27572FB9"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55</w:t>
      </w:r>
      <w:r w:rsidRPr="00EC5244">
        <w:rPr>
          <w:rFonts w:cs="Times"/>
          <w:noProof/>
          <w:szCs w:val="24"/>
        </w:rPr>
        <w:tab/>
        <w:t xml:space="preserve">T. Buchecker, S. Krickl, R. Winkler, I. Grillo, P. Bauduin, D. Touraud, A. Pfitzner, W. Kunz, R. Cubitt, S. Marelja and W. Kunz, </w:t>
      </w:r>
      <w:r w:rsidRPr="00EC5244">
        <w:rPr>
          <w:rFonts w:cs="Times"/>
          <w:i/>
          <w:iCs/>
          <w:noProof/>
          <w:szCs w:val="24"/>
        </w:rPr>
        <w:t>Phys. Chem. Chem. Phys.</w:t>
      </w:r>
      <w:r w:rsidRPr="00EC5244">
        <w:rPr>
          <w:rFonts w:cs="Times"/>
          <w:noProof/>
          <w:szCs w:val="24"/>
        </w:rPr>
        <w:t xml:space="preserve">, 2017, </w:t>
      </w:r>
      <w:r w:rsidRPr="00EC5244">
        <w:rPr>
          <w:rFonts w:cs="Times"/>
          <w:b/>
          <w:bCs/>
          <w:noProof/>
          <w:szCs w:val="24"/>
        </w:rPr>
        <w:t>19</w:t>
      </w:r>
      <w:r w:rsidRPr="00EC5244">
        <w:rPr>
          <w:rFonts w:cs="Times"/>
          <w:noProof/>
          <w:szCs w:val="24"/>
        </w:rPr>
        <w:t>, 1806–1816.</w:t>
      </w:r>
    </w:p>
    <w:p w14:paraId="56CE9AF5"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56</w:t>
      </w:r>
      <w:r w:rsidRPr="00EC5244">
        <w:rPr>
          <w:rFonts w:cs="Times"/>
          <w:noProof/>
          <w:szCs w:val="24"/>
        </w:rPr>
        <w:tab/>
        <w:t xml:space="preserve">D. Subramanian and M. A. Anisimov, </w:t>
      </w:r>
      <w:r w:rsidRPr="00EC5244">
        <w:rPr>
          <w:rFonts w:cs="Times"/>
          <w:i/>
          <w:iCs/>
          <w:noProof/>
          <w:szCs w:val="24"/>
        </w:rPr>
        <w:t>J. Phys. Chem. B</w:t>
      </w:r>
      <w:r w:rsidRPr="00EC5244">
        <w:rPr>
          <w:rFonts w:cs="Times"/>
          <w:noProof/>
          <w:szCs w:val="24"/>
        </w:rPr>
        <w:t xml:space="preserve">, 2011, </w:t>
      </w:r>
      <w:r w:rsidRPr="00EC5244">
        <w:rPr>
          <w:rFonts w:cs="Times"/>
          <w:b/>
          <w:bCs/>
          <w:noProof/>
          <w:szCs w:val="24"/>
        </w:rPr>
        <w:t>115</w:t>
      </w:r>
      <w:r w:rsidRPr="00EC5244">
        <w:rPr>
          <w:rFonts w:cs="Times"/>
          <w:noProof/>
          <w:szCs w:val="24"/>
        </w:rPr>
        <w:t>, 9179–9183.</w:t>
      </w:r>
    </w:p>
    <w:p w14:paraId="4F1B7F2C"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57</w:t>
      </w:r>
      <w:r w:rsidRPr="00EC5244">
        <w:rPr>
          <w:rFonts w:cs="Times"/>
          <w:noProof/>
          <w:szCs w:val="24"/>
        </w:rPr>
        <w:tab/>
        <w:t xml:space="preserve">D. Subramanian, C. T. Boughter, J. B. Klauda, B. Hammouda and M. a Anisimov, </w:t>
      </w:r>
      <w:r w:rsidRPr="00EC5244">
        <w:rPr>
          <w:rFonts w:cs="Times"/>
          <w:i/>
          <w:iCs/>
          <w:noProof/>
          <w:szCs w:val="24"/>
        </w:rPr>
        <w:t>Faraday Discuss.</w:t>
      </w:r>
      <w:r w:rsidRPr="00EC5244">
        <w:rPr>
          <w:rFonts w:cs="Times"/>
          <w:noProof/>
          <w:szCs w:val="24"/>
        </w:rPr>
        <w:t xml:space="preserve">, 2013, </w:t>
      </w:r>
      <w:r w:rsidRPr="00EC5244">
        <w:rPr>
          <w:rFonts w:cs="Times"/>
          <w:b/>
          <w:bCs/>
          <w:noProof/>
          <w:szCs w:val="24"/>
        </w:rPr>
        <w:t>167</w:t>
      </w:r>
      <w:r w:rsidRPr="00EC5244">
        <w:rPr>
          <w:rFonts w:cs="Times"/>
          <w:noProof/>
          <w:szCs w:val="24"/>
        </w:rPr>
        <w:t>, 217–238.</w:t>
      </w:r>
    </w:p>
    <w:p w14:paraId="6CEA907A"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58</w:t>
      </w:r>
      <w:r w:rsidRPr="00EC5244">
        <w:rPr>
          <w:rFonts w:cs="Times"/>
          <w:noProof/>
          <w:szCs w:val="24"/>
        </w:rPr>
        <w:tab/>
        <w:t xml:space="preserve">D. Subramanian, J. B. Klauda, P. J. Collings and M. A. Anisimov, </w:t>
      </w:r>
      <w:r w:rsidRPr="00EC5244">
        <w:rPr>
          <w:rFonts w:cs="Times"/>
          <w:i/>
          <w:iCs/>
          <w:noProof/>
          <w:szCs w:val="24"/>
        </w:rPr>
        <w:t>J. Phys. Chem. B</w:t>
      </w:r>
      <w:r w:rsidRPr="00EC5244">
        <w:rPr>
          <w:rFonts w:cs="Times"/>
          <w:noProof/>
          <w:szCs w:val="24"/>
        </w:rPr>
        <w:t xml:space="preserve">, 2014, </w:t>
      </w:r>
      <w:r w:rsidRPr="00EC5244">
        <w:rPr>
          <w:rFonts w:cs="Times"/>
          <w:b/>
          <w:bCs/>
          <w:noProof/>
          <w:szCs w:val="24"/>
        </w:rPr>
        <w:t>118</w:t>
      </w:r>
      <w:r w:rsidRPr="00EC5244">
        <w:rPr>
          <w:rFonts w:cs="Times"/>
          <w:noProof/>
          <w:szCs w:val="24"/>
        </w:rPr>
        <w:t>, 5994–6006.</w:t>
      </w:r>
    </w:p>
    <w:p w14:paraId="7DB57BD2"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59</w:t>
      </w:r>
      <w:r w:rsidRPr="00EC5244">
        <w:rPr>
          <w:rFonts w:cs="Times"/>
          <w:noProof/>
          <w:szCs w:val="24"/>
        </w:rPr>
        <w:tab/>
        <w:t xml:space="preserve">S. Schöttl and D. Horinek, </w:t>
      </w:r>
      <w:r w:rsidRPr="00EC5244">
        <w:rPr>
          <w:rFonts w:cs="Times"/>
          <w:i/>
          <w:iCs/>
          <w:noProof/>
          <w:szCs w:val="24"/>
        </w:rPr>
        <w:t>Curr. Opin. Colloid Interface Sci.</w:t>
      </w:r>
      <w:r w:rsidRPr="00EC5244">
        <w:rPr>
          <w:rFonts w:cs="Times"/>
          <w:noProof/>
          <w:szCs w:val="24"/>
        </w:rPr>
        <w:t xml:space="preserve">, 2016, </w:t>
      </w:r>
      <w:r w:rsidRPr="00EC5244">
        <w:rPr>
          <w:rFonts w:cs="Times"/>
          <w:b/>
          <w:bCs/>
          <w:noProof/>
          <w:szCs w:val="24"/>
        </w:rPr>
        <w:t>22</w:t>
      </w:r>
      <w:r w:rsidRPr="00EC5244">
        <w:rPr>
          <w:rFonts w:cs="Times"/>
          <w:noProof/>
          <w:szCs w:val="24"/>
        </w:rPr>
        <w:t>, 8–13.</w:t>
      </w:r>
    </w:p>
    <w:p w14:paraId="365C2FE2"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60</w:t>
      </w:r>
      <w:r w:rsidRPr="00EC5244">
        <w:rPr>
          <w:rFonts w:cs="Times"/>
          <w:noProof/>
          <w:szCs w:val="24"/>
        </w:rPr>
        <w:tab/>
        <w:t xml:space="preserve">S. Schöttl, J. Marcus, O. Diat, D. Touraud, W. Kunz, T. Zemb and D. Horinek, </w:t>
      </w:r>
      <w:r w:rsidRPr="00EC5244">
        <w:rPr>
          <w:rFonts w:cs="Times"/>
          <w:i/>
          <w:iCs/>
          <w:noProof/>
          <w:szCs w:val="24"/>
        </w:rPr>
        <w:t>Chem. Sci.</w:t>
      </w:r>
      <w:r w:rsidRPr="00EC5244">
        <w:rPr>
          <w:rFonts w:cs="Times"/>
          <w:noProof/>
          <w:szCs w:val="24"/>
        </w:rPr>
        <w:t xml:space="preserve">, 2014, </w:t>
      </w:r>
      <w:r w:rsidRPr="00EC5244">
        <w:rPr>
          <w:rFonts w:cs="Times"/>
          <w:b/>
          <w:bCs/>
          <w:noProof/>
          <w:szCs w:val="24"/>
        </w:rPr>
        <w:t>5</w:t>
      </w:r>
      <w:r w:rsidRPr="00EC5244">
        <w:rPr>
          <w:rFonts w:cs="Times"/>
          <w:noProof/>
          <w:szCs w:val="24"/>
        </w:rPr>
        <w:t>, 2909–3340.</w:t>
      </w:r>
    </w:p>
    <w:p w14:paraId="09A5D00A"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61</w:t>
      </w:r>
      <w:r w:rsidRPr="00EC5244">
        <w:rPr>
          <w:rFonts w:cs="Times"/>
          <w:noProof/>
          <w:szCs w:val="24"/>
        </w:rPr>
        <w:tab/>
        <w:t xml:space="preserve">O. Diat, M. L. Klossek, D. Touraud, B. Deme, I. Grillo, W. Kunz and T. Zemb, </w:t>
      </w:r>
      <w:r w:rsidRPr="00EC5244">
        <w:rPr>
          <w:rFonts w:cs="Times"/>
          <w:i/>
          <w:iCs/>
          <w:noProof/>
          <w:szCs w:val="24"/>
        </w:rPr>
        <w:t>J. Appl. Crystallogr.</w:t>
      </w:r>
      <w:r w:rsidRPr="00EC5244">
        <w:rPr>
          <w:rFonts w:cs="Times"/>
          <w:noProof/>
          <w:szCs w:val="24"/>
        </w:rPr>
        <w:t xml:space="preserve">, 2013, </w:t>
      </w:r>
      <w:r w:rsidRPr="00EC5244">
        <w:rPr>
          <w:rFonts w:cs="Times"/>
          <w:b/>
          <w:bCs/>
          <w:noProof/>
          <w:szCs w:val="24"/>
        </w:rPr>
        <w:t>46</w:t>
      </w:r>
      <w:r w:rsidRPr="00EC5244">
        <w:rPr>
          <w:rFonts w:cs="Times"/>
          <w:noProof/>
          <w:szCs w:val="24"/>
        </w:rPr>
        <w:t>, 1665–1669.</w:t>
      </w:r>
    </w:p>
    <w:p w14:paraId="392AC86E"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62</w:t>
      </w:r>
      <w:r w:rsidRPr="00EC5244">
        <w:rPr>
          <w:rFonts w:cs="Times"/>
          <w:noProof/>
          <w:szCs w:val="24"/>
        </w:rPr>
        <w:tab/>
        <w:t xml:space="preserve">S. Schöttl, D. Touraud, W. Kunz, T. Zemb and D. Horinek, </w:t>
      </w:r>
      <w:r w:rsidRPr="00EC5244">
        <w:rPr>
          <w:rFonts w:cs="Times"/>
          <w:i/>
          <w:iCs/>
          <w:noProof/>
          <w:szCs w:val="24"/>
        </w:rPr>
        <w:t>Colloids Surfaces A Physicochem. Eng. Asp.</w:t>
      </w:r>
      <w:r w:rsidRPr="00EC5244">
        <w:rPr>
          <w:rFonts w:cs="Times"/>
          <w:noProof/>
          <w:szCs w:val="24"/>
        </w:rPr>
        <w:t xml:space="preserve">, 2015, </w:t>
      </w:r>
      <w:r w:rsidRPr="00EC5244">
        <w:rPr>
          <w:rFonts w:cs="Times"/>
          <w:b/>
          <w:bCs/>
          <w:noProof/>
          <w:szCs w:val="24"/>
        </w:rPr>
        <w:t>480</w:t>
      </w:r>
      <w:r w:rsidRPr="00EC5244">
        <w:rPr>
          <w:rFonts w:cs="Times"/>
          <w:noProof/>
          <w:szCs w:val="24"/>
        </w:rPr>
        <w:t>, 222–227.</w:t>
      </w:r>
    </w:p>
    <w:p w14:paraId="3957F1AA"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63</w:t>
      </w:r>
      <w:r w:rsidRPr="00EC5244">
        <w:rPr>
          <w:rFonts w:cs="Times"/>
          <w:noProof/>
          <w:szCs w:val="24"/>
        </w:rPr>
        <w:tab/>
        <w:t xml:space="preserve">J. Marcus, D. Touraud, S. Prévost, O. Diat, T. Zemb and W. Kunz, </w:t>
      </w:r>
      <w:r w:rsidRPr="00EC5244">
        <w:rPr>
          <w:rFonts w:cs="Times"/>
          <w:i/>
          <w:iCs/>
          <w:noProof/>
          <w:szCs w:val="24"/>
        </w:rPr>
        <w:t>Phys. Chem. Chem. Phys.</w:t>
      </w:r>
      <w:r w:rsidRPr="00EC5244">
        <w:rPr>
          <w:rFonts w:cs="Times"/>
          <w:noProof/>
          <w:szCs w:val="24"/>
        </w:rPr>
        <w:t xml:space="preserve">, 2015, </w:t>
      </w:r>
      <w:r w:rsidRPr="00EC5244">
        <w:rPr>
          <w:rFonts w:cs="Times"/>
          <w:b/>
          <w:bCs/>
          <w:noProof/>
          <w:szCs w:val="24"/>
        </w:rPr>
        <w:t>17</w:t>
      </w:r>
      <w:r w:rsidRPr="00EC5244">
        <w:rPr>
          <w:rFonts w:cs="Times"/>
          <w:noProof/>
          <w:szCs w:val="24"/>
        </w:rPr>
        <w:t>, 32528–38.</w:t>
      </w:r>
    </w:p>
    <w:p w14:paraId="7DDEC818" w14:textId="77777777" w:rsidR="00BB4DD1" w:rsidRPr="00EC5244" w:rsidRDefault="00BB4DD1" w:rsidP="00BB4DD1">
      <w:pPr>
        <w:widowControl w:val="0"/>
        <w:autoSpaceDE w:val="0"/>
        <w:autoSpaceDN w:val="0"/>
        <w:adjustRightInd w:val="0"/>
        <w:spacing w:after="0" w:line="480" w:lineRule="auto"/>
        <w:ind w:left="640" w:hanging="640"/>
        <w:rPr>
          <w:rFonts w:cs="Times"/>
          <w:noProof/>
          <w:szCs w:val="24"/>
        </w:rPr>
      </w:pPr>
      <w:r w:rsidRPr="00EC5244">
        <w:rPr>
          <w:rFonts w:cs="Times"/>
          <w:noProof/>
          <w:szCs w:val="24"/>
        </w:rPr>
        <w:t>64</w:t>
      </w:r>
      <w:r w:rsidRPr="00EC5244">
        <w:rPr>
          <w:rFonts w:cs="Times"/>
          <w:noProof/>
          <w:szCs w:val="24"/>
        </w:rPr>
        <w:tab/>
        <w:t xml:space="preserve">T. N. Zemb, M. Klossek, T. Lopian, J. Marcus, S. Schöettl, D. Horinek, S. F. Prevost, D. Touraud, O. Diat, S. Marčelja and W. Kunz, </w:t>
      </w:r>
      <w:r w:rsidRPr="00EC5244">
        <w:rPr>
          <w:rFonts w:cs="Times"/>
          <w:i/>
          <w:iCs/>
          <w:noProof/>
          <w:szCs w:val="24"/>
        </w:rPr>
        <w:t>Proc. Natl. Acad. Sci.</w:t>
      </w:r>
      <w:r w:rsidRPr="00EC5244">
        <w:rPr>
          <w:rFonts w:cs="Times"/>
          <w:noProof/>
          <w:szCs w:val="24"/>
        </w:rPr>
        <w:t xml:space="preserve">, 2016, </w:t>
      </w:r>
      <w:r w:rsidRPr="00EC5244">
        <w:rPr>
          <w:rFonts w:cs="Times"/>
          <w:b/>
          <w:bCs/>
          <w:noProof/>
          <w:szCs w:val="24"/>
        </w:rPr>
        <w:t>113</w:t>
      </w:r>
      <w:r w:rsidRPr="00EC5244">
        <w:rPr>
          <w:rFonts w:cs="Times"/>
          <w:noProof/>
          <w:szCs w:val="24"/>
        </w:rPr>
        <w:t>, 4260–4265.</w:t>
      </w:r>
    </w:p>
    <w:p w14:paraId="66AF298B" w14:textId="77777777" w:rsidR="00BB4DD1" w:rsidRPr="00EC5244" w:rsidRDefault="00BB4DD1" w:rsidP="00BB4DD1">
      <w:pPr>
        <w:widowControl w:val="0"/>
        <w:autoSpaceDE w:val="0"/>
        <w:autoSpaceDN w:val="0"/>
        <w:adjustRightInd w:val="0"/>
        <w:spacing w:after="0" w:line="480" w:lineRule="auto"/>
        <w:ind w:left="640" w:hanging="640"/>
        <w:rPr>
          <w:rFonts w:cs="Times"/>
          <w:noProof/>
        </w:rPr>
      </w:pPr>
      <w:r w:rsidRPr="00EC5244">
        <w:rPr>
          <w:rFonts w:cs="Times"/>
          <w:noProof/>
          <w:szCs w:val="24"/>
        </w:rPr>
        <w:t>65</w:t>
      </w:r>
      <w:r w:rsidRPr="00EC5244">
        <w:rPr>
          <w:rFonts w:cs="Times"/>
          <w:noProof/>
          <w:szCs w:val="24"/>
        </w:rPr>
        <w:tab/>
        <w:t xml:space="preserve">T. Zemb and W. Kunz, </w:t>
      </w:r>
      <w:r w:rsidRPr="00EC5244">
        <w:rPr>
          <w:rFonts w:cs="Times"/>
          <w:i/>
          <w:iCs/>
          <w:noProof/>
          <w:szCs w:val="24"/>
        </w:rPr>
        <w:t>Curr. Opin. Colloid Interface Sci.</w:t>
      </w:r>
      <w:r w:rsidRPr="00EC5244">
        <w:rPr>
          <w:rFonts w:cs="Times"/>
          <w:noProof/>
          <w:szCs w:val="24"/>
        </w:rPr>
        <w:t xml:space="preserve">, 2016, </w:t>
      </w:r>
      <w:r w:rsidRPr="00EC5244">
        <w:rPr>
          <w:rFonts w:cs="Times"/>
          <w:b/>
          <w:bCs/>
          <w:noProof/>
          <w:szCs w:val="24"/>
        </w:rPr>
        <w:t>22</w:t>
      </w:r>
      <w:r w:rsidRPr="00EC5244">
        <w:rPr>
          <w:rFonts w:cs="Times"/>
          <w:noProof/>
          <w:szCs w:val="24"/>
        </w:rPr>
        <w:t>, 113–119.</w:t>
      </w:r>
    </w:p>
    <w:p w14:paraId="69F11A1C" w14:textId="134BA78F" w:rsidR="00CB22DD" w:rsidRPr="00EC5244" w:rsidRDefault="004722FE" w:rsidP="00CB22DD">
      <w:pPr>
        <w:spacing w:after="0" w:line="480" w:lineRule="auto"/>
        <w:ind w:firstLine="202"/>
        <w:rPr>
          <w:rFonts w:eastAsia="Yu Mincho"/>
          <w:lang w:val="en-CA"/>
        </w:rPr>
      </w:pPr>
      <w:r w:rsidRPr="00EC5244">
        <w:rPr>
          <w:rFonts w:eastAsia="Yu Mincho"/>
          <w:lang w:val="en-CA"/>
        </w:rPr>
        <w:fldChar w:fldCharType="end"/>
      </w:r>
    </w:p>
    <w:p w14:paraId="774C3E41" w14:textId="77777777" w:rsidR="006441DE" w:rsidRPr="00EC5244" w:rsidRDefault="006441DE" w:rsidP="00510078">
      <w:pPr>
        <w:shd w:val="clear" w:color="auto" w:fill="FFFFFF"/>
        <w:spacing w:after="0" w:line="480" w:lineRule="auto"/>
        <w:rPr>
          <w:rFonts w:ascii="Times New Roman" w:eastAsia="MS Mincho" w:hAnsi="Times New Roman"/>
          <w:b/>
          <w:szCs w:val="24"/>
          <w:lang w:val="en-CA"/>
        </w:rPr>
      </w:pPr>
    </w:p>
    <w:p w14:paraId="1C6725D9" w14:textId="4129963F" w:rsidR="006A6D15" w:rsidRPr="00EC5244" w:rsidRDefault="006A6D15">
      <w:pPr>
        <w:spacing w:after="0"/>
        <w:jc w:val="left"/>
        <w:rPr>
          <w:rFonts w:ascii="Times New Roman" w:eastAsia="MS Mincho" w:hAnsi="Times New Roman"/>
          <w:b/>
          <w:szCs w:val="24"/>
          <w:lang w:val="en-CA"/>
        </w:rPr>
      </w:pPr>
      <w:r w:rsidRPr="00EC5244">
        <w:rPr>
          <w:rFonts w:ascii="Times New Roman" w:eastAsia="MS Mincho" w:hAnsi="Times New Roman"/>
          <w:b/>
          <w:szCs w:val="24"/>
          <w:lang w:val="en-CA"/>
        </w:rPr>
        <w:br w:type="page"/>
      </w:r>
    </w:p>
    <w:p w14:paraId="7375C25B" w14:textId="65B39B49" w:rsidR="004A57EC" w:rsidRPr="00EC5244" w:rsidRDefault="006A6D15">
      <w:pPr>
        <w:spacing w:after="0"/>
        <w:jc w:val="left"/>
        <w:rPr>
          <w:rFonts w:ascii="Times New Roman" w:eastAsia="MS Mincho" w:hAnsi="Times New Roman"/>
          <w:b/>
          <w:szCs w:val="24"/>
          <w:lang w:val="en-CA"/>
        </w:rPr>
      </w:pPr>
      <w:r w:rsidRPr="00EC5244">
        <w:rPr>
          <w:rFonts w:ascii="Times New Roman" w:eastAsia="MS Mincho" w:hAnsi="Times New Roman"/>
          <w:b/>
          <w:szCs w:val="24"/>
          <w:lang w:val="en-CA"/>
        </w:rPr>
        <w:t>Graphical Abstract</w:t>
      </w:r>
    </w:p>
    <w:p w14:paraId="48593457" w14:textId="4DE77F62" w:rsidR="006A6D15" w:rsidRPr="00EC5244" w:rsidRDefault="006A6D15">
      <w:pPr>
        <w:spacing w:after="0"/>
        <w:jc w:val="left"/>
        <w:rPr>
          <w:rFonts w:ascii="Times New Roman" w:eastAsia="MS Mincho" w:hAnsi="Times New Roman"/>
          <w:b/>
          <w:szCs w:val="24"/>
          <w:lang w:val="en-CA"/>
        </w:rPr>
      </w:pPr>
    </w:p>
    <w:p w14:paraId="1E5C7205" w14:textId="261F69BF" w:rsidR="006A6D15" w:rsidRPr="00C035D6" w:rsidRDefault="006A6D15">
      <w:pPr>
        <w:spacing w:after="0"/>
        <w:jc w:val="left"/>
        <w:rPr>
          <w:rFonts w:ascii="Times New Roman" w:eastAsia="MS Mincho" w:hAnsi="Times New Roman"/>
          <w:b/>
          <w:szCs w:val="24"/>
          <w:lang w:val="en-CA"/>
        </w:rPr>
      </w:pPr>
      <w:r w:rsidRPr="00EC5244">
        <w:rPr>
          <w:rFonts w:ascii="Times New Roman" w:eastAsia="MS Mincho" w:hAnsi="Times New Roman"/>
          <w:b/>
          <w:noProof/>
          <w:szCs w:val="24"/>
          <w:lang w:val="en-GB" w:eastAsia="ja-JP"/>
        </w:rPr>
        <w:drawing>
          <wp:inline distT="0" distB="0" distL="0" distR="0" wp14:anchorId="1E287FF5" wp14:editId="0E8592BA">
            <wp:extent cx="1383792" cy="112536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abstract.png"/>
                    <pic:cNvPicPr/>
                  </pic:nvPicPr>
                  <pic:blipFill>
                    <a:blip r:embed="rId10"/>
                    <a:stretch>
                      <a:fillRect/>
                    </a:stretch>
                  </pic:blipFill>
                  <pic:spPr>
                    <a:xfrm>
                      <a:off x="0" y="0"/>
                      <a:ext cx="1399612" cy="1138232"/>
                    </a:xfrm>
                    <a:prstGeom prst="rect">
                      <a:avLst/>
                    </a:prstGeom>
                  </pic:spPr>
                </pic:pic>
              </a:graphicData>
            </a:graphic>
          </wp:inline>
        </w:drawing>
      </w:r>
      <w:bookmarkStart w:id="0" w:name="_GoBack"/>
      <w:bookmarkEnd w:id="0"/>
    </w:p>
    <w:sectPr w:rsidR="006A6D15" w:rsidRPr="00C035D6" w:rsidSect="00FD5AE7">
      <w:footerReference w:type="even" r:id="rId11"/>
      <w:footerReference w:type="default" r:id="rId12"/>
      <w:type w:val="continuous"/>
      <w:pgSz w:w="12240" w:h="15840"/>
      <w:pgMar w:top="1440" w:right="1440" w:bottom="1440" w:left="1440" w:header="0" w:footer="0" w:gutter="0"/>
      <w:cols w:space="47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B039A" w14:textId="77777777" w:rsidR="000C7FF6" w:rsidRDefault="000C7FF6">
      <w:r>
        <w:separator/>
      </w:r>
    </w:p>
  </w:endnote>
  <w:endnote w:type="continuationSeparator" w:id="0">
    <w:p w14:paraId="3A2EA705" w14:textId="77777777" w:rsidR="000C7FF6" w:rsidRDefault="000C7FF6">
      <w:r>
        <w:continuationSeparator/>
      </w:r>
    </w:p>
  </w:endnote>
  <w:endnote w:type="continuationNotice" w:id="1">
    <w:p w14:paraId="2C45B7E1" w14:textId="77777777" w:rsidR="000C7FF6" w:rsidRDefault="000C7F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jaVu Sans">
    <w:altName w:val="MS Mincho"/>
    <w:charset w:val="00"/>
    <w:family w:val="swiss"/>
    <w:pitch w:val="variable"/>
    <w:sig w:usb0="E7002EFF" w:usb1="D200FDFF" w:usb2="0A24602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5BD6E" w14:textId="77777777" w:rsidR="00F6185C" w:rsidRDefault="00F618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10D477" w14:textId="77777777" w:rsidR="00F6185C" w:rsidRDefault="00F618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5409C" w14:textId="393280F5" w:rsidR="00F6185C" w:rsidRDefault="00F618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7FF6">
      <w:rPr>
        <w:rStyle w:val="PageNumber"/>
        <w:noProof/>
      </w:rPr>
      <w:t>1</w:t>
    </w:r>
    <w:r>
      <w:rPr>
        <w:rStyle w:val="PageNumber"/>
      </w:rPr>
      <w:fldChar w:fldCharType="end"/>
    </w:r>
  </w:p>
  <w:p w14:paraId="3C1C5B0B" w14:textId="77777777" w:rsidR="00F6185C" w:rsidRDefault="00F618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8EE15" w14:textId="77777777" w:rsidR="000C7FF6" w:rsidRDefault="000C7FF6">
      <w:r>
        <w:separator/>
      </w:r>
    </w:p>
  </w:footnote>
  <w:footnote w:type="continuationSeparator" w:id="0">
    <w:p w14:paraId="12DF4C33" w14:textId="77777777" w:rsidR="000C7FF6" w:rsidRDefault="000C7FF6">
      <w:r>
        <w:continuationSeparator/>
      </w:r>
    </w:p>
  </w:footnote>
  <w:footnote w:type="continuationNotice" w:id="1">
    <w:p w14:paraId="587C4A30" w14:textId="77777777" w:rsidR="000C7FF6" w:rsidRDefault="000C7FF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B70"/>
    <w:multiLevelType w:val="hybridMultilevel"/>
    <w:tmpl w:val="62ACC2BC"/>
    <w:lvl w:ilvl="0" w:tplc="32FAF8FC">
      <w:start w:val="1"/>
      <w:numFmt w:val="decimal"/>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1" w15:restartNumberingAfterBreak="0">
    <w:nsid w:val="149953C9"/>
    <w:multiLevelType w:val="hybridMultilevel"/>
    <w:tmpl w:val="40F697D6"/>
    <w:lvl w:ilvl="0" w:tplc="A5A65E6E">
      <w:start w:val="1"/>
      <w:numFmt w:val="lowerLetter"/>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2" w15:restartNumberingAfterBreak="0">
    <w:nsid w:val="2E9700C0"/>
    <w:multiLevelType w:val="hybridMultilevel"/>
    <w:tmpl w:val="31D87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592A97"/>
    <w:multiLevelType w:val="hybridMultilevel"/>
    <w:tmpl w:val="0D7EE846"/>
    <w:lvl w:ilvl="0" w:tplc="D99A6564">
      <w:start w:val="1"/>
      <w:numFmt w:val="decimal"/>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4" w15:restartNumberingAfterBreak="0">
    <w:nsid w:val="3B056BB8"/>
    <w:multiLevelType w:val="hybridMultilevel"/>
    <w:tmpl w:val="BC604B3C"/>
    <w:lvl w:ilvl="0" w:tplc="FC748EFC">
      <w:start w:val="1"/>
      <w:numFmt w:val="decimal"/>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5" w15:restartNumberingAfterBreak="0">
    <w:nsid w:val="4C5F0AA4"/>
    <w:multiLevelType w:val="hybridMultilevel"/>
    <w:tmpl w:val="1A488724"/>
    <w:lvl w:ilvl="0" w:tplc="4DC61594">
      <w:start w:val="5"/>
      <w:numFmt w:val="bullet"/>
      <w:lvlText w:val="-"/>
      <w:lvlJc w:val="left"/>
      <w:pPr>
        <w:ind w:left="562" w:hanging="360"/>
      </w:pPr>
      <w:rPr>
        <w:rFonts w:ascii="Times" w:eastAsiaTheme="minorEastAsia" w:hAnsi="Times" w:cs="Times" w:hint="default"/>
      </w:rPr>
    </w:lvl>
    <w:lvl w:ilvl="1" w:tplc="08090003" w:tentative="1">
      <w:start w:val="1"/>
      <w:numFmt w:val="bullet"/>
      <w:lvlText w:val="o"/>
      <w:lvlJc w:val="left"/>
      <w:pPr>
        <w:ind w:left="1282" w:hanging="360"/>
      </w:pPr>
      <w:rPr>
        <w:rFonts w:ascii="Courier New" w:hAnsi="Courier New" w:cs="Courier New" w:hint="default"/>
      </w:rPr>
    </w:lvl>
    <w:lvl w:ilvl="2" w:tplc="08090005" w:tentative="1">
      <w:start w:val="1"/>
      <w:numFmt w:val="bullet"/>
      <w:lvlText w:val=""/>
      <w:lvlJc w:val="left"/>
      <w:pPr>
        <w:ind w:left="2002" w:hanging="360"/>
      </w:pPr>
      <w:rPr>
        <w:rFonts w:ascii="Wingdings" w:hAnsi="Wingdings" w:hint="default"/>
      </w:rPr>
    </w:lvl>
    <w:lvl w:ilvl="3" w:tplc="08090001" w:tentative="1">
      <w:start w:val="1"/>
      <w:numFmt w:val="bullet"/>
      <w:lvlText w:val=""/>
      <w:lvlJc w:val="left"/>
      <w:pPr>
        <w:ind w:left="2722" w:hanging="360"/>
      </w:pPr>
      <w:rPr>
        <w:rFonts w:ascii="Symbol" w:hAnsi="Symbol" w:hint="default"/>
      </w:rPr>
    </w:lvl>
    <w:lvl w:ilvl="4" w:tplc="08090003" w:tentative="1">
      <w:start w:val="1"/>
      <w:numFmt w:val="bullet"/>
      <w:lvlText w:val="o"/>
      <w:lvlJc w:val="left"/>
      <w:pPr>
        <w:ind w:left="3442" w:hanging="360"/>
      </w:pPr>
      <w:rPr>
        <w:rFonts w:ascii="Courier New" w:hAnsi="Courier New" w:cs="Courier New" w:hint="default"/>
      </w:rPr>
    </w:lvl>
    <w:lvl w:ilvl="5" w:tplc="08090005" w:tentative="1">
      <w:start w:val="1"/>
      <w:numFmt w:val="bullet"/>
      <w:lvlText w:val=""/>
      <w:lvlJc w:val="left"/>
      <w:pPr>
        <w:ind w:left="4162" w:hanging="360"/>
      </w:pPr>
      <w:rPr>
        <w:rFonts w:ascii="Wingdings" w:hAnsi="Wingdings" w:hint="default"/>
      </w:rPr>
    </w:lvl>
    <w:lvl w:ilvl="6" w:tplc="08090001" w:tentative="1">
      <w:start w:val="1"/>
      <w:numFmt w:val="bullet"/>
      <w:lvlText w:val=""/>
      <w:lvlJc w:val="left"/>
      <w:pPr>
        <w:ind w:left="4882" w:hanging="360"/>
      </w:pPr>
      <w:rPr>
        <w:rFonts w:ascii="Symbol" w:hAnsi="Symbol" w:hint="default"/>
      </w:rPr>
    </w:lvl>
    <w:lvl w:ilvl="7" w:tplc="08090003" w:tentative="1">
      <w:start w:val="1"/>
      <w:numFmt w:val="bullet"/>
      <w:lvlText w:val="o"/>
      <w:lvlJc w:val="left"/>
      <w:pPr>
        <w:ind w:left="5602" w:hanging="360"/>
      </w:pPr>
      <w:rPr>
        <w:rFonts w:ascii="Courier New" w:hAnsi="Courier New" w:cs="Courier New" w:hint="default"/>
      </w:rPr>
    </w:lvl>
    <w:lvl w:ilvl="8" w:tplc="08090005" w:tentative="1">
      <w:start w:val="1"/>
      <w:numFmt w:val="bullet"/>
      <w:lvlText w:val=""/>
      <w:lvlJc w:val="left"/>
      <w:pPr>
        <w:ind w:left="6322" w:hanging="360"/>
      </w:pPr>
      <w:rPr>
        <w:rFonts w:ascii="Wingdings" w:hAnsi="Wingdings" w:hint="default"/>
      </w:rPr>
    </w:lvl>
  </w:abstractNum>
  <w:abstractNum w:abstractNumId="6" w15:restartNumberingAfterBreak="0">
    <w:nsid w:val="6802674E"/>
    <w:multiLevelType w:val="hybridMultilevel"/>
    <w:tmpl w:val="F15AAC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6"/>
  </w:num>
  <w:num w:numId="5">
    <w:abstractNumId w:val="5"/>
  </w:num>
  <w:num w:numId="6">
    <w:abstractNumId w:val="1"/>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73E"/>
    <w:rsid w:val="00000E7D"/>
    <w:rsid w:val="00001570"/>
    <w:rsid w:val="000044BE"/>
    <w:rsid w:val="00004EDF"/>
    <w:rsid w:val="0000502F"/>
    <w:rsid w:val="000061B9"/>
    <w:rsid w:val="00006A62"/>
    <w:rsid w:val="000103B3"/>
    <w:rsid w:val="00010727"/>
    <w:rsid w:val="00010C8E"/>
    <w:rsid w:val="00012D34"/>
    <w:rsid w:val="000137A7"/>
    <w:rsid w:val="00013B83"/>
    <w:rsid w:val="000141A9"/>
    <w:rsid w:val="000201D1"/>
    <w:rsid w:val="00020E4F"/>
    <w:rsid w:val="0002140D"/>
    <w:rsid w:val="0002269E"/>
    <w:rsid w:val="0002282D"/>
    <w:rsid w:val="0002426D"/>
    <w:rsid w:val="000261A3"/>
    <w:rsid w:val="00026915"/>
    <w:rsid w:val="00027843"/>
    <w:rsid w:val="00027CA1"/>
    <w:rsid w:val="00027E67"/>
    <w:rsid w:val="000329A1"/>
    <w:rsid w:val="00032AA6"/>
    <w:rsid w:val="00032B75"/>
    <w:rsid w:val="00037B47"/>
    <w:rsid w:val="000403F8"/>
    <w:rsid w:val="00040B44"/>
    <w:rsid w:val="00042CBA"/>
    <w:rsid w:val="00044C3E"/>
    <w:rsid w:val="00045549"/>
    <w:rsid w:val="000459A5"/>
    <w:rsid w:val="00045D23"/>
    <w:rsid w:val="00046BF1"/>
    <w:rsid w:val="00047620"/>
    <w:rsid w:val="000507C6"/>
    <w:rsid w:val="00051319"/>
    <w:rsid w:val="000516C7"/>
    <w:rsid w:val="00051ECF"/>
    <w:rsid w:val="00053600"/>
    <w:rsid w:val="000547B5"/>
    <w:rsid w:val="0005660F"/>
    <w:rsid w:val="00056CC5"/>
    <w:rsid w:val="000605D6"/>
    <w:rsid w:val="00062574"/>
    <w:rsid w:val="0006282B"/>
    <w:rsid w:val="00062E97"/>
    <w:rsid w:val="00065148"/>
    <w:rsid w:val="00065EE4"/>
    <w:rsid w:val="000664AE"/>
    <w:rsid w:val="0007002B"/>
    <w:rsid w:val="000705E7"/>
    <w:rsid w:val="00071B77"/>
    <w:rsid w:val="00072412"/>
    <w:rsid w:val="00072F9D"/>
    <w:rsid w:val="00073646"/>
    <w:rsid w:val="000756CC"/>
    <w:rsid w:val="000757EE"/>
    <w:rsid w:val="0007642D"/>
    <w:rsid w:val="00076A9F"/>
    <w:rsid w:val="00077668"/>
    <w:rsid w:val="00077C27"/>
    <w:rsid w:val="00077C44"/>
    <w:rsid w:val="00080927"/>
    <w:rsid w:val="00080940"/>
    <w:rsid w:val="00080C88"/>
    <w:rsid w:val="00081138"/>
    <w:rsid w:val="0008214E"/>
    <w:rsid w:val="000830D2"/>
    <w:rsid w:val="00083FE3"/>
    <w:rsid w:val="00084890"/>
    <w:rsid w:val="000851D6"/>
    <w:rsid w:val="00085B3F"/>
    <w:rsid w:val="00085F94"/>
    <w:rsid w:val="00087171"/>
    <w:rsid w:val="000875D4"/>
    <w:rsid w:val="000901C4"/>
    <w:rsid w:val="000907BC"/>
    <w:rsid w:val="0009132E"/>
    <w:rsid w:val="0009183D"/>
    <w:rsid w:val="00091F2D"/>
    <w:rsid w:val="000943D3"/>
    <w:rsid w:val="00094BD3"/>
    <w:rsid w:val="00095294"/>
    <w:rsid w:val="00096515"/>
    <w:rsid w:val="00097611"/>
    <w:rsid w:val="000A27B7"/>
    <w:rsid w:val="000A37D4"/>
    <w:rsid w:val="000A3DCA"/>
    <w:rsid w:val="000A405E"/>
    <w:rsid w:val="000A6D5D"/>
    <w:rsid w:val="000A77BE"/>
    <w:rsid w:val="000B0D0F"/>
    <w:rsid w:val="000B2960"/>
    <w:rsid w:val="000B36D8"/>
    <w:rsid w:val="000B45B0"/>
    <w:rsid w:val="000B4987"/>
    <w:rsid w:val="000B5610"/>
    <w:rsid w:val="000B6278"/>
    <w:rsid w:val="000B63BB"/>
    <w:rsid w:val="000C1328"/>
    <w:rsid w:val="000C13CB"/>
    <w:rsid w:val="000C228B"/>
    <w:rsid w:val="000C35CE"/>
    <w:rsid w:val="000C3939"/>
    <w:rsid w:val="000C3D16"/>
    <w:rsid w:val="000C5BAF"/>
    <w:rsid w:val="000C61EC"/>
    <w:rsid w:val="000C6390"/>
    <w:rsid w:val="000C6916"/>
    <w:rsid w:val="000C6FBF"/>
    <w:rsid w:val="000C74CA"/>
    <w:rsid w:val="000C7FF6"/>
    <w:rsid w:val="000D1E94"/>
    <w:rsid w:val="000D303A"/>
    <w:rsid w:val="000D358E"/>
    <w:rsid w:val="000D4991"/>
    <w:rsid w:val="000D6460"/>
    <w:rsid w:val="000E15EE"/>
    <w:rsid w:val="000E36FA"/>
    <w:rsid w:val="000E3DAB"/>
    <w:rsid w:val="000E4635"/>
    <w:rsid w:val="000E4A08"/>
    <w:rsid w:val="000E5237"/>
    <w:rsid w:val="000E6B31"/>
    <w:rsid w:val="000E784B"/>
    <w:rsid w:val="000E7BBE"/>
    <w:rsid w:val="000F19CA"/>
    <w:rsid w:val="000F2888"/>
    <w:rsid w:val="000F4585"/>
    <w:rsid w:val="000F4708"/>
    <w:rsid w:val="000F4E31"/>
    <w:rsid w:val="000F4FF3"/>
    <w:rsid w:val="000F5711"/>
    <w:rsid w:val="000F5E8F"/>
    <w:rsid w:val="000F5E9D"/>
    <w:rsid w:val="000F5FCD"/>
    <w:rsid w:val="000F6965"/>
    <w:rsid w:val="000F6B0B"/>
    <w:rsid w:val="00101D8A"/>
    <w:rsid w:val="00102556"/>
    <w:rsid w:val="00102DCF"/>
    <w:rsid w:val="00105025"/>
    <w:rsid w:val="00105A3A"/>
    <w:rsid w:val="00105E22"/>
    <w:rsid w:val="001062F7"/>
    <w:rsid w:val="00110F1E"/>
    <w:rsid w:val="001119BB"/>
    <w:rsid w:val="00112FD2"/>
    <w:rsid w:val="0011755A"/>
    <w:rsid w:val="0012235D"/>
    <w:rsid w:val="00122B0A"/>
    <w:rsid w:val="00123B9D"/>
    <w:rsid w:val="00127B7C"/>
    <w:rsid w:val="00130752"/>
    <w:rsid w:val="001335E9"/>
    <w:rsid w:val="0013471B"/>
    <w:rsid w:val="00135905"/>
    <w:rsid w:val="00136246"/>
    <w:rsid w:val="00136A5C"/>
    <w:rsid w:val="00140954"/>
    <w:rsid w:val="00144183"/>
    <w:rsid w:val="00144FCC"/>
    <w:rsid w:val="001459F1"/>
    <w:rsid w:val="00150FE0"/>
    <w:rsid w:val="00152E5C"/>
    <w:rsid w:val="00154612"/>
    <w:rsid w:val="00156DF4"/>
    <w:rsid w:val="001570E8"/>
    <w:rsid w:val="001606BB"/>
    <w:rsid w:val="00164C2C"/>
    <w:rsid w:val="00164DE1"/>
    <w:rsid w:val="00171757"/>
    <w:rsid w:val="001717CA"/>
    <w:rsid w:val="001731E9"/>
    <w:rsid w:val="0017327C"/>
    <w:rsid w:val="0017422A"/>
    <w:rsid w:val="00174C72"/>
    <w:rsid w:val="001758C6"/>
    <w:rsid w:val="00176970"/>
    <w:rsid w:val="00177D1E"/>
    <w:rsid w:val="00180B56"/>
    <w:rsid w:val="00180CCB"/>
    <w:rsid w:val="001835C6"/>
    <w:rsid w:val="00184A74"/>
    <w:rsid w:val="00186137"/>
    <w:rsid w:val="001862BE"/>
    <w:rsid w:val="001868A4"/>
    <w:rsid w:val="001878D0"/>
    <w:rsid w:val="00191D5D"/>
    <w:rsid w:val="00192C25"/>
    <w:rsid w:val="00195258"/>
    <w:rsid w:val="001967E6"/>
    <w:rsid w:val="0019745D"/>
    <w:rsid w:val="001A139F"/>
    <w:rsid w:val="001A34AB"/>
    <w:rsid w:val="001A3E1D"/>
    <w:rsid w:val="001A66F8"/>
    <w:rsid w:val="001A6CCF"/>
    <w:rsid w:val="001A7645"/>
    <w:rsid w:val="001B02A9"/>
    <w:rsid w:val="001B07D9"/>
    <w:rsid w:val="001B137E"/>
    <w:rsid w:val="001B4CC2"/>
    <w:rsid w:val="001B58D9"/>
    <w:rsid w:val="001C05C4"/>
    <w:rsid w:val="001C10AE"/>
    <w:rsid w:val="001C44D4"/>
    <w:rsid w:val="001C5065"/>
    <w:rsid w:val="001C6042"/>
    <w:rsid w:val="001C651E"/>
    <w:rsid w:val="001C6C39"/>
    <w:rsid w:val="001C7543"/>
    <w:rsid w:val="001D3484"/>
    <w:rsid w:val="001D4CC8"/>
    <w:rsid w:val="001D6DD5"/>
    <w:rsid w:val="001E11E1"/>
    <w:rsid w:val="001E1AA8"/>
    <w:rsid w:val="001E1F75"/>
    <w:rsid w:val="001E3322"/>
    <w:rsid w:val="001E3B01"/>
    <w:rsid w:val="001E745E"/>
    <w:rsid w:val="001F0C05"/>
    <w:rsid w:val="001F1CF3"/>
    <w:rsid w:val="001F25A1"/>
    <w:rsid w:val="001F2D22"/>
    <w:rsid w:val="001F497D"/>
    <w:rsid w:val="001F4D2E"/>
    <w:rsid w:val="001F53C6"/>
    <w:rsid w:val="00203E25"/>
    <w:rsid w:val="00203FCA"/>
    <w:rsid w:val="00204BB9"/>
    <w:rsid w:val="002059AC"/>
    <w:rsid w:val="0020761D"/>
    <w:rsid w:val="00211ED1"/>
    <w:rsid w:val="00214A4C"/>
    <w:rsid w:val="002162D6"/>
    <w:rsid w:val="00217C45"/>
    <w:rsid w:val="0022169A"/>
    <w:rsid w:val="00222BC6"/>
    <w:rsid w:val="00225398"/>
    <w:rsid w:val="00225C09"/>
    <w:rsid w:val="00227043"/>
    <w:rsid w:val="00227491"/>
    <w:rsid w:val="0023078E"/>
    <w:rsid w:val="00233278"/>
    <w:rsid w:val="002342C0"/>
    <w:rsid w:val="00234504"/>
    <w:rsid w:val="00236715"/>
    <w:rsid w:val="00237B57"/>
    <w:rsid w:val="002405B8"/>
    <w:rsid w:val="00241F1B"/>
    <w:rsid w:val="002427B0"/>
    <w:rsid w:val="00242A2D"/>
    <w:rsid w:val="0024425E"/>
    <w:rsid w:val="0024446E"/>
    <w:rsid w:val="002446ED"/>
    <w:rsid w:val="00247F5D"/>
    <w:rsid w:val="0025038D"/>
    <w:rsid w:val="00251C57"/>
    <w:rsid w:val="00253ACE"/>
    <w:rsid w:val="00254480"/>
    <w:rsid w:val="00254FCD"/>
    <w:rsid w:val="0025761A"/>
    <w:rsid w:val="00257700"/>
    <w:rsid w:val="00260BA2"/>
    <w:rsid w:val="0026170E"/>
    <w:rsid w:val="00262521"/>
    <w:rsid w:val="00263550"/>
    <w:rsid w:val="00264337"/>
    <w:rsid w:val="002659AB"/>
    <w:rsid w:val="002661DC"/>
    <w:rsid w:val="00270662"/>
    <w:rsid w:val="0027770E"/>
    <w:rsid w:val="00280C15"/>
    <w:rsid w:val="00280D76"/>
    <w:rsid w:val="00280EDB"/>
    <w:rsid w:val="00283FBB"/>
    <w:rsid w:val="0028690C"/>
    <w:rsid w:val="00287D2A"/>
    <w:rsid w:val="00287E35"/>
    <w:rsid w:val="002917B8"/>
    <w:rsid w:val="00294C1B"/>
    <w:rsid w:val="002A4A04"/>
    <w:rsid w:val="002A4A33"/>
    <w:rsid w:val="002A57A6"/>
    <w:rsid w:val="002A68DD"/>
    <w:rsid w:val="002A692F"/>
    <w:rsid w:val="002A737F"/>
    <w:rsid w:val="002B0015"/>
    <w:rsid w:val="002B288C"/>
    <w:rsid w:val="002B3488"/>
    <w:rsid w:val="002B3B0B"/>
    <w:rsid w:val="002B46CA"/>
    <w:rsid w:val="002B65D3"/>
    <w:rsid w:val="002B660D"/>
    <w:rsid w:val="002B66EA"/>
    <w:rsid w:val="002B694C"/>
    <w:rsid w:val="002B6B56"/>
    <w:rsid w:val="002B7E51"/>
    <w:rsid w:val="002B7ED4"/>
    <w:rsid w:val="002C0572"/>
    <w:rsid w:val="002C0CD6"/>
    <w:rsid w:val="002C1B36"/>
    <w:rsid w:val="002C3431"/>
    <w:rsid w:val="002C3CA8"/>
    <w:rsid w:val="002C5BBA"/>
    <w:rsid w:val="002C71D9"/>
    <w:rsid w:val="002D02D3"/>
    <w:rsid w:val="002D060A"/>
    <w:rsid w:val="002D24A3"/>
    <w:rsid w:val="002D2B1E"/>
    <w:rsid w:val="002D3121"/>
    <w:rsid w:val="002D3E3C"/>
    <w:rsid w:val="002D6E75"/>
    <w:rsid w:val="002D7218"/>
    <w:rsid w:val="002D72F5"/>
    <w:rsid w:val="002D78DC"/>
    <w:rsid w:val="002E023A"/>
    <w:rsid w:val="002E0B97"/>
    <w:rsid w:val="002E2C3D"/>
    <w:rsid w:val="002E32A2"/>
    <w:rsid w:val="002E5162"/>
    <w:rsid w:val="002E5960"/>
    <w:rsid w:val="002F183F"/>
    <w:rsid w:val="002F23C7"/>
    <w:rsid w:val="002F55FD"/>
    <w:rsid w:val="002F57FC"/>
    <w:rsid w:val="002F7F91"/>
    <w:rsid w:val="0030208C"/>
    <w:rsid w:val="00303452"/>
    <w:rsid w:val="003061B6"/>
    <w:rsid w:val="00306C3E"/>
    <w:rsid w:val="00310F94"/>
    <w:rsid w:val="00311835"/>
    <w:rsid w:val="00311853"/>
    <w:rsid w:val="00312335"/>
    <w:rsid w:val="003133E0"/>
    <w:rsid w:val="00314FB1"/>
    <w:rsid w:val="00316C3A"/>
    <w:rsid w:val="00321493"/>
    <w:rsid w:val="00321DB1"/>
    <w:rsid w:val="0032212F"/>
    <w:rsid w:val="003226B2"/>
    <w:rsid w:val="00322C62"/>
    <w:rsid w:val="00323160"/>
    <w:rsid w:val="00323571"/>
    <w:rsid w:val="00323BA1"/>
    <w:rsid w:val="00324254"/>
    <w:rsid w:val="00324679"/>
    <w:rsid w:val="00327465"/>
    <w:rsid w:val="00327C48"/>
    <w:rsid w:val="00331BEF"/>
    <w:rsid w:val="00332585"/>
    <w:rsid w:val="0033443D"/>
    <w:rsid w:val="00336368"/>
    <w:rsid w:val="003364EE"/>
    <w:rsid w:val="00340308"/>
    <w:rsid w:val="003411CA"/>
    <w:rsid w:val="00345213"/>
    <w:rsid w:val="003473A3"/>
    <w:rsid w:val="00350182"/>
    <w:rsid w:val="0035121D"/>
    <w:rsid w:val="003519FA"/>
    <w:rsid w:val="00352589"/>
    <w:rsid w:val="003533ED"/>
    <w:rsid w:val="00354FDC"/>
    <w:rsid w:val="00355F8C"/>
    <w:rsid w:val="00357723"/>
    <w:rsid w:val="0036021D"/>
    <w:rsid w:val="00360D11"/>
    <w:rsid w:val="003624CA"/>
    <w:rsid w:val="00363312"/>
    <w:rsid w:val="00365B70"/>
    <w:rsid w:val="00365DFC"/>
    <w:rsid w:val="003664E9"/>
    <w:rsid w:val="003670B6"/>
    <w:rsid w:val="003673FB"/>
    <w:rsid w:val="003679A1"/>
    <w:rsid w:val="0037267E"/>
    <w:rsid w:val="00374062"/>
    <w:rsid w:val="003752E0"/>
    <w:rsid w:val="00376CE7"/>
    <w:rsid w:val="003808DC"/>
    <w:rsid w:val="00380D98"/>
    <w:rsid w:val="00381C25"/>
    <w:rsid w:val="003875A6"/>
    <w:rsid w:val="003877F9"/>
    <w:rsid w:val="003906D3"/>
    <w:rsid w:val="0039109D"/>
    <w:rsid w:val="0039159E"/>
    <w:rsid w:val="00392C49"/>
    <w:rsid w:val="00392DEC"/>
    <w:rsid w:val="00392F53"/>
    <w:rsid w:val="003942C4"/>
    <w:rsid w:val="00395B74"/>
    <w:rsid w:val="00396236"/>
    <w:rsid w:val="00397116"/>
    <w:rsid w:val="003972F7"/>
    <w:rsid w:val="003A0815"/>
    <w:rsid w:val="003A0B27"/>
    <w:rsid w:val="003A16C8"/>
    <w:rsid w:val="003A2163"/>
    <w:rsid w:val="003A273E"/>
    <w:rsid w:val="003A35B5"/>
    <w:rsid w:val="003A5313"/>
    <w:rsid w:val="003A5456"/>
    <w:rsid w:val="003B4495"/>
    <w:rsid w:val="003B4AF3"/>
    <w:rsid w:val="003B62E9"/>
    <w:rsid w:val="003B7741"/>
    <w:rsid w:val="003C1E03"/>
    <w:rsid w:val="003C2421"/>
    <w:rsid w:val="003C280E"/>
    <w:rsid w:val="003C7E0C"/>
    <w:rsid w:val="003D2F63"/>
    <w:rsid w:val="003D3A21"/>
    <w:rsid w:val="003D48EE"/>
    <w:rsid w:val="003D4B2D"/>
    <w:rsid w:val="003D57DA"/>
    <w:rsid w:val="003D5935"/>
    <w:rsid w:val="003D710A"/>
    <w:rsid w:val="003D7171"/>
    <w:rsid w:val="003E0CDC"/>
    <w:rsid w:val="003E0EA5"/>
    <w:rsid w:val="003E239C"/>
    <w:rsid w:val="003E39C5"/>
    <w:rsid w:val="003E4CB7"/>
    <w:rsid w:val="003F16D5"/>
    <w:rsid w:val="003F2606"/>
    <w:rsid w:val="003F38B4"/>
    <w:rsid w:val="003F4562"/>
    <w:rsid w:val="003F65BF"/>
    <w:rsid w:val="003F7247"/>
    <w:rsid w:val="003F7B04"/>
    <w:rsid w:val="0040035E"/>
    <w:rsid w:val="00400A6B"/>
    <w:rsid w:val="0040373E"/>
    <w:rsid w:val="00407833"/>
    <w:rsid w:val="00407A55"/>
    <w:rsid w:val="004129F0"/>
    <w:rsid w:val="00413CBD"/>
    <w:rsid w:val="00414756"/>
    <w:rsid w:val="00415244"/>
    <w:rsid w:val="00417BF6"/>
    <w:rsid w:val="004210CF"/>
    <w:rsid w:val="004224DF"/>
    <w:rsid w:val="00422A77"/>
    <w:rsid w:val="00423F5A"/>
    <w:rsid w:val="004274F7"/>
    <w:rsid w:val="00430501"/>
    <w:rsid w:val="00431DFD"/>
    <w:rsid w:val="00433BDB"/>
    <w:rsid w:val="004355C7"/>
    <w:rsid w:val="00436D9A"/>
    <w:rsid w:val="0043763C"/>
    <w:rsid w:val="00437921"/>
    <w:rsid w:val="004406AF"/>
    <w:rsid w:val="00440826"/>
    <w:rsid w:val="0044259A"/>
    <w:rsid w:val="00443682"/>
    <w:rsid w:val="0044392E"/>
    <w:rsid w:val="00443DB8"/>
    <w:rsid w:val="004449B9"/>
    <w:rsid w:val="00444FD8"/>
    <w:rsid w:val="00452936"/>
    <w:rsid w:val="004532E2"/>
    <w:rsid w:val="00454871"/>
    <w:rsid w:val="00455815"/>
    <w:rsid w:val="00455DC3"/>
    <w:rsid w:val="00455EF3"/>
    <w:rsid w:val="00457B2F"/>
    <w:rsid w:val="004604EE"/>
    <w:rsid w:val="00462D00"/>
    <w:rsid w:val="00466DC0"/>
    <w:rsid w:val="004701DA"/>
    <w:rsid w:val="00471769"/>
    <w:rsid w:val="00471E93"/>
    <w:rsid w:val="004722FE"/>
    <w:rsid w:val="004743D1"/>
    <w:rsid w:val="00480BA2"/>
    <w:rsid w:val="00481F52"/>
    <w:rsid w:val="004820EA"/>
    <w:rsid w:val="00491354"/>
    <w:rsid w:val="004918F2"/>
    <w:rsid w:val="00492BF8"/>
    <w:rsid w:val="004A0219"/>
    <w:rsid w:val="004A0B0F"/>
    <w:rsid w:val="004A10A5"/>
    <w:rsid w:val="004A2B53"/>
    <w:rsid w:val="004A57EC"/>
    <w:rsid w:val="004A728B"/>
    <w:rsid w:val="004A79D2"/>
    <w:rsid w:val="004B47F7"/>
    <w:rsid w:val="004B6F1A"/>
    <w:rsid w:val="004B72B4"/>
    <w:rsid w:val="004C1BDB"/>
    <w:rsid w:val="004C5630"/>
    <w:rsid w:val="004D0777"/>
    <w:rsid w:val="004D0809"/>
    <w:rsid w:val="004D1EB5"/>
    <w:rsid w:val="004D1EC8"/>
    <w:rsid w:val="004D4B3C"/>
    <w:rsid w:val="004D5FA2"/>
    <w:rsid w:val="004E1AC3"/>
    <w:rsid w:val="004E4EC4"/>
    <w:rsid w:val="004E5393"/>
    <w:rsid w:val="004E54F0"/>
    <w:rsid w:val="004E5F4F"/>
    <w:rsid w:val="004E62B9"/>
    <w:rsid w:val="004E7236"/>
    <w:rsid w:val="004E7309"/>
    <w:rsid w:val="004F0C6E"/>
    <w:rsid w:val="004F135D"/>
    <w:rsid w:val="004F2E5A"/>
    <w:rsid w:val="004F41EF"/>
    <w:rsid w:val="004F66FA"/>
    <w:rsid w:val="004F6CE3"/>
    <w:rsid w:val="004F6DC6"/>
    <w:rsid w:val="004F7E65"/>
    <w:rsid w:val="00501AD5"/>
    <w:rsid w:val="00502E8F"/>
    <w:rsid w:val="005039BA"/>
    <w:rsid w:val="00504C77"/>
    <w:rsid w:val="00504E88"/>
    <w:rsid w:val="00506413"/>
    <w:rsid w:val="005068D6"/>
    <w:rsid w:val="00510078"/>
    <w:rsid w:val="00510D4B"/>
    <w:rsid w:val="00512DF2"/>
    <w:rsid w:val="005132EE"/>
    <w:rsid w:val="00513D6B"/>
    <w:rsid w:val="005204F6"/>
    <w:rsid w:val="00523173"/>
    <w:rsid w:val="00523A61"/>
    <w:rsid w:val="0052548A"/>
    <w:rsid w:val="00526C5A"/>
    <w:rsid w:val="0053425B"/>
    <w:rsid w:val="005347D4"/>
    <w:rsid w:val="00544AF9"/>
    <w:rsid w:val="00544DCD"/>
    <w:rsid w:val="00545E49"/>
    <w:rsid w:val="005471DB"/>
    <w:rsid w:val="0055012B"/>
    <w:rsid w:val="00550394"/>
    <w:rsid w:val="00550559"/>
    <w:rsid w:val="005513BA"/>
    <w:rsid w:val="00551DF0"/>
    <w:rsid w:val="00551EEC"/>
    <w:rsid w:val="00554846"/>
    <w:rsid w:val="00554D7D"/>
    <w:rsid w:val="005570AF"/>
    <w:rsid w:val="005607AF"/>
    <w:rsid w:val="005619FE"/>
    <w:rsid w:val="005621C8"/>
    <w:rsid w:val="005622B9"/>
    <w:rsid w:val="005627E8"/>
    <w:rsid w:val="00562D71"/>
    <w:rsid w:val="00562DBD"/>
    <w:rsid w:val="00563C1A"/>
    <w:rsid w:val="005646FB"/>
    <w:rsid w:val="0056725B"/>
    <w:rsid w:val="005729E7"/>
    <w:rsid w:val="00572E0F"/>
    <w:rsid w:val="00575550"/>
    <w:rsid w:val="00575C71"/>
    <w:rsid w:val="0057665B"/>
    <w:rsid w:val="00577A92"/>
    <w:rsid w:val="0058038B"/>
    <w:rsid w:val="00580507"/>
    <w:rsid w:val="0058158A"/>
    <w:rsid w:val="0058215E"/>
    <w:rsid w:val="00582224"/>
    <w:rsid w:val="005840E7"/>
    <w:rsid w:val="005842BF"/>
    <w:rsid w:val="00587600"/>
    <w:rsid w:val="00587D8A"/>
    <w:rsid w:val="00591A57"/>
    <w:rsid w:val="005934EA"/>
    <w:rsid w:val="00594447"/>
    <w:rsid w:val="005947C4"/>
    <w:rsid w:val="00594D4A"/>
    <w:rsid w:val="00594FCE"/>
    <w:rsid w:val="00595E0F"/>
    <w:rsid w:val="0059652E"/>
    <w:rsid w:val="00596B55"/>
    <w:rsid w:val="005972C0"/>
    <w:rsid w:val="005A03D5"/>
    <w:rsid w:val="005A05E3"/>
    <w:rsid w:val="005A14A3"/>
    <w:rsid w:val="005A1EF0"/>
    <w:rsid w:val="005A2C89"/>
    <w:rsid w:val="005A3E72"/>
    <w:rsid w:val="005A5975"/>
    <w:rsid w:val="005A6AA8"/>
    <w:rsid w:val="005A7FF6"/>
    <w:rsid w:val="005B0131"/>
    <w:rsid w:val="005B0292"/>
    <w:rsid w:val="005B040C"/>
    <w:rsid w:val="005B061F"/>
    <w:rsid w:val="005B09F1"/>
    <w:rsid w:val="005B26AB"/>
    <w:rsid w:val="005B2BFC"/>
    <w:rsid w:val="005B3E1A"/>
    <w:rsid w:val="005B453F"/>
    <w:rsid w:val="005B760B"/>
    <w:rsid w:val="005C28C1"/>
    <w:rsid w:val="005C2B10"/>
    <w:rsid w:val="005C4BD1"/>
    <w:rsid w:val="005C55AF"/>
    <w:rsid w:val="005C624F"/>
    <w:rsid w:val="005D0C10"/>
    <w:rsid w:val="005D0D2F"/>
    <w:rsid w:val="005D0F9B"/>
    <w:rsid w:val="005D5C7B"/>
    <w:rsid w:val="005D6275"/>
    <w:rsid w:val="005D7A0D"/>
    <w:rsid w:val="005E2C44"/>
    <w:rsid w:val="005E2D2E"/>
    <w:rsid w:val="005E579B"/>
    <w:rsid w:val="005F0914"/>
    <w:rsid w:val="005F293C"/>
    <w:rsid w:val="005F4903"/>
    <w:rsid w:val="005F51FD"/>
    <w:rsid w:val="005F528C"/>
    <w:rsid w:val="005F529B"/>
    <w:rsid w:val="005F5A78"/>
    <w:rsid w:val="005F77DB"/>
    <w:rsid w:val="006002DB"/>
    <w:rsid w:val="00601520"/>
    <w:rsid w:val="00601FA4"/>
    <w:rsid w:val="00602489"/>
    <w:rsid w:val="00602DDD"/>
    <w:rsid w:val="0060394D"/>
    <w:rsid w:val="00603FD1"/>
    <w:rsid w:val="006040A6"/>
    <w:rsid w:val="00604D46"/>
    <w:rsid w:val="0060681D"/>
    <w:rsid w:val="00606EFB"/>
    <w:rsid w:val="00610388"/>
    <w:rsid w:val="00610835"/>
    <w:rsid w:val="00612922"/>
    <w:rsid w:val="00615540"/>
    <w:rsid w:val="00615B5C"/>
    <w:rsid w:val="00616D8E"/>
    <w:rsid w:val="00622F46"/>
    <w:rsid w:val="0062448B"/>
    <w:rsid w:val="00624B5A"/>
    <w:rsid w:val="00625CC0"/>
    <w:rsid w:val="006260D2"/>
    <w:rsid w:val="00626344"/>
    <w:rsid w:val="00630B02"/>
    <w:rsid w:val="00633EE1"/>
    <w:rsid w:val="00636090"/>
    <w:rsid w:val="0064194A"/>
    <w:rsid w:val="006426E5"/>
    <w:rsid w:val="006441DE"/>
    <w:rsid w:val="00644417"/>
    <w:rsid w:val="00647B3D"/>
    <w:rsid w:val="00647F7E"/>
    <w:rsid w:val="00650526"/>
    <w:rsid w:val="00651C8D"/>
    <w:rsid w:val="00652592"/>
    <w:rsid w:val="00652D3B"/>
    <w:rsid w:val="00653AC7"/>
    <w:rsid w:val="00653FC6"/>
    <w:rsid w:val="00655D8B"/>
    <w:rsid w:val="00656FD1"/>
    <w:rsid w:val="00657159"/>
    <w:rsid w:val="00657636"/>
    <w:rsid w:val="00657B43"/>
    <w:rsid w:val="00661FC8"/>
    <w:rsid w:val="00662EF2"/>
    <w:rsid w:val="00663570"/>
    <w:rsid w:val="00664841"/>
    <w:rsid w:val="00664D36"/>
    <w:rsid w:val="00664F92"/>
    <w:rsid w:val="00666C04"/>
    <w:rsid w:val="00672B67"/>
    <w:rsid w:val="0067348C"/>
    <w:rsid w:val="00673B49"/>
    <w:rsid w:val="00674041"/>
    <w:rsid w:val="006743F8"/>
    <w:rsid w:val="00675CF7"/>
    <w:rsid w:val="00676EED"/>
    <w:rsid w:val="00682090"/>
    <w:rsid w:val="006839F8"/>
    <w:rsid w:val="00683C0D"/>
    <w:rsid w:val="00683E7B"/>
    <w:rsid w:val="006840BE"/>
    <w:rsid w:val="006855FA"/>
    <w:rsid w:val="0068627C"/>
    <w:rsid w:val="006878C3"/>
    <w:rsid w:val="00687917"/>
    <w:rsid w:val="00692016"/>
    <w:rsid w:val="0069279F"/>
    <w:rsid w:val="00692A2A"/>
    <w:rsid w:val="00694A0C"/>
    <w:rsid w:val="006954D7"/>
    <w:rsid w:val="00696254"/>
    <w:rsid w:val="00696329"/>
    <w:rsid w:val="006A228C"/>
    <w:rsid w:val="006A2BEA"/>
    <w:rsid w:val="006A2CE9"/>
    <w:rsid w:val="006A6D15"/>
    <w:rsid w:val="006B0325"/>
    <w:rsid w:val="006B07F6"/>
    <w:rsid w:val="006B2581"/>
    <w:rsid w:val="006B3C29"/>
    <w:rsid w:val="006B6648"/>
    <w:rsid w:val="006B6866"/>
    <w:rsid w:val="006B6D0B"/>
    <w:rsid w:val="006B7E96"/>
    <w:rsid w:val="006C0DA8"/>
    <w:rsid w:val="006C1753"/>
    <w:rsid w:val="006C30C6"/>
    <w:rsid w:val="006C5198"/>
    <w:rsid w:val="006C558F"/>
    <w:rsid w:val="006C630B"/>
    <w:rsid w:val="006C64FC"/>
    <w:rsid w:val="006C675F"/>
    <w:rsid w:val="006D125D"/>
    <w:rsid w:val="006D14FF"/>
    <w:rsid w:val="006D32E0"/>
    <w:rsid w:val="006D34F6"/>
    <w:rsid w:val="006D3676"/>
    <w:rsid w:val="006D3CF7"/>
    <w:rsid w:val="006D62D6"/>
    <w:rsid w:val="006E630B"/>
    <w:rsid w:val="006E76F9"/>
    <w:rsid w:val="006F034A"/>
    <w:rsid w:val="006F0466"/>
    <w:rsid w:val="006F1233"/>
    <w:rsid w:val="006F2C2F"/>
    <w:rsid w:val="006F2E61"/>
    <w:rsid w:val="006F3FFF"/>
    <w:rsid w:val="006F494F"/>
    <w:rsid w:val="006F4E0B"/>
    <w:rsid w:val="006F4EBA"/>
    <w:rsid w:val="006F588C"/>
    <w:rsid w:val="0070035A"/>
    <w:rsid w:val="0070042D"/>
    <w:rsid w:val="00703410"/>
    <w:rsid w:val="00706B5B"/>
    <w:rsid w:val="0070702B"/>
    <w:rsid w:val="00713431"/>
    <w:rsid w:val="00713B03"/>
    <w:rsid w:val="007156B4"/>
    <w:rsid w:val="00715F5D"/>
    <w:rsid w:val="00717293"/>
    <w:rsid w:val="007200D6"/>
    <w:rsid w:val="007221D2"/>
    <w:rsid w:val="0072285C"/>
    <w:rsid w:val="00723FB0"/>
    <w:rsid w:val="0072578E"/>
    <w:rsid w:val="00726166"/>
    <w:rsid w:val="00730C96"/>
    <w:rsid w:val="00730F1C"/>
    <w:rsid w:val="00732087"/>
    <w:rsid w:val="00734B92"/>
    <w:rsid w:val="007362F6"/>
    <w:rsid w:val="00737AB1"/>
    <w:rsid w:val="00737DBE"/>
    <w:rsid w:val="00740D11"/>
    <w:rsid w:val="00741463"/>
    <w:rsid w:val="00742699"/>
    <w:rsid w:val="00742D5C"/>
    <w:rsid w:val="00745822"/>
    <w:rsid w:val="00745853"/>
    <w:rsid w:val="007464EA"/>
    <w:rsid w:val="00751949"/>
    <w:rsid w:val="00754ED3"/>
    <w:rsid w:val="00757509"/>
    <w:rsid w:val="00757D29"/>
    <w:rsid w:val="007604D6"/>
    <w:rsid w:val="00761758"/>
    <w:rsid w:val="007629D3"/>
    <w:rsid w:val="00763725"/>
    <w:rsid w:val="007640FE"/>
    <w:rsid w:val="007649E3"/>
    <w:rsid w:val="00764C2F"/>
    <w:rsid w:val="00765997"/>
    <w:rsid w:val="007660E1"/>
    <w:rsid w:val="007665A1"/>
    <w:rsid w:val="007670CC"/>
    <w:rsid w:val="00767366"/>
    <w:rsid w:val="00772325"/>
    <w:rsid w:val="00773327"/>
    <w:rsid w:val="00776FFF"/>
    <w:rsid w:val="00782280"/>
    <w:rsid w:val="00782773"/>
    <w:rsid w:val="007829E6"/>
    <w:rsid w:val="007849AA"/>
    <w:rsid w:val="0078568F"/>
    <w:rsid w:val="00790A58"/>
    <w:rsid w:val="00791225"/>
    <w:rsid w:val="00792C87"/>
    <w:rsid w:val="00793D86"/>
    <w:rsid w:val="0079440B"/>
    <w:rsid w:val="00794D87"/>
    <w:rsid w:val="007954CA"/>
    <w:rsid w:val="00795D13"/>
    <w:rsid w:val="0079621B"/>
    <w:rsid w:val="007A0CA9"/>
    <w:rsid w:val="007A1A39"/>
    <w:rsid w:val="007A2941"/>
    <w:rsid w:val="007A565D"/>
    <w:rsid w:val="007B14F1"/>
    <w:rsid w:val="007B21F1"/>
    <w:rsid w:val="007B2CD2"/>
    <w:rsid w:val="007B320A"/>
    <w:rsid w:val="007B3EA9"/>
    <w:rsid w:val="007B3F71"/>
    <w:rsid w:val="007B564C"/>
    <w:rsid w:val="007B76AB"/>
    <w:rsid w:val="007B77E1"/>
    <w:rsid w:val="007C079D"/>
    <w:rsid w:val="007C1400"/>
    <w:rsid w:val="007C273B"/>
    <w:rsid w:val="007C54FA"/>
    <w:rsid w:val="007C5E84"/>
    <w:rsid w:val="007D0E6F"/>
    <w:rsid w:val="007D20D0"/>
    <w:rsid w:val="007D3791"/>
    <w:rsid w:val="007D6AE6"/>
    <w:rsid w:val="007D7BE1"/>
    <w:rsid w:val="007E036E"/>
    <w:rsid w:val="007E0A52"/>
    <w:rsid w:val="007E1D78"/>
    <w:rsid w:val="007E3E0A"/>
    <w:rsid w:val="007E3F45"/>
    <w:rsid w:val="007E5FCA"/>
    <w:rsid w:val="007F2EB2"/>
    <w:rsid w:val="007F37BF"/>
    <w:rsid w:val="007F3D97"/>
    <w:rsid w:val="007F4BD4"/>
    <w:rsid w:val="007F60BD"/>
    <w:rsid w:val="007F67E8"/>
    <w:rsid w:val="007F6DF2"/>
    <w:rsid w:val="00801512"/>
    <w:rsid w:val="00801D10"/>
    <w:rsid w:val="008022FE"/>
    <w:rsid w:val="008034CE"/>
    <w:rsid w:val="008038A4"/>
    <w:rsid w:val="00803E81"/>
    <w:rsid w:val="00804353"/>
    <w:rsid w:val="00804D97"/>
    <w:rsid w:val="0080591E"/>
    <w:rsid w:val="008059D9"/>
    <w:rsid w:val="00806B0A"/>
    <w:rsid w:val="00810A18"/>
    <w:rsid w:val="00811218"/>
    <w:rsid w:val="008119B9"/>
    <w:rsid w:val="00814C17"/>
    <w:rsid w:val="0081678B"/>
    <w:rsid w:val="008170DC"/>
    <w:rsid w:val="00817DD9"/>
    <w:rsid w:val="0082344B"/>
    <w:rsid w:val="00823B29"/>
    <w:rsid w:val="008267B4"/>
    <w:rsid w:val="00826CCF"/>
    <w:rsid w:val="00826F85"/>
    <w:rsid w:val="00827696"/>
    <w:rsid w:val="00827EE9"/>
    <w:rsid w:val="008309F3"/>
    <w:rsid w:val="00830C36"/>
    <w:rsid w:val="008327FB"/>
    <w:rsid w:val="0083435B"/>
    <w:rsid w:val="00834B77"/>
    <w:rsid w:val="008365D7"/>
    <w:rsid w:val="00836A97"/>
    <w:rsid w:val="008376D7"/>
    <w:rsid w:val="00837CEF"/>
    <w:rsid w:val="00840803"/>
    <w:rsid w:val="008425B7"/>
    <w:rsid w:val="0084277E"/>
    <w:rsid w:val="00842818"/>
    <w:rsid w:val="0084493F"/>
    <w:rsid w:val="008456AC"/>
    <w:rsid w:val="00851C74"/>
    <w:rsid w:val="00852D24"/>
    <w:rsid w:val="00854069"/>
    <w:rsid w:val="008552A3"/>
    <w:rsid w:val="0085745C"/>
    <w:rsid w:val="00857D19"/>
    <w:rsid w:val="00861CC2"/>
    <w:rsid w:val="00865534"/>
    <w:rsid w:val="008655C0"/>
    <w:rsid w:val="0086699B"/>
    <w:rsid w:val="00867515"/>
    <w:rsid w:val="008708CF"/>
    <w:rsid w:val="008715D8"/>
    <w:rsid w:val="00871B74"/>
    <w:rsid w:val="0087227C"/>
    <w:rsid w:val="00872DC9"/>
    <w:rsid w:val="0087300E"/>
    <w:rsid w:val="00874EBE"/>
    <w:rsid w:val="00875CBF"/>
    <w:rsid w:val="0087630D"/>
    <w:rsid w:val="00876547"/>
    <w:rsid w:val="00876CE3"/>
    <w:rsid w:val="0088029A"/>
    <w:rsid w:val="008814FC"/>
    <w:rsid w:val="00882667"/>
    <w:rsid w:val="00882D7C"/>
    <w:rsid w:val="008843C7"/>
    <w:rsid w:val="00884DAE"/>
    <w:rsid w:val="00885D34"/>
    <w:rsid w:val="00886310"/>
    <w:rsid w:val="008879A6"/>
    <w:rsid w:val="008905D4"/>
    <w:rsid w:val="008905E1"/>
    <w:rsid w:val="008911B1"/>
    <w:rsid w:val="00891313"/>
    <w:rsid w:val="008913D1"/>
    <w:rsid w:val="00894DD6"/>
    <w:rsid w:val="00895B60"/>
    <w:rsid w:val="0089627F"/>
    <w:rsid w:val="008965CF"/>
    <w:rsid w:val="00897126"/>
    <w:rsid w:val="00897838"/>
    <w:rsid w:val="00897850"/>
    <w:rsid w:val="008A07AF"/>
    <w:rsid w:val="008A0E92"/>
    <w:rsid w:val="008A1E95"/>
    <w:rsid w:val="008A29A4"/>
    <w:rsid w:val="008A2D70"/>
    <w:rsid w:val="008A37CB"/>
    <w:rsid w:val="008A3FA6"/>
    <w:rsid w:val="008A437B"/>
    <w:rsid w:val="008A5FFF"/>
    <w:rsid w:val="008A67CD"/>
    <w:rsid w:val="008A6B8E"/>
    <w:rsid w:val="008A7189"/>
    <w:rsid w:val="008B1429"/>
    <w:rsid w:val="008B32FB"/>
    <w:rsid w:val="008B5250"/>
    <w:rsid w:val="008B7B5E"/>
    <w:rsid w:val="008C0386"/>
    <w:rsid w:val="008C0481"/>
    <w:rsid w:val="008C1FB9"/>
    <w:rsid w:val="008C2292"/>
    <w:rsid w:val="008C22D5"/>
    <w:rsid w:val="008C47FA"/>
    <w:rsid w:val="008C66BD"/>
    <w:rsid w:val="008C745B"/>
    <w:rsid w:val="008D0796"/>
    <w:rsid w:val="008D11A8"/>
    <w:rsid w:val="008D130E"/>
    <w:rsid w:val="008D154B"/>
    <w:rsid w:val="008D1808"/>
    <w:rsid w:val="008D1AF8"/>
    <w:rsid w:val="008D1FC8"/>
    <w:rsid w:val="008D2D3B"/>
    <w:rsid w:val="008D2F44"/>
    <w:rsid w:val="008D4380"/>
    <w:rsid w:val="008D54D1"/>
    <w:rsid w:val="008D588E"/>
    <w:rsid w:val="008D5D70"/>
    <w:rsid w:val="008D6060"/>
    <w:rsid w:val="008D6F6F"/>
    <w:rsid w:val="008E1FA3"/>
    <w:rsid w:val="008E3686"/>
    <w:rsid w:val="008E38C9"/>
    <w:rsid w:val="008E6510"/>
    <w:rsid w:val="008E6710"/>
    <w:rsid w:val="008E6836"/>
    <w:rsid w:val="008E7A7B"/>
    <w:rsid w:val="008F0539"/>
    <w:rsid w:val="008F27B8"/>
    <w:rsid w:val="008F2DF2"/>
    <w:rsid w:val="008F35E4"/>
    <w:rsid w:val="008F45F1"/>
    <w:rsid w:val="008F57EB"/>
    <w:rsid w:val="008F64C5"/>
    <w:rsid w:val="008F6C99"/>
    <w:rsid w:val="00905F32"/>
    <w:rsid w:val="00906910"/>
    <w:rsid w:val="00906C34"/>
    <w:rsid w:val="009101FA"/>
    <w:rsid w:val="00912169"/>
    <w:rsid w:val="009124B0"/>
    <w:rsid w:val="00913DE4"/>
    <w:rsid w:val="00920292"/>
    <w:rsid w:val="0092037A"/>
    <w:rsid w:val="009204C9"/>
    <w:rsid w:val="009209C8"/>
    <w:rsid w:val="0092133E"/>
    <w:rsid w:val="00921AFC"/>
    <w:rsid w:val="00922235"/>
    <w:rsid w:val="00922AD7"/>
    <w:rsid w:val="009242C2"/>
    <w:rsid w:val="009246AD"/>
    <w:rsid w:val="00924F3D"/>
    <w:rsid w:val="009261F2"/>
    <w:rsid w:val="0092729A"/>
    <w:rsid w:val="009312AE"/>
    <w:rsid w:val="00934C47"/>
    <w:rsid w:val="00940F80"/>
    <w:rsid w:val="00941BD8"/>
    <w:rsid w:val="0094201C"/>
    <w:rsid w:val="00942656"/>
    <w:rsid w:val="00943714"/>
    <w:rsid w:val="0094396C"/>
    <w:rsid w:val="00944919"/>
    <w:rsid w:val="00945D57"/>
    <w:rsid w:val="0094739B"/>
    <w:rsid w:val="009513A7"/>
    <w:rsid w:val="00952B1D"/>
    <w:rsid w:val="00953565"/>
    <w:rsid w:val="00957230"/>
    <w:rsid w:val="00961A6C"/>
    <w:rsid w:val="00962F71"/>
    <w:rsid w:val="00964BFF"/>
    <w:rsid w:val="00967A6F"/>
    <w:rsid w:val="009713D0"/>
    <w:rsid w:val="0097233D"/>
    <w:rsid w:val="00974622"/>
    <w:rsid w:val="00975A37"/>
    <w:rsid w:val="00976B9D"/>
    <w:rsid w:val="0097700A"/>
    <w:rsid w:val="00977F37"/>
    <w:rsid w:val="0098510E"/>
    <w:rsid w:val="009856F1"/>
    <w:rsid w:val="00985714"/>
    <w:rsid w:val="00990028"/>
    <w:rsid w:val="00990052"/>
    <w:rsid w:val="0099545F"/>
    <w:rsid w:val="00995DDB"/>
    <w:rsid w:val="0099631E"/>
    <w:rsid w:val="00996E3C"/>
    <w:rsid w:val="00997E91"/>
    <w:rsid w:val="009A2136"/>
    <w:rsid w:val="009A4C0D"/>
    <w:rsid w:val="009A5C94"/>
    <w:rsid w:val="009A7DBD"/>
    <w:rsid w:val="009B0029"/>
    <w:rsid w:val="009B16A6"/>
    <w:rsid w:val="009B2004"/>
    <w:rsid w:val="009B5BA5"/>
    <w:rsid w:val="009C1877"/>
    <w:rsid w:val="009C55CD"/>
    <w:rsid w:val="009C6235"/>
    <w:rsid w:val="009C7AAA"/>
    <w:rsid w:val="009D0685"/>
    <w:rsid w:val="009D0998"/>
    <w:rsid w:val="009D1029"/>
    <w:rsid w:val="009D3CD8"/>
    <w:rsid w:val="009D60BA"/>
    <w:rsid w:val="009E0893"/>
    <w:rsid w:val="009E1109"/>
    <w:rsid w:val="009E3705"/>
    <w:rsid w:val="009E4226"/>
    <w:rsid w:val="009E4CCD"/>
    <w:rsid w:val="009F191D"/>
    <w:rsid w:val="009F329C"/>
    <w:rsid w:val="009F3500"/>
    <w:rsid w:val="00A02D62"/>
    <w:rsid w:val="00A04284"/>
    <w:rsid w:val="00A04483"/>
    <w:rsid w:val="00A04B51"/>
    <w:rsid w:val="00A04BE2"/>
    <w:rsid w:val="00A050D2"/>
    <w:rsid w:val="00A05ECF"/>
    <w:rsid w:val="00A06D58"/>
    <w:rsid w:val="00A07779"/>
    <w:rsid w:val="00A11DB9"/>
    <w:rsid w:val="00A12D68"/>
    <w:rsid w:val="00A14240"/>
    <w:rsid w:val="00A158E3"/>
    <w:rsid w:val="00A15C45"/>
    <w:rsid w:val="00A161E6"/>
    <w:rsid w:val="00A16AAB"/>
    <w:rsid w:val="00A16C21"/>
    <w:rsid w:val="00A16D86"/>
    <w:rsid w:val="00A17332"/>
    <w:rsid w:val="00A17752"/>
    <w:rsid w:val="00A20EB5"/>
    <w:rsid w:val="00A21064"/>
    <w:rsid w:val="00A22EDB"/>
    <w:rsid w:val="00A24088"/>
    <w:rsid w:val="00A24254"/>
    <w:rsid w:val="00A250A9"/>
    <w:rsid w:val="00A25210"/>
    <w:rsid w:val="00A25E1F"/>
    <w:rsid w:val="00A266EF"/>
    <w:rsid w:val="00A305CF"/>
    <w:rsid w:val="00A3134C"/>
    <w:rsid w:val="00A3452D"/>
    <w:rsid w:val="00A40D55"/>
    <w:rsid w:val="00A40FEA"/>
    <w:rsid w:val="00A41B05"/>
    <w:rsid w:val="00A438EC"/>
    <w:rsid w:val="00A44D07"/>
    <w:rsid w:val="00A451DC"/>
    <w:rsid w:val="00A45BE5"/>
    <w:rsid w:val="00A45C34"/>
    <w:rsid w:val="00A50F27"/>
    <w:rsid w:val="00A514E3"/>
    <w:rsid w:val="00A53472"/>
    <w:rsid w:val="00A54138"/>
    <w:rsid w:val="00A55C14"/>
    <w:rsid w:val="00A62612"/>
    <w:rsid w:val="00A62771"/>
    <w:rsid w:val="00A63604"/>
    <w:rsid w:val="00A715EC"/>
    <w:rsid w:val="00A71B5D"/>
    <w:rsid w:val="00A73E50"/>
    <w:rsid w:val="00A82A42"/>
    <w:rsid w:val="00A834A6"/>
    <w:rsid w:val="00A840F0"/>
    <w:rsid w:val="00A85038"/>
    <w:rsid w:val="00A85D8D"/>
    <w:rsid w:val="00A8626D"/>
    <w:rsid w:val="00A866CC"/>
    <w:rsid w:val="00A8696E"/>
    <w:rsid w:val="00A86C63"/>
    <w:rsid w:val="00A870D3"/>
    <w:rsid w:val="00A877D8"/>
    <w:rsid w:val="00A90643"/>
    <w:rsid w:val="00A909AF"/>
    <w:rsid w:val="00A93448"/>
    <w:rsid w:val="00A94D13"/>
    <w:rsid w:val="00A974B3"/>
    <w:rsid w:val="00AA06F5"/>
    <w:rsid w:val="00AA0CA2"/>
    <w:rsid w:val="00AA1481"/>
    <w:rsid w:val="00AA15A7"/>
    <w:rsid w:val="00AA23F2"/>
    <w:rsid w:val="00AA5541"/>
    <w:rsid w:val="00AA5869"/>
    <w:rsid w:val="00AA7E5C"/>
    <w:rsid w:val="00AB0189"/>
    <w:rsid w:val="00AB06D7"/>
    <w:rsid w:val="00AB0F6F"/>
    <w:rsid w:val="00AB11E3"/>
    <w:rsid w:val="00AB1644"/>
    <w:rsid w:val="00AB23A7"/>
    <w:rsid w:val="00AB34C5"/>
    <w:rsid w:val="00AB4092"/>
    <w:rsid w:val="00AB5E40"/>
    <w:rsid w:val="00AB6D43"/>
    <w:rsid w:val="00AC0211"/>
    <w:rsid w:val="00AC12D6"/>
    <w:rsid w:val="00AC16E3"/>
    <w:rsid w:val="00AC37F1"/>
    <w:rsid w:val="00AC38D2"/>
    <w:rsid w:val="00AC415A"/>
    <w:rsid w:val="00AC4AA4"/>
    <w:rsid w:val="00AC5045"/>
    <w:rsid w:val="00AD2E94"/>
    <w:rsid w:val="00AD57A8"/>
    <w:rsid w:val="00AD5A32"/>
    <w:rsid w:val="00AD68C8"/>
    <w:rsid w:val="00AE0122"/>
    <w:rsid w:val="00AE343E"/>
    <w:rsid w:val="00AE4983"/>
    <w:rsid w:val="00AE7669"/>
    <w:rsid w:val="00AF1B6E"/>
    <w:rsid w:val="00AF45E5"/>
    <w:rsid w:val="00AF6625"/>
    <w:rsid w:val="00B01A3C"/>
    <w:rsid w:val="00B02741"/>
    <w:rsid w:val="00B02E82"/>
    <w:rsid w:val="00B03086"/>
    <w:rsid w:val="00B0429C"/>
    <w:rsid w:val="00B05C6C"/>
    <w:rsid w:val="00B05E3C"/>
    <w:rsid w:val="00B076C9"/>
    <w:rsid w:val="00B1020F"/>
    <w:rsid w:val="00B10878"/>
    <w:rsid w:val="00B116B8"/>
    <w:rsid w:val="00B12AD9"/>
    <w:rsid w:val="00B14DD3"/>
    <w:rsid w:val="00B151FD"/>
    <w:rsid w:val="00B15503"/>
    <w:rsid w:val="00B16C74"/>
    <w:rsid w:val="00B17148"/>
    <w:rsid w:val="00B20E28"/>
    <w:rsid w:val="00B21683"/>
    <w:rsid w:val="00B22564"/>
    <w:rsid w:val="00B22A2F"/>
    <w:rsid w:val="00B2735C"/>
    <w:rsid w:val="00B300B1"/>
    <w:rsid w:val="00B3055E"/>
    <w:rsid w:val="00B30584"/>
    <w:rsid w:val="00B31AD8"/>
    <w:rsid w:val="00B33351"/>
    <w:rsid w:val="00B346D3"/>
    <w:rsid w:val="00B3619E"/>
    <w:rsid w:val="00B36C51"/>
    <w:rsid w:val="00B3755F"/>
    <w:rsid w:val="00B37727"/>
    <w:rsid w:val="00B4009E"/>
    <w:rsid w:val="00B40E06"/>
    <w:rsid w:val="00B42D3D"/>
    <w:rsid w:val="00B42EE0"/>
    <w:rsid w:val="00B452B9"/>
    <w:rsid w:val="00B4546A"/>
    <w:rsid w:val="00B4551D"/>
    <w:rsid w:val="00B465C6"/>
    <w:rsid w:val="00B504A3"/>
    <w:rsid w:val="00B506D6"/>
    <w:rsid w:val="00B50B03"/>
    <w:rsid w:val="00B51C6B"/>
    <w:rsid w:val="00B5254E"/>
    <w:rsid w:val="00B52ACE"/>
    <w:rsid w:val="00B52DB8"/>
    <w:rsid w:val="00B55035"/>
    <w:rsid w:val="00B55F3F"/>
    <w:rsid w:val="00B62623"/>
    <w:rsid w:val="00B6382A"/>
    <w:rsid w:val="00B64294"/>
    <w:rsid w:val="00B65BDF"/>
    <w:rsid w:val="00B65D27"/>
    <w:rsid w:val="00B6617F"/>
    <w:rsid w:val="00B662DE"/>
    <w:rsid w:val="00B662F6"/>
    <w:rsid w:val="00B66D18"/>
    <w:rsid w:val="00B72F68"/>
    <w:rsid w:val="00B7618D"/>
    <w:rsid w:val="00B762D5"/>
    <w:rsid w:val="00B7784F"/>
    <w:rsid w:val="00B77F33"/>
    <w:rsid w:val="00B81923"/>
    <w:rsid w:val="00B825B4"/>
    <w:rsid w:val="00B831EE"/>
    <w:rsid w:val="00B832AE"/>
    <w:rsid w:val="00B85F9D"/>
    <w:rsid w:val="00B86133"/>
    <w:rsid w:val="00B8782B"/>
    <w:rsid w:val="00B9028D"/>
    <w:rsid w:val="00B919B0"/>
    <w:rsid w:val="00B91B6D"/>
    <w:rsid w:val="00B929F9"/>
    <w:rsid w:val="00B934F1"/>
    <w:rsid w:val="00B935CC"/>
    <w:rsid w:val="00B95530"/>
    <w:rsid w:val="00B969C6"/>
    <w:rsid w:val="00B97433"/>
    <w:rsid w:val="00BA127F"/>
    <w:rsid w:val="00BA13FD"/>
    <w:rsid w:val="00BA262C"/>
    <w:rsid w:val="00BA27AA"/>
    <w:rsid w:val="00BA2DF2"/>
    <w:rsid w:val="00BA36B7"/>
    <w:rsid w:val="00BA44DF"/>
    <w:rsid w:val="00BA52C3"/>
    <w:rsid w:val="00BA5415"/>
    <w:rsid w:val="00BA5C7A"/>
    <w:rsid w:val="00BA7881"/>
    <w:rsid w:val="00BB0A85"/>
    <w:rsid w:val="00BB1592"/>
    <w:rsid w:val="00BB2140"/>
    <w:rsid w:val="00BB2589"/>
    <w:rsid w:val="00BB2E18"/>
    <w:rsid w:val="00BB4DD1"/>
    <w:rsid w:val="00BB4ED3"/>
    <w:rsid w:val="00BB6261"/>
    <w:rsid w:val="00BB6DF7"/>
    <w:rsid w:val="00BB7B92"/>
    <w:rsid w:val="00BC3A67"/>
    <w:rsid w:val="00BC459E"/>
    <w:rsid w:val="00BC4B2D"/>
    <w:rsid w:val="00BC5709"/>
    <w:rsid w:val="00BC5ADC"/>
    <w:rsid w:val="00BC5BF5"/>
    <w:rsid w:val="00BC6698"/>
    <w:rsid w:val="00BC6A0D"/>
    <w:rsid w:val="00BC72AE"/>
    <w:rsid w:val="00BD1816"/>
    <w:rsid w:val="00BD2083"/>
    <w:rsid w:val="00BD2F4B"/>
    <w:rsid w:val="00BD3304"/>
    <w:rsid w:val="00BD359E"/>
    <w:rsid w:val="00BD438C"/>
    <w:rsid w:val="00BD47BD"/>
    <w:rsid w:val="00BD4886"/>
    <w:rsid w:val="00BD56E6"/>
    <w:rsid w:val="00BD63B5"/>
    <w:rsid w:val="00BD6B5F"/>
    <w:rsid w:val="00BE0719"/>
    <w:rsid w:val="00BE1DDF"/>
    <w:rsid w:val="00BE2335"/>
    <w:rsid w:val="00BE2998"/>
    <w:rsid w:val="00BE3275"/>
    <w:rsid w:val="00BE67E1"/>
    <w:rsid w:val="00BF0D59"/>
    <w:rsid w:val="00BF1CCA"/>
    <w:rsid w:val="00BF2BA5"/>
    <w:rsid w:val="00BF3028"/>
    <w:rsid w:val="00BF364A"/>
    <w:rsid w:val="00BF48EE"/>
    <w:rsid w:val="00C01606"/>
    <w:rsid w:val="00C0271A"/>
    <w:rsid w:val="00C035D6"/>
    <w:rsid w:val="00C0389A"/>
    <w:rsid w:val="00C03951"/>
    <w:rsid w:val="00C054F5"/>
    <w:rsid w:val="00C05C5E"/>
    <w:rsid w:val="00C05FD2"/>
    <w:rsid w:val="00C06292"/>
    <w:rsid w:val="00C06F57"/>
    <w:rsid w:val="00C1085E"/>
    <w:rsid w:val="00C10EE0"/>
    <w:rsid w:val="00C118AB"/>
    <w:rsid w:val="00C12556"/>
    <w:rsid w:val="00C14580"/>
    <w:rsid w:val="00C14953"/>
    <w:rsid w:val="00C222A8"/>
    <w:rsid w:val="00C23070"/>
    <w:rsid w:val="00C2510D"/>
    <w:rsid w:val="00C27766"/>
    <w:rsid w:val="00C303A7"/>
    <w:rsid w:val="00C322FD"/>
    <w:rsid w:val="00C329F2"/>
    <w:rsid w:val="00C361EA"/>
    <w:rsid w:val="00C362AC"/>
    <w:rsid w:val="00C368E4"/>
    <w:rsid w:val="00C36BDA"/>
    <w:rsid w:val="00C37E7E"/>
    <w:rsid w:val="00C4181C"/>
    <w:rsid w:val="00C41F38"/>
    <w:rsid w:val="00C42FE1"/>
    <w:rsid w:val="00C434CA"/>
    <w:rsid w:val="00C437F5"/>
    <w:rsid w:val="00C44339"/>
    <w:rsid w:val="00C44F4D"/>
    <w:rsid w:val="00C45E0A"/>
    <w:rsid w:val="00C4743D"/>
    <w:rsid w:val="00C47869"/>
    <w:rsid w:val="00C5096B"/>
    <w:rsid w:val="00C51D18"/>
    <w:rsid w:val="00C52C6E"/>
    <w:rsid w:val="00C55EC3"/>
    <w:rsid w:val="00C5760C"/>
    <w:rsid w:val="00C57809"/>
    <w:rsid w:val="00C6032D"/>
    <w:rsid w:val="00C631EB"/>
    <w:rsid w:val="00C653AF"/>
    <w:rsid w:val="00C70BFA"/>
    <w:rsid w:val="00C71326"/>
    <w:rsid w:val="00C71B86"/>
    <w:rsid w:val="00C73ED5"/>
    <w:rsid w:val="00C75519"/>
    <w:rsid w:val="00C75A53"/>
    <w:rsid w:val="00C75B56"/>
    <w:rsid w:val="00C75B5C"/>
    <w:rsid w:val="00C773C4"/>
    <w:rsid w:val="00C805AE"/>
    <w:rsid w:val="00C8133A"/>
    <w:rsid w:val="00C82C0C"/>
    <w:rsid w:val="00C83877"/>
    <w:rsid w:val="00C84DAD"/>
    <w:rsid w:val="00C84E82"/>
    <w:rsid w:val="00C8648A"/>
    <w:rsid w:val="00C87576"/>
    <w:rsid w:val="00C918A3"/>
    <w:rsid w:val="00C925CC"/>
    <w:rsid w:val="00C92CF8"/>
    <w:rsid w:val="00C93BC9"/>
    <w:rsid w:val="00C94315"/>
    <w:rsid w:val="00C94A58"/>
    <w:rsid w:val="00CA4E51"/>
    <w:rsid w:val="00CA6810"/>
    <w:rsid w:val="00CB03D3"/>
    <w:rsid w:val="00CB0D6B"/>
    <w:rsid w:val="00CB119D"/>
    <w:rsid w:val="00CB1AA6"/>
    <w:rsid w:val="00CB1DCF"/>
    <w:rsid w:val="00CB22DD"/>
    <w:rsid w:val="00CB2EF4"/>
    <w:rsid w:val="00CB37B1"/>
    <w:rsid w:val="00CB38B0"/>
    <w:rsid w:val="00CB41EA"/>
    <w:rsid w:val="00CC0C03"/>
    <w:rsid w:val="00CC2091"/>
    <w:rsid w:val="00CC30DD"/>
    <w:rsid w:val="00CC3F13"/>
    <w:rsid w:val="00CC55D1"/>
    <w:rsid w:val="00CC57BD"/>
    <w:rsid w:val="00CC6045"/>
    <w:rsid w:val="00CD1455"/>
    <w:rsid w:val="00CD1CCE"/>
    <w:rsid w:val="00CD37FF"/>
    <w:rsid w:val="00CD4AC7"/>
    <w:rsid w:val="00CD7325"/>
    <w:rsid w:val="00CD7EFF"/>
    <w:rsid w:val="00CE272C"/>
    <w:rsid w:val="00CE2C8E"/>
    <w:rsid w:val="00CE37B6"/>
    <w:rsid w:val="00CE78AA"/>
    <w:rsid w:val="00CF05A7"/>
    <w:rsid w:val="00CF0C05"/>
    <w:rsid w:val="00CF1A35"/>
    <w:rsid w:val="00CF3A5F"/>
    <w:rsid w:val="00CF4122"/>
    <w:rsid w:val="00CF79EB"/>
    <w:rsid w:val="00D00281"/>
    <w:rsid w:val="00D014C3"/>
    <w:rsid w:val="00D02101"/>
    <w:rsid w:val="00D02AAC"/>
    <w:rsid w:val="00D05E51"/>
    <w:rsid w:val="00D06163"/>
    <w:rsid w:val="00D06E24"/>
    <w:rsid w:val="00D07076"/>
    <w:rsid w:val="00D077E3"/>
    <w:rsid w:val="00D10045"/>
    <w:rsid w:val="00D107F1"/>
    <w:rsid w:val="00D10919"/>
    <w:rsid w:val="00D117B4"/>
    <w:rsid w:val="00D118AA"/>
    <w:rsid w:val="00D15A20"/>
    <w:rsid w:val="00D15EBC"/>
    <w:rsid w:val="00D17FDE"/>
    <w:rsid w:val="00D20BD8"/>
    <w:rsid w:val="00D20F64"/>
    <w:rsid w:val="00D3046D"/>
    <w:rsid w:val="00D30E2F"/>
    <w:rsid w:val="00D3299C"/>
    <w:rsid w:val="00D32E24"/>
    <w:rsid w:val="00D41AB8"/>
    <w:rsid w:val="00D42CF3"/>
    <w:rsid w:val="00D44889"/>
    <w:rsid w:val="00D44B1B"/>
    <w:rsid w:val="00D50BBB"/>
    <w:rsid w:val="00D54C32"/>
    <w:rsid w:val="00D55297"/>
    <w:rsid w:val="00D5570D"/>
    <w:rsid w:val="00D55AE0"/>
    <w:rsid w:val="00D55CC6"/>
    <w:rsid w:val="00D56A02"/>
    <w:rsid w:val="00D628B9"/>
    <w:rsid w:val="00D63133"/>
    <w:rsid w:val="00D63CEF"/>
    <w:rsid w:val="00D6584D"/>
    <w:rsid w:val="00D65FF9"/>
    <w:rsid w:val="00D67491"/>
    <w:rsid w:val="00D67637"/>
    <w:rsid w:val="00D67BB0"/>
    <w:rsid w:val="00D70F05"/>
    <w:rsid w:val="00D71E77"/>
    <w:rsid w:val="00D72294"/>
    <w:rsid w:val="00D726FA"/>
    <w:rsid w:val="00D7510A"/>
    <w:rsid w:val="00D76B7D"/>
    <w:rsid w:val="00D77719"/>
    <w:rsid w:val="00D77F36"/>
    <w:rsid w:val="00D80986"/>
    <w:rsid w:val="00D818A0"/>
    <w:rsid w:val="00D821C7"/>
    <w:rsid w:val="00D8794C"/>
    <w:rsid w:val="00D90782"/>
    <w:rsid w:val="00D91CA9"/>
    <w:rsid w:val="00D91CC1"/>
    <w:rsid w:val="00D92F40"/>
    <w:rsid w:val="00D94484"/>
    <w:rsid w:val="00D945AD"/>
    <w:rsid w:val="00D950EA"/>
    <w:rsid w:val="00D963C2"/>
    <w:rsid w:val="00D96643"/>
    <w:rsid w:val="00DA0CB8"/>
    <w:rsid w:val="00DA2032"/>
    <w:rsid w:val="00DA3E70"/>
    <w:rsid w:val="00DA3F35"/>
    <w:rsid w:val="00DA4946"/>
    <w:rsid w:val="00DA6ABE"/>
    <w:rsid w:val="00DA76C5"/>
    <w:rsid w:val="00DB0CED"/>
    <w:rsid w:val="00DB0E0E"/>
    <w:rsid w:val="00DB3EAD"/>
    <w:rsid w:val="00DB47DF"/>
    <w:rsid w:val="00DB5C2A"/>
    <w:rsid w:val="00DC218B"/>
    <w:rsid w:val="00DC222D"/>
    <w:rsid w:val="00DC2377"/>
    <w:rsid w:val="00DC6303"/>
    <w:rsid w:val="00DC6688"/>
    <w:rsid w:val="00DC6FAA"/>
    <w:rsid w:val="00DC7D00"/>
    <w:rsid w:val="00DD3009"/>
    <w:rsid w:val="00DD4C40"/>
    <w:rsid w:val="00DD5032"/>
    <w:rsid w:val="00DD54C0"/>
    <w:rsid w:val="00DD5E3F"/>
    <w:rsid w:val="00DD6BE6"/>
    <w:rsid w:val="00DD6CE3"/>
    <w:rsid w:val="00DD6DBB"/>
    <w:rsid w:val="00DD73B6"/>
    <w:rsid w:val="00DD7FEC"/>
    <w:rsid w:val="00DE174D"/>
    <w:rsid w:val="00DE289E"/>
    <w:rsid w:val="00DE29FF"/>
    <w:rsid w:val="00DE3A5A"/>
    <w:rsid w:val="00DE4D32"/>
    <w:rsid w:val="00DE5428"/>
    <w:rsid w:val="00DE54C0"/>
    <w:rsid w:val="00DE5F1A"/>
    <w:rsid w:val="00DE6679"/>
    <w:rsid w:val="00DE6AAC"/>
    <w:rsid w:val="00DE73CC"/>
    <w:rsid w:val="00DE7804"/>
    <w:rsid w:val="00DE7A97"/>
    <w:rsid w:val="00DF0017"/>
    <w:rsid w:val="00DF0474"/>
    <w:rsid w:val="00DF04B8"/>
    <w:rsid w:val="00DF1C57"/>
    <w:rsid w:val="00DF2573"/>
    <w:rsid w:val="00DF266F"/>
    <w:rsid w:val="00DF2C79"/>
    <w:rsid w:val="00DF2CD6"/>
    <w:rsid w:val="00DF2D0C"/>
    <w:rsid w:val="00DF3658"/>
    <w:rsid w:val="00DF4A2B"/>
    <w:rsid w:val="00E00084"/>
    <w:rsid w:val="00E00F34"/>
    <w:rsid w:val="00E02868"/>
    <w:rsid w:val="00E04E1A"/>
    <w:rsid w:val="00E057D2"/>
    <w:rsid w:val="00E05EC5"/>
    <w:rsid w:val="00E05EC8"/>
    <w:rsid w:val="00E070A3"/>
    <w:rsid w:val="00E074F2"/>
    <w:rsid w:val="00E10299"/>
    <w:rsid w:val="00E102BD"/>
    <w:rsid w:val="00E10820"/>
    <w:rsid w:val="00E1197F"/>
    <w:rsid w:val="00E12281"/>
    <w:rsid w:val="00E128BB"/>
    <w:rsid w:val="00E12F03"/>
    <w:rsid w:val="00E15519"/>
    <w:rsid w:val="00E165D5"/>
    <w:rsid w:val="00E16E0B"/>
    <w:rsid w:val="00E20540"/>
    <w:rsid w:val="00E210D5"/>
    <w:rsid w:val="00E211FB"/>
    <w:rsid w:val="00E219E0"/>
    <w:rsid w:val="00E223F0"/>
    <w:rsid w:val="00E2357D"/>
    <w:rsid w:val="00E23B81"/>
    <w:rsid w:val="00E24336"/>
    <w:rsid w:val="00E2478C"/>
    <w:rsid w:val="00E2529F"/>
    <w:rsid w:val="00E26FAD"/>
    <w:rsid w:val="00E30CC8"/>
    <w:rsid w:val="00E3111B"/>
    <w:rsid w:val="00E33654"/>
    <w:rsid w:val="00E3512D"/>
    <w:rsid w:val="00E37082"/>
    <w:rsid w:val="00E37E5E"/>
    <w:rsid w:val="00E40C45"/>
    <w:rsid w:val="00E42E09"/>
    <w:rsid w:val="00E43FB7"/>
    <w:rsid w:val="00E44595"/>
    <w:rsid w:val="00E45530"/>
    <w:rsid w:val="00E503CE"/>
    <w:rsid w:val="00E52586"/>
    <w:rsid w:val="00E5259E"/>
    <w:rsid w:val="00E52ECD"/>
    <w:rsid w:val="00E55FD7"/>
    <w:rsid w:val="00E61590"/>
    <w:rsid w:val="00E624F7"/>
    <w:rsid w:val="00E62F5E"/>
    <w:rsid w:val="00E63043"/>
    <w:rsid w:val="00E63168"/>
    <w:rsid w:val="00E64340"/>
    <w:rsid w:val="00E65652"/>
    <w:rsid w:val="00E663E5"/>
    <w:rsid w:val="00E66AC9"/>
    <w:rsid w:val="00E66E7D"/>
    <w:rsid w:val="00E670F4"/>
    <w:rsid w:val="00E67206"/>
    <w:rsid w:val="00E704C8"/>
    <w:rsid w:val="00E739D4"/>
    <w:rsid w:val="00E744EC"/>
    <w:rsid w:val="00E75141"/>
    <w:rsid w:val="00E8093B"/>
    <w:rsid w:val="00E8109B"/>
    <w:rsid w:val="00E81A45"/>
    <w:rsid w:val="00E82015"/>
    <w:rsid w:val="00E85424"/>
    <w:rsid w:val="00E90C50"/>
    <w:rsid w:val="00E92455"/>
    <w:rsid w:val="00E933F1"/>
    <w:rsid w:val="00E9415A"/>
    <w:rsid w:val="00E95E98"/>
    <w:rsid w:val="00E96302"/>
    <w:rsid w:val="00EA168C"/>
    <w:rsid w:val="00EA2286"/>
    <w:rsid w:val="00EA2EC4"/>
    <w:rsid w:val="00EB0812"/>
    <w:rsid w:val="00EB1FF0"/>
    <w:rsid w:val="00EB345B"/>
    <w:rsid w:val="00EB3D1A"/>
    <w:rsid w:val="00EB414C"/>
    <w:rsid w:val="00EB5A2B"/>
    <w:rsid w:val="00EB5AD7"/>
    <w:rsid w:val="00EB6357"/>
    <w:rsid w:val="00EB6C91"/>
    <w:rsid w:val="00EC1E5A"/>
    <w:rsid w:val="00EC21B8"/>
    <w:rsid w:val="00EC3276"/>
    <w:rsid w:val="00EC3F10"/>
    <w:rsid w:val="00EC48E8"/>
    <w:rsid w:val="00EC5244"/>
    <w:rsid w:val="00EC7540"/>
    <w:rsid w:val="00ED16D0"/>
    <w:rsid w:val="00ED1E8A"/>
    <w:rsid w:val="00ED2671"/>
    <w:rsid w:val="00ED3594"/>
    <w:rsid w:val="00ED3D52"/>
    <w:rsid w:val="00ED4F21"/>
    <w:rsid w:val="00ED6007"/>
    <w:rsid w:val="00ED649A"/>
    <w:rsid w:val="00EE0904"/>
    <w:rsid w:val="00EE0F53"/>
    <w:rsid w:val="00EE3645"/>
    <w:rsid w:val="00EE3EC0"/>
    <w:rsid w:val="00EE4904"/>
    <w:rsid w:val="00EE56D3"/>
    <w:rsid w:val="00EE5F4F"/>
    <w:rsid w:val="00EE6A58"/>
    <w:rsid w:val="00EE730B"/>
    <w:rsid w:val="00EE74BC"/>
    <w:rsid w:val="00EF0742"/>
    <w:rsid w:val="00EF0A40"/>
    <w:rsid w:val="00EF0F55"/>
    <w:rsid w:val="00EF1AA9"/>
    <w:rsid w:val="00EF1F5B"/>
    <w:rsid w:val="00EF48AC"/>
    <w:rsid w:val="00EF6461"/>
    <w:rsid w:val="00EF6859"/>
    <w:rsid w:val="00EF70EA"/>
    <w:rsid w:val="00EF7229"/>
    <w:rsid w:val="00F002EE"/>
    <w:rsid w:val="00F017EE"/>
    <w:rsid w:val="00F02462"/>
    <w:rsid w:val="00F02BE5"/>
    <w:rsid w:val="00F04035"/>
    <w:rsid w:val="00F056C1"/>
    <w:rsid w:val="00F0640A"/>
    <w:rsid w:val="00F07C5F"/>
    <w:rsid w:val="00F1244C"/>
    <w:rsid w:val="00F136B8"/>
    <w:rsid w:val="00F14A95"/>
    <w:rsid w:val="00F14D63"/>
    <w:rsid w:val="00F16C3F"/>
    <w:rsid w:val="00F16FC0"/>
    <w:rsid w:val="00F17A6C"/>
    <w:rsid w:val="00F20E00"/>
    <w:rsid w:val="00F2110C"/>
    <w:rsid w:val="00F232CF"/>
    <w:rsid w:val="00F244A0"/>
    <w:rsid w:val="00F26902"/>
    <w:rsid w:val="00F26A83"/>
    <w:rsid w:val="00F26E46"/>
    <w:rsid w:val="00F3200B"/>
    <w:rsid w:val="00F32118"/>
    <w:rsid w:val="00F34DF5"/>
    <w:rsid w:val="00F37F0B"/>
    <w:rsid w:val="00F40C5C"/>
    <w:rsid w:val="00F410C9"/>
    <w:rsid w:val="00F42DAE"/>
    <w:rsid w:val="00F431D2"/>
    <w:rsid w:val="00F45065"/>
    <w:rsid w:val="00F46F62"/>
    <w:rsid w:val="00F47B85"/>
    <w:rsid w:val="00F53F42"/>
    <w:rsid w:val="00F550A6"/>
    <w:rsid w:val="00F56649"/>
    <w:rsid w:val="00F6094E"/>
    <w:rsid w:val="00F6185C"/>
    <w:rsid w:val="00F6371C"/>
    <w:rsid w:val="00F63B35"/>
    <w:rsid w:val="00F6458A"/>
    <w:rsid w:val="00F65773"/>
    <w:rsid w:val="00F65F5F"/>
    <w:rsid w:val="00F67BFF"/>
    <w:rsid w:val="00F67E89"/>
    <w:rsid w:val="00F703D6"/>
    <w:rsid w:val="00F717A4"/>
    <w:rsid w:val="00F72FE1"/>
    <w:rsid w:val="00F73418"/>
    <w:rsid w:val="00F762B6"/>
    <w:rsid w:val="00F82B1F"/>
    <w:rsid w:val="00F833A1"/>
    <w:rsid w:val="00F8414E"/>
    <w:rsid w:val="00F866F4"/>
    <w:rsid w:val="00F87534"/>
    <w:rsid w:val="00F87D97"/>
    <w:rsid w:val="00F9065F"/>
    <w:rsid w:val="00F91091"/>
    <w:rsid w:val="00F91F6A"/>
    <w:rsid w:val="00F94D8D"/>
    <w:rsid w:val="00F95305"/>
    <w:rsid w:val="00F96A0A"/>
    <w:rsid w:val="00F973AA"/>
    <w:rsid w:val="00F97BE5"/>
    <w:rsid w:val="00FA14A5"/>
    <w:rsid w:val="00FA17C9"/>
    <w:rsid w:val="00FA2951"/>
    <w:rsid w:val="00FA2EC4"/>
    <w:rsid w:val="00FA2F3A"/>
    <w:rsid w:val="00FA342C"/>
    <w:rsid w:val="00FA3E16"/>
    <w:rsid w:val="00FA49A0"/>
    <w:rsid w:val="00FA55C5"/>
    <w:rsid w:val="00FA7209"/>
    <w:rsid w:val="00FA7623"/>
    <w:rsid w:val="00FA7976"/>
    <w:rsid w:val="00FA7ED4"/>
    <w:rsid w:val="00FB02B4"/>
    <w:rsid w:val="00FB0361"/>
    <w:rsid w:val="00FB1AC8"/>
    <w:rsid w:val="00FB22B5"/>
    <w:rsid w:val="00FB2C3C"/>
    <w:rsid w:val="00FB2CC7"/>
    <w:rsid w:val="00FB3ED2"/>
    <w:rsid w:val="00FB403A"/>
    <w:rsid w:val="00FB4270"/>
    <w:rsid w:val="00FB47B0"/>
    <w:rsid w:val="00FB55D6"/>
    <w:rsid w:val="00FB646F"/>
    <w:rsid w:val="00FB6A45"/>
    <w:rsid w:val="00FC0470"/>
    <w:rsid w:val="00FC0FC2"/>
    <w:rsid w:val="00FC1864"/>
    <w:rsid w:val="00FC29B9"/>
    <w:rsid w:val="00FC2FC0"/>
    <w:rsid w:val="00FC526B"/>
    <w:rsid w:val="00FD0773"/>
    <w:rsid w:val="00FD08BC"/>
    <w:rsid w:val="00FD1320"/>
    <w:rsid w:val="00FD23A3"/>
    <w:rsid w:val="00FD4528"/>
    <w:rsid w:val="00FD5AE7"/>
    <w:rsid w:val="00FD665D"/>
    <w:rsid w:val="00FD6CBE"/>
    <w:rsid w:val="00FD7508"/>
    <w:rsid w:val="00FE1749"/>
    <w:rsid w:val="00FE1D65"/>
    <w:rsid w:val="00FE45B0"/>
    <w:rsid w:val="00FE5B6C"/>
    <w:rsid w:val="00FF0083"/>
    <w:rsid w:val="00FF1758"/>
    <w:rsid w:val="00FF17B5"/>
    <w:rsid w:val="00FF2F85"/>
    <w:rsid w:val="00FF413B"/>
    <w:rsid w:val="00FF4164"/>
    <w:rsid w:val="00FF4B47"/>
    <w:rsid w:val="00FF7347"/>
    <w:rsid w:val="00FF7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DDB1AC"/>
  <w15:docId w15:val="{0775B024-6E89-4F5F-9DCB-D1B55DEB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heme="minorEastAsia" w:hAnsi="New York" w:cs="Times New Roman"/>
        <w:lang w:val="en-US" w:eastAsia="en-US" w:bidi="ar-SA"/>
      </w:rPr>
    </w:rPrDefault>
    <w:pPrDefault/>
  </w:docDefaults>
  <w:latentStyles w:defLockedState="0" w:defUIPriority="0"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274F7"/>
    <w:pPr>
      <w:spacing w:after="200"/>
      <w:jc w:val="both"/>
    </w:pPr>
    <w:rPr>
      <w:rFonts w:ascii="Times" w:hAnsi="Times"/>
      <w:sz w:val="24"/>
    </w:rPr>
  </w:style>
  <w:style w:type="paragraph" w:styleId="Heading1">
    <w:name w:val="heading 1"/>
    <w:basedOn w:val="Normal"/>
    <w:next w:val="Normal"/>
    <w:link w:val="Heading1Char"/>
    <w:uiPriority w:val="9"/>
    <w:qFormat/>
    <w:rsid w:val="00227043"/>
    <w:pPr>
      <w:keepNext/>
      <w:keepLines/>
      <w:spacing w:before="480" w:after="0" w:line="276" w:lineRule="auto"/>
      <w:jc w:val="left"/>
      <w:outlineLvl w:val="0"/>
    </w:pPr>
    <w:rPr>
      <w:rFonts w:asciiTheme="majorHAnsi" w:eastAsiaTheme="majorEastAsia" w:hAnsiTheme="majorHAnsi" w:cstheme="majorBidi"/>
      <w:b/>
      <w:bCs/>
      <w:color w:val="365F91" w:themeColor="accent1" w:themeShade="BF"/>
      <w:sz w:val="28"/>
      <w:szCs w:val="28"/>
      <w:lang w:val="en-GB" w:eastAsia="ja-JP"/>
    </w:rPr>
  </w:style>
  <w:style w:type="paragraph" w:styleId="Heading2">
    <w:name w:val="heading 2"/>
    <w:basedOn w:val="Normal"/>
    <w:next w:val="Normal"/>
    <w:link w:val="Heading2Char"/>
    <w:uiPriority w:val="9"/>
    <w:unhideWhenUsed/>
    <w:qFormat/>
    <w:rsid w:val="00227043"/>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lang w:val="en-GB" w:eastAsia="ja-JP"/>
    </w:rPr>
  </w:style>
  <w:style w:type="paragraph" w:styleId="Heading3">
    <w:name w:val="heading 3"/>
    <w:basedOn w:val="Normal"/>
    <w:next w:val="Normal"/>
    <w:link w:val="Heading3Char"/>
    <w:uiPriority w:val="9"/>
    <w:unhideWhenUsed/>
    <w:qFormat/>
    <w:rsid w:val="00227043"/>
    <w:pPr>
      <w:keepNext/>
      <w:keepLines/>
      <w:spacing w:before="200" w:after="0" w:line="276" w:lineRule="auto"/>
      <w:jc w:val="left"/>
      <w:outlineLvl w:val="2"/>
    </w:pPr>
    <w:rPr>
      <w:rFonts w:asciiTheme="majorHAnsi" w:eastAsiaTheme="majorEastAsia" w:hAnsiTheme="majorHAnsi" w:cstheme="majorBidi"/>
      <w:b/>
      <w:bCs/>
      <w:color w:val="4F81BD" w:themeColor="accent1"/>
      <w:sz w:val="22"/>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link w:val="BodyTextChar"/>
    <w:pPr>
      <w:jc w:val="center"/>
    </w:pPr>
    <w:rPr>
      <w:b/>
      <w:sz w:val="40"/>
    </w:rPr>
  </w:style>
  <w:style w:type="paragraph" w:styleId="FootnoteText">
    <w:name w:val="footnote text"/>
    <w:basedOn w:val="Normal"/>
    <w:next w:val="TFReferencesSection"/>
    <w:link w:val="FootnoteTextChar"/>
    <w:semiHidden/>
  </w:style>
  <w:style w:type="paragraph" w:customStyle="1" w:styleId="TFReferencesSection">
    <w:name w:val="TF_References_Section"/>
    <w:basedOn w:val="Normal"/>
    <w:pPr>
      <w:spacing w:line="480" w:lineRule="auto"/>
      <w:ind w:firstLine="187"/>
    </w:pPr>
  </w:style>
  <w:style w:type="paragraph" w:customStyle="1" w:styleId="TAMainText">
    <w:name w:val="TA_Main_Text"/>
    <w:basedOn w:val="Normal"/>
    <w:pPr>
      <w:spacing w:after="0"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pPr>
      <w:spacing w:before="360" w:after="360" w:line="480" w:lineRule="auto"/>
    </w:pPr>
  </w:style>
  <w:style w:type="paragraph" w:customStyle="1" w:styleId="TDAcknowledgments">
    <w:name w:val="TD_Acknowledgments"/>
    <w:basedOn w:val="Normal"/>
    <w:next w:val="Normal"/>
    <w:pPr>
      <w:spacing w:before="200" w:line="480" w:lineRule="auto"/>
      <w:ind w:firstLine="202"/>
    </w:p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PageNumber">
    <w:name w:val="page number"/>
    <w:basedOn w:val="DefaultParagraphFont"/>
  </w:style>
  <w:style w:type="paragraph" w:styleId="BalloonText">
    <w:name w:val="Balloon Text"/>
    <w:basedOn w:val="Normal"/>
    <w:link w:val="BalloonTextChar"/>
    <w:uiPriority w:val="99"/>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character" w:customStyle="1" w:styleId="Heading1Char">
    <w:name w:val="Heading 1 Char"/>
    <w:basedOn w:val="DefaultParagraphFont"/>
    <w:link w:val="Heading1"/>
    <w:uiPriority w:val="9"/>
    <w:rsid w:val="00227043"/>
    <w:rPr>
      <w:rFonts w:asciiTheme="majorHAnsi" w:eastAsiaTheme="majorEastAsia" w:hAnsiTheme="majorHAnsi" w:cstheme="majorBidi"/>
      <w:b/>
      <w:bCs/>
      <w:color w:val="365F91" w:themeColor="accent1" w:themeShade="BF"/>
      <w:sz w:val="28"/>
      <w:szCs w:val="28"/>
      <w:lang w:val="en-GB" w:eastAsia="ja-JP"/>
    </w:rPr>
  </w:style>
  <w:style w:type="character" w:customStyle="1" w:styleId="Heading2Char">
    <w:name w:val="Heading 2 Char"/>
    <w:basedOn w:val="DefaultParagraphFont"/>
    <w:link w:val="Heading2"/>
    <w:uiPriority w:val="9"/>
    <w:rsid w:val="00227043"/>
    <w:rPr>
      <w:rFonts w:asciiTheme="majorHAnsi" w:eastAsiaTheme="majorEastAsia" w:hAnsiTheme="majorHAnsi" w:cstheme="majorBidi"/>
      <w:b/>
      <w:bCs/>
      <w:color w:val="4F81BD" w:themeColor="accent1"/>
      <w:sz w:val="26"/>
      <w:szCs w:val="26"/>
      <w:lang w:val="en-GB" w:eastAsia="ja-JP"/>
    </w:rPr>
  </w:style>
  <w:style w:type="character" w:customStyle="1" w:styleId="Heading3Char">
    <w:name w:val="Heading 3 Char"/>
    <w:basedOn w:val="DefaultParagraphFont"/>
    <w:link w:val="Heading3"/>
    <w:uiPriority w:val="9"/>
    <w:rsid w:val="00227043"/>
    <w:rPr>
      <w:rFonts w:asciiTheme="majorHAnsi" w:eastAsiaTheme="majorEastAsia" w:hAnsiTheme="majorHAnsi" w:cstheme="majorBidi"/>
      <w:b/>
      <w:bCs/>
      <w:color w:val="4F81BD" w:themeColor="accent1"/>
      <w:sz w:val="22"/>
      <w:szCs w:val="22"/>
      <w:lang w:val="en-GB" w:eastAsia="ja-JP"/>
    </w:rPr>
  </w:style>
  <w:style w:type="paragraph" w:styleId="Title">
    <w:name w:val="Title"/>
    <w:basedOn w:val="Normal"/>
    <w:next w:val="Normal"/>
    <w:link w:val="TitleChar"/>
    <w:uiPriority w:val="10"/>
    <w:qFormat/>
    <w:rsid w:val="00227043"/>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en-GB" w:eastAsia="ja-JP"/>
    </w:rPr>
  </w:style>
  <w:style w:type="character" w:customStyle="1" w:styleId="TitleChar">
    <w:name w:val="Title Char"/>
    <w:basedOn w:val="DefaultParagraphFont"/>
    <w:link w:val="Title"/>
    <w:uiPriority w:val="10"/>
    <w:rsid w:val="00227043"/>
    <w:rPr>
      <w:rFonts w:asciiTheme="majorHAnsi" w:eastAsiaTheme="majorEastAsia" w:hAnsiTheme="majorHAnsi" w:cstheme="majorBidi"/>
      <w:color w:val="17365D" w:themeColor="text2" w:themeShade="BF"/>
      <w:spacing w:val="5"/>
      <w:kern w:val="28"/>
      <w:sz w:val="52"/>
      <w:szCs w:val="52"/>
      <w:lang w:val="en-GB" w:eastAsia="ja-JP"/>
    </w:rPr>
  </w:style>
  <w:style w:type="table" w:styleId="TableGrid">
    <w:name w:val="Table Grid"/>
    <w:basedOn w:val="TableNormal"/>
    <w:uiPriority w:val="39"/>
    <w:rsid w:val="00227043"/>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7043"/>
    <w:rPr>
      <w:color w:val="808080"/>
    </w:rPr>
  </w:style>
  <w:style w:type="character" w:customStyle="1" w:styleId="BalloonTextChar">
    <w:name w:val="Balloon Text Char"/>
    <w:basedOn w:val="DefaultParagraphFont"/>
    <w:link w:val="BalloonText"/>
    <w:uiPriority w:val="99"/>
    <w:semiHidden/>
    <w:rsid w:val="00227043"/>
    <w:rPr>
      <w:rFonts w:ascii="Tahoma" w:hAnsi="Tahoma" w:cs="Tahoma"/>
      <w:sz w:val="16"/>
      <w:szCs w:val="16"/>
    </w:rPr>
  </w:style>
  <w:style w:type="paragraph" w:styleId="ListParagraph">
    <w:name w:val="List Paragraph"/>
    <w:basedOn w:val="Normal"/>
    <w:uiPriority w:val="34"/>
    <w:qFormat/>
    <w:rsid w:val="00227043"/>
    <w:pPr>
      <w:spacing w:line="276" w:lineRule="auto"/>
      <w:ind w:left="720"/>
      <w:contextualSpacing/>
      <w:jc w:val="left"/>
    </w:pPr>
    <w:rPr>
      <w:rFonts w:asciiTheme="minorHAnsi" w:hAnsiTheme="minorHAnsi" w:cstheme="minorBidi"/>
      <w:sz w:val="22"/>
      <w:szCs w:val="22"/>
      <w:lang w:val="en-GB" w:eastAsia="ja-JP"/>
    </w:rPr>
  </w:style>
  <w:style w:type="character" w:customStyle="1" w:styleId="gi">
    <w:name w:val="gi"/>
    <w:basedOn w:val="DefaultParagraphFont"/>
    <w:rsid w:val="00227043"/>
  </w:style>
  <w:style w:type="character" w:styleId="CommentReference">
    <w:name w:val="annotation reference"/>
    <w:basedOn w:val="DefaultParagraphFont"/>
    <w:uiPriority w:val="99"/>
    <w:unhideWhenUsed/>
    <w:rsid w:val="00227043"/>
    <w:rPr>
      <w:sz w:val="16"/>
      <w:szCs w:val="16"/>
    </w:rPr>
  </w:style>
  <w:style w:type="paragraph" w:styleId="CommentText">
    <w:name w:val="annotation text"/>
    <w:basedOn w:val="Normal"/>
    <w:link w:val="CommentTextChar"/>
    <w:uiPriority w:val="99"/>
    <w:unhideWhenUsed/>
    <w:rsid w:val="00227043"/>
    <w:pPr>
      <w:jc w:val="left"/>
    </w:pPr>
    <w:rPr>
      <w:rFonts w:asciiTheme="minorHAnsi" w:hAnsiTheme="minorHAnsi" w:cstheme="minorBidi"/>
      <w:sz w:val="20"/>
      <w:lang w:val="en-GB" w:eastAsia="ja-JP"/>
    </w:rPr>
  </w:style>
  <w:style w:type="character" w:customStyle="1" w:styleId="CommentTextChar">
    <w:name w:val="Comment Text Char"/>
    <w:basedOn w:val="DefaultParagraphFont"/>
    <w:link w:val="CommentText"/>
    <w:uiPriority w:val="99"/>
    <w:rsid w:val="00227043"/>
    <w:rPr>
      <w:rFonts w:asciiTheme="minorHAnsi" w:eastAsiaTheme="minorEastAsia" w:hAnsiTheme="minorHAnsi" w:cstheme="minorBidi"/>
      <w:lang w:val="en-GB" w:eastAsia="ja-JP"/>
    </w:rPr>
  </w:style>
  <w:style w:type="paragraph" w:styleId="CommentSubject">
    <w:name w:val="annotation subject"/>
    <w:basedOn w:val="CommentText"/>
    <w:next w:val="CommentText"/>
    <w:link w:val="CommentSubjectChar"/>
    <w:uiPriority w:val="99"/>
    <w:unhideWhenUsed/>
    <w:rsid w:val="00227043"/>
    <w:rPr>
      <w:b/>
      <w:bCs/>
    </w:rPr>
  </w:style>
  <w:style w:type="character" w:customStyle="1" w:styleId="CommentSubjectChar">
    <w:name w:val="Comment Subject Char"/>
    <w:basedOn w:val="CommentTextChar"/>
    <w:link w:val="CommentSubject"/>
    <w:uiPriority w:val="99"/>
    <w:rsid w:val="00227043"/>
    <w:rPr>
      <w:rFonts w:asciiTheme="minorHAnsi" w:eastAsiaTheme="minorEastAsia" w:hAnsiTheme="minorHAnsi" w:cstheme="minorBidi"/>
      <w:b/>
      <w:bCs/>
      <w:lang w:val="en-GB" w:eastAsia="ja-JP"/>
    </w:rPr>
  </w:style>
  <w:style w:type="paragraph" w:styleId="Header">
    <w:name w:val="header"/>
    <w:basedOn w:val="Normal"/>
    <w:link w:val="HeaderChar"/>
    <w:uiPriority w:val="99"/>
    <w:unhideWhenUsed/>
    <w:rsid w:val="00227043"/>
    <w:pPr>
      <w:tabs>
        <w:tab w:val="center" w:pos="4513"/>
        <w:tab w:val="right" w:pos="9026"/>
      </w:tabs>
      <w:spacing w:after="0"/>
      <w:jc w:val="left"/>
    </w:pPr>
    <w:rPr>
      <w:rFonts w:asciiTheme="minorHAnsi" w:hAnsiTheme="minorHAnsi" w:cstheme="minorBidi"/>
      <w:sz w:val="22"/>
      <w:szCs w:val="22"/>
      <w:lang w:val="en-GB" w:eastAsia="ja-JP"/>
    </w:rPr>
  </w:style>
  <w:style w:type="character" w:customStyle="1" w:styleId="HeaderChar">
    <w:name w:val="Header Char"/>
    <w:basedOn w:val="DefaultParagraphFont"/>
    <w:link w:val="Header"/>
    <w:uiPriority w:val="99"/>
    <w:rsid w:val="00227043"/>
    <w:rPr>
      <w:rFonts w:asciiTheme="minorHAnsi" w:eastAsiaTheme="minorEastAsia" w:hAnsiTheme="minorHAnsi" w:cstheme="minorBidi"/>
      <w:sz w:val="22"/>
      <w:szCs w:val="22"/>
      <w:lang w:val="en-GB" w:eastAsia="ja-JP"/>
    </w:rPr>
  </w:style>
  <w:style w:type="character" w:customStyle="1" w:styleId="FooterChar">
    <w:name w:val="Footer Char"/>
    <w:basedOn w:val="DefaultParagraphFont"/>
    <w:link w:val="Footer"/>
    <w:uiPriority w:val="99"/>
    <w:rsid w:val="00227043"/>
    <w:rPr>
      <w:rFonts w:ascii="Times" w:hAnsi="Times"/>
      <w:sz w:val="24"/>
    </w:rPr>
  </w:style>
  <w:style w:type="paragraph" w:customStyle="1" w:styleId="Eq">
    <w:name w:val="Eq"/>
    <w:basedOn w:val="Normal"/>
    <w:rsid w:val="00227043"/>
    <w:pPr>
      <w:spacing w:line="276" w:lineRule="auto"/>
      <w:jc w:val="left"/>
    </w:pPr>
    <w:rPr>
      <w:rFonts w:ascii="Cambria Math" w:hAnsi="Cambria Math" w:cstheme="minorBidi"/>
      <w:i/>
      <w:sz w:val="22"/>
      <w:szCs w:val="22"/>
      <w:lang w:val="en-GB" w:eastAsia="ja-JP"/>
    </w:rPr>
  </w:style>
  <w:style w:type="table" w:customStyle="1" w:styleId="TableGrid1">
    <w:name w:val="Table Grid1"/>
    <w:basedOn w:val="TableNormal"/>
    <w:next w:val="TableGrid"/>
    <w:uiPriority w:val="59"/>
    <w:rsid w:val="00227043"/>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62BE"/>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B47DF"/>
  </w:style>
  <w:style w:type="table" w:customStyle="1" w:styleId="TableGrid2">
    <w:name w:val="Table Grid2"/>
    <w:basedOn w:val="TableNormal"/>
    <w:next w:val="TableGrid"/>
    <w:uiPriority w:val="59"/>
    <w:rsid w:val="00DB47DF"/>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LatinBodyCalibriAsianDejaVuSansKernat15pt">
    <w:name w:val="Style (Latin) +Body (Calibri) (Asian) DejaVu Sans Kern at 1.5 pt"/>
    <w:basedOn w:val="DefaultParagraphFont"/>
    <w:rsid w:val="00DB47DF"/>
    <w:rPr>
      <w:rFonts w:ascii="Times New Roman" w:eastAsia="DejaVu Sans" w:hAnsi="Times New Roman"/>
      <w:kern w:val="3"/>
    </w:rPr>
  </w:style>
  <w:style w:type="character" w:styleId="Strong">
    <w:name w:val="Strong"/>
    <w:basedOn w:val="DefaultParagraphFont"/>
    <w:qFormat/>
    <w:rsid w:val="00431DFD"/>
    <w:rPr>
      <w:b/>
      <w:bCs/>
    </w:rPr>
  </w:style>
  <w:style w:type="character" w:customStyle="1" w:styleId="FootnoteTextChar">
    <w:name w:val="Footnote Text Char"/>
    <w:basedOn w:val="DefaultParagraphFont"/>
    <w:link w:val="FootnoteText"/>
    <w:semiHidden/>
    <w:rsid w:val="00B116B8"/>
    <w:rPr>
      <w:rFonts w:ascii="Times" w:hAnsi="Times"/>
      <w:sz w:val="24"/>
    </w:rPr>
  </w:style>
  <w:style w:type="character" w:customStyle="1" w:styleId="BodyTextChar">
    <w:name w:val="Body Text Char"/>
    <w:basedOn w:val="DefaultParagraphFont"/>
    <w:link w:val="BodyText"/>
    <w:rsid w:val="00B116B8"/>
    <w:rPr>
      <w:rFonts w:ascii="Times" w:hAnsi="Times"/>
      <w:b/>
      <w:sz w:val="40"/>
    </w:rPr>
  </w:style>
  <w:style w:type="paragraph" w:customStyle="1" w:styleId="Heading11">
    <w:name w:val="Heading 11"/>
    <w:basedOn w:val="Normal"/>
    <w:next w:val="Normal"/>
    <w:uiPriority w:val="9"/>
    <w:qFormat/>
    <w:rsid w:val="00510078"/>
    <w:pPr>
      <w:keepNext/>
      <w:keepLines/>
      <w:spacing w:before="480" w:after="0" w:line="276" w:lineRule="auto"/>
      <w:jc w:val="left"/>
      <w:outlineLvl w:val="0"/>
    </w:pPr>
    <w:rPr>
      <w:rFonts w:ascii="Cambria" w:eastAsia="MS Gothic" w:hAnsi="Cambria"/>
      <w:b/>
      <w:bCs/>
      <w:color w:val="365F91"/>
      <w:sz w:val="28"/>
      <w:szCs w:val="28"/>
      <w:lang w:val="en-GB" w:eastAsia="ja-JP"/>
    </w:rPr>
  </w:style>
  <w:style w:type="paragraph" w:customStyle="1" w:styleId="Heading21">
    <w:name w:val="Heading 21"/>
    <w:basedOn w:val="Normal"/>
    <w:next w:val="Normal"/>
    <w:uiPriority w:val="9"/>
    <w:unhideWhenUsed/>
    <w:qFormat/>
    <w:rsid w:val="00510078"/>
    <w:pPr>
      <w:keepNext/>
      <w:keepLines/>
      <w:spacing w:before="200" w:after="0" w:line="276" w:lineRule="auto"/>
      <w:jc w:val="left"/>
      <w:outlineLvl w:val="1"/>
    </w:pPr>
    <w:rPr>
      <w:rFonts w:ascii="Cambria" w:eastAsia="MS Gothic" w:hAnsi="Cambria"/>
      <w:b/>
      <w:bCs/>
      <w:color w:val="4F81BD"/>
      <w:sz w:val="26"/>
      <w:szCs w:val="26"/>
      <w:lang w:val="en-GB" w:eastAsia="ja-JP"/>
    </w:rPr>
  </w:style>
  <w:style w:type="paragraph" w:customStyle="1" w:styleId="Heading31">
    <w:name w:val="Heading 31"/>
    <w:basedOn w:val="Normal"/>
    <w:next w:val="Normal"/>
    <w:uiPriority w:val="9"/>
    <w:unhideWhenUsed/>
    <w:qFormat/>
    <w:rsid w:val="00510078"/>
    <w:pPr>
      <w:keepNext/>
      <w:keepLines/>
      <w:spacing w:before="200" w:after="0" w:line="276" w:lineRule="auto"/>
      <w:jc w:val="left"/>
      <w:outlineLvl w:val="2"/>
    </w:pPr>
    <w:rPr>
      <w:rFonts w:ascii="Cambria" w:eastAsia="MS Gothic" w:hAnsi="Cambria"/>
      <w:b/>
      <w:bCs/>
      <w:color w:val="4F81BD"/>
      <w:sz w:val="22"/>
      <w:szCs w:val="22"/>
      <w:lang w:val="en-GB" w:eastAsia="ja-JP"/>
    </w:rPr>
  </w:style>
  <w:style w:type="paragraph" w:customStyle="1" w:styleId="Title1">
    <w:name w:val="Title1"/>
    <w:basedOn w:val="Normal"/>
    <w:next w:val="Normal"/>
    <w:uiPriority w:val="10"/>
    <w:qFormat/>
    <w:rsid w:val="00510078"/>
    <w:pPr>
      <w:pBdr>
        <w:bottom w:val="single" w:sz="8" w:space="4" w:color="4F81BD"/>
      </w:pBdr>
      <w:spacing w:after="300"/>
      <w:contextualSpacing/>
      <w:jc w:val="left"/>
    </w:pPr>
    <w:rPr>
      <w:rFonts w:ascii="Cambria" w:eastAsia="MS Gothic" w:hAnsi="Cambria"/>
      <w:color w:val="17365D"/>
      <w:spacing w:val="5"/>
      <w:kern w:val="28"/>
      <w:sz w:val="52"/>
      <w:szCs w:val="52"/>
      <w:lang w:val="en-GB" w:eastAsia="ja-JP"/>
    </w:rPr>
  </w:style>
  <w:style w:type="paragraph" w:customStyle="1" w:styleId="ListParagraph1">
    <w:name w:val="List Paragraph1"/>
    <w:basedOn w:val="Normal"/>
    <w:next w:val="ListParagraph"/>
    <w:uiPriority w:val="34"/>
    <w:qFormat/>
    <w:rsid w:val="00510078"/>
    <w:pPr>
      <w:spacing w:line="276" w:lineRule="auto"/>
      <w:ind w:left="720"/>
      <w:contextualSpacing/>
      <w:jc w:val="left"/>
    </w:pPr>
    <w:rPr>
      <w:rFonts w:asciiTheme="minorHAnsi" w:hAnsiTheme="minorHAnsi" w:cstheme="minorBidi"/>
      <w:sz w:val="22"/>
      <w:szCs w:val="22"/>
      <w:lang w:val="en-GB" w:eastAsia="ja-JP"/>
    </w:rPr>
  </w:style>
  <w:style w:type="paragraph" w:customStyle="1" w:styleId="CommentText1">
    <w:name w:val="Comment Text1"/>
    <w:basedOn w:val="Normal"/>
    <w:next w:val="CommentText"/>
    <w:uiPriority w:val="99"/>
    <w:unhideWhenUsed/>
    <w:rsid w:val="00510078"/>
    <w:pPr>
      <w:jc w:val="left"/>
    </w:pPr>
    <w:rPr>
      <w:rFonts w:ascii="Calibri" w:eastAsia="MS Mincho" w:hAnsi="Calibri"/>
      <w:sz w:val="22"/>
      <w:szCs w:val="22"/>
      <w:lang w:val="en-GB" w:eastAsia="ja-JP"/>
    </w:rPr>
  </w:style>
  <w:style w:type="character" w:customStyle="1" w:styleId="CommentTextChar1">
    <w:name w:val="Comment Text Char1"/>
    <w:basedOn w:val="DefaultParagraphFont"/>
    <w:uiPriority w:val="99"/>
    <w:semiHidden/>
    <w:rsid w:val="00510078"/>
    <w:rPr>
      <w:sz w:val="20"/>
      <w:szCs w:val="20"/>
    </w:rPr>
  </w:style>
  <w:style w:type="paragraph" w:customStyle="1" w:styleId="Header1">
    <w:name w:val="Header1"/>
    <w:basedOn w:val="Normal"/>
    <w:next w:val="Header"/>
    <w:uiPriority w:val="99"/>
    <w:unhideWhenUsed/>
    <w:rsid w:val="00510078"/>
    <w:pPr>
      <w:tabs>
        <w:tab w:val="center" w:pos="4513"/>
        <w:tab w:val="right" w:pos="9026"/>
      </w:tabs>
      <w:spacing w:after="0"/>
      <w:jc w:val="left"/>
    </w:pPr>
    <w:rPr>
      <w:rFonts w:ascii="Calibri" w:eastAsia="MS Mincho" w:hAnsi="Calibri"/>
      <w:sz w:val="22"/>
      <w:szCs w:val="22"/>
      <w:lang w:val="en-GB" w:eastAsia="ja-JP"/>
    </w:rPr>
  </w:style>
  <w:style w:type="numbering" w:customStyle="1" w:styleId="NoList11">
    <w:name w:val="No List11"/>
    <w:next w:val="NoList"/>
    <w:uiPriority w:val="99"/>
    <w:semiHidden/>
    <w:unhideWhenUsed/>
    <w:rsid w:val="00510078"/>
  </w:style>
  <w:style w:type="character" w:customStyle="1" w:styleId="Heading1Char1">
    <w:name w:val="Heading 1 Char1"/>
    <w:basedOn w:val="DefaultParagraphFont"/>
    <w:uiPriority w:val="9"/>
    <w:rsid w:val="00510078"/>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510078"/>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510078"/>
    <w:rPr>
      <w:rFonts w:asciiTheme="majorHAnsi" w:eastAsiaTheme="majorEastAsia" w:hAnsiTheme="majorHAnsi" w:cstheme="majorBidi"/>
      <w:color w:val="243F60" w:themeColor="accent1" w:themeShade="7F"/>
      <w:sz w:val="24"/>
      <w:szCs w:val="24"/>
    </w:rPr>
  </w:style>
  <w:style w:type="character" w:customStyle="1" w:styleId="TitleChar1">
    <w:name w:val="Title Char1"/>
    <w:basedOn w:val="DefaultParagraphFont"/>
    <w:uiPriority w:val="10"/>
    <w:rsid w:val="00510078"/>
    <w:rPr>
      <w:rFonts w:asciiTheme="majorHAnsi" w:eastAsiaTheme="majorEastAsia" w:hAnsiTheme="majorHAnsi" w:cstheme="majorBidi"/>
      <w:spacing w:val="-10"/>
      <w:kern w:val="28"/>
      <w:sz w:val="56"/>
      <w:szCs w:val="56"/>
    </w:rPr>
  </w:style>
  <w:style w:type="character" w:customStyle="1" w:styleId="HeaderChar1">
    <w:name w:val="Header Char1"/>
    <w:basedOn w:val="DefaultParagraphFont"/>
    <w:uiPriority w:val="99"/>
    <w:semiHidden/>
    <w:rsid w:val="00510078"/>
  </w:style>
  <w:style w:type="numbering" w:customStyle="1" w:styleId="NoList2">
    <w:name w:val="No List2"/>
    <w:next w:val="NoList"/>
    <w:uiPriority w:val="99"/>
    <w:semiHidden/>
    <w:unhideWhenUsed/>
    <w:rsid w:val="008D6060"/>
  </w:style>
  <w:style w:type="table" w:customStyle="1" w:styleId="TableGrid3">
    <w:name w:val="Table Grid3"/>
    <w:basedOn w:val="TableNormal"/>
    <w:next w:val="TableGrid"/>
    <w:uiPriority w:val="39"/>
    <w:rsid w:val="008D6060"/>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D6060"/>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D6060"/>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D6060"/>
  </w:style>
  <w:style w:type="table" w:customStyle="1" w:styleId="TableGrid21">
    <w:name w:val="Table Grid21"/>
    <w:basedOn w:val="TableNormal"/>
    <w:next w:val="TableGrid"/>
    <w:uiPriority w:val="59"/>
    <w:rsid w:val="008D6060"/>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D6060"/>
  </w:style>
  <w:style w:type="character" w:styleId="LineNumber">
    <w:name w:val="line number"/>
    <w:basedOn w:val="DefaultParagraphFont"/>
    <w:semiHidden/>
    <w:unhideWhenUsed/>
    <w:rsid w:val="00233278"/>
  </w:style>
  <w:style w:type="numbering" w:customStyle="1" w:styleId="NoList3">
    <w:name w:val="No List3"/>
    <w:next w:val="NoList"/>
    <w:uiPriority w:val="99"/>
    <w:semiHidden/>
    <w:unhideWhenUsed/>
    <w:rsid w:val="0023078E"/>
  </w:style>
  <w:style w:type="table" w:customStyle="1" w:styleId="TableGrid4">
    <w:name w:val="Table Grid4"/>
    <w:basedOn w:val="TableNormal"/>
    <w:next w:val="TableGrid"/>
    <w:uiPriority w:val="59"/>
    <w:rsid w:val="0023078E"/>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3078E"/>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23078E"/>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3078E"/>
  </w:style>
  <w:style w:type="table" w:customStyle="1" w:styleId="TableGrid22">
    <w:name w:val="Table Grid22"/>
    <w:basedOn w:val="TableNormal"/>
    <w:next w:val="TableGrid"/>
    <w:uiPriority w:val="59"/>
    <w:rsid w:val="0023078E"/>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6D15"/>
  </w:style>
  <w:style w:type="paragraph" w:styleId="NormalWeb">
    <w:name w:val="Normal (Web)"/>
    <w:basedOn w:val="Normal"/>
    <w:uiPriority w:val="99"/>
    <w:semiHidden/>
    <w:unhideWhenUsed/>
    <w:rsid w:val="006A6D15"/>
    <w:pPr>
      <w:spacing w:before="100" w:beforeAutospacing="1" w:after="100" w:afterAutospacing="1"/>
      <w:jc w:val="left"/>
    </w:pPr>
    <w:rPr>
      <w:rFonts w:ascii="Times New Roman" w:hAnsi="Times New Roman"/>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956985">
      <w:bodyDiv w:val="1"/>
      <w:marLeft w:val="0"/>
      <w:marRight w:val="0"/>
      <w:marTop w:val="0"/>
      <w:marBottom w:val="0"/>
      <w:divBdr>
        <w:top w:val="none" w:sz="0" w:space="0" w:color="auto"/>
        <w:left w:val="none" w:sz="0" w:space="0" w:color="auto"/>
        <w:bottom w:val="none" w:sz="0" w:space="0" w:color="auto"/>
        <w:right w:val="none" w:sz="0" w:space="0" w:color="auto"/>
      </w:divBdr>
    </w:div>
    <w:div w:id="682896319">
      <w:bodyDiv w:val="1"/>
      <w:marLeft w:val="0"/>
      <w:marRight w:val="0"/>
      <w:marTop w:val="0"/>
      <w:marBottom w:val="0"/>
      <w:divBdr>
        <w:top w:val="none" w:sz="0" w:space="0" w:color="auto"/>
        <w:left w:val="none" w:sz="0" w:space="0" w:color="auto"/>
        <w:bottom w:val="none" w:sz="0" w:space="0" w:color="auto"/>
        <w:right w:val="none" w:sz="0" w:space="0" w:color="auto"/>
      </w:divBdr>
    </w:div>
    <w:div w:id="1481120113">
      <w:bodyDiv w:val="1"/>
      <w:marLeft w:val="0"/>
      <w:marRight w:val="0"/>
      <w:marTop w:val="0"/>
      <w:marBottom w:val="0"/>
      <w:divBdr>
        <w:top w:val="none" w:sz="0" w:space="0" w:color="auto"/>
        <w:left w:val="none" w:sz="0" w:space="0" w:color="auto"/>
        <w:bottom w:val="none" w:sz="0" w:space="0" w:color="auto"/>
        <w:right w:val="none" w:sz="0" w:space="0" w:color="auto"/>
      </w:divBdr>
    </w:div>
    <w:div w:id="1724062255">
      <w:bodyDiv w:val="1"/>
      <w:marLeft w:val="0"/>
      <w:marRight w:val="0"/>
      <w:marTop w:val="0"/>
      <w:marBottom w:val="0"/>
      <w:divBdr>
        <w:top w:val="none" w:sz="0" w:space="0" w:color="auto"/>
        <w:left w:val="none" w:sz="0" w:space="0" w:color="auto"/>
        <w:bottom w:val="none" w:sz="0" w:space="0" w:color="auto"/>
        <w:right w:val="none" w:sz="0" w:space="0" w:color="auto"/>
      </w:divBdr>
      <w:divsChild>
        <w:div w:id="1318529539">
          <w:marLeft w:val="0"/>
          <w:marRight w:val="0"/>
          <w:marTop w:val="0"/>
          <w:marBottom w:val="0"/>
          <w:divBdr>
            <w:top w:val="none" w:sz="0" w:space="0" w:color="auto"/>
            <w:left w:val="none" w:sz="0" w:space="0" w:color="auto"/>
            <w:bottom w:val="none" w:sz="0" w:space="0" w:color="auto"/>
            <w:right w:val="none" w:sz="0" w:space="0" w:color="auto"/>
          </w:divBdr>
        </w:div>
        <w:div w:id="976952256">
          <w:marLeft w:val="0"/>
          <w:marRight w:val="0"/>
          <w:marTop w:val="0"/>
          <w:marBottom w:val="0"/>
          <w:divBdr>
            <w:top w:val="none" w:sz="0" w:space="0" w:color="auto"/>
            <w:left w:val="none" w:sz="0" w:space="0" w:color="auto"/>
            <w:bottom w:val="none" w:sz="0" w:space="0" w:color="auto"/>
            <w:right w:val="none" w:sz="0" w:space="0" w:color="auto"/>
          </w:divBdr>
        </w:div>
        <w:div w:id="752969079">
          <w:marLeft w:val="0"/>
          <w:marRight w:val="0"/>
          <w:marTop w:val="0"/>
          <w:marBottom w:val="0"/>
          <w:divBdr>
            <w:top w:val="none" w:sz="0" w:space="0" w:color="auto"/>
            <w:left w:val="none" w:sz="0" w:space="0" w:color="auto"/>
            <w:bottom w:val="none" w:sz="0" w:space="0" w:color="auto"/>
            <w:right w:val="none" w:sz="0" w:space="0" w:color="auto"/>
          </w:divBdr>
        </w:div>
        <w:div w:id="968392476">
          <w:marLeft w:val="0"/>
          <w:marRight w:val="0"/>
          <w:marTop w:val="0"/>
          <w:marBottom w:val="0"/>
          <w:divBdr>
            <w:top w:val="none" w:sz="0" w:space="0" w:color="auto"/>
            <w:left w:val="none" w:sz="0" w:space="0" w:color="auto"/>
            <w:bottom w:val="none" w:sz="0" w:space="0" w:color="auto"/>
            <w:right w:val="none" w:sz="0" w:space="0" w:color="auto"/>
          </w:divBdr>
        </w:div>
        <w:div w:id="2054383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seishi.shimizu@york.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D528B-029C-4A96-B8B9-1C9A015635D3}">
  <ds:schemaRefs>
    <ds:schemaRef ds:uri="http://schemas.openxmlformats.org/officeDocument/2006/bibliography"/>
  </ds:schemaRefs>
</ds:datastoreItem>
</file>

<file path=customXml/itemProps2.xml><?xml version="1.0" encoding="utf-8"?>
<ds:datastoreItem xmlns:ds="http://schemas.openxmlformats.org/officeDocument/2006/customXml" ds:itemID="{D6554C33-EF88-43BB-BAF4-270A426F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70147</Words>
  <Characters>399843</Characters>
  <Application>Microsoft Office Word</Application>
  <DocSecurity>0</DocSecurity>
  <Lines>3332</Lines>
  <Paragraphs>938</Paragraphs>
  <ScaleCrop>false</ScaleCrop>
  <HeadingPairs>
    <vt:vector size="2" baseType="variant">
      <vt:variant>
        <vt:lpstr>Title</vt:lpstr>
      </vt:variant>
      <vt:variant>
        <vt:i4>1</vt:i4>
      </vt:variant>
    </vt:vector>
  </HeadingPairs>
  <TitlesOfParts>
    <vt:vector size="1" baseType="lpstr">
      <vt:lpstr>Template for Electronic Submission to ACS Journals</vt:lpstr>
    </vt:vector>
  </TitlesOfParts>
  <Company>ACS</Company>
  <LinksUpToDate>false</LinksUpToDate>
  <CharactersWithSpaces>469052</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creator>Seishi Shimizu</dc:creator>
  <cp:lastModifiedBy>Seishi Shimizu</cp:lastModifiedBy>
  <cp:revision>3</cp:revision>
  <cp:lastPrinted>2017-03-22T17:03:00Z</cp:lastPrinted>
  <dcterms:created xsi:type="dcterms:W3CDTF">2017-04-25T12:15:00Z</dcterms:created>
  <dcterms:modified xsi:type="dcterms:W3CDTF">2017-04-25T12:16:00Z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http://www.zotero.org/styles/biochemistry</vt:lpwstr>
  </property>
  <property fmtid="{D5CDD505-2E9C-101B-9397-08002B2CF9AE}" pid="9" name="Mendeley Recent Style Name 3_1">
    <vt:lpwstr>Biochemistry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http://www.zotero.org/styles/food-and-function</vt:lpwstr>
  </property>
  <property fmtid="{D5CDD505-2E9C-101B-9397-08002B2CF9AE}" pid="13" name="Mendeley Recent Style Name 5_1">
    <vt:lpwstr>Food &amp; Function</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http://www.zotero.org/styles/physical-chemistry-chemical-physics</vt:lpwstr>
  </property>
  <property fmtid="{D5CDD505-2E9C-101B-9397-08002B2CF9AE}" pid="17" name="Mendeley Recent Style Name 7_1">
    <vt:lpwstr>Physical Chemistry Chemical Physics</vt:lpwstr>
  </property>
  <property fmtid="{D5CDD505-2E9C-101B-9397-08002B2CF9AE}" pid="18" name="Mendeley Recent Style Id 8_1">
    <vt:lpwstr>http://www.zotero.org/styles/royal-society-of-chemistry</vt:lpwstr>
  </property>
  <property fmtid="{D5CDD505-2E9C-101B-9397-08002B2CF9AE}" pid="19" name="Mendeley Recent Style Name 8_1">
    <vt:lpwstr>Royal Society of Chemistry</vt:lpwstr>
  </property>
  <property fmtid="{D5CDD505-2E9C-101B-9397-08002B2CF9AE}" pid="20" name="Mendeley Recent Style Id 9_1">
    <vt:lpwstr>http://www.zotero.org/styles/soft-matter</vt:lpwstr>
  </property>
  <property fmtid="{D5CDD505-2E9C-101B-9397-08002B2CF9AE}" pid="21" name="Mendeley Recent Style Name 9_1">
    <vt:lpwstr>Soft Matter</vt:lpwstr>
  </property>
  <property fmtid="{D5CDD505-2E9C-101B-9397-08002B2CF9AE}" pid="22" name="Mendeley Document_1">
    <vt:lpwstr>True</vt:lpwstr>
  </property>
  <property fmtid="{D5CDD505-2E9C-101B-9397-08002B2CF9AE}" pid="23" name="Mendeley Unique User Id_1">
    <vt:lpwstr>8d6d7467-07b8-30c7-908e-175b6e68505e</vt:lpwstr>
  </property>
  <property fmtid="{D5CDD505-2E9C-101B-9397-08002B2CF9AE}" pid="24" name="Mendeley Citation Style_1">
    <vt:lpwstr>http://www.zotero.org/styles/physical-chemistry-chemical-physics</vt:lpwstr>
  </property>
</Properties>
</file>