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2F4221E" w14:textId="0F0CDCD2" w:rsidR="000F7654" w:rsidRDefault="000F7654">
      <w:pPr>
        <w:spacing w:line="240" w:lineRule="auto"/>
        <w:jc w:val="center"/>
        <w:rPr>
          <w:rFonts w:ascii="Times New Roman" w:hAnsi="Times New Roman" w:cs="Times New Roman"/>
          <w:color w:val="222222"/>
          <w:sz w:val="24"/>
          <w:szCs w:val="24"/>
          <w:highlight w:val="white"/>
          <w:u w:val="single"/>
        </w:rPr>
      </w:pPr>
      <w:r w:rsidRPr="009E6EF1">
        <w:rPr>
          <w:rFonts w:ascii="Times New Roman" w:hAnsi="Times New Roman" w:cs="Times New Roman"/>
          <w:b/>
          <w:color w:val="222222"/>
          <w:sz w:val="24"/>
          <w:szCs w:val="24"/>
          <w:highlight w:val="white"/>
        </w:rPr>
        <w:t>Regional Encounters:  Explaining the Divergent Responses to the EU's Support for Regional Integration in Africa, the Caribbean and Pacific</w:t>
      </w:r>
    </w:p>
    <w:p w14:paraId="0ACDAA59" w14:textId="77777777" w:rsidR="000F7654" w:rsidRDefault="000F7654">
      <w:pPr>
        <w:spacing w:line="240" w:lineRule="auto"/>
        <w:jc w:val="center"/>
        <w:rPr>
          <w:rFonts w:ascii="Times New Roman" w:hAnsi="Times New Roman" w:cs="Times New Roman"/>
          <w:color w:val="222222"/>
          <w:sz w:val="24"/>
          <w:szCs w:val="24"/>
          <w:highlight w:val="white"/>
          <w:u w:val="single"/>
        </w:rPr>
      </w:pPr>
    </w:p>
    <w:p w14:paraId="22E183A9" w14:textId="77777777" w:rsidR="000D006A" w:rsidRDefault="000D006A">
      <w:pPr>
        <w:spacing w:line="240" w:lineRule="auto"/>
        <w:jc w:val="center"/>
        <w:rPr>
          <w:rFonts w:ascii="Times New Roman" w:hAnsi="Times New Roman" w:cs="Times New Roman"/>
          <w:color w:val="222222"/>
          <w:sz w:val="24"/>
          <w:szCs w:val="24"/>
          <w:highlight w:val="white"/>
          <w:u w:val="single"/>
        </w:rPr>
      </w:pPr>
    </w:p>
    <w:p w14:paraId="4084AFA1" w14:textId="77777777" w:rsidR="000D006A" w:rsidRDefault="000D006A">
      <w:pPr>
        <w:spacing w:line="240" w:lineRule="auto"/>
        <w:jc w:val="center"/>
        <w:rPr>
          <w:rFonts w:ascii="Times New Roman" w:hAnsi="Times New Roman" w:cs="Times New Roman"/>
          <w:color w:val="222222"/>
          <w:sz w:val="24"/>
          <w:szCs w:val="24"/>
          <w:highlight w:val="white"/>
          <w:u w:val="single"/>
        </w:rPr>
      </w:pPr>
    </w:p>
    <w:p w14:paraId="367E305F" w14:textId="775372E0" w:rsidR="000D006A" w:rsidRPr="000D006A" w:rsidRDefault="000D006A">
      <w:pPr>
        <w:spacing w:line="240" w:lineRule="auto"/>
        <w:jc w:val="center"/>
        <w:rPr>
          <w:rFonts w:ascii="Times New Roman" w:hAnsi="Times New Roman" w:cs="Times New Roman"/>
          <w:color w:val="222222"/>
          <w:sz w:val="24"/>
          <w:szCs w:val="24"/>
          <w:highlight w:val="white"/>
        </w:rPr>
      </w:pPr>
      <w:r w:rsidRPr="000D006A">
        <w:rPr>
          <w:rFonts w:ascii="Times New Roman" w:hAnsi="Times New Roman" w:cs="Times New Roman"/>
          <w:color w:val="222222"/>
          <w:sz w:val="24"/>
          <w:szCs w:val="24"/>
          <w:highlight w:val="white"/>
        </w:rPr>
        <w:t>Tony Heron and Peg Murray-Evans</w:t>
      </w:r>
    </w:p>
    <w:p w14:paraId="22127A37" w14:textId="77777777" w:rsidR="000D006A" w:rsidRDefault="000D006A">
      <w:pPr>
        <w:spacing w:line="240" w:lineRule="auto"/>
        <w:jc w:val="center"/>
        <w:rPr>
          <w:rFonts w:ascii="Times New Roman" w:hAnsi="Times New Roman" w:cs="Times New Roman"/>
          <w:color w:val="222222"/>
          <w:sz w:val="24"/>
          <w:szCs w:val="24"/>
          <w:highlight w:val="white"/>
          <w:u w:val="single"/>
        </w:rPr>
      </w:pPr>
    </w:p>
    <w:p w14:paraId="576B0312" w14:textId="77777777" w:rsidR="000D006A" w:rsidRDefault="000D006A">
      <w:pPr>
        <w:spacing w:line="240" w:lineRule="auto"/>
        <w:jc w:val="center"/>
        <w:rPr>
          <w:rFonts w:ascii="Times New Roman" w:hAnsi="Times New Roman" w:cs="Times New Roman"/>
          <w:i/>
          <w:color w:val="222222"/>
          <w:sz w:val="24"/>
          <w:szCs w:val="24"/>
          <w:highlight w:val="white"/>
        </w:rPr>
      </w:pPr>
    </w:p>
    <w:p w14:paraId="2B2EF52C" w14:textId="77777777" w:rsidR="000D006A" w:rsidRDefault="000D006A">
      <w:pPr>
        <w:spacing w:line="240" w:lineRule="auto"/>
        <w:jc w:val="center"/>
        <w:rPr>
          <w:rFonts w:ascii="Times New Roman" w:hAnsi="Times New Roman" w:cs="Times New Roman"/>
          <w:i/>
          <w:color w:val="222222"/>
          <w:sz w:val="24"/>
          <w:szCs w:val="24"/>
          <w:highlight w:val="white"/>
        </w:rPr>
      </w:pPr>
    </w:p>
    <w:p w14:paraId="438065DC" w14:textId="77777777" w:rsidR="000D006A" w:rsidRDefault="000D006A">
      <w:pPr>
        <w:spacing w:line="240" w:lineRule="auto"/>
        <w:jc w:val="center"/>
        <w:rPr>
          <w:rFonts w:ascii="Times New Roman" w:hAnsi="Times New Roman" w:cs="Times New Roman"/>
          <w:i/>
          <w:color w:val="222222"/>
          <w:sz w:val="24"/>
          <w:szCs w:val="24"/>
          <w:highlight w:val="white"/>
        </w:rPr>
      </w:pPr>
      <w:bookmarkStart w:id="0" w:name="_GoBack"/>
      <w:bookmarkEnd w:id="0"/>
    </w:p>
    <w:p w14:paraId="2FD090B3" w14:textId="77777777" w:rsidR="000D006A" w:rsidRDefault="000D006A">
      <w:pPr>
        <w:spacing w:line="240" w:lineRule="auto"/>
        <w:jc w:val="center"/>
        <w:rPr>
          <w:rFonts w:ascii="Times New Roman" w:hAnsi="Times New Roman" w:cs="Times New Roman"/>
          <w:i/>
          <w:color w:val="222222"/>
          <w:sz w:val="24"/>
          <w:szCs w:val="24"/>
          <w:highlight w:val="white"/>
        </w:rPr>
      </w:pPr>
    </w:p>
    <w:p w14:paraId="6F4BEC74" w14:textId="77777777" w:rsidR="000D006A" w:rsidRPr="000D006A" w:rsidRDefault="000D006A">
      <w:pPr>
        <w:spacing w:line="240" w:lineRule="auto"/>
        <w:jc w:val="center"/>
        <w:rPr>
          <w:rFonts w:ascii="Times New Roman" w:hAnsi="Times New Roman" w:cs="Times New Roman"/>
          <w:i/>
          <w:color w:val="222222"/>
          <w:sz w:val="24"/>
          <w:szCs w:val="24"/>
          <w:highlight w:val="white"/>
        </w:rPr>
      </w:pPr>
    </w:p>
    <w:p w14:paraId="3F61A195" w14:textId="47FFFAEB" w:rsidR="000D006A" w:rsidRPr="000D006A" w:rsidRDefault="000D006A" w:rsidP="000D006A">
      <w:pPr>
        <w:spacing w:line="240" w:lineRule="auto"/>
        <w:jc w:val="center"/>
        <w:rPr>
          <w:rFonts w:ascii="Times New Roman" w:hAnsi="Times New Roman" w:cs="Times New Roman"/>
          <w:i/>
          <w:color w:val="222222"/>
          <w:sz w:val="24"/>
          <w:szCs w:val="24"/>
          <w:highlight w:val="white"/>
        </w:rPr>
      </w:pPr>
      <w:r w:rsidRPr="000D006A">
        <w:rPr>
          <w:rFonts w:ascii="Times New Roman" w:hAnsi="Times New Roman" w:cs="Times New Roman"/>
          <w:i/>
          <w:color w:val="222222"/>
          <w:sz w:val="24"/>
          <w:szCs w:val="24"/>
          <w:highlight w:val="white"/>
        </w:rPr>
        <w:t>This is an Accepted Manuscript of an article published by Taylor &amp; Francis</w:t>
      </w:r>
      <w:r>
        <w:rPr>
          <w:rFonts w:ascii="Times New Roman" w:hAnsi="Times New Roman" w:cs="Times New Roman"/>
          <w:i/>
          <w:color w:val="222222"/>
          <w:sz w:val="24"/>
          <w:szCs w:val="24"/>
          <w:highlight w:val="white"/>
        </w:rPr>
        <w:t xml:space="preserve"> in Third World </w:t>
      </w:r>
      <w:proofErr w:type="spellStart"/>
      <w:r>
        <w:rPr>
          <w:rFonts w:ascii="Times New Roman" w:hAnsi="Times New Roman" w:cs="Times New Roman"/>
          <w:i/>
          <w:color w:val="222222"/>
          <w:sz w:val="24"/>
          <w:szCs w:val="24"/>
          <w:highlight w:val="white"/>
        </w:rPr>
        <w:t>Thematics</w:t>
      </w:r>
      <w:proofErr w:type="spellEnd"/>
      <w:r>
        <w:rPr>
          <w:rFonts w:ascii="Times New Roman" w:hAnsi="Times New Roman" w:cs="Times New Roman"/>
          <w:i/>
          <w:color w:val="222222"/>
          <w:sz w:val="24"/>
          <w:szCs w:val="24"/>
          <w:highlight w:val="white"/>
        </w:rPr>
        <w:t xml:space="preserve">, accepted on 5 January 2017, available online </w:t>
      </w:r>
      <w:r w:rsidRPr="000D006A">
        <w:rPr>
          <w:rFonts w:ascii="Times New Roman" w:hAnsi="Times New Roman" w:cs="Times New Roman"/>
          <w:i/>
          <w:color w:val="222222"/>
          <w:sz w:val="24"/>
          <w:szCs w:val="24"/>
          <w:highlight w:val="white"/>
        </w:rPr>
        <w:fldChar w:fldCharType="begin"/>
      </w:r>
      <w:r w:rsidRPr="000D006A">
        <w:rPr>
          <w:rFonts w:ascii="Times New Roman" w:hAnsi="Times New Roman" w:cs="Times New Roman"/>
          <w:i/>
          <w:color w:val="222222"/>
          <w:sz w:val="24"/>
          <w:szCs w:val="24"/>
          <w:highlight w:val="white"/>
        </w:rPr>
        <w:instrText xml:space="preserve"> HYPERLINK "http://dx.doi.org/10.1080/23802014.2016.1281089" \t "_blank" </w:instrText>
      </w:r>
      <w:r w:rsidRPr="000D006A">
        <w:rPr>
          <w:rFonts w:ascii="Times New Roman" w:hAnsi="Times New Roman" w:cs="Times New Roman"/>
          <w:i/>
          <w:color w:val="222222"/>
          <w:sz w:val="24"/>
          <w:szCs w:val="24"/>
          <w:highlight w:val="white"/>
        </w:rPr>
      </w:r>
      <w:r w:rsidRPr="000D006A">
        <w:rPr>
          <w:rFonts w:ascii="Times New Roman" w:hAnsi="Times New Roman" w:cs="Times New Roman"/>
          <w:i/>
          <w:color w:val="222222"/>
          <w:sz w:val="24"/>
          <w:szCs w:val="24"/>
          <w:highlight w:val="white"/>
        </w:rPr>
        <w:fldChar w:fldCharType="separate"/>
      </w:r>
      <w:r w:rsidRPr="000D006A">
        <w:rPr>
          <w:rStyle w:val="Hyperlink"/>
          <w:rFonts w:ascii="Times New Roman" w:hAnsi="Times New Roman" w:cs="Times New Roman"/>
          <w:i/>
          <w:sz w:val="24"/>
          <w:szCs w:val="24"/>
          <w:highlight w:val="white"/>
        </w:rPr>
        <w:t>http://dx.doi.org/10.1080/23802014.2016.1281089</w:t>
      </w:r>
      <w:r w:rsidRPr="000D006A">
        <w:rPr>
          <w:rFonts w:ascii="Times New Roman" w:hAnsi="Times New Roman" w:cs="Times New Roman"/>
          <w:i/>
          <w:color w:val="222222"/>
          <w:sz w:val="24"/>
          <w:szCs w:val="24"/>
          <w:highlight w:val="white"/>
        </w:rPr>
        <w:fldChar w:fldCharType="end"/>
      </w:r>
    </w:p>
    <w:p w14:paraId="1F809504" w14:textId="77777777" w:rsidR="000D006A" w:rsidRDefault="000D006A">
      <w:pPr>
        <w:spacing w:line="240" w:lineRule="auto"/>
        <w:jc w:val="center"/>
        <w:rPr>
          <w:rFonts w:ascii="Times New Roman" w:hAnsi="Times New Roman" w:cs="Times New Roman"/>
          <w:color w:val="222222"/>
          <w:sz w:val="24"/>
          <w:szCs w:val="24"/>
          <w:highlight w:val="white"/>
          <w:u w:val="single"/>
        </w:rPr>
      </w:pPr>
    </w:p>
    <w:p w14:paraId="39E75152" w14:textId="77777777" w:rsidR="000D006A" w:rsidRDefault="000D006A">
      <w:pPr>
        <w:spacing w:line="240" w:lineRule="auto"/>
        <w:jc w:val="center"/>
        <w:rPr>
          <w:rFonts w:ascii="Times New Roman" w:hAnsi="Times New Roman" w:cs="Times New Roman"/>
          <w:color w:val="222222"/>
          <w:sz w:val="24"/>
          <w:szCs w:val="24"/>
          <w:highlight w:val="white"/>
          <w:u w:val="single"/>
        </w:rPr>
      </w:pPr>
    </w:p>
    <w:p w14:paraId="2A89BEAA" w14:textId="77777777" w:rsidR="000D006A" w:rsidRDefault="000D006A">
      <w:pPr>
        <w:spacing w:line="240" w:lineRule="auto"/>
        <w:jc w:val="center"/>
        <w:rPr>
          <w:rFonts w:ascii="Times New Roman" w:hAnsi="Times New Roman" w:cs="Times New Roman"/>
          <w:color w:val="222222"/>
          <w:sz w:val="24"/>
          <w:szCs w:val="24"/>
          <w:highlight w:val="white"/>
          <w:u w:val="single"/>
        </w:rPr>
      </w:pPr>
    </w:p>
    <w:p w14:paraId="01645BD9" w14:textId="77777777" w:rsidR="000D006A" w:rsidRDefault="000D006A">
      <w:pPr>
        <w:spacing w:line="240" w:lineRule="auto"/>
        <w:jc w:val="center"/>
        <w:rPr>
          <w:rFonts w:ascii="Times New Roman" w:hAnsi="Times New Roman" w:cs="Times New Roman"/>
          <w:color w:val="222222"/>
          <w:sz w:val="24"/>
          <w:szCs w:val="24"/>
          <w:highlight w:val="white"/>
          <w:u w:val="single"/>
        </w:rPr>
      </w:pPr>
    </w:p>
    <w:p w14:paraId="02245061" w14:textId="77777777" w:rsidR="000D006A" w:rsidRDefault="000D006A">
      <w:pPr>
        <w:spacing w:line="240" w:lineRule="auto"/>
        <w:jc w:val="center"/>
        <w:rPr>
          <w:rFonts w:ascii="Times New Roman" w:hAnsi="Times New Roman" w:cs="Times New Roman"/>
          <w:color w:val="222222"/>
          <w:sz w:val="24"/>
          <w:szCs w:val="24"/>
          <w:highlight w:val="white"/>
          <w:u w:val="single"/>
        </w:rPr>
      </w:pPr>
    </w:p>
    <w:p w14:paraId="462C43B9" w14:textId="77777777" w:rsidR="000D006A" w:rsidRDefault="000D006A">
      <w:pPr>
        <w:spacing w:line="240" w:lineRule="auto"/>
        <w:jc w:val="center"/>
        <w:rPr>
          <w:rFonts w:ascii="Times New Roman" w:hAnsi="Times New Roman" w:cs="Times New Roman"/>
          <w:color w:val="222222"/>
          <w:sz w:val="24"/>
          <w:szCs w:val="24"/>
          <w:highlight w:val="white"/>
          <w:u w:val="single"/>
        </w:rPr>
      </w:pPr>
    </w:p>
    <w:p w14:paraId="3DFF7B5A" w14:textId="77777777" w:rsidR="00E36302" w:rsidRPr="009E6EF1" w:rsidRDefault="009E6EF1">
      <w:pPr>
        <w:spacing w:line="240" w:lineRule="auto"/>
        <w:jc w:val="center"/>
        <w:rPr>
          <w:rFonts w:ascii="Times New Roman" w:hAnsi="Times New Roman" w:cs="Times New Roman"/>
          <w:sz w:val="24"/>
          <w:szCs w:val="24"/>
        </w:rPr>
      </w:pPr>
      <w:r w:rsidRPr="009E6EF1">
        <w:rPr>
          <w:rFonts w:ascii="Times New Roman" w:hAnsi="Times New Roman" w:cs="Times New Roman"/>
          <w:color w:val="222222"/>
          <w:sz w:val="24"/>
          <w:szCs w:val="24"/>
          <w:highlight w:val="white"/>
          <w:u w:val="single"/>
        </w:rPr>
        <w:t>Abstract</w:t>
      </w:r>
    </w:p>
    <w:p w14:paraId="0D2C1426" w14:textId="77777777" w:rsidR="00E36302" w:rsidRPr="009E6EF1" w:rsidRDefault="00E36302">
      <w:pPr>
        <w:spacing w:line="240" w:lineRule="auto"/>
        <w:jc w:val="center"/>
        <w:rPr>
          <w:rFonts w:ascii="Times New Roman" w:hAnsi="Times New Roman" w:cs="Times New Roman"/>
          <w:sz w:val="24"/>
          <w:szCs w:val="24"/>
        </w:rPr>
      </w:pPr>
    </w:p>
    <w:p w14:paraId="6F0DB138" w14:textId="45B7A19E" w:rsidR="00E36302" w:rsidRPr="009E6EF1" w:rsidRDefault="009E6EF1">
      <w:pPr>
        <w:spacing w:line="240" w:lineRule="auto"/>
        <w:jc w:val="both"/>
        <w:rPr>
          <w:rFonts w:ascii="Times New Roman" w:hAnsi="Times New Roman" w:cs="Times New Roman"/>
          <w:sz w:val="24"/>
          <w:szCs w:val="24"/>
        </w:rPr>
      </w:pPr>
      <w:r w:rsidRPr="009E6EF1">
        <w:rPr>
          <w:rFonts w:ascii="Times New Roman" w:eastAsia="Garamond" w:hAnsi="Times New Roman" w:cs="Times New Roman"/>
          <w:sz w:val="24"/>
          <w:szCs w:val="24"/>
        </w:rPr>
        <w:t>In this article, we map and explain the unevenness of African, Caribbean and Pacific (ACP) responses to the EU’s external promotion of regional integration in the context of the Economic Partnership Agreements (EPAs). Although</w:t>
      </w:r>
      <w:r w:rsidR="00DE6081">
        <w:rPr>
          <w:rFonts w:ascii="Times New Roman" w:eastAsia="Garamond" w:hAnsi="Times New Roman" w:cs="Times New Roman"/>
          <w:sz w:val="24"/>
          <w:szCs w:val="24"/>
        </w:rPr>
        <w:t xml:space="preserve"> the controversies associated with</w:t>
      </w:r>
      <w:r w:rsidRPr="009E6EF1">
        <w:rPr>
          <w:rFonts w:ascii="Times New Roman" w:eastAsia="Garamond" w:hAnsi="Times New Roman" w:cs="Times New Roman"/>
          <w:sz w:val="24"/>
          <w:szCs w:val="24"/>
        </w:rPr>
        <w:t xml:space="preserve"> the EPAs are typically attributed to a common set of problems, what remains to be fully explained is why these manifested themselves to a greater or lesser extent in different national and regional contexts. We account for this variance</w:t>
      </w:r>
      <w:r w:rsidR="00E77EA5">
        <w:rPr>
          <w:rFonts w:ascii="Times New Roman" w:eastAsia="Garamond" w:hAnsi="Times New Roman" w:cs="Times New Roman"/>
          <w:sz w:val="24"/>
          <w:szCs w:val="24"/>
        </w:rPr>
        <w:t xml:space="preserve"> as</w:t>
      </w:r>
      <w:r w:rsidRPr="009E6EF1">
        <w:rPr>
          <w:rFonts w:ascii="Times New Roman" w:eastAsia="Garamond" w:hAnsi="Times New Roman" w:cs="Times New Roman"/>
          <w:sz w:val="24"/>
          <w:szCs w:val="24"/>
        </w:rPr>
        <w:t xml:space="preserve"> a product of the degree of congruence</w:t>
      </w:r>
      <w:r w:rsidRPr="009E6EF1">
        <w:rPr>
          <w:rFonts w:ascii="Times New Roman" w:eastAsia="Garamond" w:hAnsi="Times New Roman" w:cs="Times New Roman"/>
          <w:color w:val="222222"/>
          <w:sz w:val="24"/>
          <w:szCs w:val="24"/>
          <w:highlight w:val="white"/>
        </w:rPr>
        <w:t xml:space="preserve"> between the institutional trajectory of individual regional projects and the model of economic integration prescribed by the EU in its post-Lomé prospectus for the ACP. </w:t>
      </w:r>
      <w:r w:rsidRPr="009E6EF1">
        <w:rPr>
          <w:rFonts w:ascii="Times New Roman" w:eastAsia="Garamond" w:hAnsi="Times New Roman" w:cs="Times New Roman"/>
          <w:sz w:val="24"/>
          <w:szCs w:val="24"/>
        </w:rPr>
        <w:t xml:space="preserve"> </w:t>
      </w:r>
      <w:r w:rsidRPr="009E6EF1">
        <w:rPr>
          <w:rFonts w:ascii="Times New Roman" w:eastAsia="Garamond" w:hAnsi="Times New Roman" w:cs="Times New Roman"/>
          <w:color w:val="222222"/>
          <w:sz w:val="24"/>
          <w:szCs w:val="24"/>
          <w:highlight w:val="white"/>
        </w:rPr>
        <w:t>We describe this congruenc</w:t>
      </w:r>
      <w:r w:rsidR="00DE6081">
        <w:rPr>
          <w:rFonts w:ascii="Times New Roman" w:eastAsia="Garamond" w:hAnsi="Times New Roman" w:cs="Times New Roman"/>
          <w:color w:val="222222"/>
          <w:sz w:val="24"/>
          <w:szCs w:val="24"/>
          <w:highlight w:val="white"/>
        </w:rPr>
        <w:t>e as either ‘high’, ‘medium’ or</w:t>
      </w:r>
      <w:r w:rsidRPr="009E6EF1">
        <w:rPr>
          <w:rFonts w:ascii="Times New Roman" w:eastAsia="Garamond" w:hAnsi="Times New Roman" w:cs="Times New Roman"/>
          <w:color w:val="222222"/>
          <w:sz w:val="24"/>
          <w:szCs w:val="24"/>
          <w:highlight w:val="white"/>
        </w:rPr>
        <w:t xml:space="preserve"> ‘low’ and use this explanatory model to account for variances in ACP responses to the EPAs, which would otherwise provide an untidy fit with accounts preoccupied with the economic </w:t>
      </w:r>
      <w:r w:rsidR="00217F52">
        <w:rPr>
          <w:rFonts w:ascii="Times New Roman" w:eastAsia="Garamond" w:hAnsi="Times New Roman" w:cs="Times New Roman"/>
          <w:color w:val="222222"/>
          <w:sz w:val="24"/>
          <w:szCs w:val="24"/>
          <w:highlight w:val="white"/>
        </w:rPr>
        <w:t>determinants</w:t>
      </w:r>
      <w:r w:rsidR="00217F52" w:rsidRPr="009E6EF1">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 xml:space="preserve">of bargaining outcomes. </w:t>
      </w:r>
    </w:p>
    <w:p w14:paraId="7B6876D0" w14:textId="47DCBF2E" w:rsidR="00E36302" w:rsidRPr="009E6EF1" w:rsidRDefault="009E6EF1" w:rsidP="00FA4551">
      <w:pPr>
        <w:rPr>
          <w:rFonts w:ascii="Times New Roman" w:hAnsi="Times New Roman" w:cs="Times New Roman"/>
          <w:sz w:val="24"/>
          <w:szCs w:val="24"/>
        </w:rPr>
      </w:pPr>
      <w:r w:rsidRPr="009E6EF1">
        <w:rPr>
          <w:rFonts w:ascii="Times New Roman" w:hAnsi="Times New Roman" w:cs="Times New Roman"/>
          <w:sz w:val="24"/>
          <w:szCs w:val="24"/>
        </w:rPr>
        <w:br w:type="page"/>
      </w:r>
    </w:p>
    <w:p w14:paraId="71A2FF92" w14:textId="77777777" w:rsidR="00E36302" w:rsidRPr="009E6EF1" w:rsidRDefault="009E6EF1">
      <w:pPr>
        <w:spacing w:line="360" w:lineRule="auto"/>
        <w:jc w:val="center"/>
        <w:rPr>
          <w:rFonts w:ascii="Times New Roman" w:hAnsi="Times New Roman" w:cs="Times New Roman"/>
          <w:sz w:val="24"/>
          <w:szCs w:val="24"/>
        </w:rPr>
      </w:pPr>
      <w:r w:rsidRPr="009E6EF1">
        <w:rPr>
          <w:rFonts w:ascii="Times New Roman" w:eastAsia="Garamond" w:hAnsi="Times New Roman" w:cs="Times New Roman"/>
          <w:b/>
          <w:color w:val="222222"/>
          <w:sz w:val="24"/>
          <w:szCs w:val="24"/>
          <w:highlight w:val="white"/>
        </w:rPr>
        <w:lastRenderedPageBreak/>
        <w:t>Introduction</w:t>
      </w:r>
    </w:p>
    <w:p w14:paraId="1533878B" w14:textId="77777777" w:rsidR="00E36302" w:rsidRPr="009E6EF1" w:rsidRDefault="00E36302">
      <w:pPr>
        <w:spacing w:line="360" w:lineRule="auto"/>
        <w:jc w:val="center"/>
        <w:rPr>
          <w:rFonts w:ascii="Times New Roman" w:hAnsi="Times New Roman" w:cs="Times New Roman"/>
          <w:sz w:val="24"/>
          <w:szCs w:val="24"/>
        </w:rPr>
      </w:pPr>
    </w:p>
    <w:p w14:paraId="4F5B832D" w14:textId="1D18FB47" w:rsidR="009B018C" w:rsidRDefault="009E6EF1">
      <w:pPr>
        <w:spacing w:line="360" w:lineRule="auto"/>
        <w:jc w:val="both"/>
        <w:rPr>
          <w:rFonts w:ascii="Times New Roman" w:eastAsia="Garamond" w:hAnsi="Times New Roman" w:cs="Times New Roman"/>
          <w:sz w:val="24"/>
          <w:szCs w:val="24"/>
        </w:rPr>
      </w:pPr>
      <w:r w:rsidRPr="009E6EF1">
        <w:rPr>
          <w:rFonts w:ascii="Times New Roman" w:eastAsia="Garamond" w:hAnsi="Times New Roman" w:cs="Times New Roman"/>
          <w:sz w:val="24"/>
          <w:szCs w:val="24"/>
        </w:rPr>
        <w:t>In this article, we map and explain the unevenness of African, Caribbean and Pacific (ACP) responses to the EU’s external promotion of regional integration in the context of the Economic Partnership Agreements (EPAs). Although</w:t>
      </w:r>
      <w:r w:rsidR="00DE6081">
        <w:rPr>
          <w:rFonts w:ascii="Times New Roman" w:eastAsia="Garamond" w:hAnsi="Times New Roman" w:cs="Times New Roman"/>
          <w:sz w:val="24"/>
          <w:szCs w:val="24"/>
        </w:rPr>
        <w:t xml:space="preserve"> the controversies associated with</w:t>
      </w:r>
      <w:r w:rsidRPr="009E6EF1">
        <w:rPr>
          <w:rFonts w:ascii="Times New Roman" w:eastAsia="Garamond" w:hAnsi="Times New Roman" w:cs="Times New Roman"/>
          <w:sz w:val="24"/>
          <w:szCs w:val="24"/>
        </w:rPr>
        <w:t xml:space="preserve"> the EPAs are typically attributed to a common set of problems, what remains to be fully explained is why these </w:t>
      </w:r>
      <w:r w:rsidR="00217F52">
        <w:rPr>
          <w:rFonts w:ascii="Times New Roman" w:eastAsia="Garamond" w:hAnsi="Times New Roman" w:cs="Times New Roman"/>
          <w:sz w:val="24"/>
          <w:szCs w:val="24"/>
        </w:rPr>
        <w:t xml:space="preserve">were </w:t>
      </w:r>
      <w:r w:rsidRPr="009E6EF1">
        <w:rPr>
          <w:rFonts w:ascii="Times New Roman" w:eastAsia="Garamond" w:hAnsi="Times New Roman" w:cs="Times New Roman"/>
          <w:sz w:val="24"/>
          <w:szCs w:val="24"/>
        </w:rPr>
        <w:t xml:space="preserve">manifest to a greater or lesser extent in different national and regional contexts. The predominant explanation </w:t>
      </w:r>
      <w:r w:rsidR="00217F52">
        <w:rPr>
          <w:rFonts w:ascii="Times New Roman" w:eastAsia="Garamond" w:hAnsi="Times New Roman" w:cs="Times New Roman"/>
          <w:sz w:val="24"/>
          <w:szCs w:val="24"/>
        </w:rPr>
        <w:t>of this puzzle</w:t>
      </w:r>
      <w:r w:rsidRPr="009E6EF1">
        <w:rPr>
          <w:rFonts w:ascii="Times New Roman" w:eastAsia="Garamond" w:hAnsi="Times New Roman" w:cs="Times New Roman"/>
          <w:sz w:val="24"/>
          <w:szCs w:val="24"/>
        </w:rPr>
        <w:t xml:space="preserve"> focuses on the unevenness of trade dependences - i.e. the greater or less</w:t>
      </w:r>
      <w:r w:rsidR="00E77EA5">
        <w:rPr>
          <w:rFonts w:ascii="Times New Roman" w:eastAsia="Garamond" w:hAnsi="Times New Roman" w:cs="Times New Roman"/>
          <w:sz w:val="24"/>
          <w:szCs w:val="24"/>
        </w:rPr>
        <w:t>er</w:t>
      </w:r>
      <w:r w:rsidRPr="009E6EF1">
        <w:rPr>
          <w:rFonts w:ascii="Times New Roman" w:eastAsia="Garamond" w:hAnsi="Times New Roman" w:cs="Times New Roman"/>
          <w:sz w:val="24"/>
          <w:szCs w:val="24"/>
        </w:rPr>
        <w:t xml:space="preserve"> degree of enthusiasm shown for the EPAs by individual states is a direct correlate of their reliance on EU trade preferences - but this is only part of the story and in fact leads to a rather misleading account. It is, for instance, among the countries and regions least sensitive to the removal of EU trade preferences - e.g. CARIFORUM, Papua New Guinea, Lesotho and Mozambique - that we find the most enthusiasm for the EPAs. States such as Namibia and Ghana, in contrast</w:t>
      </w:r>
      <w:r w:rsidR="00DE6081">
        <w:rPr>
          <w:rFonts w:ascii="Times New Roman" w:eastAsia="Garamond" w:hAnsi="Times New Roman" w:cs="Times New Roman"/>
          <w:sz w:val="24"/>
          <w:szCs w:val="24"/>
        </w:rPr>
        <w:t>,</w:t>
      </w:r>
      <w:r w:rsidRPr="009E6EF1">
        <w:rPr>
          <w:rFonts w:ascii="Times New Roman" w:eastAsia="Garamond" w:hAnsi="Times New Roman" w:cs="Times New Roman"/>
          <w:sz w:val="24"/>
          <w:szCs w:val="24"/>
        </w:rPr>
        <w:t xml:space="preserve"> were publicly critical of the EPAs and even refused to sign agreements, in spite of heavy dependence on EU preferences</w:t>
      </w:r>
      <w:r w:rsidR="009B018C">
        <w:rPr>
          <w:rFonts w:ascii="Times New Roman" w:eastAsia="Garamond" w:hAnsi="Times New Roman" w:cs="Times New Roman"/>
          <w:sz w:val="24"/>
          <w:szCs w:val="24"/>
        </w:rPr>
        <w:t>.</w:t>
      </w:r>
      <w:r w:rsidR="00433D39">
        <w:rPr>
          <w:rStyle w:val="EndnoteReference"/>
          <w:rFonts w:ascii="Times New Roman" w:eastAsia="Garamond" w:hAnsi="Times New Roman" w:cs="Times New Roman"/>
          <w:sz w:val="24"/>
          <w:szCs w:val="24"/>
        </w:rPr>
        <w:endnoteReference w:id="1"/>
      </w:r>
      <w:r w:rsidR="009B018C">
        <w:rPr>
          <w:rFonts w:ascii="Times New Roman" w:eastAsia="Garamond" w:hAnsi="Times New Roman" w:cs="Times New Roman"/>
          <w:sz w:val="24"/>
          <w:szCs w:val="24"/>
        </w:rPr>
        <w:t xml:space="preserve"> </w:t>
      </w:r>
    </w:p>
    <w:p w14:paraId="77D6F923" w14:textId="77777777" w:rsidR="009B018C" w:rsidRDefault="009B018C">
      <w:pPr>
        <w:spacing w:line="360" w:lineRule="auto"/>
        <w:jc w:val="both"/>
        <w:rPr>
          <w:rFonts w:ascii="Times New Roman" w:eastAsia="Garamond" w:hAnsi="Times New Roman" w:cs="Times New Roman"/>
          <w:sz w:val="24"/>
          <w:szCs w:val="24"/>
        </w:rPr>
      </w:pPr>
    </w:p>
    <w:p w14:paraId="65FD73C5" w14:textId="733BDAAC" w:rsidR="00E36302" w:rsidRPr="00227D6C" w:rsidRDefault="009E6EF1">
      <w:pPr>
        <w:spacing w:line="360" w:lineRule="auto"/>
        <w:jc w:val="both"/>
        <w:rPr>
          <w:rFonts w:ascii="Times New Roman" w:eastAsia="Garamond" w:hAnsi="Times New Roman" w:cs="Times New Roman"/>
          <w:color w:val="222222"/>
          <w:sz w:val="24"/>
          <w:szCs w:val="24"/>
          <w:highlight w:val="white"/>
        </w:rPr>
      </w:pPr>
      <w:r w:rsidRPr="009E6EF1">
        <w:rPr>
          <w:rFonts w:ascii="Times New Roman" w:eastAsia="Garamond" w:hAnsi="Times New Roman" w:cs="Times New Roman"/>
          <w:sz w:val="24"/>
          <w:szCs w:val="24"/>
        </w:rPr>
        <w:t>This anomaly, we suggest, exposes a crucial oversight in much of the critical commentary that the EPAs have generated.</w:t>
      </w:r>
      <w:r w:rsidR="000B06D5">
        <w:rPr>
          <w:rStyle w:val="EndnoteReference"/>
          <w:rFonts w:ascii="Times New Roman" w:eastAsia="Garamond" w:hAnsi="Times New Roman" w:cs="Times New Roman"/>
          <w:sz w:val="24"/>
          <w:szCs w:val="24"/>
        </w:rPr>
        <w:endnoteReference w:id="2"/>
      </w:r>
      <w:r w:rsidRPr="009E6EF1">
        <w:rPr>
          <w:rFonts w:ascii="Times New Roman" w:eastAsia="Garamond" w:hAnsi="Times New Roman" w:cs="Times New Roman"/>
          <w:sz w:val="24"/>
          <w:szCs w:val="24"/>
        </w:rPr>
        <w:t xml:space="preserve"> That is to say, th</w:t>
      </w:r>
      <w:r w:rsidR="001042F2">
        <w:rPr>
          <w:rFonts w:ascii="Times New Roman" w:eastAsia="Garamond" w:hAnsi="Times New Roman" w:cs="Times New Roman"/>
          <w:sz w:val="24"/>
          <w:szCs w:val="24"/>
        </w:rPr>
        <w:t>is commentary is</w:t>
      </w:r>
      <w:r w:rsidRPr="009E6EF1">
        <w:rPr>
          <w:rFonts w:ascii="Times New Roman" w:eastAsia="Garamond" w:hAnsi="Times New Roman" w:cs="Times New Roman"/>
          <w:sz w:val="24"/>
          <w:szCs w:val="24"/>
        </w:rPr>
        <w:t xml:space="preserve"> preoccup</w:t>
      </w:r>
      <w:r w:rsidR="001042F2">
        <w:rPr>
          <w:rFonts w:ascii="Times New Roman" w:eastAsia="Garamond" w:hAnsi="Times New Roman" w:cs="Times New Roman"/>
          <w:sz w:val="24"/>
          <w:szCs w:val="24"/>
        </w:rPr>
        <w:t>ied</w:t>
      </w:r>
      <w:r w:rsidRPr="009E6EF1">
        <w:rPr>
          <w:rFonts w:ascii="Times New Roman" w:eastAsia="Garamond" w:hAnsi="Times New Roman" w:cs="Times New Roman"/>
          <w:sz w:val="24"/>
          <w:szCs w:val="24"/>
        </w:rPr>
        <w:t xml:space="preserve"> with the </w:t>
      </w:r>
      <w:r w:rsidRPr="00C87454">
        <w:rPr>
          <w:rFonts w:ascii="Times New Roman" w:eastAsia="Garamond" w:hAnsi="Times New Roman" w:cs="Times New Roman"/>
          <w:i/>
          <w:sz w:val="24"/>
          <w:szCs w:val="24"/>
        </w:rPr>
        <w:t>economic</w:t>
      </w:r>
      <w:r w:rsidRPr="009E6EF1">
        <w:rPr>
          <w:rFonts w:ascii="Times New Roman" w:eastAsia="Garamond" w:hAnsi="Times New Roman" w:cs="Times New Roman"/>
          <w:sz w:val="24"/>
          <w:szCs w:val="24"/>
        </w:rPr>
        <w:t xml:space="preserve"> dimension of the EPAs - i.e. </w:t>
      </w:r>
      <w:r w:rsidRPr="009E6EF1">
        <w:rPr>
          <w:rFonts w:ascii="Times New Roman" w:eastAsia="Garamond" w:hAnsi="Times New Roman" w:cs="Times New Roman"/>
          <w:color w:val="222222"/>
          <w:sz w:val="24"/>
          <w:szCs w:val="24"/>
          <w:highlight w:val="white"/>
        </w:rPr>
        <w:t>the introduction of the principle of reciprocity to trade in goods and the extension of this to services, alongside the so-called ‘Singapore issues’</w:t>
      </w:r>
      <w:r w:rsidR="001042F2">
        <w:rPr>
          <w:rFonts w:ascii="Times New Roman" w:eastAsia="Garamond" w:hAnsi="Times New Roman" w:cs="Times New Roman"/>
          <w:color w:val="222222"/>
          <w:sz w:val="24"/>
          <w:szCs w:val="24"/>
          <w:highlight w:val="white"/>
        </w:rPr>
        <w:t>.</w:t>
      </w:r>
      <w:r w:rsidR="00593DEA">
        <w:rPr>
          <w:rStyle w:val="EndnoteReference"/>
          <w:rFonts w:ascii="Times New Roman" w:eastAsia="Garamond" w:hAnsi="Times New Roman" w:cs="Times New Roman"/>
          <w:color w:val="222222"/>
          <w:sz w:val="24"/>
          <w:szCs w:val="24"/>
          <w:highlight w:val="white"/>
        </w:rPr>
        <w:endnoteReference w:id="3"/>
      </w:r>
      <w:r w:rsidR="001042F2">
        <w:rPr>
          <w:rFonts w:ascii="Times New Roman" w:eastAsia="Garamond" w:hAnsi="Times New Roman" w:cs="Times New Roman"/>
          <w:color w:val="222222"/>
          <w:sz w:val="24"/>
          <w:szCs w:val="24"/>
          <w:highlight w:val="white"/>
        </w:rPr>
        <w:t xml:space="preserve"> This preoccupation leads to an underestimation of the </w:t>
      </w:r>
      <w:r w:rsidRPr="00C87454">
        <w:rPr>
          <w:rFonts w:ascii="Times New Roman" w:eastAsia="Garamond" w:hAnsi="Times New Roman" w:cs="Times New Roman"/>
          <w:i/>
          <w:color w:val="222222"/>
          <w:sz w:val="24"/>
          <w:szCs w:val="24"/>
          <w:highlight w:val="white"/>
        </w:rPr>
        <w:t>political</w:t>
      </w:r>
      <w:r w:rsidRPr="009E6EF1">
        <w:rPr>
          <w:rFonts w:ascii="Times New Roman" w:eastAsia="Garamond" w:hAnsi="Times New Roman" w:cs="Times New Roman"/>
          <w:color w:val="222222"/>
          <w:sz w:val="24"/>
          <w:szCs w:val="24"/>
          <w:highlight w:val="white"/>
        </w:rPr>
        <w:t xml:space="preserve"> dimensio</w:t>
      </w:r>
      <w:r w:rsidR="00DE6081">
        <w:rPr>
          <w:rFonts w:ascii="Times New Roman" w:eastAsia="Garamond" w:hAnsi="Times New Roman" w:cs="Times New Roman"/>
          <w:color w:val="222222"/>
          <w:sz w:val="24"/>
          <w:szCs w:val="24"/>
          <w:highlight w:val="white"/>
        </w:rPr>
        <w:t>n</w:t>
      </w:r>
      <w:r w:rsidR="001042F2">
        <w:rPr>
          <w:rFonts w:ascii="Times New Roman" w:eastAsia="Garamond" w:hAnsi="Times New Roman" w:cs="Times New Roman"/>
          <w:color w:val="222222"/>
          <w:sz w:val="24"/>
          <w:szCs w:val="24"/>
          <w:highlight w:val="white"/>
        </w:rPr>
        <w:t xml:space="preserve"> of the EPAs</w:t>
      </w:r>
      <w:r w:rsidR="00DE6081">
        <w:rPr>
          <w:rFonts w:ascii="Times New Roman" w:eastAsia="Garamond" w:hAnsi="Times New Roman" w:cs="Times New Roman"/>
          <w:color w:val="222222"/>
          <w:sz w:val="24"/>
          <w:szCs w:val="24"/>
          <w:highlight w:val="white"/>
        </w:rPr>
        <w:t xml:space="preserve"> </w:t>
      </w:r>
      <w:r w:rsidR="003D2DF5">
        <w:rPr>
          <w:rFonts w:ascii="Times New Roman" w:eastAsia="Garamond" w:hAnsi="Times New Roman" w:cs="Times New Roman"/>
          <w:color w:val="222222"/>
          <w:sz w:val="24"/>
          <w:szCs w:val="24"/>
          <w:highlight w:val="white"/>
        </w:rPr>
        <w:t>–</w:t>
      </w:r>
      <w:r w:rsidR="00DE6081">
        <w:rPr>
          <w:rFonts w:ascii="Times New Roman" w:eastAsia="Garamond" w:hAnsi="Times New Roman" w:cs="Times New Roman"/>
          <w:color w:val="222222"/>
          <w:sz w:val="24"/>
          <w:szCs w:val="24"/>
          <w:highlight w:val="white"/>
        </w:rPr>
        <w:t xml:space="preserve"> </w:t>
      </w:r>
      <w:r w:rsidR="003D2DF5">
        <w:rPr>
          <w:rFonts w:ascii="Times New Roman" w:eastAsia="Garamond" w:hAnsi="Times New Roman" w:cs="Times New Roman"/>
          <w:color w:val="222222"/>
          <w:sz w:val="24"/>
          <w:szCs w:val="24"/>
          <w:highlight w:val="white"/>
        </w:rPr>
        <w:t xml:space="preserve">i.e. the </w:t>
      </w:r>
      <w:r w:rsidR="00393687">
        <w:rPr>
          <w:rFonts w:ascii="Times New Roman" w:eastAsia="Garamond" w:hAnsi="Times New Roman" w:cs="Times New Roman"/>
          <w:color w:val="222222"/>
          <w:sz w:val="24"/>
          <w:szCs w:val="24"/>
          <w:highlight w:val="white"/>
        </w:rPr>
        <w:t xml:space="preserve">EU’s insistence </w:t>
      </w:r>
      <w:r w:rsidR="00A574E5">
        <w:rPr>
          <w:rFonts w:ascii="Times New Roman" w:eastAsia="Garamond" w:hAnsi="Times New Roman" w:cs="Times New Roman"/>
          <w:color w:val="222222"/>
          <w:sz w:val="24"/>
          <w:szCs w:val="24"/>
          <w:highlight w:val="white"/>
        </w:rPr>
        <w:t>on</w:t>
      </w:r>
      <w:r w:rsidR="006323B2">
        <w:rPr>
          <w:rFonts w:ascii="Times New Roman" w:eastAsia="Garamond" w:hAnsi="Times New Roman" w:cs="Times New Roman"/>
          <w:color w:val="222222"/>
          <w:sz w:val="24"/>
          <w:szCs w:val="24"/>
          <w:highlight w:val="white"/>
        </w:rPr>
        <w:t xml:space="preserve"> intraregional </w:t>
      </w:r>
      <w:r w:rsidR="00A574E5">
        <w:rPr>
          <w:rFonts w:ascii="Times New Roman" w:eastAsia="Garamond" w:hAnsi="Times New Roman" w:cs="Times New Roman"/>
          <w:color w:val="222222"/>
          <w:sz w:val="24"/>
          <w:szCs w:val="24"/>
          <w:highlight w:val="white"/>
        </w:rPr>
        <w:t>cooperation and the requirement that EPAs be concluded on a regional as opposed to bilateral basis</w:t>
      </w:r>
      <w:r w:rsidR="001042F2">
        <w:rPr>
          <w:rFonts w:ascii="Times New Roman" w:eastAsia="Garamond" w:hAnsi="Times New Roman" w:cs="Times New Roman"/>
          <w:color w:val="222222"/>
          <w:sz w:val="24"/>
          <w:szCs w:val="24"/>
          <w:highlight w:val="white"/>
        </w:rPr>
        <w:t xml:space="preserve"> – as a determinant of the outcome of the negotiations</w:t>
      </w:r>
      <w:r w:rsidRPr="009E6EF1">
        <w:rPr>
          <w:rFonts w:ascii="Times New Roman" w:eastAsia="Garamond" w:hAnsi="Times New Roman" w:cs="Times New Roman"/>
          <w:color w:val="222222"/>
          <w:sz w:val="24"/>
          <w:szCs w:val="24"/>
          <w:highlight w:val="white"/>
        </w:rPr>
        <w:t xml:space="preserve">. This political dimension has its immediate origins in the Cotonou Partnership Agreement of 2000, which provided the blueprint for the EPAs and linked their successful conclusion to the creation, promotion and consolidation of regional institutions to be identified during the process of </w:t>
      </w:r>
      <w:r w:rsidR="008E20B9">
        <w:rPr>
          <w:rFonts w:ascii="Times New Roman" w:eastAsia="Garamond" w:hAnsi="Times New Roman" w:cs="Times New Roman"/>
          <w:color w:val="222222"/>
          <w:sz w:val="24"/>
          <w:szCs w:val="24"/>
          <w:highlight w:val="white"/>
        </w:rPr>
        <w:t xml:space="preserve">the </w:t>
      </w:r>
      <w:r w:rsidRPr="009E6EF1">
        <w:rPr>
          <w:rFonts w:ascii="Times New Roman" w:eastAsia="Garamond" w:hAnsi="Times New Roman" w:cs="Times New Roman"/>
          <w:color w:val="222222"/>
          <w:sz w:val="24"/>
          <w:szCs w:val="24"/>
          <w:highlight w:val="white"/>
        </w:rPr>
        <w:t xml:space="preserve">negotiations. The general vagueness of Cotonou meant that, at the time, the precise means by which the economic and political dimensions of the agreements would be linked remained unspecified. But even at this early stage it was easy to detect a tension between the need to conclude the EPAs before the expiry of a </w:t>
      </w:r>
      <w:r w:rsidR="00C8048F">
        <w:rPr>
          <w:rFonts w:ascii="Times New Roman" w:eastAsia="Garamond" w:hAnsi="Times New Roman" w:cs="Times New Roman"/>
          <w:color w:val="222222"/>
          <w:sz w:val="24"/>
          <w:szCs w:val="24"/>
          <w:highlight w:val="white"/>
        </w:rPr>
        <w:t>World Trade Organisation (</w:t>
      </w:r>
      <w:r w:rsidRPr="009E6EF1">
        <w:rPr>
          <w:rFonts w:ascii="Times New Roman" w:eastAsia="Garamond" w:hAnsi="Times New Roman" w:cs="Times New Roman"/>
          <w:color w:val="222222"/>
          <w:sz w:val="24"/>
          <w:szCs w:val="24"/>
          <w:highlight w:val="white"/>
        </w:rPr>
        <w:t>WTO</w:t>
      </w:r>
      <w:r w:rsidR="00C8048F">
        <w:rPr>
          <w:rFonts w:ascii="Times New Roman" w:eastAsia="Garamond" w:hAnsi="Times New Roman" w:cs="Times New Roman"/>
          <w:color w:val="222222"/>
          <w:sz w:val="24"/>
          <w:szCs w:val="24"/>
          <w:highlight w:val="white"/>
        </w:rPr>
        <w:t>)</w:t>
      </w:r>
      <w:r w:rsidRPr="009E6EF1">
        <w:rPr>
          <w:rFonts w:ascii="Times New Roman" w:eastAsia="Garamond" w:hAnsi="Times New Roman" w:cs="Times New Roman"/>
          <w:color w:val="222222"/>
          <w:sz w:val="24"/>
          <w:szCs w:val="24"/>
          <w:highlight w:val="white"/>
        </w:rPr>
        <w:t xml:space="preserve"> waiver on 31 December 2007 and the logically prior necessity of creating viable regional institutions on which to base the agreements. On the </w:t>
      </w:r>
      <w:r w:rsidRPr="009E6EF1">
        <w:rPr>
          <w:rFonts w:ascii="Times New Roman" w:eastAsia="Garamond" w:hAnsi="Times New Roman" w:cs="Times New Roman"/>
          <w:color w:val="222222"/>
          <w:sz w:val="24"/>
          <w:szCs w:val="24"/>
          <w:highlight w:val="white"/>
        </w:rPr>
        <w:lastRenderedPageBreak/>
        <w:t xml:space="preserve">one hand, the impending expiry of the waiver, coupled with the EU’s implied threat to </w:t>
      </w:r>
      <w:r w:rsidR="008E20B9">
        <w:rPr>
          <w:rFonts w:ascii="Times New Roman" w:eastAsia="Garamond" w:hAnsi="Times New Roman" w:cs="Times New Roman"/>
          <w:color w:val="222222"/>
          <w:sz w:val="24"/>
          <w:szCs w:val="24"/>
          <w:highlight w:val="white"/>
        </w:rPr>
        <w:t>downgrade ACP</w:t>
      </w:r>
      <w:r w:rsidRPr="009E6EF1">
        <w:rPr>
          <w:rFonts w:ascii="Times New Roman" w:eastAsia="Garamond" w:hAnsi="Times New Roman" w:cs="Times New Roman"/>
          <w:color w:val="222222"/>
          <w:sz w:val="24"/>
          <w:szCs w:val="24"/>
          <w:highlight w:val="white"/>
        </w:rPr>
        <w:t xml:space="preserve"> countries to the Generalised System of Preferences (GSP), provided the former with an obvious source of political leverage over the latter in its aim of securing reciprocal free trade. On the other hand, the desire to conclude these agreements on an interregional basis meant that in practice this leverage was immediately dissipated because of the vastly differing levels of trade dependence - in other words, sensitivity to the removal of unilateral preferences that the EPAs were designed to replace - within each ACP region. This was especially so in the case of Least Developed Countries (LDCs), which had little incentive to sign EPAs following the granting of one-way trade preferences under the separate Everything but Arms (EBA) initiative. In sum, from the outset the economic and political components of the EPAs appeared to be pulling in different directions.</w:t>
      </w:r>
    </w:p>
    <w:p w14:paraId="474F4B7F" w14:textId="77777777" w:rsidR="00E36302" w:rsidRPr="009E6EF1" w:rsidRDefault="00E36302">
      <w:pPr>
        <w:spacing w:line="360" w:lineRule="auto"/>
        <w:jc w:val="both"/>
        <w:rPr>
          <w:rFonts w:ascii="Times New Roman" w:hAnsi="Times New Roman" w:cs="Times New Roman"/>
          <w:sz w:val="24"/>
          <w:szCs w:val="24"/>
        </w:rPr>
      </w:pPr>
    </w:p>
    <w:p w14:paraId="48101570" w14:textId="2A4628C4" w:rsidR="00E36302" w:rsidRPr="00A574E5" w:rsidRDefault="009E6EF1">
      <w:pPr>
        <w:spacing w:line="360" w:lineRule="auto"/>
        <w:jc w:val="both"/>
        <w:rPr>
          <w:rFonts w:ascii="Times New Roman" w:eastAsia="Garamond" w:hAnsi="Times New Roman" w:cs="Times New Roman"/>
          <w:color w:val="222222"/>
          <w:sz w:val="24"/>
          <w:szCs w:val="24"/>
          <w:highlight w:val="white"/>
        </w:rPr>
      </w:pPr>
      <w:r w:rsidRPr="009E6EF1">
        <w:rPr>
          <w:rFonts w:ascii="Times New Roman" w:eastAsia="Garamond" w:hAnsi="Times New Roman" w:cs="Times New Roman"/>
          <w:color w:val="222222"/>
          <w:sz w:val="24"/>
          <w:szCs w:val="24"/>
          <w:highlight w:val="white"/>
        </w:rPr>
        <w:t xml:space="preserve">In the article, we trace the interaction of the economic and </w:t>
      </w:r>
      <w:r w:rsidR="005066B9" w:rsidRPr="009E6EF1">
        <w:rPr>
          <w:rFonts w:ascii="Times New Roman" w:eastAsia="Garamond" w:hAnsi="Times New Roman" w:cs="Times New Roman"/>
          <w:color w:val="222222"/>
          <w:sz w:val="24"/>
          <w:szCs w:val="24"/>
          <w:highlight w:val="white"/>
        </w:rPr>
        <w:t>political dimensions</w:t>
      </w:r>
      <w:r w:rsidRPr="009E6EF1">
        <w:rPr>
          <w:rFonts w:ascii="Times New Roman" w:eastAsia="Garamond" w:hAnsi="Times New Roman" w:cs="Times New Roman"/>
          <w:color w:val="222222"/>
          <w:sz w:val="24"/>
          <w:szCs w:val="24"/>
          <w:highlight w:val="white"/>
        </w:rPr>
        <w:t xml:space="preserve"> of the EPAs, and use this to explain the divergent responses within the ACP to the EU’s promotion of regional integration. We suggest that, while differe</w:t>
      </w:r>
      <w:r w:rsidR="000B06D5">
        <w:rPr>
          <w:rFonts w:ascii="Times New Roman" w:eastAsia="Garamond" w:hAnsi="Times New Roman" w:cs="Times New Roman"/>
          <w:color w:val="222222"/>
          <w:sz w:val="24"/>
          <w:szCs w:val="24"/>
          <w:highlight w:val="white"/>
        </w:rPr>
        <w:t>nces in trade dependence</w:t>
      </w:r>
      <w:r w:rsidRPr="009E6EF1">
        <w:rPr>
          <w:rFonts w:ascii="Times New Roman" w:eastAsia="Garamond" w:hAnsi="Times New Roman" w:cs="Times New Roman"/>
          <w:color w:val="222222"/>
          <w:sz w:val="24"/>
          <w:szCs w:val="24"/>
          <w:highlight w:val="white"/>
        </w:rPr>
        <w:t xml:space="preserve"> - and consequently the ability of the EU to use this as bargaining leverage - cannot be ignored, the uptake of the EPAs also depended on the congruence between the institutional trajectory of individual regional projects and the model of economic integration prescribed by the EU in its post-Lomé prospectus. We describe this congruence as either ‘high’, ‘</w:t>
      </w:r>
      <w:r w:rsidR="00E77EA5">
        <w:rPr>
          <w:rFonts w:ascii="Times New Roman" w:eastAsia="Garamond" w:hAnsi="Times New Roman" w:cs="Times New Roman"/>
          <w:color w:val="222222"/>
          <w:sz w:val="24"/>
          <w:szCs w:val="24"/>
          <w:highlight w:val="white"/>
        </w:rPr>
        <w:t>moderate’ or</w:t>
      </w:r>
      <w:r w:rsidRPr="009E6EF1">
        <w:rPr>
          <w:rFonts w:ascii="Times New Roman" w:eastAsia="Garamond" w:hAnsi="Times New Roman" w:cs="Times New Roman"/>
          <w:color w:val="222222"/>
          <w:sz w:val="24"/>
          <w:szCs w:val="24"/>
          <w:highlight w:val="white"/>
        </w:rPr>
        <w:t xml:space="preserve"> ‘low’, which, we suggest, was determined by: (</w:t>
      </w:r>
      <w:proofErr w:type="spellStart"/>
      <w:r w:rsidRPr="009E6EF1">
        <w:rPr>
          <w:rFonts w:ascii="Times New Roman" w:eastAsia="Garamond" w:hAnsi="Times New Roman" w:cs="Times New Roman"/>
          <w:color w:val="222222"/>
          <w:sz w:val="24"/>
          <w:szCs w:val="24"/>
          <w:highlight w:val="white"/>
        </w:rPr>
        <w:t>i</w:t>
      </w:r>
      <w:proofErr w:type="spellEnd"/>
      <w:r w:rsidRPr="009E6EF1">
        <w:rPr>
          <w:rFonts w:ascii="Times New Roman" w:eastAsia="Garamond" w:hAnsi="Times New Roman" w:cs="Times New Roman"/>
          <w:color w:val="222222"/>
          <w:sz w:val="24"/>
          <w:szCs w:val="24"/>
          <w:highlight w:val="white"/>
        </w:rPr>
        <w:t>) coherence of the</w:t>
      </w:r>
      <w:r w:rsidR="00E77EA5">
        <w:rPr>
          <w:rFonts w:ascii="Times New Roman" w:eastAsia="Garamond" w:hAnsi="Times New Roman" w:cs="Times New Roman"/>
          <w:color w:val="222222"/>
          <w:sz w:val="24"/>
          <w:szCs w:val="24"/>
          <w:highlight w:val="white"/>
        </w:rPr>
        <w:t xml:space="preserve"> EPA group with</w:t>
      </w:r>
      <w:r w:rsidRPr="009E6EF1">
        <w:rPr>
          <w:rFonts w:ascii="Times New Roman" w:eastAsia="Garamond" w:hAnsi="Times New Roman" w:cs="Times New Roman"/>
          <w:color w:val="222222"/>
          <w:sz w:val="24"/>
          <w:szCs w:val="24"/>
          <w:highlight w:val="white"/>
        </w:rPr>
        <w:t xml:space="preserve"> existing regional institutions; (ii) compatibility of the EPA regional configurations with pre-existing customs union obligations; (iii) delegation of supranational negotiating authority; and (iv) the presence/absence of regional leadership. We then use this explanatory model to account for variances in ACP responses to the EPAs, which would otherwise provide an untidy fit with accounts preoccupied with the economic </w:t>
      </w:r>
      <w:r w:rsidR="00217F52">
        <w:rPr>
          <w:rFonts w:ascii="Times New Roman" w:eastAsia="Garamond" w:hAnsi="Times New Roman" w:cs="Times New Roman"/>
          <w:color w:val="222222"/>
          <w:sz w:val="24"/>
          <w:szCs w:val="24"/>
          <w:highlight w:val="white"/>
        </w:rPr>
        <w:t>determinants</w:t>
      </w:r>
      <w:r w:rsidR="00217F52" w:rsidRPr="009E6EF1">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of barg</w:t>
      </w:r>
      <w:r w:rsidR="00E77EA5">
        <w:rPr>
          <w:rFonts w:ascii="Times New Roman" w:eastAsia="Garamond" w:hAnsi="Times New Roman" w:cs="Times New Roman"/>
          <w:color w:val="222222"/>
          <w:sz w:val="24"/>
          <w:szCs w:val="24"/>
          <w:highlight w:val="white"/>
        </w:rPr>
        <w:t xml:space="preserve">aining outcomes. </w:t>
      </w:r>
      <w:r w:rsidR="00B5463F">
        <w:rPr>
          <w:rFonts w:ascii="Times New Roman" w:eastAsia="Garamond" w:hAnsi="Times New Roman" w:cs="Times New Roman"/>
          <w:color w:val="222222"/>
          <w:sz w:val="24"/>
          <w:szCs w:val="24"/>
          <w:highlight w:val="white"/>
        </w:rPr>
        <w:t>In particular, we show that the EU’s regional EPA prospectus was most fully realised in CARIFORUM, where there was a ‘high’ level of congruence between existing regional institutions and the model of economic integration on which the EPAs were premised. In cases of ‘moderate’ congruence, regions with</w:t>
      </w:r>
      <w:r w:rsidR="00217F52">
        <w:rPr>
          <w:rFonts w:ascii="Times New Roman" w:eastAsia="Garamond" w:hAnsi="Times New Roman" w:cs="Times New Roman"/>
          <w:color w:val="222222"/>
          <w:sz w:val="24"/>
          <w:szCs w:val="24"/>
          <w:highlight w:val="white"/>
        </w:rPr>
        <w:t xml:space="preserve"> a</w:t>
      </w:r>
      <w:r w:rsidR="00B5463F">
        <w:rPr>
          <w:rFonts w:ascii="Times New Roman" w:eastAsia="Garamond" w:hAnsi="Times New Roman" w:cs="Times New Roman"/>
          <w:color w:val="222222"/>
          <w:sz w:val="24"/>
          <w:szCs w:val="24"/>
          <w:highlight w:val="white"/>
        </w:rPr>
        <w:t xml:space="preserve"> reasonable </w:t>
      </w:r>
      <w:r w:rsidR="00217F52">
        <w:rPr>
          <w:rFonts w:ascii="Times New Roman" w:eastAsia="Garamond" w:hAnsi="Times New Roman" w:cs="Times New Roman"/>
          <w:color w:val="222222"/>
          <w:sz w:val="24"/>
          <w:szCs w:val="24"/>
          <w:highlight w:val="white"/>
        </w:rPr>
        <w:t xml:space="preserve">level of </w:t>
      </w:r>
      <w:r w:rsidR="00B5463F">
        <w:rPr>
          <w:rFonts w:ascii="Times New Roman" w:eastAsia="Garamond" w:hAnsi="Times New Roman" w:cs="Times New Roman"/>
          <w:color w:val="222222"/>
          <w:sz w:val="24"/>
          <w:szCs w:val="24"/>
          <w:highlight w:val="white"/>
        </w:rPr>
        <w:t xml:space="preserve">institutional coherence – but which had not fully internalised or implemented the model of neoliberal economic integration that underpinned the EPAs – were able to generate some collective bargaining leverage vis-à-vis the EU in order to eventually arrive at watered-down </w:t>
      </w:r>
      <w:r w:rsidR="00B5463F">
        <w:rPr>
          <w:rFonts w:ascii="Times New Roman" w:eastAsia="Garamond" w:hAnsi="Times New Roman" w:cs="Times New Roman"/>
          <w:color w:val="222222"/>
          <w:sz w:val="24"/>
          <w:szCs w:val="24"/>
          <w:highlight w:val="white"/>
        </w:rPr>
        <w:lastRenderedPageBreak/>
        <w:t xml:space="preserve">region-based EPAs. </w:t>
      </w:r>
      <w:r w:rsidRPr="009E6EF1">
        <w:rPr>
          <w:rFonts w:ascii="Times New Roman" w:eastAsia="Garamond" w:hAnsi="Times New Roman" w:cs="Times New Roman"/>
          <w:color w:val="222222"/>
          <w:sz w:val="24"/>
          <w:szCs w:val="24"/>
          <w:highlight w:val="white"/>
        </w:rPr>
        <w:t>In contrast, regions with ‘low’ levels of congruity tended to fall back on narrow economic calculations to secure the best (bilateral</w:t>
      </w:r>
      <w:r w:rsidR="00E77EA5">
        <w:rPr>
          <w:rFonts w:ascii="Times New Roman" w:eastAsia="Garamond" w:hAnsi="Times New Roman" w:cs="Times New Roman"/>
          <w:color w:val="222222"/>
          <w:sz w:val="24"/>
          <w:szCs w:val="24"/>
          <w:highlight w:val="white"/>
        </w:rPr>
        <w:t>) market access deal available.</w:t>
      </w:r>
    </w:p>
    <w:p w14:paraId="2C133C69" w14:textId="77777777" w:rsidR="00E36302" w:rsidRPr="009E6EF1" w:rsidRDefault="00E36302">
      <w:pPr>
        <w:spacing w:line="360" w:lineRule="auto"/>
        <w:jc w:val="both"/>
        <w:rPr>
          <w:rFonts w:ascii="Times New Roman" w:hAnsi="Times New Roman" w:cs="Times New Roman"/>
          <w:sz w:val="24"/>
          <w:szCs w:val="24"/>
        </w:rPr>
      </w:pPr>
    </w:p>
    <w:p w14:paraId="79014FFF" w14:textId="77777777" w:rsidR="00E36302" w:rsidRPr="009E6EF1" w:rsidRDefault="009E6EF1">
      <w:pPr>
        <w:spacing w:line="360" w:lineRule="auto"/>
        <w:jc w:val="both"/>
        <w:rPr>
          <w:rFonts w:ascii="Times New Roman" w:hAnsi="Times New Roman" w:cs="Times New Roman"/>
          <w:sz w:val="24"/>
          <w:szCs w:val="24"/>
        </w:rPr>
      </w:pPr>
      <w:r w:rsidRPr="009E6EF1">
        <w:rPr>
          <w:rFonts w:ascii="Times New Roman" w:eastAsia="Garamond" w:hAnsi="Times New Roman" w:cs="Times New Roman"/>
          <w:b/>
          <w:color w:val="222222"/>
          <w:sz w:val="24"/>
          <w:szCs w:val="24"/>
        </w:rPr>
        <w:t xml:space="preserve">The EU’s promotion of regional integration in the context of the EPAs </w:t>
      </w:r>
    </w:p>
    <w:p w14:paraId="372E26B5" w14:textId="6096BDD2" w:rsidR="00832F9D" w:rsidRDefault="009E6EF1">
      <w:pPr>
        <w:spacing w:line="360" w:lineRule="auto"/>
        <w:jc w:val="both"/>
        <w:rPr>
          <w:rFonts w:ascii="Times New Roman" w:eastAsia="Garamond" w:hAnsi="Times New Roman" w:cs="Times New Roman"/>
          <w:color w:val="222222"/>
          <w:sz w:val="24"/>
          <w:szCs w:val="24"/>
          <w:highlight w:val="white"/>
        </w:rPr>
      </w:pPr>
      <w:r w:rsidRPr="009E6EF1">
        <w:rPr>
          <w:rFonts w:ascii="Times New Roman" w:eastAsia="Garamond" w:hAnsi="Times New Roman" w:cs="Times New Roman"/>
          <w:color w:val="222222"/>
          <w:sz w:val="24"/>
          <w:szCs w:val="24"/>
          <w:highlight w:val="white"/>
        </w:rPr>
        <w:t>There is now an extensive literature chronicli</w:t>
      </w:r>
      <w:r w:rsidR="00B660A9">
        <w:rPr>
          <w:rFonts w:ascii="Times New Roman" w:eastAsia="Garamond" w:hAnsi="Times New Roman" w:cs="Times New Roman"/>
          <w:color w:val="222222"/>
          <w:sz w:val="24"/>
          <w:szCs w:val="24"/>
          <w:highlight w:val="white"/>
        </w:rPr>
        <w:t xml:space="preserve">ng the momentous changes in </w:t>
      </w:r>
      <w:r w:rsidRPr="009E6EF1">
        <w:rPr>
          <w:rFonts w:ascii="Times New Roman" w:eastAsia="Garamond" w:hAnsi="Times New Roman" w:cs="Times New Roman"/>
          <w:color w:val="222222"/>
          <w:sz w:val="24"/>
          <w:szCs w:val="24"/>
          <w:highlight w:val="white"/>
        </w:rPr>
        <w:t xml:space="preserve">EU-ACP trade and development cooperation that followed </w:t>
      </w:r>
      <w:r w:rsidR="00B660A9">
        <w:rPr>
          <w:rFonts w:ascii="Times New Roman" w:eastAsia="Garamond" w:hAnsi="Times New Roman" w:cs="Times New Roman"/>
          <w:color w:val="222222"/>
          <w:sz w:val="24"/>
          <w:szCs w:val="24"/>
          <w:highlight w:val="white"/>
        </w:rPr>
        <w:t>the publication of</w:t>
      </w:r>
      <w:r w:rsidRPr="009E6EF1">
        <w:rPr>
          <w:rFonts w:ascii="Times New Roman" w:eastAsia="Garamond" w:hAnsi="Times New Roman" w:cs="Times New Roman"/>
          <w:color w:val="222222"/>
          <w:sz w:val="24"/>
          <w:szCs w:val="24"/>
          <w:highlight w:val="white"/>
        </w:rPr>
        <w:t xml:space="preserve"> the Commission’s </w:t>
      </w:r>
      <w:r w:rsidRPr="009E6EF1">
        <w:rPr>
          <w:rFonts w:ascii="Times New Roman" w:eastAsia="Garamond" w:hAnsi="Times New Roman" w:cs="Times New Roman"/>
          <w:i/>
          <w:color w:val="222222"/>
          <w:sz w:val="24"/>
          <w:szCs w:val="24"/>
          <w:highlight w:val="white"/>
        </w:rPr>
        <w:t>Green Paper on Relations between the European Union and the ACP Countries</w:t>
      </w:r>
      <w:r w:rsidRPr="009E6EF1">
        <w:rPr>
          <w:rFonts w:ascii="Times New Roman" w:eastAsia="Garamond" w:hAnsi="Times New Roman" w:cs="Times New Roman"/>
          <w:color w:val="222222"/>
          <w:sz w:val="24"/>
          <w:szCs w:val="24"/>
          <w:highlight w:val="white"/>
        </w:rPr>
        <w:t xml:space="preserve"> in 1996.</w:t>
      </w:r>
      <w:r w:rsidR="000B06D5">
        <w:rPr>
          <w:rStyle w:val="EndnoteReference"/>
          <w:rFonts w:ascii="Times New Roman" w:eastAsia="Garamond" w:hAnsi="Times New Roman" w:cs="Times New Roman"/>
          <w:color w:val="222222"/>
          <w:sz w:val="24"/>
          <w:szCs w:val="24"/>
          <w:highlight w:val="white"/>
        </w:rPr>
        <w:endnoteReference w:id="4"/>
      </w:r>
      <w:r w:rsidRPr="009E6EF1">
        <w:rPr>
          <w:rFonts w:ascii="Times New Roman" w:eastAsia="Garamond" w:hAnsi="Times New Roman" w:cs="Times New Roman"/>
          <w:color w:val="222222"/>
          <w:sz w:val="24"/>
          <w:szCs w:val="24"/>
          <w:highlight w:val="white"/>
        </w:rPr>
        <w:t xml:space="preserve"> As we </w:t>
      </w:r>
      <w:r w:rsidR="00C8048F">
        <w:rPr>
          <w:rFonts w:ascii="Times New Roman" w:eastAsia="Garamond" w:hAnsi="Times New Roman" w:cs="Times New Roman"/>
          <w:color w:val="222222"/>
          <w:sz w:val="24"/>
          <w:szCs w:val="24"/>
          <w:highlight w:val="white"/>
        </w:rPr>
        <w:t>suggested in the introduction</w:t>
      </w:r>
      <w:r w:rsidRPr="009E6EF1">
        <w:rPr>
          <w:rFonts w:ascii="Times New Roman" w:eastAsia="Garamond" w:hAnsi="Times New Roman" w:cs="Times New Roman"/>
          <w:color w:val="222222"/>
          <w:sz w:val="24"/>
          <w:szCs w:val="24"/>
          <w:highlight w:val="white"/>
        </w:rPr>
        <w:t xml:space="preserve">, there is a general preoccupation in the EU-ACP literature with the economic dimension of the EPAs - especially the shift to reciprocity - and underestimation of the importance of the political dimension in the form of intraregional trade liberalisation and cooperation. With the benefit of hindsight, we can now observe that it is the latter dimension that has done most to expose the problems and contradictions at the heart of the EPA prospectus. </w:t>
      </w:r>
    </w:p>
    <w:p w14:paraId="24062521" w14:textId="77777777" w:rsidR="00832F9D" w:rsidRDefault="00832F9D">
      <w:pPr>
        <w:spacing w:line="360" w:lineRule="auto"/>
        <w:jc w:val="both"/>
        <w:rPr>
          <w:rFonts w:ascii="Times New Roman" w:eastAsia="Garamond" w:hAnsi="Times New Roman" w:cs="Times New Roman"/>
          <w:color w:val="222222"/>
          <w:sz w:val="24"/>
          <w:szCs w:val="24"/>
          <w:highlight w:val="white"/>
        </w:rPr>
      </w:pPr>
    </w:p>
    <w:p w14:paraId="42EF9499" w14:textId="78BE5C9D" w:rsidR="00E36302" w:rsidRPr="00E85BAB" w:rsidRDefault="00C8048F">
      <w:pPr>
        <w:spacing w:line="360" w:lineRule="auto"/>
        <w:jc w:val="both"/>
        <w:rPr>
          <w:rFonts w:ascii="Times New Roman" w:eastAsia="Garamond" w:hAnsi="Times New Roman" w:cs="Times New Roman"/>
          <w:color w:val="222222"/>
          <w:sz w:val="24"/>
          <w:szCs w:val="24"/>
          <w:highlight w:val="white"/>
        </w:rPr>
      </w:pPr>
      <w:r>
        <w:rPr>
          <w:rFonts w:ascii="Times New Roman" w:eastAsia="Garamond" w:hAnsi="Times New Roman" w:cs="Times New Roman"/>
          <w:color w:val="222222"/>
          <w:sz w:val="24"/>
          <w:szCs w:val="24"/>
          <w:highlight w:val="white"/>
        </w:rPr>
        <w:t xml:space="preserve">The ostensible driver </w:t>
      </w:r>
      <w:r w:rsidR="00217F52">
        <w:rPr>
          <w:rFonts w:ascii="Times New Roman" w:eastAsia="Garamond" w:hAnsi="Times New Roman" w:cs="Times New Roman"/>
          <w:color w:val="222222"/>
          <w:sz w:val="24"/>
          <w:szCs w:val="24"/>
          <w:highlight w:val="white"/>
        </w:rPr>
        <w:t xml:space="preserve">of </w:t>
      </w:r>
      <w:r>
        <w:rPr>
          <w:rFonts w:ascii="Times New Roman" w:eastAsia="Garamond" w:hAnsi="Times New Roman" w:cs="Times New Roman"/>
          <w:color w:val="222222"/>
          <w:sz w:val="24"/>
          <w:szCs w:val="24"/>
          <w:highlight w:val="white"/>
        </w:rPr>
        <w:t>the EU’s decision to reform its longstanding preferential trade relationship with the ACP under the 1975 Lomé Convention was a series</w:t>
      </w:r>
      <w:r w:rsidR="00832F9D">
        <w:rPr>
          <w:rFonts w:ascii="Times New Roman" w:eastAsia="Garamond" w:hAnsi="Times New Roman" w:cs="Times New Roman"/>
          <w:color w:val="222222"/>
          <w:sz w:val="24"/>
          <w:szCs w:val="24"/>
          <w:highlight w:val="white"/>
        </w:rPr>
        <w:t xml:space="preserve"> of legal challenges under the General Agreement on Tariffs and Trade (GATT)</w:t>
      </w:r>
      <w:r>
        <w:rPr>
          <w:rFonts w:ascii="Times New Roman" w:eastAsia="Garamond" w:hAnsi="Times New Roman" w:cs="Times New Roman"/>
          <w:color w:val="222222"/>
          <w:sz w:val="24"/>
          <w:szCs w:val="24"/>
          <w:highlight w:val="white"/>
        </w:rPr>
        <w:t xml:space="preserve"> and </w:t>
      </w:r>
      <w:r w:rsidR="00832F9D">
        <w:rPr>
          <w:rFonts w:ascii="Times New Roman" w:eastAsia="Garamond" w:hAnsi="Times New Roman" w:cs="Times New Roman"/>
          <w:color w:val="222222"/>
          <w:sz w:val="24"/>
          <w:szCs w:val="24"/>
          <w:highlight w:val="white"/>
        </w:rPr>
        <w:t xml:space="preserve">WTO in the 1990s. Making </w:t>
      </w:r>
      <w:r w:rsidR="00B660A9">
        <w:rPr>
          <w:rFonts w:ascii="Times New Roman" w:eastAsia="Garamond" w:hAnsi="Times New Roman" w:cs="Times New Roman"/>
          <w:color w:val="222222"/>
          <w:sz w:val="24"/>
          <w:szCs w:val="24"/>
          <w:highlight w:val="white"/>
        </w:rPr>
        <w:t xml:space="preserve">Lomé </w:t>
      </w:r>
      <w:r w:rsidR="009E6EF1" w:rsidRPr="009E6EF1">
        <w:rPr>
          <w:rFonts w:ascii="Times New Roman" w:eastAsia="Garamond" w:hAnsi="Times New Roman" w:cs="Times New Roman"/>
          <w:color w:val="222222"/>
          <w:sz w:val="24"/>
          <w:szCs w:val="24"/>
          <w:highlight w:val="white"/>
        </w:rPr>
        <w:t>WTO-compatible</w:t>
      </w:r>
      <w:r w:rsidR="00832F9D">
        <w:rPr>
          <w:rFonts w:ascii="Times New Roman" w:eastAsia="Garamond" w:hAnsi="Times New Roman" w:cs="Times New Roman"/>
          <w:color w:val="222222"/>
          <w:sz w:val="24"/>
          <w:szCs w:val="24"/>
          <w:highlight w:val="white"/>
        </w:rPr>
        <w:t>, however,</w:t>
      </w:r>
      <w:r w:rsidR="009E6EF1" w:rsidRPr="009E6EF1">
        <w:rPr>
          <w:rFonts w:ascii="Times New Roman" w:eastAsia="Garamond" w:hAnsi="Times New Roman" w:cs="Times New Roman"/>
          <w:color w:val="222222"/>
          <w:sz w:val="24"/>
          <w:szCs w:val="24"/>
          <w:highlight w:val="white"/>
        </w:rPr>
        <w:t xml:space="preserve"> did not require a region-based solution; indeed, a single ACP free trade agreement or a series of bilateral agreements between the EU and individual ACP countries might have been both legally and politically more straightforward.</w:t>
      </w:r>
      <w:r w:rsidR="008B5D7B">
        <w:rPr>
          <w:rStyle w:val="EndnoteReference"/>
          <w:rFonts w:ascii="Times New Roman" w:eastAsia="Garamond" w:hAnsi="Times New Roman" w:cs="Times New Roman"/>
          <w:color w:val="222222"/>
          <w:sz w:val="24"/>
          <w:szCs w:val="24"/>
          <w:highlight w:val="white"/>
        </w:rPr>
        <w:endnoteReference w:id="5"/>
      </w:r>
      <w:r w:rsidR="009E6EF1" w:rsidRPr="009E6EF1">
        <w:rPr>
          <w:rFonts w:ascii="Times New Roman" w:eastAsia="Garamond" w:hAnsi="Times New Roman" w:cs="Times New Roman"/>
          <w:color w:val="222222"/>
          <w:sz w:val="24"/>
          <w:szCs w:val="24"/>
          <w:highlight w:val="white"/>
        </w:rPr>
        <w:t xml:space="preserve"> There </w:t>
      </w:r>
      <w:r w:rsidR="00217F52">
        <w:rPr>
          <w:rFonts w:ascii="Times New Roman" w:eastAsia="Garamond" w:hAnsi="Times New Roman" w:cs="Times New Roman"/>
          <w:color w:val="222222"/>
          <w:sz w:val="24"/>
          <w:szCs w:val="24"/>
          <w:highlight w:val="white"/>
        </w:rPr>
        <w:t>we</w:t>
      </w:r>
      <w:r w:rsidR="009E6EF1" w:rsidRPr="009E6EF1">
        <w:rPr>
          <w:rFonts w:ascii="Times New Roman" w:eastAsia="Garamond" w:hAnsi="Times New Roman" w:cs="Times New Roman"/>
          <w:color w:val="222222"/>
          <w:sz w:val="24"/>
          <w:szCs w:val="24"/>
          <w:highlight w:val="white"/>
        </w:rPr>
        <w:t>re, of course, practical reasons behind the Commission’s decision to opt for region-based EPAs, given the heterogeneity and complexity of the ACP group that, by this point, numbered more than 70 countries</w:t>
      </w:r>
      <w:r w:rsidR="00E85BAB">
        <w:rPr>
          <w:rFonts w:ascii="Times New Roman" w:eastAsia="Garamond" w:hAnsi="Times New Roman" w:cs="Times New Roman"/>
          <w:color w:val="222222"/>
          <w:sz w:val="24"/>
          <w:szCs w:val="24"/>
          <w:highlight w:val="white"/>
        </w:rPr>
        <w:t>.</w:t>
      </w:r>
      <w:r w:rsidR="008B5D7B">
        <w:rPr>
          <w:rStyle w:val="EndnoteReference"/>
          <w:rFonts w:ascii="Times New Roman" w:eastAsia="Garamond" w:hAnsi="Times New Roman" w:cs="Times New Roman"/>
          <w:color w:val="222222"/>
          <w:sz w:val="24"/>
          <w:szCs w:val="24"/>
          <w:highlight w:val="white"/>
        </w:rPr>
        <w:endnoteReference w:id="6"/>
      </w:r>
      <w:r w:rsidR="00832F9D">
        <w:rPr>
          <w:rFonts w:ascii="Times New Roman" w:eastAsia="Garamond" w:hAnsi="Times New Roman" w:cs="Times New Roman"/>
          <w:color w:val="222222"/>
          <w:sz w:val="24"/>
          <w:szCs w:val="24"/>
          <w:highlight w:val="white"/>
        </w:rPr>
        <w:t xml:space="preserve"> </w:t>
      </w:r>
      <w:r w:rsidR="009E6EF1" w:rsidRPr="009E6EF1">
        <w:rPr>
          <w:rFonts w:ascii="Times New Roman" w:eastAsia="Garamond" w:hAnsi="Times New Roman" w:cs="Times New Roman"/>
          <w:color w:val="222222"/>
          <w:sz w:val="24"/>
          <w:szCs w:val="24"/>
          <w:highlight w:val="white"/>
        </w:rPr>
        <w:t xml:space="preserve">It is difficult, however, to ignore the fact that this blueprint coincided with a growing enthusiasm among EU policymakers for the external promotion of regionalism. Following the completion of the Single Market in January 1993 the EU had begun to place more emphasis on interregional cooperation as a </w:t>
      </w:r>
      <w:proofErr w:type="gramStart"/>
      <w:r w:rsidR="009E6EF1" w:rsidRPr="009E6EF1">
        <w:rPr>
          <w:rFonts w:ascii="Times New Roman" w:eastAsia="Garamond" w:hAnsi="Times New Roman" w:cs="Times New Roman"/>
          <w:color w:val="222222"/>
          <w:sz w:val="24"/>
          <w:szCs w:val="24"/>
          <w:highlight w:val="white"/>
        </w:rPr>
        <w:t>stepping stone</w:t>
      </w:r>
      <w:proofErr w:type="gramEnd"/>
      <w:r w:rsidR="009E6EF1" w:rsidRPr="009E6EF1">
        <w:rPr>
          <w:rFonts w:ascii="Times New Roman" w:eastAsia="Garamond" w:hAnsi="Times New Roman" w:cs="Times New Roman"/>
          <w:color w:val="222222"/>
          <w:sz w:val="24"/>
          <w:szCs w:val="24"/>
          <w:highlight w:val="white"/>
        </w:rPr>
        <w:t xml:space="preserve"> to multilateral trade liberalization.</w:t>
      </w:r>
      <w:r w:rsidR="008B5D7B">
        <w:rPr>
          <w:rStyle w:val="EndnoteReference"/>
          <w:rFonts w:ascii="Times New Roman" w:eastAsia="Garamond" w:hAnsi="Times New Roman" w:cs="Times New Roman"/>
          <w:color w:val="222222"/>
          <w:sz w:val="24"/>
          <w:szCs w:val="24"/>
          <w:highlight w:val="white"/>
        </w:rPr>
        <w:endnoteReference w:id="7"/>
      </w:r>
      <w:r w:rsidR="009E6EF1" w:rsidRPr="009E6EF1">
        <w:rPr>
          <w:rFonts w:ascii="Times New Roman" w:eastAsia="Garamond" w:hAnsi="Times New Roman" w:cs="Times New Roman"/>
          <w:color w:val="222222"/>
          <w:sz w:val="24"/>
          <w:szCs w:val="24"/>
          <w:highlight w:val="white"/>
        </w:rPr>
        <w:t xml:space="preserve"> For the first time, the EU adopted the external promotion of regional integration as an explicit policy aim in its relations with its Mediterranean neighbours, the Common Market of the South (MERCOSUR) and the Association of Southeast Asian Nations (ASEAN). The EU’s enthusiasm for the promotion of regionalism rested on the belief that the EU’s own unique experience meant that it had an comparative advantage in offering this type of development assistance. The EU thus promised to ‘add value’ to the efforts of other donors,</w:t>
      </w:r>
      <w:r w:rsidR="00346490">
        <w:rPr>
          <w:rStyle w:val="EndnoteReference"/>
          <w:rFonts w:ascii="Times New Roman" w:eastAsia="Garamond" w:hAnsi="Times New Roman" w:cs="Times New Roman"/>
          <w:color w:val="222222"/>
          <w:sz w:val="24"/>
          <w:szCs w:val="24"/>
          <w:highlight w:val="white"/>
        </w:rPr>
        <w:endnoteReference w:id="8"/>
      </w:r>
      <w:r w:rsidR="009E6EF1" w:rsidRPr="009E6EF1">
        <w:rPr>
          <w:rFonts w:ascii="Times New Roman" w:eastAsia="Garamond" w:hAnsi="Times New Roman" w:cs="Times New Roman"/>
          <w:color w:val="222222"/>
          <w:sz w:val="24"/>
          <w:szCs w:val="24"/>
          <w:highlight w:val="white"/>
        </w:rPr>
        <w:t xml:space="preserve"> in cementing the idea that South-</w:t>
      </w:r>
      <w:r w:rsidR="009E6EF1" w:rsidRPr="009E6EF1">
        <w:rPr>
          <w:rFonts w:ascii="Times New Roman" w:eastAsia="Garamond" w:hAnsi="Times New Roman" w:cs="Times New Roman"/>
          <w:color w:val="222222"/>
          <w:sz w:val="24"/>
          <w:szCs w:val="24"/>
          <w:highlight w:val="white"/>
        </w:rPr>
        <w:lastRenderedPageBreak/>
        <w:t>South regionalism would foster integration into the global economy, produce economies of scale, stimulate investment and lock in trade reforms.</w:t>
      </w:r>
      <w:r w:rsidR="00346490">
        <w:rPr>
          <w:rStyle w:val="EndnoteReference"/>
          <w:rFonts w:ascii="Times New Roman" w:eastAsia="Garamond" w:hAnsi="Times New Roman" w:cs="Times New Roman"/>
          <w:color w:val="222222"/>
          <w:sz w:val="24"/>
          <w:szCs w:val="24"/>
          <w:highlight w:val="white"/>
        </w:rPr>
        <w:endnoteReference w:id="9"/>
      </w:r>
      <w:r w:rsidR="009E6EF1" w:rsidRPr="009E6EF1">
        <w:rPr>
          <w:rFonts w:ascii="Times New Roman" w:eastAsia="Garamond" w:hAnsi="Times New Roman" w:cs="Times New Roman"/>
          <w:color w:val="222222"/>
          <w:sz w:val="24"/>
          <w:szCs w:val="24"/>
          <w:highlight w:val="white"/>
        </w:rPr>
        <w:t xml:space="preserve"> Where the 1996 Green Paper had asserted that a region-based approach would help to address the practical difficulties of uniform reciprocity, by the time the Cotonou Agreement had been signed and the EPA negotiations </w:t>
      </w:r>
      <w:r w:rsidR="00B5463F">
        <w:rPr>
          <w:rFonts w:ascii="Times New Roman" w:eastAsia="Garamond" w:hAnsi="Times New Roman" w:cs="Times New Roman"/>
          <w:color w:val="222222"/>
          <w:sz w:val="24"/>
          <w:szCs w:val="24"/>
          <w:highlight w:val="white"/>
        </w:rPr>
        <w:t>were</w:t>
      </w:r>
      <w:r w:rsidR="00B5463F" w:rsidRPr="009E6EF1">
        <w:rPr>
          <w:rFonts w:ascii="Times New Roman" w:eastAsia="Garamond" w:hAnsi="Times New Roman" w:cs="Times New Roman"/>
          <w:color w:val="222222"/>
          <w:sz w:val="24"/>
          <w:szCs w:val="24"/>
          <w:highlight w:val="white"/>
        </w:rPr>
        <w:t xml:space="preserve"> </w:t>
      </w:r>
      <w:r w:rsidR="009E6EF1" w:rsidRPr="009E6EF1">
        <w:rPr>
          <w:rFonts w:ascii="Times New Roman" w:eastAsia="Garamond" w:hAnsi="Times New Roman" w:cs="Times New Roman"/>
          <w:color w:val="222222"/>
          <w:sz w:val="24"/>
          <w:szCs w:val="24"/>
          <w:highlight w:val="white"/>
        </w:rPr>
        <w:t>under way, the EU had come to see collective negotiations as a way of developing the capacity of ACP regions. Further, the EPAs ultimately went beyond the modalities of the EU’s support for regional integration in other regions – which had relied on trade cooperation, political dialogue, technical support and financial assistance – by making free circulation within ACP regions an explicit condition of market access vi</w:t>
      </w:r>
      <w:r w:rsidR="00346490">
        <w:rPr>
          <w:rFonts w:ascii="Times New Roman" w:eastAsia="Garamond" w:hAnsi="Times New Roman" w:cs="Times New Roman"/>
          <w:color w:val="222222"/>
          <w:sz w:val="24"/>
          <w:szCs w:val="24"/>
          <w:highlight w:val="white"/>
        </w:rPr>
        <w:t>a a ‘regional preference clause’</w:t>
      </w:r>
      <w:r w:rsidR="009E6EF1" w:rsidRPr="009E6EF1">
        <w:rPr>
          <w:rFonts w:ascii="Times New Roman" w:eastAsia="Garamond" w:hAnsi="Times New Roman" w:cs="Times New Roman"/>
          <w:color w:val="222222"/>
          <w:sz w:val="24"/>
          <w:szCs w:val="24"/>
          <w:highlight w:val="white"/>
        </w:rPr>
        <w:t>.</w:t>
      </w:r>
      <w:r w:rsidR="00346490">
        <w:rPr>
          <w:rStyle w:val="EndnoteReference"/>
          <w:rFonts w:ascii="Times New Roman" w:eastAsia="Garamond" w:hAnsi="Times New Roman" w:cs="Times New Roman"/>
          <w:color w:val="222222"/>
          <w:sz w:val="24"/>
          <w:szCs w:val="24"/>
          <w:highlight w:val="white"/>
        </w:rPr>
        <w:endnoteReference w:id="10"/>
      </w:r>
      <w:r w:rsidR="009E6EF1" w:rsidRPr="009E6EF1">
        <w:rPr>
          <w:rFonts w:ascii="Times New Roman" w:eastAsia="Garamond" w:hAnsi="Times New Roman" w:cs="Times New Roman"/>
          <w:color w:val="222222"/>
          <w:sz w:val="24"/>
          <w:szCs w:val="24"/>
          <w:highlight w:val="white"/>
        </w:rPr>
        <w:t xml:space="preserve"> </w:t>
      </w:r>
    </w:p>
    <w:p w14:paraId="7C249CA7" w14:textId="77777777" w:rsidR="00E36302" w:rsidRPr="009E6EF1" w:rsidRDefault="009E6EF1">
      <w:pPr>
        <w:spacing w:line="360" w:lineRule="auto"/>
        <w:jc w:val="both"/>
        <w:rPr>
          <w:rFonts w:ascii="Times New Roman" w:hAnsi="Times New Roman" w:cs="Times New Roman"/>
          <w:sz w:val="24"/>
          <w:szCs w:val="24"/>
        </w:rPr>
      </w:pPr>
      <w:r w:rsidRPr="009E6EF1">
        <w:rPr>
          <w:rFonts w:ascii="Times New Roman" w:eastAsia="Garamond" w:hAnsi="Times New Roman" w:cs="Times New Roman"/>
          <w:color w:val="222222"/>
          <w:sz w:val="24"/>
          <w:szCs w:val="24"/>
          <w:highlight w:val="white"/>
        </w:rPr>
        <w:t xml:space="preserve">  </w:t>
      </w:r>
    </w:p>
    <w:p w14:paraId="239AB92B" w14:textId="2D892C65" w:rsidR="00E36302" w:rsidRPr="009E6EF1" w:rsidRDefault="009E6EF1">
      <w:pPr>
        <w:spacing w:line="360" w:lineRule="auto"/>
        <w:jc w:val="both"/>
        <w:rPr>
          <w:rFonts w:ascii="Times New Roman" w:hAnsi="Times New Roman" w:cs="Times New Roman"/>
          <w:sz w:val="24"/>
          <w:szCs w:val="24"/>
        </w:rPr>
      </w:pPr>
      <w:r w:rsidRPr="009E6EF1">
        <w:rPr>
          <w:rFonts w:ascii="Times New Roman" w:eastAsia="Garamond" w:hAnsi="Times New Roman" w:cs="Times New Roman"/>
          <w:color w:val="222222"/>
          <w:sz w:val="24"/>
          <w:szCs w:val="24"/>
          <w:highlight w:val="white"/>
        </w:rPr>
        <w:t xml:space="preserve">The Cotonou Agreement was vague about how the twin trade principles of reciprocity and special and differential treatment for least-developed countries (LDCs) – both of which the EU argued needed to be implemented in line with multilateral </w:t>
      </w:r>
      <w:r w:rsidR="000D34BA">
        <w:rPr>
          <w:rFonts w:ascii="Times New Roman" w:eastAsia="Garamond" w:hAnsi="Times New Roman" w:cs="Times New Roman"/>
          <w:color w:val="222222"/>
          <w:sz w:val="24"/>
          <w:szCs w:val="24"/>
          <w:highlight w:val="white"/>
        </w:rPr>
        <w:t xml:space="preserve">trade </w:t>
      </w:r>
      <w:r w:rsidRPr="009E6EF1">
        <w:rPr>
          <w:rFonts w:ascii="Times New Roman" w:eastAsia="Garamond" w:hAnsi="Times New Roman" w:cs="Times New Roman"/>
          <w:color w:val="222222"/>
          <w:sz w:val="24"/>
          <w:szCs w:val="24"/>
          <w:highlight w:val="white"/>
        </w:rPr>
        <w:t xml:space="preserve">disciplines – would be causally linked to the promotion of regional integration through the EPAs. The EU’s implied threat to downgrade those ACP countries that failed to sign an EPA to the less generous </w:t>
      </w:r>
      <w:r w:rsidR="00F15FD3">
        <w:rPr>
          <w:rFonts w:ascii="Times New Roman" w:eastAsia="Garamond" w:hAnsi="Times New Roman" w:cs="Times New Roman"/>
          <w:color w:val="222222"/>
          <w:sz w:val="24"/>
          <w:szCs w:val="24"/>
          <w:highlight w:val="white"/>
        </w:rPr>
        <w:t>GSP</w:t>
      </w:r>
      <w:r w:rsidRPr="009E6EF1">
        <w:rPr>
          <w:rFonts w:ascii="Times New Roman" w:eastAsia="Garamond" w:hAnsi="Times New Roman" w:cs="Times New Roman"/>
          <w:color w:val="222222"/>
          <w:sz w:val="24"/>
          <w:szCs w:val="24"/>
          <w:highlight w:val="white"/>
        </w:rPr>
        <w:t xml:space="preserve"> created a clear material incentive to accept the </w:t>
      </w:r>
      <w:r w:rsidR="000D34BA">
        <w:rPr>
          <w:rFonts w:ascii="Times New Roman" w:eastAsia="Garamond" w:hAnsi="Times New Roman" w:cs="Times New Roman"/>
          <w:color w:val="222222"/>
          <w:sz w:val="24"/>
          <w:szCs w:val="24"/>
          <w:highlight w:val="white"/>
        </w:rPr>
        <w:t>offer</w:t>
      </w:r>
      <w:r w:rsidRPr="009E6EF1">
        <w:rPr>
          <w:rFonts w:ascii="Times New Roman" w:eastAsia="Garamond" w:hAnsi="Times New Roman" w:cs="Times New Roman"/>
          <w:color w:val="222222"/>
          <w:sz w:val="24"/>
          <w:szCs w:val="24"/>
          <w:highlight w:val="white"/>
        </w:rPr>
        <w:t xml:space="preserve"> that the EU was proposing. This leverage was cemented by the existence of a clear deadline for the negotiations in the form </w:t>
      </w:r>
      <w:r w:rsidR="000D34BA">
        <w:rPr>
          <w:rFonts w:ascii="Times New Roman" w:eastAsia="Garamond" w:hAnsi="Times New Roman" w:cs="Times New Roman"/>
          <w:color w:val="222222"/>
          <w:sz w:val="24"/>
          <w:szCs w:val="24"/>
          <w:highlight w:val="white"/>
        </w:rPr>
        <w:t xml:space="preserve">of the expiry of the WTO waiver, </w:t>
      </w:r>
      <w:r w:rsidR="004128FF">
        <w:rPr>
          <w:rFonts w:ascii="Times New Roman" w:eastAsia="Garamond" w:hAnsi="Times New Roman" w:cs="Times New Roman"/>
          <w:color w:val="222222"/>
          <w:sz w:val="24"/>
          <w:szCs w:val="24"/>
          <w:highlight w:val="white"/>
        </w:rPr>
        <w:t xml:space="preserve">which </w:t>
      </w:r>
      <w:r w:rsidRPr="009E6EF1">
        <w:rPr>
          <w:rFonts w:ascii="Times New Roman" w:eastAsia="Garamond" w:hAnsi="Times New Roman" w:cs="Times New Roman"/>
          <w:color w:val="222222"/>
          <w:sz w:val="24"/>
          <w:szCs w:val="24"/>
          <w:highlight w:val="white"/>
        </w:rPr>
        <w:t>allowed the temporary continuation of Lomé preferences until 31 December 2007. What was unclear</w:t>
      </w:r>
      <w:r w:rsidR="000D34BA">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 xml:space="preserve">was how this leverage would be </w:t>
      </w:r>
      <w:r w:rsidR="00080D66">
        <w:rPr>
          <w:rFonts w:ascii="Times New Roman" w:eastAsia="Garamond" w:hAnsi="Times New Roman" w:cs="Times New Roman"/>
          <w:color w:val="222222"/>
          <w:sz w:val="24"/>
          <w:szCs w:val="24"/>
          <w:highlight w:val="white"/>
        </w:rPr>
        <w:t>reconciled</w:t>
      </w:r>
      <w:r w:rsidR="00080D66" w:rsidRPr="009E6EF1">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with the EU’s desire to conclude these agreements on an interregional basis – a plan that required the prior creation of viable regional institutions on which to base the agreements. Furthermore, the regional dynamics of the negotiations meant that the leverage created by the threat of downgrade to GSP was immediately dissipated as a result of significant national variations in preference dependence within regions. The EU’s unilateral offer of duty-free market access under EBA served only to heighten these intraregional tensions by creating very different sets of material incentives for states that would have to bargain for an EPA collectively.</w:t>
      </w:r>
      <w:r w:rsidR="001450DD">
        <w:rPr>
          <w:rStyle w:val="EndnoteReference"/>
          <w:rFonts w:ascii="Times New Roman" w:eastAsia="Garamond" w:hAnsi="Times New Roman" w:cs="Times New Roman"/>
          <w:color w:val="222222"/>
          <w:sz w:val="24"/>
          <w:szCs w:val="24"/>
          <w:highlight w:val="white"/>
        </w:rPr>
        <w:endnoteReference w:id="11"/>
      </w:r>
      <w:r w:rsidRPr="009E6EF1">
        <w:rPr>
          <w:rFonts w:ascii="Times New Roman" w:eastAsia="Garamond" w:hAnsi="Times New Roman" w:cs="Times New Roman"/>
          <w:color w:val="222222"/>
          <w:sz w:val="24"/>
          <w:szCs w:val="24"/>
          <w:highlight w:val="white"/>
        </w:rPr>
        <w:t xml:space="preserve"> </w:t>
      </w:r>
    </w:p>
    <w:p w14:paraId="01BE5BE6" w14:textId="77777777" w:rsidR="00E36302" w:rsidRPr="009E6EF1" w:rsidRDefault="00E36302">
      <w:pPr>
        <w:spacing w:line="360" w:lineRule="auto"/>
        <w:jc w:val="both"/>
        <w:rPr>
          <w:rFonts w:ascii="Times New Roman" w:hAnsi="Times New Roman" w:cs="Times New Roman"/>
          <w:sz w:val="24"/>
          <w:szCs w:val="24"/>
        </w:rPr>
      </w:pPr>
    </w:p>
    <w:p w14:paraId="7ED83FA6" w14:textId="2F443805" w:rsidR="00E36302" w:rsidRPr="00421BD6" w:rsidRDefault="009E6EF1">
      <w:pPr>
        <w:spacing w:line="360" w:lineRule="auto"/>
        <w:jc w:val="both"/>
        <w:rPr>
          <w:rFonts w:ascii="Times New Roman" w:eastAsia="Garamond" w:hAnsi="Times New Roman" w:cs="Times New Roman"/>
          <w:color w:val="222222"/>
          <w:sz w:val="24"/>
          <w:szCs w:val="24"/>
          <w:highlight w:val="white"/>
        </w:rPr>
      </w:pPr>
      <w:r w:rsidRPr="009E6EF1">
        <w:rPr>
          <w:rFonts w:ascii="Times New Roman" w:eastAsia="Garamond" w:hAnsi="Times New Roman" w:cs="Times New Roman"/>
          <w:color w:val="222222"/>
          <w:sz w:val="24"/>
          <w:szCs w:val="24"/>
          <w:highlight w:val="white"/>
        </w:rPr>
        <w:t>The key problem for the EPAs, then, was created by the EU’s attempt to reconcile its drive for reciprocity and special and differential treatment (and its commitment to executing these in line with WTO rules) with its political agenda for the promotion of regional integration. In fact, the EPAs lacked any organising principle around which regi</w:t>
      </w:r>
      <w:r w:rsidR="00B660A9">
        <w:rPr>
          <w:rFonts w:ascii="Times New Roman" w:eastAsia="Garamond" w:hAnsi="Times New Roman" w:cs="Times New Roman"/>
          <w:color w:val="222222"/>
          <w:sz w:val="24"/>
          <w:szCs w:val="24"/>
          <w:highlight w:val="white"/>
        </w:rPr>
        <w:t>on-wide reciprocal agreements could</w:t>
      </w:r>
      <w:r w:rsidRPr="009E6EF1">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lastRenderedPageBreak/>
        <w:t xml:space="preserve">incorporate </w:t>
      </w:r>
      <w:r w:rsidR="004852BC">
        <w:rPr>
          <w:rFonts w:ascii="Times New Roman" w:eastAsia="Garamond" w:hAnsi="Times New Roman" w:cs="Times New Roman"/>
          <w:color w:val="222222"/>
          <w:sz w:val="24"/>
          <w:szCs w:val="24"/>
          <w:highlight w:val="white"/>
        </w:rPr>
        <w:t>these two competing principles.</w:t>
      </w:r>
      <w:r w:rsidRPr="009E6EF1">
        <w:rPr>
          <w:rFonts w:ascii="Times New Roman" w:eastAsia="Garamond" w:hAnsi="Times New Roman" w:cs="Times New Roman"/>
          <w:color w:val="222222"/>
          <w:sz w:val="24"/>
          <w:szCs w:val="24"/>
          <w:highlight w:val="white"/>
        </w:rPr>
        <w:t xml:space="preserve"> Although the EU originally depicted the Lomé Convention as a series of ‘free trade areas’ in accordance with Article XXIV of the GATT, there is little evidence (apart from a small proportion of E</w:t>
      </w:r>
      <w:r w:rsidR="00080D66">
        <w:rPr>
          <w:rFonts w:ascii="Times New Roman" w:eastAsia="Garamond" w:hAnsi="Times New Roman" w:cs="Times New Roman"/>
          <w:color w:val="222222"/>
          <w:sz w:val="24"/>
          <w:szCs w:val="24"/>
          <w:highlight w:val="white"/>
        </w:rPr>
        <w:t xml:space="preserve">uropean </w:t>
      </w:r>
      <w:r w:rsidRPr="009E6EF1">
        <w:rPr>
          <w:rFonts w:ascii="Times New Roman" w:eastAsia="Garamond" w:hAnsi="Times New Roman" w:cs="Times New Roman"/>
          <w:color w:val="222222"/>
          <w:sz w:val="24"/>
          <w:szCs w:val="24"/>
          <w:highlight w:val="white"/>
        </w:rPr>
        <w:t>D</w:t>
      </w:r>
      <w:r w:rsidR="00080D66">
        <w:rPr>
          <w:rFonts w:ascii="Times New Roman" w:eastAsia="Garamond" w:hAnsi="Times New Roman" w:cs="Times New Roman"/>
          <w:color w:val="222222"/>
          <w:sz w:val="24"/>
          <w:szCs w:val="24"/>
          <w:highlight w:val="white"/>
        </w:rPr>
        <w:t xml:space="preserve">evelopment </w:t>
      </w:r>
      <w:r w:rsidRPr="009E6EF1">
        <w:rPr>
          <w:rFonts w:ascii="Times New Roman" w:eastAsia="Garamond" w:hAnsi="Times New Roman" w:cs="Times New Roman"/>
          <w:color w:val="222222"/>
          <w:sz w:val="24"/>
          <w:szCs w:val="24"/>
          <w:highlight w:val="white"/>
        </w:rPr>
        <w:t>F</w:t>
      </w:r>
      <w:r w:rsidR="00080D66">
        <w:rPr>
          <w:rFonts w:ascii="Times New Roman" w:eastAsia="Garamond" w:hAnsi="Times New Roman" w:cs="Times New Roman"/>
          <w:color w:val="222222"/>
          <w:sz w:val="24"/>
          <w:szCs w:val="24"/>
          <w:highlight w:val="white"/>
        </w:rPr>
        <w:t>und (EDF)</w:t>
      </w:r>
      <w:r w:rsidRPr="009E6EF1">
        <w:rPr>
          <w:rFonts w:ascii="Times New Roman" w:eastAsia="Garamond" w:hAnsi="Times New Roman" w:cs="Times New Roman"/>
          <w:color w:val="222222"/>
          <w:sz w:val="24"/>
          <w:szCs w:val="24"/>
          <w:highlight w:val="white"/>
        </w:rPr>
        <w:t xml:space="preserve"> aid allocated to regional projects) that the promotion of regional integration was given much priority - certainly in comparison with the status it was accorded under the Cotonou Agreement and the EPAs. This is not to suggest that regionalism itself did not flourish under Lomé; indeed, it was during the ‘second wave’</w:t>
      </w:r>
      <w:r w:rsidR="00421BD6">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of regionalism in the late 1960s and 1970s that many of the blocs that would eventually form the basis of the EPAs were first conceived.</w:t>
      </w:r>
      <w:r w:rsidR="004F5D05">
        <w:rPr>
          <w:rStyle w:val="EndnoteReference"/>
          <w:rFonts w:ascii="Times New Roman" w:eastAsia="Garamond" w:hAnsi="Times New Roman" w:cs="Times New Roman"/>
          <w:color w:val="222222"/>
          <w:sz w:val="24"/>
          <w:szCs w:val="24"/>
          <w:highlight w:val="white"/>
        </w:rPr>
        <w:endnoteReference w:id="12"/>
      </w:r>
      <w:r w:rsidRPr="009E6EF1">
        <w:rPr>
          <w:rFonts w:ascii="Times New Roman" w:eastAsia="Garamond" w:hAnsi="Times New Roman" w:cs="Times New Roman"/>
          <w:color w:val="222222"/>
          <w:sz w:val="24"/>
          <w:szCs w:val="24"/>
          <w:highlight w:val="white"/>
        </w:rPr>
        <w:t xml:space="preserve"> However, the prevailing orthodoxy of ‘ideological neutrality’ held by EU policy makers at this point in time meant that the promotion of regional integration was, like other things, largely a matter for the ACP to decide upon.</w:t>
      </w:r>
    </w:p>
    <w:p w14:paraId="490EACE1" w14:textId="77777777" w:rsidR="00E36302" w:rsidRPr="009E6EF1" w:rsidRDefault="00E36302">
      <w:pPr>
        <w:spacing w:line="360" w:lineRule="auto"/>
        <w:jc w:val="both"/>
        <w:rPr>
          <w:rFonts w:ascii="Times New Roman" w:hAnsi="Times New Roman" w:cs="Times New Roman"/>
          <w:sz w:val="24"/>
          <w:szCs w:val="24"/>
        </w:rPr>
      </w:pPr>
    </w:p>
    <w:p w14:paraId="530B21F5" w14:textId="57E04A67" w:rsidR="00E36302" w:rsidRPr="002208A8" w:rsidRDefault="009E6EF1">
      <w:pPr>
        <w:spacing w:line="360" w:lineRule="auto"/>
        <w:jc w:val="both"/>
        <w:rPr>
          <w:rFonts w:ascii="Times New Roman" w:eastAsia="Garamond" w:hAnsi="Times New Roman" w:cs="Times New Roman"/>
          <w:color w:val="222222"/>
          <w:sz w:val="24"/>
          <w:szCs w:val="24"/>
          <w:highlight w:val="white"/>
        </w:rPr>
      </w:pPr>
      <w:r w:rsidRPr="009E6EF1">
        <w:rPr>
          <w:rFonts w:ascii="Times New Roman" w:eastAsia="Garamond" w:hAnsi="Times New Roman" w:cs="Times New Roman"/>
          <w:color w:val="222222"/>
          <w:sz w:val="24"/>
          <w:szCs w:val="24"/>
          <w:highlight w:val="white"/>
        </w:rPr>
        <w:t>Most of the regional project</w:t>
      </w:r>
      <w:r w:rsidR="004852BC">
        <w:rPr>
          <w:rFonts w:ascii="Times New Roman" w:eastAsia="Garamond" w:hAnsi="Times New Roman" w:cs="Times New Roman"/>
          <w:color w:val="222222"/>
          <w:sz w:val="24"/>
          <w:szCs w:val="24"/>
          <w:highlight w:val="white"/>
        </w:rPr>
        <w:t>s around which the</w:t>
      </w:r>
      <w:r w:rsidRPr="009E6EF1">
        <w:rPr>
          <w:rFonts w:ascii="Times New Roman" w:eastAsia="Garamond" w:hAnsi="Times New Roman" w:cs="Times New Roman"/>
          <w:color w:val="222222"/>
          <w:sz w:val="24"/>
          <w:szCs w:val="24"/>
          <w:highlight w:val="white"/>
        </w:rPr>
        <w:t xml:space="preserve"> EPAs are based have their origins in the state-led and inward-looking region</w:t>
      </w:r>
      <w:r w:rsidR="001630E6">
        <w:rPr>
          <w:rFonts w:ascii="Times New Roman" w:eastAsia="Garamond" w:hAnsi="Times New Roman" w:cs="Times New Roman"/>
          <w:color w:val="222222"/>
          <w:sz w:val="24"/>
          <w:szCs w:val="24"/>
          <w:highlight w:val="white"/>
        </w:rPr>
        <w:t>al projects founded during this</w:t>
      </w:r>
      <w:r w:rsidRPr="009E6EF1">
        <w:rPr>
          <w:rFonts w:ascii="Times New Roman" w:eastAsia="Garamond" w:hAnsi="Times New Roman" w:cs="Times New Roman"/>
          <w:color w:val="222222"/>
          <w:sz w:val="24"/>
          <w:szCs w:val="24"/>
          <w:highlight w:val="white"/>
        </w:rPr>
        <w:t xml:space="preserve"> second wave of regionalism.</w:t>
      </w:r>
      <w:r w:rsidR="004F5D05">
        <w:rPr>
          <w:rStyle w:val="EndnoteReference"/>
          <w:rFonts w:ascii="Times New Roman" w:eastAsia="Garamond" w:hAnsi="Times New Roman" w:cs="Times New Roman"/>
          <w:color w:val="222222"/>
          <w:sz w:val="24"/>
          <w:szCs w:val="24"/>
          <w:highlight w:val="white"/>
        </w:rPr>
        <w:endnoteReference w:id="13"/>
      </w:r>
      <w:r w:rsidRPr="009E6EF1">
        <w:rPr>
          <w:rFonts w:ascii="Times New Roman" w:eastAsia="Garamond" w:hAnsi="Times New Roman" w:cs="Times New Roman"/>
          <w:color w:val="222222"/>
          <w:sz w:val="24"/>
          <w:szCs w:val="24"/>
          <w:highlight w:val="white"/>
        </w:rPr>
        <w:t xml:space="preserve"> While some regional initiatives targeted the integration of regional markets, others were focussed on political cooperation and solidarity while others promoted cooperation in a particular sector or issue.</w:t>
      </w:r>
      <w:r w:rsidR="00AB2ACF">
        <w:rPr>
          <w:rStyle w:val="EndnoteReference"/>
          <w:rFonts w:ascii="Times New Roman" w:eastAsia="Garamond" w:hAnsi="Times New Roman" w:cs="Times New Roman"/>
          <w:color w:val="222222"/>
          <w:sz w:val="24"/>
          <w:szCs w:val="24"/>
          <w:highlight w:val="white"/>
        </w:rPr>
        <w:endnoteReference w:id="14"/>
      </w:r>
      <w:r w:rsidRPr="009E6EF1">
        <w:rPr>
          <w:rFonts w:ascii="Times New Roman" w:eastAsia="Garamond" w:hAnsi="Times New Roman" w:cs="Times New Roman"/>
          <w:color w:val="222222"/>
          <w:sz w:val="24"/>
          <w:szCs w:val="24"/>
          <w:highlight w:val="white"/>
        </w:rPr>
        <w:t xml:space="preserve"> During the 1990s, many of these regional initiatives were </w:t>
      </w:r>
      <w:proofErr w:type="spellStart"/>
      <w:r w:rsidRPr="009E6EF1">
        <w:rPr>
          <w:rFonts w:ascii="Times New Roman" w:eastAsia="Garamond" w:hAnsi="Times New Roman" w:cs="Times New Roman"/>
          <w:color w:val="222222"/>
          <w:sz w:val="24"/>
          <w:szCs w:val="24"/>
          <w:highlight w:val="white"/>
        </w:rPr>
        <w:t>relaunched</w:t>
      </w:r>
      <w:proofErr w:type="spellEnd"/>
      <w:r w:rsidRPr="009E6EF1">
        <w:rPr>
          <w:rFonts w:ascii="Times New Roman" w:eastAsia="Garamond" w:hAnsi="Times New Roman" w:cs="Times New Roman"/>
          <w:color w:val="222222"/>
          <w:sz w:val="24"/>
          <w:szCs w:val="24"/>
          <w:highlight w:val="white"/>
        </w:rPr>
        <w:t xml:space="preserve"> with a new market integration agenda </w:t>
      </w:r>
      <w:r w:rsidR="001630E6">
        <w:rPr>
          <w:rFonts w:ascii="Times New Roman" w:eastAsia="Garamond" w:hAnsi="Times New Roman" w:cs="Times New Roman"/>
          <w:color w:val="222222"/>
          <w:sz w:val="24"/>
          <w:szCs w:val="24"/>
          <w:highlight w:val="white"/>
        </w:rPr>
        <w:t>leading</w:t>
      </w:r>
      <w:r w:rsidRPr="009E6EF1">
        <w:rPr>
          <w:rFonts w:ascii="Times New Roman" w:eastAsia="Garamond" w:hAnsi="Times New Roman" w:cs="Times New Roman"/>
          <w:color w:val="222222"/>
          <w:sz w:val="24"/>
          <w:szCs w:val="24"/>
          <w:highlight w:val="white"/>
        </w:rPr>
        <w:t xml:space="preserve"> </w:t>
      </w:r>
      <w:r w:rsidR="001630E6">
        <w:rPr>
          <w:rFonts w:ascii="Times New Roman" w:eastAsia="Garamond" w:hAnsi="Times New Roman" w:cs="Times New Roman"/>
          <w:color w:val="222222"/>
          <w:sz w:val="24"/>
          <w:szCs w:val="24"/>
          <w:highlight w:val="white"/>
        </w:rPr>
        <w:t>to</w:t>
      </w:r>
      <w:r w:rsidRPr="009E6EF1">
        <w:rPr>
          <w:rFonts w:ascii="Times New Roman" w:eastAsia="Garamond" w:hAnsi="Times New Roman" w:cs="Times New Roman"/>
          <w:color w:val="222222"/>
          <w:sz w:val="24"/>
          <w:szCs w:val="24"/>
          <w:highlight w:val="white"/>
        </w:rPr>
        <w:t xml:space="preserve"> </w:t>
      </w:r>
      <w:r w:rsidR="001630E6">
        <w:rPr>
          <w:rFonts w:ascii="Times New Roman" w:eastAsia="Garamond" w:hAnsi="Times New Roman" w:cs="Times New Roman"/>
          <w:color w:val="222222"/>
          <w:sz w:val="24"/>
          <w:szCs w:val="24"/>
          <w:highlight w:val="white"/>
        </w:rPr>
        <w:t xml:space="preserve">the creation of free trade agreements with (in some cases) the </w:t>
      </w:r>
      <w:r w:rsidRPr="009E6EF1">
        <w:rPr>
          <w:rFonts w:ascii="Times New Roman" w:eastAsia="Garamond" w:hAnsi="Times New Roman" w:cs="Times New Roman"/>
          <w:color w:val="222222"/>
          <w:sz w:val="24"/>
          <w:szCs w:val="24"/>
          <w:highlight w:val="white"/>
        </w:rPr>
        <w:t>ultimate aim of forming customs and even monetary unions. This model explicitly followed the E</w:t>
      </w:r>
      <w:r w:rsidR="001630E6">
        <w:rPr>
          <w:rFonts w:ascii="Times New Roman" w:eastAsia="Garamond" w:hAnsi="Times New Roman" w:cs="Times New Roman"/>
          <w:color w:val="222222"/>
          <w:sz w:val="24"/>
          <w:szCs w:val="24"/>
          <w:highlight w:val="white"/>
        </w:rPr>
        <w:t>U</w:t>
      </w:r>
      <w:r w:rsidRPr="009E6EF1">
        <w:rPr>
          <w:rFonts w:ascii="Times New Roman" w:eastAsia="Garamond" w:hAnsi="Times New Roman" w:cs="Times New Roman"/>
          <w:color w:val="222222"/>
          <w:sz w:val="24"/>
          <w:szCs w:val="24"/>
          <w:highlight w:val="white"/>
        </w:rPr>
        <w:t xml:space="preserve"> </w:t>
      </w:r>
      <w:r w:rsidR="00745153">
        <w:rPr>
          <w:rFonts w:ascii="Times New Roman" w:eastAsia="Garamond" w:hAnsi="Times New Roman" w:cs="Times New Roman"/>
          <w:color w:val="222222"/>
          <w:sz w:val="24"/>
          <w:szCs w:val="24"/>
          <w:highlight w:val="white"/>
        </w:rPr>
        <w:t>example</w:t>
      </w:r>
      <w:r w:rsidRPr="009E6EF1">
        <w:rPr>
          <w:rFonts w:ascii="Times New Roman" w:eastAsia="Garamond" w:hAnsi="Times New Roman" w:cs="Times New Roman"/>
          <w:color w:val="222222"/>
          <w:sz w:val="24"/>
          <w:szCs w:val="24"/>
          <w:highlight w:val="white"/>
        </w:rPr>
        <w:t>, albeit based on an understanding that was somewhat abstracted from the actual historical experience of European integration. What is striking about this conversion to market integration in the ACP  - Africa especially - is the fact that regions made commitments to the formation of customs unions while continuing to allow overlapping memberships with other regions with similar market integration aims. This is problematic since, by definition, customs unions should have a common external tariff</w:t>
      </w:r>
      <w:r w:rsidR="001C2BFB">
        <w:rPr>
          <w:rFonts w:ascii="Times New Roman" w:eastAsia="Garamond" w:hAnsi="Times New Roman" w:cs="Times New Roman"/>
          <w:color w:val="222222"/>
          <w:sz w:val="24"/>
          <w:szCs w:val="24"/>
          <w:highlight w:val="white"/>
        </w:rPr>
        <w:t xml:space="preserve"> (CET)</w:t>
      </w:r>
      <w:r w:rsidRPr="009E6EF1">
        <w:rPr>
          <w:rFonts w:ascii="Times New Roman" w:eastAsia="Garamond" w:hAnsi="Times New Roman" w:cs="Times New Roman"/>
          <w:color w:val="222222"/>
          <w:sz w:val="24"/>
          <w:szCs w:val="24"/>
          <w:highlight w:val="white"/>
        </w:rPr>
        <w:t xml:space="preserve"> and therefore overlapping customs unions are a logical impossibility. Furthermore, despite public commitments to this market integration agenda, states proved unwilling to pool sovereignty while the implementation of economic liberalisation has been highly uneven.</w:t>
      </w:r>
    </w:p>
    <w:p w14:paraId="6D229542" w14:textId="77777777" w:rsidR="00E36302" w:rsidRPr="009E6EF1" w:rsidRDefault="00E36302">
      <w:pPr>
        <w:spacing w:line="360" w:lineRule="auto"/>
        <w:jc w:val="both"/>
        <w:rPr>
          <w:rFonts w:ascii="Times New Roman" w:hAnsi="Times New Roman" w:cs="Times New Roman"/>
          <w:sz w:val="24"/>
          <w:szCs w:val="24"/>
        </w:rPr>
      </w:pPr>
    </w:p>
    <w:p w14:paraId="62C4FC56" w14:textId="362D7213" w:rsidR="00E36302" w:rsidRPr="00791659" w:rsidRDefault="00557FD9">
      <w:pPr>
        <w:spacing w:line="360" w:lineRule="auto"/>
        <w:jc w:val="both"/>
        <w:rPr>
          <w:rFonts w:ascii="Times New Roman" w:eastAsia="Garamond" w:hAnsi="Times New Roman" w:cs="Times New Roman"/>
          <w:color w:val="222222"/>
          <w:sz w:val="24"/>
          <w:szCs w:val="24"/>
          <w:highlight w:val="white"/>
        </w:rPr>
      </w:pPr>
      <w:r>
        <w:rPr>
          <w:rFonts w:ascii="Times New Roman" w:eastAsia="Garamond" w:hAnsi="Times New Roman" w:cs="Times New Roman"/>
          <w:color w:val="222222"/>
          <w:sz w:val="24"/>
          <w:szCs w:val="24"/>
          <w:highlight w:val="white"/>
        </w:rPr>
        <w:t>During the EPA negotiations, the</w:t>
      </w:r>
      <w:r w:rsidR="009E6EF1" w:rsidRPr="009E6EF1">
        <w:rPr>
          <w:rFonts w:ascii="Times New Roman" w:eastAsia="Garamond" w:hAnsi="Times New Roman" w:cs="Times New Roman"/>
          <w:color w:val="222222"/>
          <w:sz w:val="24"/>
          <w:szCs w:val="24"/>
          <w:highlight w:val="white"/>
        </w:rPr>
        <w:t xml:space="preserve"> disconnect</w:t>
      </w:r>
      <w:r>
        <w:rPr>
          <w:rFonts w:ascii="Times New Roman" w:eastAsia="Garamond" w:hAnsi="Times New Roman" w:cs="Times New Roman"/>
          <w:color w:val="222222"/>
          <w:sz w:val="24"/>
          <w:szCs w:val="24"/>
          <w:highlight w:val="white"/>
        </w:rPr>
        <w:t>ion</w:t>
      </w:r>
      <w:r w:rsidR="009E6EF1" w:rsidRPr="009E6EF1">
        <w:rPr>
          <w:rFonts w:ascii="Times New Roman" w:eastAsia="Garamond" w:hAnsi="Times New Roman" w:cs="Times New Roman"/>
          <w:color w:val="222222"/>
          <w:sz w:val="24"/>
          <w:szCs w:val="24"/>
          <w:highlight w:val="white"/>
        </w:rPr>
        <w:t xml:space="preserve"> between the EU’s model of market integration and the (more or less independent) internal drivers of regional politics</w:t>
      </w:r>
      <w:r w:rsidR="00B660A9">
        <w:rPr>
          <w:rFonts w:ascii="Times New Roman" w:eastAsia="Garamond" w:hAnsi="Times New Roman" w:cs="Times New Roman"/>
          <w:color w:val="222222"/>
          <w:sz w:val="24"/>
          <w:szCs w:val="24"/>
          <w:highlight w:val="white"/>
        </w:rPr>
        <w:t xml:space="preserve"> in the</w:t>
      </w:r>
      <w:r w:rsidR="009E6EF1" w:rsidRPr="009E6EF1">
        <w:rPr>
          <w:rFonts w:ascii="Times New Roman" w:eastAsia="Garamond" w:hAnsi="Times New Roman" w:cs="Times New Roman"/>
          <w:color w:val="222222"/>
          <w:sz w:val="24"/>
          <w:szCs w:val="24"/>
          <w:highlight w:val="white"/>
        </w:rPr>
        <w:t xml:space="preserve"> ACP was soon </w:t>
      </w:r>
      <w:r w:rsidR="009E6EF1" w:rsidRPr="009E6EF1">
        <w:rPr>
          <w:rFonts w:ascii="Times New Roman" w:eastAsia="Garamond" w:hAnsi="Times New Roman" w:cs="Times New Roman"/>
          <w:color w:val="222222"/>
          <w:sz w:val="24"/>
          <w:szCs w:val="24"/>
          <w:highlight w:val="white"/>
        </w:rPr>
        <w:lastRenderedPageBreak/>
        <w:t xml:space="preserve">revealed. The EPA negotiations were scheduled to take place in two separate phases  - the first between the EU and the ACP group as a whole and the second between the EU and the </w:t>
      </w:r>
      <w:proofErr w:type="spellStart"/>
      <w:r w:rsidR="009E6EF1" w:rsidRPr="009E6EF1">
        <w:rPr>
          <w:rFonts w:ascii="Times New Roman" w:eastAsia="Garamond" w:hAnsi="Times New Roman" w:cs="Times New Roman"/>
          <w:color w:val="222222"/>
          <w:sz w:val="24"/>
          <w:szCs w:val="24"/>
          <w:highlight w:val="white"/>
        </w:rPr>
        <w:t>subregions</w:t>
      </w:r>
      <w:proofErr w:type="spellEnd"/>
      <w:r w:rsidR="009E6EF1" w:rsidRPr="009E6EF1">
        <w:rPr>
          <w:rFonts w:ascii="Times New Roman" w:eastAsia="Garamond" w:hAnsi="Times New Roman" w:cs="Times New Roman"/>
          <w:color w:val="222222"/>
          <w:sz w:val="24"/>
          <w:szCs w:val="24"/>
          <w:highlight w:val="white"/>
        </w:rPr>
        <w:t xml:space="preserve"> that would form the basis of the final agreements - but the first phase lasted little more than a year and achieved little of substance. The main reason for this is that the European Commission was anxious to proceed to the second phase of the negotiations, even though the precise configuration of the </w:t>
      </w:r>
      <w:proofErr w:type="spellStart"/>
      <w:r w:rsidR="009E6EF1" w:rsidRPr="009E6EF1">
        <w:rPr>
          <w:rFonts w:ascii="Times New Roman" w:eastAsia="Garamond" w:hAnsi="Times New Roman" w:cs="Times New Roman"/>
          <w:color w:val="222222"/>
          <w:sz w:val="24"/>
          <w:szCs w:val="24"/>
          <w:highlight w:val="white"/>
        </w:rPr>
        <w:t>subregions</w:t>
      </w:r>
      <w:proofErr w:type="spellEnd"/>
      <w:r w:rsidR="009E6EF1" w:rsidRPr="009E6EF1">
        <w:rPr>
          <w:rFonts w:ascii="Times New Roman" w:eastAsia="Garamond" w:hAnsi="Times New Roman" w:cs="Times New Roman"/>
          <w:color w:val="222222"/>
          <w:sz w:val="24"/>
          <w:szCs w:val="24"/>
          <w:highlight w:val="white"/>
        </w:rPr>
        <w:t xml:space="preserve"> was still to be determined. Although the Cotonou Agreement stipulated that this would be a matter for the ACP, the evidence suggests that by this point the EU already had a firm idea of the final configurations it had in mind. In 2001, for example, the European Commission released a communication stating that the configurations were ‘not entirely at the discretion of the ACP’.</w:t>
      </w:r>
      <w:r w:rsidR="00AB2ACF">
        <w:rPr>
          <w:rStyle w:val="EndnoteReference"/>
          <w:rFonts w:ascii="Times New Roman" w:eastAsia="Garamond" w:hAnsi="Times New Roman" w:cs="Times New Roman"/>
          <w:color w:val="222222"/>
          <w:sz w:val="24"/>
          <w:szCs w:val="24"/>
          <w:highlight w:val="white"/>
        </w:rPr>
        <w:endnoteReference w:id="15"/>
      </w:r>
      <w:r w:rsidR="009E6EF1" w:rsidRPr="009E6EF1">
        <w:rPr>
          <w:rFonts w:ascii="Times New Roman" w:eastAsia="Garamond" w:hAnsi="Times New Roman" w:cs="Times New Roman"/>
          <w:color w:val="222222"/>
          <w:sz w:val="24"/>
          <w:szCs w:val="24"/>
          <w:highlight w:val="white"/>
        </w:rPr>
        <w:t xml:space="preserve"> In setting out the criteria by which groups would qualify to take part in the negotiations, the document went on to declare, among other things, that each region must be ‘effectively engaged in an economic integration process’, that negotiations must take place in a single setting, lead to a single agreement and that participating countries would be prohibited from belonging to more than one </w:t>
      </w:r>
      <w:proofErr w:type="spellStart"/>
      <w:r w:rsidR="009E6EF1" w:rsidRPr="009E6EF1">
        <w:rPr>
          <w:rFonts w:ascii="Times New Roman" w:eastAsia="Garamond" w:hAnsi="Times New Roman" w:cs="Times New Roman"/>
          <w:color w:val="222222"/>
          <w:sz w:val="24"/>
          <w:szCs w:val="24"/>
          <w:highlight w:val="white"/>
        </w:rPr>
        <w:t>subregion</w:t>
      </w:r>
      <w:proofErr w:type="spellEnd"/>
      <w:r w:rsidR="009E6EF1" w:rsidRPr="009E6EF1">
        <w:rPr>
          <w:rFonts w:ascii="Times New Roman" w:eastAsia="Garamond" w:hAnsi="Times New Roman" w:cs="Times New Roman"/>
          <w:color w:val="222222"/>
          <w:sz w:val="24"/>
          <w:szCs w:val="24"/>
          <w:highlight w:val="white"/>
        </w:rPr>
        <w:t>.</w:t>
      </w:r>
      <w:r w:rsidR="00AB2ACF">
        <w:rPr>
          <w:rStyle w:val="EndnoteReference"/>
          <w:rFonts w:ascii="Times New Roman" w:eastAsia="Garamond" w:hAnsi="Times New Roman" w:cs="Times New Roman"/>
          <w:color w:val="222222"/>
          <w:sz w:val="24"/>
          <w:szCs w:val="24"/>
          <w:highlight w:val="white"/>
        </w:rPr>
        <w:endnoteReference w:id="16"/>
      </w:r>
      <w:r w:rsidR="00C65792">
        <w:rPr>
          <w:rFonts w:ascii="Times New Roman" w:eastAsia="Garamond" w:hAnsi="Times New Roman" w:cs="Times New Roman"/>
          <w:color w:val="222222"/>
          <w:sz w:val="24"/>
          <w:szCs w:val="24"/>
          <w:highlight w:val="white"/>
        </w:rPr>
        <w:t xml:space="preserve"> </w:t>
      </w:r>
      <w:r w:rsidR="00C65792" w:rsidRPr="00C65792">
        <w:rPr>
          <w:rFonts w:ascii="Times New Roman" w:eastAsia="Times New Roman" w:hAnsi="Times New Roman" w:cs="Times New Roman"/>
          <w:sz w:val="24"/>
          <w:szCs w:val="24"/>
        </w:rPr>
        <w:t>Further, the Commission considered existing customs unions – with an esta</w:t>
      </w:r>
      <w:r w:rsidR="001C2BFB">
        <w:rPr>
          <w:rFonts w:ascii="Times New Roman" w:eastAsia="Times New Roman" w:hAnsi="Times New Roman" w:cs="Times New Roman"/>
          <w:sz w:val="24"/>
          <w:szCs w:val="24"/>
        </w:rPr>
        <w:t>blished CET</w:t>
      </w:r>
      <w:r w:rsidR="00C65792" w:rsidRPr="00C65792">
        <w:rPr>
          <w:rFonts w:ascii="Times New Roman" w:eastAsia="Times New Roman" w:hAnsi="Times New Roman" w:cs="Times New Roman"/>
          <w:sz w:val="24"/>
          <w:szCs w:val="24"/>
        </w:rPr>
        <w:t xml:space="preserve"> – the most pr</w:t>
      </w:r>
      <w:r w:rsidR="00C65792">
        <w:rPr>
          <w:rFonts w:ascii="Times New Roman" w:eastAsia="Times New Roman" w:hAnsi="Times New Roman" w:cs="Times New Roman"/>
          <w:sz w:val="24"/>
          <w:szCs w:val="24"/>
        </w:rPr>
        <w:t>eferable basis for an EPA group</w:t>
      </w:r>
      <w:r w:rsidR="00C65792" w:rsidRPr="00C65792">
        <w:rPr>
          <w:rFonts w:ascii="Times New Roman" w:eastAsia="Times New Roman" w:hAnsi="Times New Roman" w:cs="Times New Roman"/>
          <w:sz w:val="24"/>
          <w:szCs w:val="24"/>
        </w:rPr>
        <w:t>.</w:t>
      </w:r>
      <w:r w:rsidR="00AB2ACF">
        <w:rPr>
          <w:rStyle w:val="EndnoteReference"/>
          <w:rFonts w:ascii="Times New Roman" w:eastAsia="Times New Roman" w:hAnsi="Times New Roman" w:cs="Times New Roman"/>
          <w:sz w:val="24"/>
          <w:szCs w:val="24"/>
        </w:rPr>
        <w:endnoteReference w:id="17"/>
      </w:r>
    </w:p>
    <w:p w14:paraId="3A1156B8" w14:textId="77777777" w:rsidR="00E36302" w:rsidRPr="009E6EF1" w:rsidRDefault="00E36302">
      <w:pPr>
        <w:spacing w:line="360" w:lineRule="auto"/>
        <w:jc w:val="both"/>
        <w:rPr>
          <w:rFonts w:ascii="Times New Roman" w:hAnsi="Times New Roman" w:cs="Times New Roman"/>
          <w:sz w:val="24"/>
          <w:szCs w:val="24"/>
        </w:rPr>
      </w:pPr>
    </w:p>
    <w:p w14:paraId="4638A4C3" w14:textId="2009888A" w:rsidR="00E36302" w:rsidRPr="009E6EF1" w:rsidRDefault="009E6EF1">
      <w:pPr>
        <w:spacing w:after="200" w:line="360" w:lineRule="auto"/>
        <w:jc w:val="both"/>
        <w:rPr>
          <w:rFonts w:ascii="Times New Roman" w:hAnsi="Times New Roman" w:cs="Times New Roman"/>
          <w:sz w:val="24"/>
          <w:szCs w:val="24"/>
        </w:rPr>
      </w:pPr>
      <w:r w:rsidRPr="009E6EF1">
        <w:rPr>
          <w:rFonts w:ascii="Times New Roman" w:eastAsia="Garamond" w:hAnsi="Times New Roman" w:cs="Times New Roman"/>
          <w:color w:val="222222"/>
          <w:sz w:val="24"/>
          <w:szCs w:val="24"/>
          <w:highlight w:val="white"/>
        </w:rPr>
        <w:t>Although the</w:t>
      </w:r>
      <w:r w:rsidR="006A2CF6">
        <w:rPr>
          <w:rFonts w:ascii="Times New Roman" w:eastAsia="Garamond" w:hAnsi="Times New Roman" w:cs="Times New Roman"/>
          <w:color w:val="222222"/>
          <w:sz w:val="24"/>
          <w:szCs w:val="24"/>
          <w:highlight w:val="white"/>
        </w:rPr>
        <w:t xml:space="preserve"> configuration of the</w:t>
      </w:r>
      <w:r w:rsidRPr="009E6EF1">
        <w:rPr>
          <w:rFonts w:ascii="Times New Roman" w:eastAsia="Garamond" w:hAnsi="Times New Roman" w:cs="Times New Roman"/>
          <w:color w:val="222222"/>
          <w:sz w:val="24"/>
          <w:szCs w:val="24"/>
          <w:highlight w:val="white"/>
        </w:rPr>
        <w:t xml:space="preserve"> Caribbean and Pacific </w:t>
      </w:r>
      <w:r w:rsidR="006A2CF6">
        <w:rPr>
          <w:rFonts w:ascii="Times New Roman" w:eastAsia="Garamond" w:hAnsi="Times New Roman" w:cs="Times New Roman"/>
          <w:color w:val="222222"/>
          <w:sz w:val="24"/>
          <w:szCs w:val="24"/>
          <w:highlight w:val="white"/>
        </w:rPr>
        <w:t>regions was relatively straightforward</w:t>
      </w:r>
      <w:r w:rsidRPr="009E6EF1">
        <w:rPr>
          <w:rFonts w:ascii="Times New Roman" w:eastAsia="Garamond" w:hAnsi="Times New Roman" w:cs="Times New Roman"/>
          <w:color w:val="222222"/>
          <w:sz w:val="24"/>
          <w:szCs w:val="24"/>
          <w:highlight w:val="white"/>
        </w:rPr>
        <w:t xml:space="preserve"> given their geographical separation from the rest of the ACP (which is not to say that these cases were unproblematic), the situation was more complicated in Africa, because of the plethora of overlapping regional organizations with conflicting mandates. There were five regional economic communities in Africa that contained mostly ACP countries and had economic integration as a central aim and that were therefore potential bases for an EPA negotiating group. These groups were: </w:t>
      </w:r>
      <w:r w:rsidR="006A2CF6">
        <w:rPr>
          <w:rFonts w:ascii="Times New Roman" w:eastAsia="Garamond" w:hAnsi="Times New Roman" w:cs="Times New Roman"/>
          <w:color w:val="222222"/>
          <w:sz w:val="24"/>
          <w:szCs w:val="24"/>
          <w:highlight w:val="white"/>
        </w:rPr>
        <w:t>The Common Market for Eastern and Southern Africa (</w:t>
      </w:r>
      <w:r w:rsidRPr="009E6EF1">
        <w:rPr>
          <w:rFonts w:ascii="Times New Roman" w:eastAsia="Garamond" w:hAnsi="Times New Roman" w:cs="Times New Roman"/>
          <w:color w:val="222222"/>
          <w:sz w:val="24"/>
          <w:szCs w:val="24"/>
          <w:highlight w:val="white"/>
        </w:rPr>
        <w:t>COMESA</w:t>
      </w:r>
      <w:r w:rsidR="006A2CF6">
        <w:rPr>
          <w:rFonts w:ascii="Times New Roman" w:eastAsia="Garamond" w:hAnsi="Times New Roman" w:cs="Times New Roman"/>
          <w:color w:val="222222"/>
          <w:sz w:val="24"/>
          <w:szCs w:val="24"/>
          <w:highlight w:val="white"/>
        </w:rPr>
        <w:t>)</w:t>
      </w:r>
      <w:r w:rsidRPr="009E6EF1">
        <w:rPr>
          <w:rFonts w:ascii="Times New Roman" w:eastAsia="Garamond" w:hAnsi="Times New Roman" w:cs="Times New Roman"/>
          <w:color w:val="222222"/>
          <w:sz w:val="24"/>
          <w:szCs w:val="24"/>
          <w:highlight w:val="white"/>
        </w:rPr>
        <w:t>,</w:t>
      </w:r>
      <w:r w:rsidR="006A2CF6">
        <w:rPr>
          <w:rFonts w:ascii="Times New Roman" w:eastAsia="Garamond" w:hAnsi="Times New Roman" w:cs="Times New Roman"/>
          <w:color w:val="222222"/>
          <w:sz w:val="24"/>
          <w:szCs w:val="24"/>
          <w:highlight w:val="white"/>
        </w:rPr>
        <w:t xml:space="preserve"> The Southern African Development Community</w:t>
      </w:r>
      <w:r w:rsidRPr="009E6EF1">
        <w:rPr>
          <w:rFonts w:ascii="Times New Roman" w:eastAsia="Garamond" w:hAnsi="Times New Roman" w:cs="Times New Roman"/>
          <w:color w:val="222222"/>
          <w:sz w:val="24"/>
          <w:szCs w:val="24"/>
          <w:highlight w:val="white"/>
        </w:rPr>
        <w:t xml:space="preserve"> </w:t>
      </w:r>
      <w:r w:rsidR="006A2CF6">
        <w:rPr>
          <w:rFonts w:ascii="Times New Roman" w:eastAsia="Garamond" w:hAnsi="Times New Roman" w:cs="Times New Roman"/>
          <w:color w:val="222222"/>
          <w:sz w:val="24"/>
          <w:szCs w:val="24"/>
          <w:highlight w:val="white"/>
        </w:rPr>
        <w:t>(</w:t>
      </w:r>
      <w:r w:rsidRPr="009E6EF1">
        <w:rPr>
          <w:rFonts w:ascii="Times New Roman" w:eastAsia="Garamond" w:hAnsi="Times New Roman" w:cs="Times New Roman"/>
          <w:color w:val="222222"/>
          <w:sz w:val="24"/>
          <w:szCs w:val="24"/>
          <w:highlight w:val="white"/>
        </w:rPr>
        <w:t>SADC</w:t>
      </w:r>
      <w:r w:rsidR="006A2CF6">
        <w:rPr>
          <w:rFonts w:ascii="Times New Roman" w:eastAsia="Garamond" w:hAnsi="Times New Roman" w:cs="Times New Roman"/>
          <w:color w:val="222222"/>
          <w:sz w:val="24"/>
          <w:szCs w:val="24"/>
          <w:highlight w:val="white"/>
        </w:rPr>
        <w:t>)</w:t>
      </w:r>
      <w:r w:rsidRPr="009E6EF1">
        <w:rPr>
          <w:rFonts w:ascii="Times New Roman" w:eastAsia="Garamond" w:hAnsi="Times New Roman" w:cs="Times New Roman"/>
          <w:color w:val="222222"/>
          <w:sz w:val="24"/>
          <w:szCs w:val="24"/>
          <w:highlight w:val="white"/>
        </w:rPr>
        <w:t>, The East African Community (EAC), The Economic Community of Central African States (ECCAS) and the Economic Community of West African States (ECOWAS).</w:t>
      </w:r>
      <w:r w:rsidR="005066B9">
        <w:rPr>
          <w:rStyle w:val="EndnoteReference"/>
          <w:rFonts w:ascii="Times New Roman" w:eastAsia="Garamond" w:hAnsi="Times New Roman" w:cs="Times New Roman"/>
          <w:color w:val="222222"/>
          <w:sz w:val="24"/>
          <w:szCs w:val="24"/>
          <w:highlight w:val="white"/>
        </w:rPr>
        <w:endnoteReference w:id="18"/>
      </w:r>
      <w:r w:rsidRPr="009E6EF1">
        <w:rPr>
          <w:rFonts w:ascii="Times New Roman" w:eastAsia="Garamond" w:hAnsi="Times New Roman" w:cs="Times New Roman"/>
          <w:color w:val="222222"/>
          <w:sz w:val="24"/>
          <w:szCs w:val="24"/>
          <w:highlight w:val="white"/>
        </w:rPr>
        <w:t xml:space="preserve"> While the eventual form of the negotiating regions was ostensibly a choice for the ACP countries, officials sought to persuade ACP countries to form configurations that were deemed viable in terms of their ability to negotiate and implement an EPA before the d</w:t>
      </w:r>
      <w:r w:rsidR="005066B9">
        <w:rPr>
          <w:rFonts w:ascii="Times New Roman" w:eastAsia="Garamond" w:hAnsi="Times New Roman" w:cs="Times New Roman"/>
          <w:color w:val="222222"/>
          <w:sz w:val="24"/>
          <w:szCs w:val="24"/>
          <w:highlight w:val="white"/>
        </w:rPr>
        <w:t>eadline at the end of 2007.</w:t>
      </w:r>
      <w:r w:rsidR="005066B9">
        <w:rPr>
          <w:rStyle w:val="EndnoteReference"/>
          <w:rFonts w:ascii="Times New Roman" w:eastAsia="Garamond" w:hAnsi="Times New Roman" w:cs="Times New Roman"/>
          <w:color w:val="222222"/>
          <w:sz w:val="24"/>
          <w:szCs w:val="24"/>
          <w:highlight w:val="white"/>
        </w:rPr>
        <w:endnoteReference w:id="19"/>
      </w:r>
      <w:r w:rsidRPr="009E6EF1">
        <w:rPr>
          <w:rFonts w:ascii="Times New Roman" w:eastAsia="Garamond" w:hAnsi="Times New Roman" w:cs="Times New Roman"/>
          <w:color w:val="222222"/>
          <w:sz w:val="24"/>
          <w:szCs w:val="24"/>
          <w:highlight w:val="white"/>
        </w:rPr>
        <w:t xml:space="preserve"> This created numerous problems. For one, in no case other than the EAC – whose EPA group membership originally straddled the East and </w:t>
      </w:r>
      <w:r w:rsidRPr="009E6EF1">
        <w:rPr>
          <w:rFonts w:ascii="Times New Roman" w:eastAsia="Garamond" w:hAnsi="Times New Roman" w:cs="Times New Roman"/>
          <w:color w:val="222222"/>
          <w:sz w:val="24"/>
          <w:szCs w:val="24"/>
          <w:highlight w:val="white"/>
        </w:rPr>
        <w:lastRenderedPageBreak/>
        <w:t xml:space="preserve">Southern and SADC-minus configurations before it broke away in 2007 to form a fifth African </w:t>
      </w:r>
      <w:proofErr w:type="spellStart"/>
      <w:r w:rsidRPr="009E6EF1">
        <w:rPr>
          <w:rFonts w:ascii="Times New Roman" w:eastAsia="Garamond" w:hAnsi="Times New Roman" w:cs="Times New Roman"/>
          <w:color w:val="222222"/>
          <w:sz w:val="24"/>
          <w:szCs w:val="24"/>
          <w:highlight w:val="white"/>
        </w:rPr>
        <w:t>subregion</w:t>
      </w:r>
      <w:proofErr w:type="spellEnd"/>
      <w:r w:rsidRPr="009E6EF1">
        <w:rPr>
          <w:rFonts w:ascii="Times New Roman" w:eastAsia="Garamond" w:hAnsi="Times New Roman" w:cs="Times New Roman"/>
          <w:color w:val="222222"/>
          <w:sz w:val="24"/>
          <w:szCs w:val="24"/>
          <w:highlight w:val="white"/>
        </w:rPr>
        <w:t xml:space="preserve"> - did the EPA configuration match the contours of an existing regional project. In some cases (e.g. Mauritania), ACP countries were not part of any eligible existing regional integration process and were therefore made to fit into the nearest regional negotiating configuration without being a part of the underlying regional institution. In other cases, existing regional groups contained non-ACP countries that were excluded from the EPA negotiations. These included Egypt</w:t>
      </w:r>
      <w:r w:rsidR="006A2CF6">
        <w:rPr>
          <w:rFonts w:ascii="Times New Roman" w:eastAsia="Garamond" w:hAnsi="Times New Roman" w:cs="Times New Roman"/>
          <w:color w:val="222222"/>
          <w:sz w:val="24"/>
          <w:szCs w:val="24"/>
          <w:highlight w:val="white"/>
        </w:rPr>
        <w:t xml:space="preserve"> and Libya, which are</w:t>
      </w:r>
      <w:r w:rsidRPr="009E6EF1">
        <w:rPr>
          <w:rFonts w:ascii="Times New Roman" w:eastAsia="Garamond" w:hAnsi="Times New Roman" w:cs="Times New Roman"/>
          <w:color w:val="222222"/>
          <w:sz w:val="24"/>
          <w:szCs w:val="24"/>
          <w:highlight w:val="white"/>
        </w:rPr>
        <w:t xml:space="preserve"> member</w:t>
      </w:r>
      <w:r w:rsidR="006A2CF6">
        <w:rPr>
          <w:rFonts w:ascii="Times New Roman" w:eastAsia="Garamond" w:hAnsi="Times New Roman" w:cs="Times New Roman"/>
          <w:color w:val="222222"/>
          <w:sz w:val="24"/>
          <w:szCs w:val="24"/>
          <w:highlight w:val="white"/>
        </w:rPr>
        <w:t>s</w:t>
      </w:r>
      <w:r w:rsidRPr="009E6EF1">
        <w:rPr>
          <w:rFonts w:ascii="Times New Roman" w:eastAsia="Garamond" w:hAnsi="Times New Roman" w:cs="Times New Roman"/>
          <w:color w:val="222222"/>
          <w:sz w:val="24"/>
          <w:szCs w:val="24"/>
          <w:highlight w:val="white"/>
        </w:rPr>
        <w:t xml:space="preserve"> of COMESA, and South Africa, which was only allowed to join the SADC EPA group at a late stage in the negotiations. In Eastern and Southern Africa</w:t>
      </w:r>
      <w:r w:rsidR="00080D66">
        <w:rPr>
          <w:rFonts w:ascii="Times New Roman" w:eastAsia="Garamond" w:hAnsi="Times New Roman" w:cs="Times New Roman"/>
          <w:color w:val="222222"/>
          <w:sz w:val="24"/>
          <w:szCs w:val="24"/>
          <w:highlight w:val="white"/>
        </w:rPr>
        <w:t>,</w:t>
      </w:r>
      <w:r w:rsidRPr="009E6EF1">
        <w:rPr>
          <w:rFonts w:ascii="Times New Roman" w:eastAsia="Garamond" w:hAnsi="Times New Roman" w:cs="Times New Roman"/>
          <w:color w:val="222222"/>
          <w:sz w:val="24"/>
          <w:szCs w:val="24"/>
          <w:highlight w:val="white"/>
        </w:rPr>
        <w:t xml:space="preserve"> existing regions were split into as many as three (and la</w:t>
      </w:r>
      <w:r w:rsidR="005066B9">
        <w:rPr>
          <w:rFonts w:ascii="Times New Roman" w:eastAsia="Garamond" w:hAnsi="Times New Roman" w:cs="Times New Roman"/>
          <w:color w:val="222222"/>
          <w:sz w:val="24"/>
          <w:szCs w:val="24"/>
          <w:highlight w:val="white"/>
        </w:rPr>
        <w:t>ter four) negotiating groups.</w:t>
      </w:r>
      <w:r w:rsidR="005066B9">
        <w:rPr>
          <w:rStyle w:val="EndnoteReference"/>
          <w:rFonts w:ascii="Times New Roman" w:eastAsia="Garamond" w:hAnsi="Times New Roman" w:cs="Times New Roman"/>
          <w:color w:val="222222"/>
          <w:sz w:val="24"/>
          <w:szCs w:val="24"/>
          <w:highlight w:val="white"/>
        </w:rPr>
        <w:endnoteReference w:id="20"/>
      </w:r>
      <w:r w:rsidRPr="009E6EF1">
        <w:rPr>
          <w:rFonts w:ascii="Times New Roman" w:eastAsia="Garamond" w:hAnsi="Times New Roman" w:cs="Times New Roman"/>
          <w:color w:val="222222"/>
          <w:sz w:val="24"/>
          <w:szCs w:val="24"/>
          <w:highlight w:val="white"/>
        </w:rPr>
        <w:t xml:space="preserve"> The reality of the configurations, then, was far from the ideal set out by the EU that the EPA groups should all constitute regions ‘effectively engaged’ in economic integration.</w:t>
      </w:r>
      <w:r w:rsidR="00AB2ACF">
        <w:rPr>
          <w:rStyle w:val="EndnoteReference"/>
          <w:rFonts w:ascii="Times New Roman" w:eastAsia="Garamond" w:hAnsi="Times New Roman" w:cs="Times New Roman"/>
          <w:color w:val="222222"/>
          <w:sz w:val="24"/>
          <w:szCs w:val="24"/>
          <w:highlight w:val="white"/>
        </w:rPr>
        <w:endnoteReference w:id="21"/>
      </w:r>
    </w:p>
    <w:p w14:paraId="087E0D4F" w14:textId="77777777" w:rsidR="00557FD9" w:rsidRDefault="00557FD9">
      <w:pPr>
        <w:spacing w:after="200" w:line="360" w:lineRule="auto"/>
        <w:jc w:val="both"/>
        <w:rPr>
          <w:rFonts w:ascii="Times New Roman" w:eastAsia="Garamond" w:hAnsi="Times New Roman" w:cs="Times New Roman"/>
          <w:b/>
          <w:color w:val="222222"/>
          <w:sz w:val="24"/>
          <w:szCs w:val="24"/>
          <w:highlight w:val="white"/>
        </w:rPr>
      </w:pPr>
    </w:p>
    <w:p w14:paraId="0615B777" w14:textId="77777777" w:rsidR="00E36302" w:rsidRPr="009E6EF1" w:rsidRDefault="009E6EF1">
      <w:pPr>
        <w:spacing w:after="200" w:line="360" w:lineRule="auto"/>
        <w:jc w:val="both"/>
        <w:rPr>
          <w:rFonts w:ascii="Times New Roman" w:hAnsi="Times New Roman" w:cs="Times New Roman"/>
          <w:sz w:val="24"/>
          <w:szCs w:val="24"/>
        </w:rPr>
      </w:pPr>
      <w:r w:rsidRPr="009E6EF1">
        <w:rPr>
          <w:rFonts w:ascii="Times New Roman" w:eastAsia="Garamond" w:hAnsi="Times New Roman" w:cs="Times New Roman"/>
          <w:b/>
          <w:color w:val="222222"/>
          <w:sz w:val="24"/>
          <w:szCs w:val="24"/>
          <w:highlight w:val="white"/>
        </w:rPr>
        <w:t>Divergent Responses to Regional EPAs</w:t>
      </w:r>
    </w:p>
    <w:p w14:paraId="0A2C15EB" w14:textId="50218511" w:rsidR="00E36302" w:rsidRPr="009E6EF1" w:rsidRDefault="009E6EF1">
      <w:pPr>
        <w:spacing w:after="200" w:line="360" w:lineRule="auto"/>
        <w:jc w:val="both"/>
        <w:rPr>
          <w:rFonts w:ascii="Times New Roman" w:hAnsi="Times New Roman" w:cs="Times New Roman"/>
          <w:sz w:val="24"/>
          <w:szCs w:val="24"/>
        </w:rPr>
      </w:pPr>
      <w:r w:rsidRPr="009E6EF1">
        <w:rPr>
          <w:rFonts w:ascii="Times New Roman" w:eastAsia="Garamond" w:hAnsi="Times New Roman" w:cs="Times New Roman"/>
          <w:color w:val="222222"/>
          <w:sz w:val="24"/>
          <w:szCs w:val="24"/>
          <w:highlight w:val="white"/>
        </w:rPr>
        <w:t xml:space="preserve">By 2007, relatively little progress had been made towards regional agreements in the majority of the EPA regions. On the eve of the expiry of the WTO waiver, the European Commission decided to permit individual countries and </w:t>
      </w:r>
      <w:proofErr w:type="spellStart"/>
      <w:r w:rsidRPr="009E6EF1">
        <w:rPr>
          <w:rFonts w:ascii="Times New Roman" w:eastAsia="Garamond" w:hAnsi="Times New Roman" w:cs="Times New Roman"/>
          <w:color w:val="222222"/>
          <w:sz w:val="24"/>
          <w:szCs w:val="24"/>
          <w:highlight w:val="white"/>
        </w:rPr>
        <w:t>subregions</w:t>
      </w:r>
      <w:proofErr w:type="spellEnd"/>
      <w:r w:rsidRPr="009E6EF1">
        <w:rPr>
          <w:rFonts w:ascii="Times New Roman" w:eastAsia="Garamond" w:hAnsi="Times New Roman" w:cs="Times New Roman"/>
          <w:color w:val="222222"/>
          <w:sz w:val="24"/>
          <w:szCs w:val="24"/>
          <w:highlight w:val="white"/>
        </w:rPr>
        <w:t xml:space="preserve"> to initial ‘goods only’ interim EPAs with a view to the completion</w:t>
      </w:r>
      <w:r w:rsidR="001939B3">
        <w:rPr>
          <w:rFonts w:ascii="Times New Roman" w:eastAsia="Garamond" w:hAnsi="Times New Roman" w:cs="Times New Roman"/>
          <w:color w:val="222222"/>
          <w:sz w:val="24"/>
          <w:szCs w:val="24"/>
          <w:highlight w:val="white"/>
        </w:rPr>
        <w:t xml:space="preserve"> of</w:t>
      </w:r>
      <w:r w:rsidRPr="009E6EF1">
        <w:rPr>
          <w:rFonts w:ascii="Times New Roman" w:eastAsia="Garamond" w:hAnsi="Times New Roman" w:cs="Times New Roman"/>
          <w:color w:val="222222"/>
          <w:sz w:val="24"/>
          <w:szCs w:val="24"/>
          <w:highlight w:val="white"/>
        </w:rPr>
        <w:t xml:space="preserve"> ‘full’ region-wide EPAs at a later date. In order to facilitate this, a new trade regime – Market Access Regulation (MAR) 1528 - was introduced to provide temporary duty-free market access for those countries that initialled an interim EPA. The enforced rush to sign full or interim EPAs to preserve preferential access to the EU market at the end of 2007 proved to be the point at which regional responses to the EPAs began to diverge. The CARIFORUM group became the only region to sign a full EPA in early 2008. The only other group to sign a regional EPA at this point – in this case a goods-only deal – was the East African Community (EAC). In each of the other EPA regions – West Africa, the SADC EPA group, Central Africa, Eastern and Southern Africa (ESA) and the Pacific – the deadline proved to be highly divisive, with some countries initialling interim agreements while others refused to do so.</w:t>
      </w:r>
    </w:p>
    <w:p w14:paraId="0311C013" w14:textId="5293300D" w:rsidR="00684DCF" w:rsidRDefault="009E6EF1">
      <w:pPr>
        <w:spacing w:after="200" w:line="360" w:lineRule="auto"/>
        <w:jc w:val="both"/>
        <w:rPr>
          <w:rFonts w:ascii="Times New Roman" w:eastAsia="Garamond" w:hAnsi="Times New Roman" w:cs="Times New Roman"/>
          <w:color w:val="222222"/>
          <w:sz w:val="24"/>
          <w:szCs w:val="24"/>
          <w:highlight w:val="white"/>
        </w:rPr>
      </w:pPr>
      <w:r w:rsidRPr="009E6EF1">
        <w:rPr>
          <w:rFonts w:ascii="Times New Roman" w:eastAsia="Garamond" w:hAnsi="Times New Roman" w:cs="Times New Roman"/>
          <w:color w:val="222222"/>
          <w:sz w:val="24"/>
          <w:szCs w:val="24"/>
          <w:highlight w:val="white"/>
        </w:rPr>
        <w:t xml:space="preserve">After the rush provoked by the WTO deadline negotiations slowed considerably. CARIFORUM began implementation of its EPA in this period. Elsewhere, some countries that had initialled interim deals at the end of 2007 went on to sign these agreements in 2008 and 2009 and a very </w:t>
      </w:r>
      <w:r w:rsidRPr="009E6EF1">
        <w:rPr>
          <w:rFonts w:ascii="Times New Roman" w:eastAsia="Garamond" w:hAnsi="Times New Roman" w:cs="Times New Roman"/>
          <w:color w:val="222222"/>
          <w:sz w:val="24"/>
          <w:szCs w:val="24"/>
          <w:highlight w:val="white"/>
        </w:rPr>
        <w:lastRenderedPageBreak/>
        <w:t>small number – Madagascar, Mauritius and Seychelles (ESA) and Papua New Guinea (Pacific) – ratified and began implementation of their interim deals. Otherwise, little progress was made towards the ratification of existing agreements, their extension to include countries that had not initialled an EPA in 2007, or their conversion into full comprehensive EPAs. In response, the EU attempted to recapture some of the leverage that had been created by the expiry of the WTO waiver by announcing that those countries that failed to ratify the interim agreements by 1 January 2014 (later extended 1 October 2014) would cease to benefit from duty-free access to the EU market</w:t>
      </w:r>
      <w:r w:rsidR="00684DCF">
        <w:rPr>
          <w:rFonts w:ascii="Times New Roman" w:eastAsia="Garamond" w:hAnsi="Times New Roman" w:cs="Times New Roman"/>
          <w:color w:val="222222"/>
          <w:sz w:val="24"/>
          <w:szCs w:val="24"/>
          <w:highlight w:val="white"/>
        </w:rPr>
        <w:t>.</w:t>
      </w:r>
      <w:r w:rsidR="00AB2ACF">
        <w:rPr>
          <w:rStyle w:val="EndnoteReference"/>
          <w:rFonts w:ascii="Times New Roman" w:eastAsia="Garamond" w:hAnsi="Times New Roman" w:cs="Times New Roman"/>
          <w:color w:val="222222"/>
          <w:sz w:val="24"/>
          <w:szCs w:val="24"/>
          <w:highlight w:val="white"/>
        </w:rPr>
        <w:endnoteReference w:id="22"/>
      </w:r>
    </w:p>
    <w:p w14:paraId="4B019A6B" w14:textId="5C124240" w:rsidR="00E36302" w:rsidRPr="009E6EF1" w:rsidRDefault="009E6EF1">
      <w:pPr>
        <w:spacing w:after="200" w:line="360" w:lineRule="auto"/>
        <w:jc w:val="both"/>
        <w:rPr>
          <w:rFonts w:ascii="Times New Roman" w:hAnsi="Times New Roman" w:cs="Times New Roman"/>
          <w:sz w:val="24"/>
          <w:szCs w:val="24"/>
        </w:rPr>
      </w:pPr>
      <w:r w:rsidRPr="009E6EF1">
        <w:rPr>
          <w:rFonts w:ascii="Times New Roman" w:eastAsia="Garamond" w:hAnsi="Times New Roman" w:cs="Times New Roman"/>
          <w:color w:val="222222"/>
          <w:sz w:val="24"/>
          <w:szCs w:val="24"/>
          <w:highlight w:val="white"/>
        </w:rPr>
        <w:t>Again, ACP responses to this new imperative diverged. The EAC, along with two regional groups previously divided over the interim EPAs – West Africa and the SADC EPA Group – came together to agree regional deals just before or (in the case of EAC) just aft</w:t>
      </w:r>
      <w:r w:rsidR="005066B9">
        <w:rPr>
          <w:rFonts w:ascii="Times New Roman" w:eastAsia="Garamond" w:hAnsi="Times New Roman" w:cs="Times New Roman"/>
          <w:color w:val="222222"/>
          <w:sz w:val="24"/>
          <w:szCs w:val="24"/>
          <w:highlight w:val="white"/>
        </w:rPr>
        <w:t>er the October 2014 deadline.</w:t>
      </w:r>
      <w:r w:rsidR="005066B9">
        <w:rPr>
          <w:rStyle w:val="EndnoteReference"/>
          <w:rFonts w:ascii="Times New Roman" w:eastAsia="Garamond" w:hAnsi="Times New Roman" w:cs="Times New Roman"/>
          <w:color w:val="222222"/>
          <w:sz w:val="24"/>
          <w:szCs w:val="24"/>
          <w:highlight w:val="white"/>
        </w:rPr>
        <w:endnoteReference w:id="23"/>
      </w:r>
      <w:r w:rsidRPr="009E6EF1">
        <w:rPr>
          <w:rFonts w:ascii="Times New Roman" w:eastAsia="Garamond" w:hAnsi="Times New Roman" w:cs="Times New Roman"/>
          <w:color w:val="222222"/>
          <w:sz w:val="24"/>
          <w:szCs w:val="24"/>
          <w:highlight w:val="white"/>
        </w:rPr>
        <w:t xml:space="preserve"> Elsewhere, regional agreements have not been reached and the situation remains much the same as it was after the 2007 interim EPAs. In Central Africa, Cameroon is implementing its interim EPA, while the rest of the regi</w:t>
      </w:r>
      <w:r w:rsidR="006A2CF6">
        <w:rPr>
          <w:rFonts w:ascii="Times New Roman" w:eastAsia="Garamond" w:hAnsi="Times New Roman" w:cs="Times New Roman"/>
          <w:color w:val="222222"/>
          <w:sz w:val="24"/>
          <w:szCs w:val="24"/>
          <w:highlight w:val="white"/>
        </w:rPr>
        <w:t>on trades with the EU under EBA</w:t>
      </w:r>
      <w:r w:rsidRPr="009E6EF1">
        <w:rPr>
          <w:rFonts w:ascii="Times New Roman" w:eastAsia="Garamond" w:hAnsi="Times New Roman" w:cs="Times New Roman"/>
          <w:color w:val="222222"/>
          <w:sz w:val="24"/>
          <w:szCs w:val="24"/>
          <w:highlight w:val="white"/>
        </w:rPr>
        <w:t xml:space="preserve">, GSP or the EU’s most-favoured nation tariff. In Eastern and Southern Africa, the EPA signed by Madagascar, Mauritius, Seychelles and Zimbabwe is being provisionally applied while the rest of the region (composed entirely of LDCs) trades with the EU under </w:t>
      </w:r>
      <w:r w:rsidR="00557FD9">
        <w:rPr>
          <w:rFonts w:ascii="Times New Roman" w:eastAsia="Garamond" w:hAnsi="Times New Roman" w:cs="Times New Roman"/>
          <w:color w:val="222222"/>
          <w:sz w:val="24"/>
          <w:szCs w:val="24"/>
          <w:highlight w:val="white"/>
        </w:rPr>
        <w:t>EBA</w:t>
      </w:r>
      <w:r w:rsidRPr="009E6EF1">
        <w:rPr>
          <w:rFonts w:ascii="Times New Roman" w:eastAsia="Garamond" w:hAnsi="Times New Roman" w:cs="Times New Roman"/>
          <w:color w:val="222222"/>
          <w:sz w:val="24"/>
          <w:szCs w:val="24"/>
          <w:highlight w:val="white"/>
        </w:rPr>
        <w:t xml:space="preserve">. Likewise in the Pacific, Fiji and Papua New Guinea </w:t>
      </w:r>
      <w:r w:rsidR="00557FD9">
        <w:rPr>
          <w:rFonts w:ascii="Times New Roman" w:eastAsia="Garamond" w:hAnsi="Times New Roman" w:cs="Times New Roman"/>
          <w:color w:val="222222"/>
          <w:sz w:val="24"/>
          <w:szCs w:val="24"/>
          <w:highlight w:val="white"/>
        </w:rPr>
        <w:t xml:space="preserve">began </w:t>
      </w:r>
      <w:r w:rsidRPr="009E6EF1">
        <w:rPr>
          <w:rFonts w:ascii="Times New Roman" w:eastAsia="Garamond" w:hAnsi="Times New Roman" w:cs="Times New Roman"/>
          <w:color w:val="222222"/>
          <w:sz w:val="24"/>
          <w:szCs w:val="24"/>
          <w:highlight w:val="white"/>
        </w:rPr>
        <w:t xml:space="preserve">applying their </w:t>
      </w:r>
      <w:r w:rsidR="00B65EAD">
        <w:rPr>
          <w:rFonts w:ascii="Times New Roman" w:eastAsia="Garamond" w:hAnsi="Times New Roman" w:cs="Times New Roman"/>
          <w:color w:val="222222"/>
          <w:sz w:val="24"/>
          <w:szCs w:val="24"/>
          <w:highlight w:val="white"/>
        </w:rPr>
        <w:t xml:space="preserve">interim </w:t>
      </w:r>
      <w:r w:rsidRPr="009E6EF1">
        <w:rPr>
          <w:rFonts w:ascii="Times New Roman" w:eastAsia="Garamond" w:hAnsi="Times New Roman" w:cs="Times New Roman"/>
          <w:color w:val="222222"/>
          <w:sz w:val="24"/>
          <w:szCs w:val="24"/>
          <w:highlight w:val="white"/>
        </w:rPr>
        <w:t>EPAs while the region</w:t>
      </w:r>
      <w:r w:rsidR="006A2CF6">
        <w:rPr>
          <w:rFonts w:ascii="Times New Roman" w:eastAsia="Garamond" w:hAnsi="Times New Roman" w:cs="Times New Roman"/>
          <w:color w:val="222222"/>
          <w:sz w:val="24"/>
          <w:szCs w:val="24"/>
          <w:highlight w:val="white"/>
        </w:rPr>
        <w:t>’s other members trade</w:t>
      </w:r>
      <w:r w:rsidR="00557FD9">
        <w:rPr>
          <w:rFonts w:ascii="Times New Roman" w:eastAsia="Garamond" w:hAnsi="Times New Roman" w:cs="Times New Roman"/>
          <w:color w:val="222222"/>
          <w:sz w:val="24"/>
          <w:szCs w:val="24"/>
          <w:highlight w:val="white"/>
        </w:rPr>
        <w:t>d</w:t>
      </w:r>
      <w:r w:rsidRPr="009E6EF1">
        <w:rPr>
          <w:rFonts w:ascii="Times New Roman" w:eastAsia="Garamond" w:hAnsi="Times New Roman" w:cs="Times New Roman"/>
          <w:color w:val="222222"/>
          <w:sz w:val="24"/>
          <w:szCs w:val="24"/>
          <w:highlight w:val="white"/>
        </w:rPr>
        <w:t xml:space="preserve"> under EBA or GSP.</w:t>
      </w:r>
    </w:p>
    <w:p w14:paraId="178DD769" w14:textId="77777777" w:rsidR="00E36302" w:rsidRPr="009E6EF1" w:rsidRDefault="009E6EF1">
      <w:pPr>
        <w:spacing w:after="200" w:line="360" w:lineRule="auto"/>
        <w:jc w:val="both"/>
        <w:rPr>
          <w:rFonts w:ascii="Times New Roman" w:hAnsi="Times New Roman" w:cs="Times New Roman"/>
          <w:sz w:val="24"/>
          <w:szCs w:val="24"/>
        </w:rPr>
      </w:pPr>
      <w:r w:rsidRPr="009E6EF1">
        <w:rPr>
          <w:rFonts w:ascii="Times New Roman" w:eastAsia="Garamond" w:hAnsi="Times New Roman" w:cs="Times New Roman"/>
          <w:color w:val="222222"/>
          <w:sz w:val="24"/>
          <w:szCs w:val="24"/>
          <w:highlight w:val="white"/>
        </w:rPr>
        <w:t>[Table 1 Here]</w:t>
      </w:r>
    </w:p>
    <w:p w14:paraId="378D9722" w14:textId="038B6AAB" w:rsidR="00E36302" w:rsidRPr="009E6EF1" w:rsidRDefault="009E6EF1">
      <w:pPr>
        <w:spacing w:after="200" w:line="360" w:lineRule="auto"/>
        <w:jc w:val="both"/>
        <w:rPr>
          <w:rFonts w:ascii="Times New Roman" w:hAnsi="Times New Roman" w:cs="Times New Roman"/>
          <w:sz w:val="24"/>
          <w:szCs w:val="24"/>
        </w:rPr>
      </w:pPr>
      <w:r w:rsidRPr="009E6EF1">
        <w:rPr>
          <w:rFonts w:ascii="Times New Roman" w:eastAsia="Garamond" w:hAnsi="Times New Roman" w:cs="Times New Roman"/>
          <w:color w:val="222222"/>
          <w:sz w:val="24"/>
          <w:szCs w:val="24"/>
          <w:highlight w:val="white"/>
        </w:rPr>
        <w:t>Table 1 presents data on ACP export dependence on the EU market and the proportion of exports to the EU that would face a tariff increase under GSP (applicable to non-LDCs only) against details of which countries concluded EPAs in 2007 and 2014. This data suggests that the market access incentives associated with the EPAs were important in shapin</w:t>
      </w:r>
      <w:r w:rsidR="00557FD9">
        <w:rPr>
          <w:rFonts w:ascii="Times New Roman" w:eastAsia="Garamond" w:hAnsi="Times New Roman" w:cs="Times New Roman"/>
          <w:color w:val="222222"/>
          <w:sz w:val="24"/>
          <w:szCs w:val="24"/>
          <w:highlight w:val="white"/>
        </w:rPr>
        <w:t>g the outcome of the agreements. Yet</w:t>
      </w:r>
      <w:r w:rsidRPr="009E6EF1">
        <w:rPr>
          <w:rFonts w:ascii="Times New Roman" w:eastAsia="Garamond" w:hAnsi="Times New Roman" w:cs="Times New Roman"/>
          <w:color w:val="222222"/>
          <w:sz w:val="24"/>
          <w:szCs w:val="24"/>
          <w:highlight w:val="white"/>
        </w:rPr>
        <w:t xml:space="preserve"> </w:t>
      </w:r>
      <w:r w:rsidR="00557FD9">
        <w:rPr>
          <w:rFonts w:ascii="Times New Roman" w:eastAsia="Garamond" w:hAnsi="Times New Roman" w:cs="Times New Roman"/>
          <w:color w:val="222222"/>
          <w:sz w:val="24"/>
          <w:szCs w:val="24"/>
          <w:highlight w:val="white"/>
        </w:rPr>
        <w:t xml:space="preserve">this </w:t>
      </w:r>
      <w:r w:rsidRPr="009E6EF1">
        <w:rPr>
          <w:rFonts w:ascii="Times New Roman" w:eastAsia="Garamond" w:hAnsi="Times New Roman" w:cs="Times New Roman"/>
          <w:color w:val="222222"/>
          <w:sz w:val="24"/>
          <w:szCs w:val="24"/>
          <w:highlight w:val="white"/>
        </w:rPr>
        <w:t>do</w:t>
      </w:r>
      <w:r w:rsidR="00557FD9">
        <w:rPr>
          <w:rFonts w:ascii="Times New Roman" w:eastAsia="Garamond" w:hAnsi="Times New Roman" w:cs="Times New Roman"/>
          <w:color w:val="222222"/>
          <w:sz w:val="24"/>
          <w:szCs w:val="24"/>
          <w:highlight w:val="white"/>
        </w:rPr>
        <w:t>es</w:t>
      </w:r>
      <w:r w:rsidRPr="009E6EF1">
        <w:rPr>
          <w:rFonts w:ascii="Times New Roman" w:eastAsia="Garamond" w:hAnsi="Times New Roman" w:cs="Times New Roman"/>
          <w:color w:val="222222"/>
          <w:sz w:val="24"/>
          <w:szCs w:val="24"/>
          <w:highlight w:val="white"/>
        </w:rPr>
        <w:t xml:space="preserve"> not tell the full story. Of the two regions that signed or initialled full or interim EPAs in 2007/08 – CARIFORUM and EAC – in neither case were the constituent countries uniformly exposed to a loss of Lomé preferences. In the case of CARIFORUM, the region was almost entirely composed of non-LDCs (with the exception of Haiti) facing a downgrade to GSP, but the extent to which their exports would be affected by this downgrade varied considerably – fro</w:t>
      </w:r>
      <w:r w:rsidR="006A2CF6">
        <w:rPr>
          <w:rFonts w:ascii="Times New Roman" w:eastAsia="Garamond" w:hAnsi="Times New Roman" w:cs="Times New Roman"/>
          <w:color w:val="222222"/>
          <w:sz w:val="24"/>
          <w:szCs w:val="24"/>
          <w:highlight w:val="white"/>
        </w:rPr>
        <w:t>m Guyana facing a tariff rise on 72.3 percent of</w:t>
      </w:r>
      <w:r w:rsidRPr="009E6EF1">
        <w:rPr>
          <w:rFonts w:ascii="Times New Roman" w:eastAsia="Garamond" w:hAnsi="Times New Roman" w:cs="Times New Roman"/>
          <w:color w:val="222222"/>
          <w:sz w:val="24"/>
          <w:szCs w:val="24"/>
          <w:highlight w:val="white"/>
        </w:rPr>
        <w:t xml:space="preserve"> its exports to the EU, to </w:t>
      </w:r>
      <w:r w:rsidRPr="009E6EF1">
        <w:rPr>
          <w:rFonts w:ascii="Times New Roman" w:eastAsia="Garamond" w:hAnsi="Times New Roman" w:cs="Times New Roman"/>
          <w:color w:val="222222"/>
          <w:sz w:val="24"/>
          <w:szCs w:val="24"/>
          <w:highlight w:val="white"/>
        </w:rPr>
        <w:lastRenderedPageBreak/>
        <w:t>Anti</w:t>
      </w:r>
      <w:r w:rsidR="00B65EAD">
        <w:rPr>
          <w:rFonts w:ascii="Times New Roman" w:eastAsia="Garamond" w:hAnsi="Times New Roman" w:cs="Times New Roman"/>
          <w:color w:val="222222"/>
          <w:sz w:val="24"/>
          <w:szCs w:val="24"/>
          <w:highlight w:val="white"/>
        </w:rPr>
        <w:t>gua and Barbuda facing a rise on</w:t>
      </w:r>
      <w:r w:rsidRPr="009E6EF1">
        <w:rPr>
          <w:rFonts w:ascii="Times New Roman" w:eastAsia="Garamond" w:hAnsi="Times New Roman" w:cs="Times New Roman"/>
          <w:color w:val="222222"/>
          <w:sz w:val="24"/>
          <w:szCs w:val="24"/>
          <w:highlight w:val="white"/>
        </w:rPr>
        <w:t xml:space="preserve"> only 1.4 percent</w:t>
      </w:r>
      <w:r w:rsidR="00B65EAD">
        <w:rPr>
          <w:rFonts w:ascii="Times New Roman" w:eastAsia="Garamond" w:hAnsi="Times New Roman" w:cs="Times New Roman"/>
          <w:color w:val="222222"/>
          <w:sz w:val="24"/>
          <w:szCs w:val="24"/>
          <w:highlight w:val="white"/>
        </w:rPr>
        <w:t xml:space="preserve"> of exports to the EU</w:t>
      </w:r>
      <w:r w:rsidRPr="009E6EF1">
        <w:rPr>
          <w:rFonts w:ascii="Times New Roman" w:eastAsia="Garamond" w:hAnsi="Times New Roman" w:cs="Times New Roman"/>
          <w:color w:val="222222"/>
          <w:sz w:val="24"/>
          <w:szCs w:val="24"/>
          <w:highlight w:val="white"/>
        </w:rPr>
        <w:t xml:space="preserve">. In EAC, Kenya faced a tariff rise on 56.5 percent of </w:t>
      </w:r>
      <w:r w:rsidR="007003F6">
        <w:rPr>
          <w:rFonts w:ascii="Times New Roman" w:eastAsia="Garamond" w:hAnsi="Times New Roman" w:cs="Times New Roman"/>
          <w:color w:val="222222"/>
          <w:sz w:val="24"/>
          <w:szCs w:val="24"/>
          <w:highlight w:val="white"/>
        </w:rPr>
        <w:t xml:space="preserve">its </w:t>
      </w:r>
      <w:r w:rsidRPr="009E6EF1">
        <w:rPr>
          <w:rFonts w:ascii="Times New Roman" w:eastAsia="Garamond" w:hAnsi="Times New Roman" w:cs="Times New Roman"/>
          <w:color w:val="222222"/>
          <w:sz w:val="24"/>
          <w:szCs w:val="24"/>
          <w:highlight w:val="white"/>
        </w:rPr>
        <w:t>exports to the EU, but the rest of the region</w:t>
      </w:r>
      <w:r w:rsidR="0036427F">
        <w:rPr>
          <w:rFonts w:ascii="Times New Roman" w:eastAsia="Garamond" w:hAnsi="Times New Roman" w:cs="Times New Roman"/>
          <w:color w:val="222222"/>
          <w:sz w:val="24"/>
          <w:szCs w:val="24"/>
          <w:highlight w:val="white"/>
        </w:rPr>
        <w:t xml:space="preserve"> (all LDCs)</w:t>
      </w:r>
      <w:r w:rsidRPr="009E6EF1">
        <w:rPr>
          <w:rFonts w:ascii="Times New Roman" w:eastAsia="Garamond" w:hAnsi="Times New Roman" w:cs="Times New Roman"/>
          <w:color w:val="222222"/>
          <w:sz w:val="24"/>
          <w:szCs w:val="24"/>
          <w:highlight w:val="white"/>
        </w:rPr>
        <w:t xml:space="preserve"> faced no such threat. The two groups to conclude new regional EPAs in 2014 – West Africa and the SADC EPA group – also contained a mixture of LDCs and non-LDCs and varying levels of export dependence on the EU. Outside of these regions, patterns of acceptance and rejection of the EPAs reflected market access incentives more closely. All non-LDCs that faced tariff increases on a moderate or large proportio</w:t>
      </w:r>
      <w:r w:rsidR="00B65EAD">
        <w:rPr>
          <w:rFonts w:ascii="Times New Roman" w:eastAsia="Garamond" w:hAnsi="Times New Roman" w:cs="Times New Roman"/>
          <w:color w:val="222222"/>
          <w:sz w:val="24"/>
          <w:szCs w:val="24"/>
          <w:highlight w:val="white"/>
        </w:rPr>
        <w:t>n of their exports initialled</w:t>
      </w:r>
      <w:r w:rsidRPr="009E6EF1">
        <w:rPr>
          <w:rFonts w:ascii="Times New Roman" w:eastAsia="Garamond" w:hAnsi="Times New Roman" w:cs="Times New Roman"/>
          <w:color w:val="222222"/>
          <w:sz w:val="24"/>
          <w:szCs w:val="24"/>
          <w:highlight w:val="white"/>
        </w:rPr>
        <w:t xml:space="preserve"> EPA</w:t>
      </w:r>
      <w:r w:rsidR="00B65EAD">
        <w:rPr>
          <w:rFonts w:ascii="Times New Roman" w:eastAsia="Garamond" w:hAnsi="Times New Roman" w:cs="Times New Roman"/>
          <w:color w:val="222222"/>
          <w:sz w:val="24"/>
          <w:szCs w:val="24"/>
          <w:highlight w:val="white"/>
        </w:rPr>
        <w:t>s</w:t>
      </w:r>
      <w:r w:rsidRPr="009E6EF1">
        <w:rPr>
          <w:rFonts w:ascii="Times New Roman" w:eastAsia="Garamond" w:hAnsi="Times New Roman" w:cs="Times New Roman"/>
          <w:color w:val="222222"/>
          <w:sz w:val="24"/>
          <w:szCs w:val="24"/>
          <w:highlight w:val="white"/>
        </w:rPr>
        <w:t xml:space="preserve"> to preserve preferential market access in 2007 and had sign</w:t>
      </w:r>
      <w:r w:rsidR="00B65EAD">
        <w:rPr>
          <w:rFonts w:ascii="Times New Roman" w:eastAsia="Garamond" w:hAnsi="Times New Roman" w:cs="Times New Roman"/>
          <w:color w:val="222222"/>
          <w:sz w:val="24"/>
          <w:szCs w:val="24"/>
          <w:highlight w:val="white"/>
        </w:rPr>
        <w:t>ed and begun application of these</w:t>
      </w:r>
      <w:r w:rsidRPr="009E6EF1">
        <w:rPr>
          <w:rFonts w:ascii="Times New Roman" w:eastAsia="Garamond" w:hAnsi="Times New Roman" w:cs="Times New Roman"/>
          <w:color w:val="222222"/>
          <w:sz w:val="24"/>
          <w:szCs w:val="24"/>
          <w:highlight w:val="white"/>
        </w:rPr>
        <w:t xml:space="preserve"> agreement</w:t>
      </w:r>
      <w:r w:rsidR="00B65EAD">
        <w:rPr>
          <w:rFonts w:ascii="Times New Roman" w:eastAsia="Garamond" w:hAnsi="Times New Roman" w:cs="Times New Roman"/>
          <w:color w:val="222222"/>
          <w:sz w:val="24"/>
          <w:szCs w:val="24"/>
          <w:highlight w:val="white"/>
        </w:rPr>
        <w:t>s</w:t>
      </w:r>
      <w:r w:rsidRPr="009E6EF1">
        <w:rPr>
          <w:rFonts w:ascii="Times New Roman" w:eastAsia="Garamond" w:hAnsi="Times New Roman" w:cs="Times New Roman"/>
          <w:color w:val="222222"/>
          <w:sz w:val="24"/>
          <w:szCs w:val="24"/>
          <w:highlight w:val="white"/>
        </w:rPr>
        <w:t xml:space="preserve"> by 2014. LDCs were significantly less likely to initial an EPA, although some – </w:t>
      </w:r>
      <w:r w:rsidR="00823301">
        <w:rPr>
          <w:rFonts w:ascii="Times New Roman" w:eastAsia="Garamond" w:hAnsi="Times New Roman" w:cs="Times New Roman"/>
          <w:color w:val="222222"/>
          <w:sz w:val="24"/>
          <w:szCs w:val="24"/>
          <w:highlight w:val="white"/>
        </w:rPr>
        <w:t xml:space="preserve">Lesotho, Mozambique, </w:t>
      </w:r>
      <w:r w:rsidRPr="009E6EF1">
        <w:rPr>
          <w:rFonts w:ascii="Times New Roman" w:eastAsia="Garamond" w:hAnsi="Times New Roman" w:cs="Times New Roman"/>
          <w:color w:val="222222"/>
          <w:sz w:val="24"/>
          <w:szCs w:val="24"/>
          <w:highlight w:val="white"/>
        </w:rPr>
        <w:t>Madagascar, Zambia and Comoros – did</w:t>
      </w:r>
      <w:r w:rsidR="00823301">
        <w:rPr>
          <w:rFonts w:ascii="Times New Roman" w:eastAsia="Garamond" w:hAnsi="Times New Roman" w:cs="Times New Roman"/>
          <w:color w:val="222222"/>
          <w:sz w:val="24"/>
          <w:szCs w:val="24"/>
          <w:highlight w:val="white"/>
        </w:rPr>
        <w:t>.</w:t>
      </w:r>
      <w:r w:rsidR="00823301">
        <w:rPr>
          <w:rStyle w:val="EndnoteReference"/>
          <w:rFonts w:ascii="Times New Roman" w:eastAsia="Garamond" w:hAnsi="Times New Roman" w:cs="Times New Roman"/>
          <w:color w:val="222222"/>
          <w:sz w:val="24"/>
          <w:szCs w:val="24"/>
          <w:highlight w:val="white"/>
        </w:rPr>
        <w:endnoteReference w:id="24"/>
      </w:r>
    </w:p>
    <w:p w14:paraId="4DEBD1D6" w14:textId="1CADFFDF" w:rsidR="00E36302" w:rsidRPr="009E6EF1" w:rsidRDefault="009E6EF1">
      <w:pPr>
        <w:spacing w:after="200" w:line="360" w:lineRule="auto"/>
        <w:jc w:val="both"/>
        <w:rPr>
          <w:rFonts w:ascii="Times New Roman" w:hAnsi="Times New Roman" w:cs="Times New Roman"/>
          <w:sz w:val="24"/>
          <w:szCs w:val="24"/>
        </w:rPr>
      </w:pPr>
      <w:r w:rsidRPr="009E6EF1">
        <w:rPr>
          <w:rFonts w:ascii="Times New Roman" w:eastAsia="Garamond" w:hAnsi="Times New Roman" w:cs="Times New Roman"/>
          <w:b/>
          <w:color w:val="222222"/>
          <w:sz w:val="24"/>
          <w:szCs w:val="24"/>
          <w:highlight w:val="white"/>
        </w:rPr>
        <w:t>Explaining Regional EPA Outcomes: Institutional</w:t>
      </w:r>
      <w:r w:rsidR="00B65EAD">
        <w:rPr>
          <w:rFonts w:ascii="Times New Roman" w:eastAsia="Garamond" w:hAnsi="Times New Roman" w:cs="Times New Roman"/>
          <w:b/>
          <w:color w:val="222222"/>
          <w:sz w:val="24"/>
          <w:szCs w:val="24"/>
          <w:highlight w:val="white"/>
        </w:rPr>
        <w:t xml:space="preserve"> and Ideational</w:t>
      </w:r>
      <w:r w:rsidRPr="009E6EF1">
        <w:rPr>
          <w:rFonts w:ascii="Times New Roman" w:eastAsia="Garamond" w:hAnsi="Times New Roman" w:cs="Times New Roman"/>
          <w:b/>
          <w:color w:val="222222"/>
          <w:sz w:val="24"/>
          <w:szCs w:val="24"/>
          <w:highlight w:val="white"/>
        </w:rPr>
        <w:t xml:space="preserve"> Congruence</w:t>
      </w:r>
    </w:p>
    <w:p w14:paraId="6ADDDA74" w14:textId="14157CF5" w:rsidR="00E36302" w:rsidRPr="009F1CAD" w:rsidRDefault="009E6EF1">
      <w:pPr>
        <w:spacing w:after="200" w:line="360" w:lineRule="auto"/>
        <w:jc w:val="both"/>
        <w:rPr>
          <w:rFonts w:ascii="Times New Roman" w:eastAsia="Garamond" w:hAnsi="Times New Roman" w:cs="Times New Roman"/>
          <w:color w:val="222222"/>
          <w:sz w:val="24"/>
          <w:szCs w:val="24"/>
          <w:highlight w:val="white"/>
        </w:rPr>
      </w:pPr>
      <w:r w:rsidRPr="009E6EF1">
        <w:rPr>
          <w:rFonts w:ascii="Times New Roman" w:eastAsia="Garamond" w:hAnsi="Times New Roman" w:cs="Times New Roman"/>
          <w:color w:val="222222"/>
          <w:sz w:val="24"/>
          <w:szCs w:val="24"/>
          <w:highlight w:val="white"/>
        </w:rPr>
        <w:t>In order to explain the divergent ACP responses to the EU’s attempts to promote regional integration th</w:t>
      </w:r>
      <w:r w:rsidR="00D96859">
        <w:rPr>
          <w:rFonts w:ascii="Times New Roman" w:eastAsia="Garamond" w:hAnsi="Times New Roman" w:cs="Times New Roman"/>
          <w:color w:val="222222"/>
          <w:sz w:val="24"/>
          <w:szCs w:val="24"/>
          <w:highlight w:val="white"/>
        </w:rPr>
        <w:t>rough the EPAs we suggest that,</w:t>
      </w:r>
      <w:r w:rsidRPr="009E6EF1">
        <w:rPr>
          <w:rFonts w:ascii="Times New Roman" w:eastAsia="Garamond" w:hAnsi="Times New Roman" w:cs="Times New Roman"/>
          <w:color w:val="222222"/>
          <w:sz w:val="24"/>
          <w:szCs w:val="24"/>
          <w:highlight w:val="white"/>
        </w:rPr>
        <w:t xml:space="preserve"> while differences in preference dependence cannot be ignored, uptake of the agreements was also crucially dependent upon the political dimension of the negotiations – i.e. the </w:t>
      </w:r>
      <w:r w:rsidR="00D62484">
        <w:rPr>
          <w:rFonts w:ascii="Times New Roman" w:eastAsia="Garamond" w:hAnsi="Times New Roman" w:cs="Times New Roman"/>
          <w:color w:val="222222"/>
          <w:sz w:val="24"/>
          <w:szCs w:val="24"/>
          <w:highlight w:val="white"/>
        </w:rPr>
        <w:t>congruence between</w:t>
      </w:r>
      <w:r w:rsidRPr="009E6EF1">
        <w:rPr>
          <w:rFonts w:ascii="Times New Roman" w:eastAsia="Garamond" w:hAnsi="Times New Roman" w:cs="Times New Roman"/>
          <w:color w:val="222222"/>
          <w:sz w:val="24"/>
          <w:szCs w:val="24"/>
          <w:highlight w:val="white"/>
        </w:rPr>
        <w:t xml:space="preserve"> individual ACP regions and the </w:t>
      </w:r>
      <w:r w:rsidR="00D62484">
        <w:rPr>
          <w:rFonts w:ascii="Times New Roman" w:eastAsia="Garamond" w:hAnsi="Times New Roman" w:cs="Times New Roman"/>
          <w:color w:val="222222"/>
          <w:sz w:val="24"/>
          <w:szCs w:val="24"/>
          <w:highlight w:val="white"/>
        </w:rPr>
        <w:t>vision</w:t>
      </w:r>
      <w:r w:rsidR="00D62484" w:rsidRPr="009E6EF1">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 xml:space="preserve">of </w:t>
      </w:r>
      <w:r w:rsidR="00D62484">
        <w:rPr>
          <w:rFonts w:ascii="Times New Roman" w:eastAsia="Garamond" w:hAnsi="Times New Roman" w:cs="Times New Roman"/>
          <w:color w:val="222222"/>
          <w:sz w:val="24"/>
          <w:szCs w:val="24"/>
          <w:highlight w:val="white"/>
        </w:rPr>
        <w:t xml:space="preserve">liberal </w:t>
      </w:r>
      <w:r w:rsidRPr="009E6EF1">
        <w:rPr>
          <w:rFonts w:ascii="Times New Roman" w:eastAsia="Garamond" w:hAnsi="Times New Roman" w:cs="Times New Roman"/>
          <w:color w:val="222222"/>
          <w:sz w:val="24"/>
          <w:szCs w:val="24"/>
          <w:highlight w:val="white"/>
        </w:rPr>
        <w:t>economic integration at the heart of the EU’s prospectus. Building on the EU’s own statements about the institutional prerequisites for a successful EPA,</w:t>
      </w:r>
      <w:r w:rsidR="00CA11EB">
        <w:rPr>
          <w:rStyle w:val="EndnoteReference"/>
          <w:rFonts w:ascii="Times New Roman" w:eastAsia="Garamond" w:hAnsi="Times New Roman" w:cs="Times New Roman"/>
          <w:color w:val="222222"/>
          <w:sz w:val="24"/>
          <w:szCs w:val="24"/>
          <w:highlight w:val="white"/>
        </w:rPr>
        <w:endnoteReference w:id="25"/>
      </w:r>
      <w:r w:rsidRPr="009E6EF1">
        <w:rPr>
          <w:rFonts w:ascii="Times New Roman" w:eastAsia="Garamond" w:hAnsi="Times New Roman" w:cs="Times New Roman"/>
          <w:color w:val="222222"/>
          <w:sz w:val="24"/>
          <w:szCs w:val="24"/>
          <w:highlight w:val="white"/>
        </w:rPr>
        <w:t xml:space="preserve"> we identify three initial criteria for assessing this congruence: (</w:t>
      </w:r>
      <w:proofErr w:type="spellStart"/>
      <w:r w:rsidRPr="009E6EF1">
        <w:rPr>
          <w:rFonts w:ascii="Times New Roman" w:eastAsia="Garamond" w:hAnsi="Times New Roman" w:cs="Times New Roman"/>
          <w:color w:val="222222"/>
          <w:sz w:val="24"/>
          <w:szCs w:val="24"/>
          <w:highlight w:val="white"/>
        </w:rPr>
        <w:t>i</w:t>
      </w:r>
      <w:proofErr w:type="spellEnd"/>
      <w:r w:rsidRPr="009E6EF1">
        <w:rPr>
          <w:rFonts w:ascii="Times New Roman" w:eastAsia="Garamond" w:hAnsi="Times New Roman" w:cs="Times New Roman"/>
          <w:color w:val="222222"/>
          <w:sz w:val="24"/>
          <w:szCs w:val="24"/>
          <w:highlight w:val="white"/>
        </w:rPr>
        <w:t>) geographic coherence of the EPA group with existing regional institutions; (ii) compatibility of the EPA regional configurations with pre-existing customs union obligations; and (iii) delegation of supranational negotiating authority. To these criteria, we add a fourth that was not raised by the EU in its discussion of the institutional prerequisites for an EPA – (iv) the presence/absence of regional leadership. Our analysis suggests that</w:t>
      </w:r>
      <w:r w:rsidR="006217B9">
        <w:rPr>
          <w:rFonts w:ascii="Times New Roman" w:eastAsia="Garamond" w:hAnsi="Times New Roman" w:cs="Times New Roman"/>
          <w:color w:val="222222"/>
          <w:sz w:val="24"/>
          <w:szCs w:val="24"/>
          <w:highlight w:val="white"/>
        </w:rPr>
        <w:t xml:space="preserve"> while the various dominant regional actors played different roles and took different attitudes towards the negotiations,</w:t>
      </w:r>
      <w:r w:rsidRPr="009E6EF1">
        <w:rPr>
          <w:rFonts w:ascii="Times New Roman" w:eastAsia="Garamond" w:hAnsi="Times New Roman" w:cs="Times New Roman"/>
          <w:color w:val="222222"/>
          <w:sz w:val="24"/>
          <w:szCs w:val="24"/>
          <w:highlight w:val="white"/>
        </w:rPr>
        <w:t xml:space="preserve"> th</w:t>
      </w:r>
      <w:r w:rsidR="006217B9">
        <w:rPr>
          <w:rFonts w:ascii="Times New Roman" w:eastAsia="Garamond" w:hAnsi="Times New Roman" w:cs="Times New Roman"/>
          <w:color w:val="222222"/>
          <w:sz w:val="24"/>
          <w:szCs w:val="24"/>
          <w:highlight w:val="white"/>
        </w:rPr>
        <w:t>ey were nonetheless</w:t>
      </w:r>
      <w:r w:rsidRPr="009E6EF1">
        <w:rPr>
          <w:rFonts w:ascii="Times New Roman" w:eastAsia="Garamond" w:hAnsi="Times New Roman" w:cs="Times New Roman"/>
          <w:color w:val="222222"/>
          <w:sz w:val="24"/>
          <w:szCs w:val="24"/>
          <w:highlight w:val="white"/>
        </w:rPr>
        <w:t xml:space="preserve"> crucial in compensating for other institutional weaknesses in several of the ACP regions. Using this model, we describe the congruence between the EPA groups and the EU’s model of economic integration as </w:t>
      </w:r>
      <w:r w:rsidR="00B65EAD">
        <w:rPr>
          <w:rFonts w:ascii="Times New Roman" w:eastAsia="Garamond" w:hAnsi="Times New Roman" w:cs="Times New Roman"/>
          <w:color w:val="222222"/>
          <w:sz w:val="24"/>
          <w:szCs w:val="24"/>
          <w:highlight w:val="white"/>
        </w:rPr>
        <w:t>‘</w:t>
      </w:r>
      <w:r w:rsidRPr="009E6EF1">
        <w:rPr>
          <w:rFonts w:ascii="Times New Roman" w:eastAsia="Garamond" w:hAnsi="Times New Roman" w:cs="Times New Roman"/>
          <w:color w:val="222222"/>
          <w:sz w:val="24"/>
          <w:szCs w:val="24"/>
          <w:highlight w:val="white"/>
        </w:rPr>
        <w:t>high</w:t>
      </w:r>
      <w:r w:rsidR="00B65EAD">
        <w:rPr>
          <w:rFonts w:ascii="Times New Roman" w:eastAsia="Garamond" w:hAnsi="Times New Roman" w:cs="Times New Roman"/>
          <w:color w:val="222222"/>
          <w:sz w:val="24"/>
          <w:szCs w:val="24"/>
          <w:highlight w:val="white"/>
        </w:rPr>
        <w:t>’</w:t>
      </w:r>
      <w:r w:rsidRPr="009E6EF1">
        <w:rPr>
          <w:rFonts w:ascii="Times New Roman" w:eastAsia="Garamond" w:hAnsi="Times New Roman" w:cs="Times New Roman"/>
          <w:color w:val="222222"/>
          <w:sz w:val="24"/>
          <w:szCs w:val="24"/>
          <w:highlight w:val="white"/>
        </w:rPr>
        <w:t xml:space="preserve">, </w:t>
      </w:r>
      <w:r w:rsidR="00B65EAD">
        <w:rPr>
          <w:rFonts w:ascii="Times New Roman" w:eastAsia="Garamond" w:hAnsi="Times New Roman" w:cs="Times New Roman"/>
          <w:color w:val="222222"/>
          <w:sz w:val="24"/>
          <w:szCs w:val="24"/>
          <w:highlight w:val="white"/>
        </w:rPr>
        <w:t>‘</w:t>
      </w:r>
      <w:r w:rsidRPr="009E6EF1">
        <w:rPr>
          <w:rFonts w:ascii="Times New Roman" w:eastAsia="Garamond" w:hAnsi="Times New Roman" w:cs="Times New Roman"/>
          <w:color w:val="222222"/>
          <w:sz w:val="24"/>
          <w:szCs w:val="24"/>
          <w:highlight w:val="white"/>
        </w:rPr>
        <w:t>moderate</w:t>
      </w:r>
      <w:r w:rsidR="00B65EAD">
        <w:rPr>
          <w:rFonts w:ascii="Times New Roman" w:eastAsia="Garamond" w:hAnsi="Times New Roman" w:cs="Times New Roman"/>
          <w:color w:val="222222"/>
          <w:sz w:val="24"/>
          <w:szCs w:val="24"/>
          <w:highlight w:val="white"/>
        </w:rPr>
        <w:t>’</w:t>
      </w:r>
      <w:r w:rsidRPr="009E6EF1">
        <w:rPr>
          <w:rFonts w:ascii="Times New Roman" w:eastAsia="Garamond" w:hAnsi="Times New Roman" w:cs="Times New Roman"/>
          <w:color w:val="222222"/>
          <w:sz w:val="24"/>
          <w:szCs w:val="24"/>
          <w:highlight w:val="white"/>
        </w:rPr>
        <w:t xml:space="preserve"> or </w:t>
      </w:r>
      <w:r w:rsidR="00B65EAD">
        <w:rPr>
          <w:rFonts w:ascii="Times New Roman" w:eastAsia="Garamond" w:hAnsi="Times New Roman" w:cs="Times New Roman"/>
          <w:color w:val="222222"/>
          <w:sz w:val="24"/>
          <w:szCs w:val="24"/>
          <w:highlight w:val="white"/>
        </w:rPr>
        <w:t>‘</w:t>
      </w:r>
      <w:r w:rsidRPr="009E6EF1">
        <w:rPr>
          <w:rFonts w:ascii="Times New Roman" w:eastAsia="Garamond" w:hAnsi="Times New Roman" w:cs="Times New Roman"/>
          <w:color w:val="222222"/>
          <w:sz w:val="24"/>
          <w:szCs w:val="24"/>
          <w:highlight w:val="white"/>
        </w:rPr>
        <w:t>low</w:t>
      </w:r>
      <w:r w:rsidR="00B65EAD">
        <w:rPr>
          <w:rFonts w:ascii="Times New Roman" w:eastAsia="Garamond" w:hAnsi="Times New Roman" w:cs="Times New Roman"/>
          <w:color w:val="222222"/>
          <w:sz w:val="24"/>
          <w:szCs w:val="24"/>
          <w:highlight w:val="white"/>
        </w:rPr>
        <w:t>’</w:t>
      </w:r>
      <w:r w:rsidRPr="009E6EF1">
        <w:rPr>
          <w:rFonts w:ascii="Times New Roman" w:eastAsia="Garamond" w:hAnsi="Times New Roman" w:cs="Times New Roman"/>
          <w:color w:val="222222"/>
          <w:sz w:val="24"/>
          <w:szCs w:val="24"/>
          <w:highlight w:val="white"/>
        </w:rPr>
        <w:t xml:space="preserve"> and argue that these differences account for the divergent regional outcomes in individual EPA negotiating groups (see Table 2).</w:t>
      </w:r>
      <w:r w:rsidR="00443605">
        <w:rPr>
          <w:rStyle w:val="EndnoteReference"/>
          <w:rFonts w:ascii="Times New Roman" w:eastAsia="Garamond" w:hAnsi="Times New Roman" w:cs="Times New Roman"/>
          <w:color w:val="222222"/>
          <w:sz w:val="24"/>
          <w:szCs w:val="24"/>
          <w:highlight w:val="white"/>
        </w:rPr>
        <w:endnoteReference w:id="26"/>
      </w:r>
      <w:r w:rsidRPr="009E6EF1">
        <w:rPr>
          <w:rFonts w:ascii="Times New Roman" w:eastAsia="Garamond" w:hAnsi="Times New Roman" w:cs="Times New Roman"/>
          <w:color w:val="222222"/>
          <w:sz w:val="24"/>
          <w:szCs w:val="24"/>
          <w:highlight w:val="white"/>
        </w:rPr>
        <w:t xml:space="preserve"> Specifically we suggest that the region with ‘high’ congruence – CARIFORUM – was the one in which the EU’s vision for regional economic integration was most fully realised.</w:t>
      </w:r>
      <w:r w:rsidR="00CA11EB">
        <w:rPr>
          <w:rStyle w:val="EndnoteReference"/>
          <w:rFonts w:ascii="Times New Roman" w:eastAsia="Garamond" w:hAnsi="Times New Roman" w:cs="Times New Roman"/>
          <w:color w:val="222222"/>
          <w:sz w:val="24"/>
          <w:szCs w:val="24"/>
          <w:highlight w:val="white"/>
        </w:rPr>
        <w:endnoteReference w:id="27"/>
      </w:r>
      <w:r w:rsidRPr="009E6EF1">
        <w:rPr>
          <w:rFonts w:ascii="Times New Roman" w:eastAsia="Garamond" w:hAnsi="Times New Roman" w:cs="Times New Roman"/>
          <w:color w:val="222222"/>
          <w:sz w:val="24"/>
          <w:szCs w:val="24"/>
          <w:highlight w:val="white"/>
        </w:rPr>
        <w:t xml:space="preserve"> Those with ‘moderate’ congruence – West </w:t>
      </w:r>
      <w:r w:rsidRPr="009E6EF1">
        <w:rPr>
          <w:rFonts w:ascii="Times New Roman" w:eastAsia="Garamond" w:hAnsi="Times New Roman" w:cs="Times New Roman"/>
          <w:color w:val="222222"/>
          <w:sz w:val="24"/>
          <w:szCs w:val="24"/>
          <w:highlight w:val="white"/>
        </w:rPr>
        <w:lastRenderedPageBreak/>
        <w:t xml:space="preserve">Africa, EAC and the SADC EPA group – displayed a reasonable level of institutional coherence but </w:t>
      </w:r>
      <w:r w:rsidR="003D4650">
        <w:rPr>
          <w:rFonts w:ascii="Times New Roman" w:eastAsia="Garamond" w:hAnsi="Times New Roman" w:cs="Times New Roman"/>
          <w:color w:val="222222"/>
          <w:sz w:val="24"/>
          <w:szCs w:val="24"/>
          <w:highlight w:val="white"/>
        </w:rPr>
        <w:t>only partial uptake of the specific regional institutional forms – as well as the broader ideological prospectus – that underpinned the EPAs</w:t>
      </w:r>
      <w:r w:rsidRPr="009E6EF1">
        <w:rPr>
          <w:rFonts w:ascii="Times New Roman" w:eastAsia="Garamond" w:hAnsi="Times New Roman" w:cs="Times New Roman"/>
          <w:color w:val="222222"/>
          <w:sz w:val="24"/>
          <w:szCs w:val="24"/>
          <w:highlight w:val="white"/>
        </w:rPr>
        <w:t>. This institutional coherence gave these regions a degree of collective leverage that enabled them to challenge (albeit in limited ways) key aspects of the EPA prospectus in order to reach compromise regional agreements</w:t>
      </w:r>
      <w:r w:rsidR="003D4650">
        <w:rPr>
          <w:rFonts w:ascii="Times New Roman" w:eastAsia="Garamond" w:hAnsi="Times New Roman" w:cs="Times New Roman"/>
          <w:color w:val="222222"/>
          <w:sz w:val="24"/>
          <w:szCs w:val="24"/>
          <w:highlight w:val="white"/>
        </w:rPr>
        <w:t xml:space="preserve"> that better reflected </w:t>
      </w:r>
      <w:r w:rsidR="00557B4C">
        <w:rPr>
          <w:rFonts w:ascii="Times New Roman" w:eastAsia="Garamond" w:hAnsi="Times New Roman" w:cs="Times New Roman"/>
          <w:color w:val="222222"/>
          <w:sz w:val="24"/>
          <w:szCs w:val="24"/>
          <w:highlight w:val="white"/>
        </w:rPr>
        <w:t>their own</w:t>
      </w:r>
      <w:r w:rsidR="003D4650">
        <w:rPr>
          <w:rFonts w:ascii="Times New Roman" w:eastAsia="Garamond" w:hAnsi="Times New Roman" w:cs="Times New Roman"/>
          <w:color w:val="222222"/>
          <w:sz w:val="24"/>
          <w:szCs w:val="24"/>
          <w:highlight w:val="white"/>
        </w:rPr>
        <w:t xml:space="preserve"> regional priorities</w:t>
      </w:r>
      <w:r w:rsidRPr="009E6EF1">
        <w:rPr>
          <w:rFonts w:ascii="Times New Roman" w:eastAsia="Garamond" w:hAnsi="Times New Roman" w:cs="Times New Roman"/>
          <w:color w:val="222222"/>
          <w:sz w:val="24"/>
          <w:szCs w:val="24"/>
          <w:highlight w:val="white"/>
        </w:rPr>
        <w:t>. Finally, th</w:t>
      </w:r>
      <w:r w:rsidR="00D0575F">
        <w:rPr>
          <w:rFonts w:ascii="Times New Roman" w:eastAsia="Garamond" w:hAnsi="Times New Roman" w:cs="Times New Roman"/>
          <w:color w:val="222222"/>
          <w:sz w:val="24"/>
          <w:szCs w:val="24"/>
          <w:highlight w:val="white"/>
        </w:rPr>
        <w:t>ose regions with ‘low’ congruence</w:t>
      </w:r>
      <w:r w:rsidRPr="009E6EF1">
        <w:rPr>
          <w:rFonts w:ascii="Times New Roman" w:eastAsia="Garamond" w:hAnsi="Times New Roman" w:cs="Times New Roman"/>
          <w:color w:val="222222"/>
          <w:sz w:val="24"/>
          <w:szCs w:val="24"/>
          <w:highlight w:val="white"/>
        </w:rPr>
        <w:t xml:space="preserve"> – Central Africa, ESA and the Pacific – were unable to formulate coherent regional negotiating positions and were more likely to fall back on narrow economic calculations to secure access to the EU market on a bilateral or </w:t>
      </w:r>
      <w:proofErr w:type="spellStart"/>
      <w:r w:rsidRPr="009E6EF1">
        <w:rPr>
          <w:rFonts w:ascii="Times New Roman" w:eastAsia="Garamond" w:hAnsi="Times New Roman" w:cs="Times New Roman"/>
          <w:color w:val="222222"/>
          <w:sz w:val="24"/>
          <w:szCs w:val="24"/>
          <w:highlight w:val="white"/>
        </w:rPr>
        <w:t>subregional</w:t>
      </w:r>
      <w:proofErr w:type="spellEnd"/>
      <w:r w:rsidRPr="009E6EF1">
        <w:rPr>
          <w:rFonts w:ascii="Times New Roman" w:eastAsia="Garamond" w:hAnsi="Times New Roman" w:cs="Times New Roman"/>
          <w:color w:val="222222"/>
          <w:sz w:val="24"/>
          <w:szCs w:val="24"/>
          <w:highlight w:val="white"/>
        </w:rPr>
        <w:t xml:space="preserve"> basis.</w:t>
      </w:r>
    </w:p>
    <w:p w14:paraId="5C127A91" w14:textId="77777777" w:rsidR="00E36302" w:rsidRPr="009E6EF1" w:rsidRDefault="009E6EF1">
      <w:pPr>
        <w:spacing w:after="200" w:line="360" w:lineRule="auto"/>
        <w:jc w:val="both"/>
        <w:rPr>
          <w:rFonts w:ascii="Times New Roman" w:hAnsi="Times New Roman" w:cs="Times New Roman"/>
          <w:sz w:val="24"/>
          <w:szCs w:val="24"/>
        </w:rPr>
      </w:pPr>
      <w:r w:rsidRPr="009E6EF1">
        <w:rPr>
          <w:rFonts w:ascii="Times New Roman" w:eastAsia="Garamond" w:hAnsi="Times New Roman" w:cs="Times New Roman"/>
          <w:color w:val="222222"/>
          <w:sz w:val="24"/>
          <w:szCs w:val="24"/>
          <w:highlight w:val="white"/>
        </w:rPr>
        <w:t>[Table 2 here]</w:t>
      </w:r>
    </w:p>
    <w:p w14:paraId="4BF4F234" w14:textId="77777777" w:rsidR="00E36302" w:rsidRPr="009E6EF1" w:rsidRDefault="009E6EF1">
      <w:pPr>
        <w:spacing w:after="200" w:line="360" w:lineRule="auto"/>
        <w:jc w:val="both"/>
        <w:rPr>
          <w:rFonts w:ascii="Times New Roman" w:hAnsi="Times New Roman" w:cs="Times New Roman"/>
          <w:sz w:val="24"/>
          <w:szCs w:val="24"/>
        </w:rPr>
      </w:pPr>
      <w:r w:rsidRPr="009E6EF1">
        <w:rPr>
          <w:rFonts w:ascii="Times New Roman" w:eastAsia="Garamond" w:hAnsi="Times New Roman" w:cs="Times New Roman"/>
          <w:i/>
          <w:color w:val="222222"/>
          <w:sz w:val="24"/>
          <w:szCs w:val="24"/>
          <w:highlight w:val="white"/>
        </w:rPr>
        <w:t>High Congruence</w:t>
      </w:r>
    </w:p>
    <w:p w14:paraId="0EFC9374" w14:textId="1767858B" w:rsidR="00E36302" w:rsidRPr="00AB2D2B" w:rsidRDefault="009E6EF1">
      <w:pPr>
        <w:spacing w:after="200" w:line="360" w:lineRule="auto"/>
        <w:jc w:val="both"/>
        <w:rPr>
          <w:rFonts w:ascii="Times New Roman" w:eastAsia="Garamond" w:hAnsi="Times New Roman" w:cs="Times New Roman"/>
          <w:color w:val="222222"/>
          <w:sz w:val="24"/>
          <w:szCs w:val="24"/>
          <w:highlight w:val="white"/>
        </w:rPr>
      </w:pPr>
      <w:r w:rsidRPr="009E6EF1">
        <w:rPr>
          <w:rFonts w:ascii="Times New Roman" w:eastAsia="Garamond" w:hAnsi="Times New Roman" w:cs="Times New Roman"/>
          <w:color w:val="222222"/>
          <w:sz w:val="24"/>
          <w:szCs w:val="24"/>
          <w:highlight w:val="white"/>
        </w:rPr>
        <w:t>Only one region – CARIFORUM – possessed a high (although not entirely unproblematic) level of congruence with the institutional preconditions of the model of economic integration at the heart of the EPAs. All but one of the Caribbean ACP countries – the Dominican Republic – were members of the Caribbean Community (CARICOM), a region that has achieved an advanced level of economic integration and institutional capacity, having applied a CET since 1991 and established the CARICOM Single Market and Economy (CSME) in 2006. To include Dominican Republic, the EPA group was based on the broader Caribbean Forum (CARIFORUM) region, which had been created in 1992 for the purpose of coordinating European Development Fund assistance to the region.</w:t>
      </w:r>
      <w:r w:rsidR="00CA11EB">
        <w:rPr>
          <w:rStyle w:val="EndnoteReference"/>
          <w:rFonts w:ascii="Times New Roman" w:eastAsia="Garamond" w:hAnsi="Times New Roman" w:cs="Times New Roman"/>
          <w:color w:val="222222"/>
          <w:sz w:val="24"/>
          <w:szCs w:val="24"/>
          <w:highlight w:val="white"/>
        </w:rPr>
        <w:endnoteReference w:id="28"/>
      </w:r>
      <w:r w:rsidRPr="009E6EF1">
        <w:rPr>
          <w:rFonts w:ascii="Times New Roman" w:eastAsia="Garamond" w:hAnsi="Times New Roman" w:cs="Times New Roman"/>
          <w:color w:val="222222"/>
          <w:sz w:val="24"/>
          <w:szCs w:val="24"/>
          <w:highlight w:val="white"/>
        </w:rPr>
        <w:t xml:space="preserve"> Although less advanced than CARICOM, CARIFORUM had an active regional economic integration agenda, an FTA having been concluded between CARICOM and the Dominican Republic in 2001 with a CET being implemented simultaneously with the EPA negotiations.</w:t>
      </w:r>
      <w:r w:rsidR="000330F9">
        <w:rPr>
          <w:rStyle w:val="EndnoteReference"/>
          <w:rFonts w:ascii="Times New Roman" w:eastAsia="Garamond" w:hAnsi="Times New Roman" w:cs="Times New Roman"/>
          <w:color w:val="222222"/>
          <w:sz w:val="24"/>
          <w:szCs w:val="24"/>
          <w:highlight w:val="white"/>
        </w:rPr>
        <w:endnoteReference w:id="29"/>
      </w:r>
      <w:r w:rsidRPr="009E6EF1">
        <w:rPr>
          <w:rFonts w:ascii="Times New Roman" w:eastAsia="Garamond" w:hAnsi="Times New Roman" w:cs="Times New Roman"/>
          <w:color w:val="222222"/>
          <w:sz w:val="24"/>
          <w:szCs w:val="24"/>
          <w:highlight w:val="white"/>
        </w:rPr>
        <w:t xml:space="preserve"> Furthermore, during their preparations for the EPA talks, the CARIFORUM members agreed a negotiating structure that grant</w:t>
      </w:r>
      <w:r w:rsidR="007003F6">
        <w:rPr>
          <w:rFonts w:ascii="Times New Roman" w:eastAsia="Garamond" w:hAnsi="Times New Roman" w:cs="Times New Roman"/>
          <w:color w:val="222222"/>
          <w:sz w:val="24"/>
          <w:szCs w:val="24"/>
          <w:highlight w:val="white"/>
        </w:rPr>
        <w:t>ed</w:t>
      </w:r>
      <w:r w:rsidRPr="009E6EF1">
        <w:rPr>
          <w:rFonts w:ascii="Times New Roman" w:eastAsia="Garamond" w:hAnsi="Times New Roman" w:cs="Times New Roman"/>
          <w:color w:val="222222"/>
          <w:sz w:val="24"/>
          <w:szCs w:val="24"/>
          <w:highlight w:val="white"/>
        </w:rPr>
        <w:t xml:space="preserve"> supranational authority to a quasi-autonomous body – the Caribbean Regional Negotiating Machinery (CRNM)</w:t>
      </w:r>
      <w:r w:rsidR="000330F9">
        <w:rPr>
          <w:rStyle w:val="EndnoteReference"/>
          <w:rFonts w:ascii="Times New Roman" w:eastAsia="Garamond" w:hAnsi="Times New Roman" w:cs="Times New Roman"/>
          <w:color w:val="222222"/>
          <w:sz w:val="24"/>
          <w:szCs w:val="24"/>
          <w:highlight w:val="white"/>
        </w:rPr>
        <w:endnoteReference w:id="30"/>
      </w:r>
      <w:r w:rsidR="00D063F4">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 xml:space="preserve">– the like of which </w:t>
      </w:r>
      <w:r w:rsidR="007003F6">
        <w:rPr>
          <w:rFonts w:ascii="Times New Roman" w:eastAsia="Garamond" w:hAnsi="Times New Roman" w:cs="Times New Roman"/>
          <w:color w:val="222222"/>
          <w:sz w:val="24"/>
          <w:szCs w:val="24"/>
          <w:highlight w:val="white"/>
        </w:rPr>
        <w:t>did not exist</w:t>
      </w:r>
      <w:r w:rsidRPr="009E6EF1">
        <w:rPr>
          <w:rFonts w:ascii="Times New Roman" w:eastAsia="Garamond" w:hAnsi="Times New Roman" w:cs="Times New Roman"/>
          <w:color w:val="222222"/>
          <w:sz w:val="24"/>
          <w:szCs w:val="24"/>
          <w:highlight w:val="white"/>
        </w:rPr>
        <w:t xml:space="preserve"> </w:t>
      </w:r>
      <w:r w:rsidR="007003F6">
        <w:rPr>
          <w:rFonts w:ascii="Times New Roman" w:eastAsia="Garamond" w:hAnsi="Times New Roman" w:cs="Times New Roman"/>
          <w:color w:val="222222"/>
          <w:sz w:val="24"/>
          <w:szCs w:val="24"/>
          <w:highlight w:val="white"/>
        </w:rPr>
        <w:t>in</w:t>
      </w:r>
      <w:r w:rsidRPr="009E6EF1">
        <w:rPr>
          <w:rFonts w:ascii="Times New Roman" w:eastAsia="Garamond" w:hAnsi="Times New Roman" w:cs="Times New Roman"/>
          <w:color w:val="222222"/>
          <w:sz w:val="24"/>
          <w:szCs w:val="24"/>
          <w:highlight w:val="white"/>
        </w:rPr>
        <w:t xml:space="preserve"> other ACP regions.</w:t>
      </w:r>
      <w:r w:rsidR="005066B9">
        <w:rPr>
          <w:rStyle w:val="EndnoteReference"/>
          <w:rFonts w:ascii="Times New Roman" w:eastAsia="Garamond" w:hAnsi="Times New Roman" w:cs="Times New Roman"/>
          <w:color w:val="222222"/>
          <w:sz w:val="24"/>
          <w:szCs w:val="24"/>
          <w:highlight w:val="white"/>
        </w:rPr>
        <w:endnoteReference w:id="31"/>
      </w:r>
    </w:p>
    <w:p w14:paraId="0AB18576" w14:textId="34EEEF66" w:rsidR="00E36302" w:rsidRPr="00DF46BA" w:rsidRDefault="009E6EF1">
      <w:pPr>
        <w:spacing w:after="200" w:line="360" w:lineRule="auto"/>
        <w:jc w:val="both"/>
        <w:rPr>
          <w:rFonts w:ascii="Times New Roman" w:eastAsia="Garamond" w:hAnsi="Times New Roman" w:cs="Times New Roman"/>
          <w:color w:val="222222"/>
          <w:sz w:val="24"/>
          <w:szCs w:val="24"/>
          <w:highlight w:val="white"/>
        </w:rPr>
      </w:pPr>
      <w:r w:rsidRPr="009E6EF1">
        <w:rPr>
          <w:rFonts w:ascii="Times New Roman" w:eastAsia="Garamond" w:hAnsi="Times New Roman" w:cs="Times New Roman"/>
          <w:color w:val="222222"/>
          <w:sz w:val="24"/>
          <w:szCs w:val="24"/>
          <w:highlight w:val="white"/>
        </w:rPr>
        <w:t xml:space="preserve">Although not a perfect fit, the institutional trajectory of the CARIFORUM region </w:t>
      </w:r>
      <w:r w:rsidR="007003F6">
        <w:rPr>
          <w:rFonts w:ascii="Times New Roman" w:eastAsia="Garamond" w:hAnsi="Times New Roman" w:cs="Times New Roman"/>
          <w:color w:val="222222"/>
          <w:sz w:val="24"/>
          <w:szCs w:val="24"/>
          <w:highlight w:val="white"/>
        </w:rPr>
        <w:t>was,</w:t>
      </w:r>
      <w:r w:rsidR="007003F6" w:rsidRPr="009E6EF1">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by far</w:t>
      </w:r>
      <w:r w:rsidR="007003F6">
        <w:rPr>
          <w:rFonts w:ascii="Times New Roman" w:eastAsia="Garamond" w:hAnsi="Times New Roman" w:cs="Times New Roman"/>
          <w:color w:val="222222"/>
          <w:sz w:val="24"/>
          <w:szCs w:val="24"/>
          <w:highlight w:val="white"/>
        </w:rPr>
        <w:t>,</w:t>
      </w:r>
      <w:r w:rsidRPr="009E6EF1">
        <w:rPr>
          <w:rFonts w:ascii="Times New Roman" w:eastAsia="Garamond" w:hAnsi="Times New Roman" w:cs="Times New Roman"/>
          <w:color w:val="222222"/>
          <w:sz w:val="24"/>
          <w:szCs w:val="24"/>
          <w:highlight w:val="white"/>
        </w:rPr>
        <w:t xml:space="preserve"> the closest of any of the EPA groups to matching the conditions that the European Commission had originally s</w:t>
      </w:r>
      <w:r w:rsidR="00D42225">
        <w:rPr>
          <w:rFonts w:ascii="Times New Roman" w:eastAsia="Garamond" w:hAnsi="Times New Roman" w:cs="Times New Roman"/>
          <w:color w:val="222222"/>
          <w:sz w:val="24"/>
          <w:szCs w:val="24"/>
          <w:highlight w:val="white"/>
        </w:rPr>
        <w:t>tipulated</w:t>
      </w:r>
      <w:r w:rsidRPr="009E6EF1">
        <w:rPr>
          <w:rFonts w:ascii="Times New Roman" w:eastAsia="Garamond" w:hAnsi="Times New Roman" w:cs="Times New Roman"/>
          <w:color w:val="222222"/>
          <w:sz w:val="24"/>
          <w:szCs w:val="24"/>
          <w:highlight w:val="white"/>
        </w:rPr>
        <w:t xml:space="preserve"> would be necessary to negotiate a regional EPA. Furthermore</w:t>
      </w:r>
      <w:r w:rsidR="00D42225">
        <w:rPr>
          <w:rFonts w:ascii="Times New Roman" w:eastAsia="Garamond" w:hAnsi="Times New Roman" w:cs="Times New Roman"/>
          <w:color w:val="222222"/>
          <w:sz w:val="24"/>
          <w:szCs w:val="24"/>
          <w:highlight w:val="white"/>
        </w:rPr>
        <w:t>,</w:t>
      </w:r>
      <w:r w:rsidRPr="009E6EF1">
        <w:rPr>
          <w:rFonts w:ascii="Times New Roman" w:eastAsia="Garamond" w:hAnsi="Times New Roman" w:cs="Times New Roman"/>
          <w:color w:val="222222"/>
          <w:sz w:val="24"/>
          <w:szCs w:val="24"/>
          <w:highlight w:val="white"/>
        </w:rPr>
        <w:t xml:space="preserve"> the region’s </w:t>
      </w:r>
      <w:r w:rsidRPr="009E6EF1">
        <w:rPr>
          <w:rFonts w:ascii="Times New Roman" w:eastAsia="Garamond" w:hAnsi="Times New Roman" w:cs="Times New Roman"/>
          <w:color w:val="222222"/>
          <w:sz w:val="24"/>
          <w:szCs w:val="24"/>
          <w:highlight w:val="white"/>
        </w:rPr>
        <w:lastRenderedPageBreak/>
        <w:t xml:space="preserve">existing successes in implementing a process of economic integration modelled on the </w:t>
      </w:r>
      <w:r w:rsidR="00D42225" w:rsidRPr="009E6EF1">
        <w:rPr>
          <w:rFonts w:ascii="Times New Roman" w:eastAsia="Garamond" w:hAnsi="Times New Roman" w:cs="Times New Roman"/>
          <w:color w:val="222222"/>
          <w:sz w:val="24"/>
          <w:szCs w:val="24"/>
          <w:highlight w:val="white"/>
        </w:rPr>
        <w:t>E</w:t>
      </w:r>
      <w:r w:rsidR="00D42225">
        <w:rPr>
          <w:rFonts w:ascii="Times New Roman" w:eastAsia="Garamond" w:hAnsi="Times New Roman" w:cs="Times New Roman"/>
          <w:color w:val="222222"/>
          <w:sz w:val="24"/>
          <w:szCs w:val="24"/>
          <w:highlight w:val="white"/>
        </w:rPr>
        <w:t>U</w:t>
      </w:r>
      <w:r w:rsidR="00D42225" w:rsidRPr="009E6EF1">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 xml:space="preserve">example </w:t>
      </w:r>
      <w:r w:rsidR="00231CDD">
        <w:rPr>
          <w:rFonts w:ascii="Times New Roman" w:eastAsia="Garamond" w:hAnsi="Times New Roman" w:cs="Times New Roman"/>
          <w:color w:val="222222"/>
          <w:sz w:val="24"/>
          <w:szCs w:val="24"/>
          <w:highlight w:val="white"/>
        </w:rPr>
        <w:t>reflected</w:t>
      </w:r>
      <w:r w:rsidR="00231CDD" w:rsidRPr="009E6EF1">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 xml:space="preserve">a measure of ideological </w:t>
      </w:r>
      <w:r w:rsidR="00D42225">
        <w:rPr>
          <w:rFonts w:ascii="Times New Roman" w:eastAsia="Garamond" w:hAnsi="Times New Roman" w:cs="Times New Roman"/>
          <w:color w:val="222222"/>
          <w:sz w:val="24"/>
          <w:szCs w:val="24"/>
          <w:highlight w:val="white"/>
        </w:rPr>
        <w:t>convergence</w:t>
      </w:r>
      <w:r w:rsidR="00D42225" w:rsidRPr="009E6EF1">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 xml:space="preserve">between Caribbean </w:t>
      </w:r>
      <w:r w:rsidR="00D42225">
        <w:rPr>
          <w:rFonts w:ascii="Times New Roman" w:eastAsia="Garamond" w:hAnsi="Times New Roman" w:cs="Times New Roman"/>
          <w:color w:val="222222"/>
          <w:sz w:val="24"/>
          <w:szCs w:val="24"/>
          <w:highlight w:val="white"/>
        </w:rPr>
        <w:t xml:space="preserve">elites </w:t>
      </w:r>
      <w:r w:rsidRPr="009E6EF1">
        <w:rPr>
          <w:rFonts w:ascii="Times New Roman" w:eastAsia="Garamond" w:hAnsi="Times New Roman" w:cs="Times New Roman"/>
          <w:color w:val="222222"/>
          <w:sz w:val="24"/>
          <w:szCs w:val="24"/>
          <w:highlight w:val="white"/>
        </w:rPr>
        <w:t xml:space="preserve">and </w:t>
      </w:r>
      <w:r w:rsidR="00D42225">
        <w:rPr>
          <w:rFonts w:ascii="Times New Roman" w:eastAsia="Garamond" w:hAnsi="Times New Roman" w:cs="Times New Roman"/>
          <w:color w:val="222222"/>
          <w:sz w:val="24"/>
          <w:szCs w:val="24"/>
          <w:highlight w:val="white"/>
        </w:rPr>
        <w:t>their EU counterparts</w:t>
      </w:r>
      <w:r w:rsidRPr="009E6EF1">
        <w:rPr>
          <w:rFonts w:ascii="Times New Roman" w:eastAsia="Garamond" w:hAnsi="Times New Roman" w:cs="Times New Roman"/>
          <w:color w:val="222222"/>
          <w:sz w:val="24"/>
          <w:szCs w:val="24"/>
          <w:highlight w:val="white"/>
        </w:rPr>
        <w:t xml:space="preserve">. Indeed, Bishop, Heron and </w:t>
      </w:r>
      <w:r w:rsidR="00D62484" w:rsidRPr="009E6EF1">
        <w:rPr>
          <w:rFonts w:ascii="Times New Roman" w:eastAsia="Garamond" w:hAnsi="Times New Roman" w:cs="Times New Roman"/>
          <w:color w:val="222222"/>
          <w:sz w:val="24"/>
          <w:szCs w:val="24"/>
          <w:highlight w:val="white"/>
        </w:rPr>
        <w:t xml:space="preserve">Payne </w:t>
      </w:r>
      <w:r w:rsidR="00D62484">
        <w:rPr>
          <w:rFonts w:ascii="Times New Roman" w:eastAsia="Garamond" w:hAnsi="Times New Roman" w:cs="Times New Roman"/>
          <w:color w:val="222222"/>
          <w:sz w:val="24"/>
          <w:szCs w:val="24"/>
          <w:highlight w:val="white"/>
        </w:rPr>
        <w:t>suggest</w:t>
      </w:r>
      <w:r w:rsidRPr="009E6EF1">
        <w:rPr>
          <w:rFonts w:ascii="Times New Roman" w:eastAsia="Garamond" w:hAnsi="Times New Roman" w:cs="Times New Roman"/>
          <w:color w:val="222222"/>
          <w:sz w:val="24"/>
          <w:szCs w:val="24"/>
          <w:highlight w:val="white"/>
        </w:rPr>
        <w:t xml:space="preserve"> that the CRNM – which was endowed with ‘a forceful personality of its own’ and ‘considerable intellectual capacity, drive and confidence’ – played an important role in stressing the claimed synergies between a full regional EPA and the Caribbean’s existing efforts to pursue a neoliberal model of regional economic development</w:t>
      </w:r>
      <w:r w:rsidR="00090F10">
        <w:rPr>
          <w:rFonts w:ascii="Times New Roman" w:eastAsia="Garamond" w:hAnsi="Times New Roman" w:cs="Times New Roman"/>
          <w:color w:val="222222"/>
          <w:sz w:val="24"/>
          <w:szCs w:val="24"/>
          <w:highlight w:val="white"/>
        </w:rPr>
        <w:t>.</w:t>
      </w:r>
      <w:r w:rsidR="000330F9">
        <w:rPr>
          <w:rStyle w:val="EndnoteReference"/>
          <w:rFonts w:ascii="Times New Roman" w:eastAsia="Garamond" w:hAnsi="Times New Roman" w:cs="Times New Roman"/>
          <w:color w:val="222222"/>
          <w:sz w:val="24"/>
          <w:szCs w:val="24"/>
          <w:highlight w:val="white"/>
        </w:rPr>
        <w:endnoteReference w:id="32"/>
      </w:r>
      <w:r w:rsidR="00090F10">
        <w:rPr>
          <w:rFonts w:ascii="Times New Roman" w:eastAsia="Garamond" w:hAnsi="Times New Roman" w:cs="Times New Roman"/>
          <w:color w:val="222222"/>
          <w:sz w:val="24"/>
          <w:szCs w:val="24"/>
          <w:highlight w:val="white"/>
        </w:rPr>
        <w:t xml:space="preserve"> Similarly, Elijah Nyaga </w:t>
      </w:r>
      <w:proofErr w:type="spellStart"/>
      <w:r w:rsidR="00D62484">
        <w:rPr>
          <w:rFonts w:ascii="Times New Roman" w:eastAsia="Garamond" w:hAnsi="Times New Roman" w:cs="Times New Roman"/>
          <w:color w:val="222222"/>
          <w:sz w:val="24"/>
          <w:szCs w:val="24"/>
          <w:highlight w:val="white"/>
        </w:rPr>
        <w:t>Munyi</w:t>
      </w:r>
      <w:proofErr w:type="spellEnd"/>
      <w:r w:rsidR="00D62484">
        <w:rPr>
          <w:rFonts w:ascii="Times New Roman" w:eastAsia="Garamond" w:hAnsi="Times New Roman" w:cs="Times New Roman"/>
          <w:color w:val="222222"/>
          <w:sz w:val="24"/>
          <w:szCs w:val="24"/>
          <w:highlight w:val="white"/>
        </w:rPr>
        <w:t xml:space="preserve"> presents</w:t>
      </w:r>
      <w:r w:rsidRPr="009E6EF1">
        <w:rPr>
          <w:rFonts w:ascii="Times New Roman" w:eastAsia="Garamond" w:hAnsi="Times New Roman" w:cs="Times New Roman"/>
          <w:color w:val="222222"/>
          <w:sz w:val="24"/>
          <w:szCs w:val="24"/>
          <w:highlight w:val="white"/>
        </w:rPr>
        <w:t xml:space="preserve"> survey evidence that Caribbean negotiators expressed a far stronger ‘neoliberal bias’ – in the sense that they were likely to believe that a reciprocal EPA would ‘generally promote exports, export diversification and competition […] better than the preferential Cotonou Agreement’ – than those of other ACP regions.</w:t>
      </w:r>
      <w:r w:rsidR="000330F9">
        <w:rPr>
          <w:rStyle w:val="EndnoteReference"/>
          <w:rFonts w:ascii="Times New Roman" w:eastAsia="Garamond" w:hAnsi="Times New Roman" w:cs="Times New Roman"/>
          <w:color w:val="222222"/>
          <w:sz w:val="24"/>
          <w:szCs w:val="24"/>
          <w:highlight w:val="white"/>
        </w:rPr>
        <w:endnoteReference w:id="33"/>
      </w:r>
      <w:r w:rsidRPr="009E6EF1">
        <w:rPr>
          <w:rFonts w:ascii="Times New Roman" w:eastAsia="Garamond" w:hAnsi="Times New Roman" w:cs="Times New Roman"/>
          <w:color w:val="222222"/>
          <w:sz w:val="24"/>
          <w:szCs w:val="24"/>
          <w:highlight w:val="white"/>
        </w:rPr>
        <w:t xml:space="preserve"> CRNM officials also evidently </w:t>
      </w:r>
      <w:r w:rsidR="00D62484">
        <w:rPr>
          <w:rFonts w:ascii="Times New Roman" w:eastAsia="Garamond" w:hAnsi="Times New Roman" w:cs="Times New Roman"/>
          <w:color w:val="222222"/>
          <w:sz w:val="24"/>
          <w:szCs w:val="24"/>
          <w:highlight w:val="white"/>
        </w:rPr>
        <w:t>subscribed to</w:t>
      </w:r>
      <w:r w:rsidRPr="009E6EF1">
        <w:rPr>
          <w:rFonts w:ascii="Times New Roman" w:eastAsia="Garamond" w:hAnsi="Times New Roman" w:cs="Times New Roman"/>
          <w:color w:val="222222"/>
          <w:sz w:val="24"/>
          <w:szCs w:val="24"/>
          <w:highlight w:val="white"/>
        </w:rPr>
        <w:t xml:space="preserve"> the </w:t>
      </w:r>
      <w:r w:rsidR="00D42225" w:rsidRPr="009E6EF1">
        <w:rPr>
          <w:rFonts w:ascii="Times New Roman" w:eastAsia="Garamond" w:hAnsi="Times New Roman" w:cs="Times New Roman"/>
          <w:color w:val="222222"/>
          <w:sz w:val="24"/>
          <w:szCs w:val="24"/>
          <w:highlight w:val="white"/>
        </w:rPr>
        <w:t>E</w:t>
      </w:r>
      <w:r w:rsidR="00D42225">
        <w:rPr>
          <w:rFonts w:ascii="Times New Roman" w:eastAsia="Garamond" w:hAnsi="Times New Roman" w:cs="Times New Roman"/>
          <w:color w:val="222222"/>
          <w:sz w:val="24"/>
          <w:szCs w:val="24"/>
          <w:highlight w:val="white"/>
        </w:rPr>
        <w:t>U</w:t>
      </w:r>
      <w:r w:rsidR="00D42225" w:rsidRPr="009E6EF1">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narrative that the region would derive ‘dynamic benefits’ from the proposed inclusion of a services and investment component in a ‘comprehensive’ EPA.</w:t>
      </w:r>
      <w:r w:rsidR="000330F9">
        <w:rPr>
          <w:rStyle w:val="EndnoteReference"/>
          <w:rFonts w:ascii="Times New Roman" w:eastAsia="Garamond" w:hAnsi="Times New Roman" w:cs="Times New Roman"/>
          <w:color w:val="222222"/>
          <w:sz w:val="24"/>
          <w:szCs w:val="24"/>
          <w:highlight w:val="white"/>
        </w:rPr>
        <w:endnoteReference w:id="34"/>
      </w:r>
      <w:r w:rsidRPr="009E6EF1">
        <w:rPr>
          <w:rFonts w:ascii="Times New Roman" w:eastAsia="Garamond" w:hAnsi="Times New Roman" w:cs="Times New Roman"/>
          <w:color w:val="222222"/>
          <w:sz w:val="24"/>
          <w:szCs w:val="24"/>
          <w:highlight w:val="white"/>
        </w:rPr>
        <w:t xml:space="preserve"> In other words, what </w:t>
      </w:r>
      <w:proofErr w:type="gramStart"/>
      <w:r w:rsidRPr="009E6EF1">
        <w:rPr>
          <w:rFonts w:ascii="Times New Roman" w:eastAsia="Garamond" w:hAnsi="Times New Roman" w:cs="Times New Roman"/>
          <w:color w:val="222222"/>
          <w:sz w:val="24"/>
          <w:szCs w:val="24"/>
          <w:highlight w:val="white"/>
        </w:rPr>
        <w:t>was</w:t>
      </w:r>
      <w:proofErr w:type="gramEnd"/>
      <w:r w:rsidRPr="009E6EF1">
        <w:rPr>
          <w:rFonts w:ascii="Times New Roman" w:eastAsia="Garamond" w:hAnsi="Times New Roman" w:cs="Times New Roman"/>
          <w:color w:val="222222"/>
          <w:sz w:val="24"/>
          <w:szCs w:val="24"/>
          <w:highlight w:val="white"/>
        </w:rPr>
        <w:t xml:space="preserve"> important in the early realisation of a comprehensive regional EPA in the Caribbean was both the region’s institutional capacity and the way in which this helped to foster a coherent ideological position compatible with </w:t>
      </w:r>
      <w:r w:rsidR="00231CDD">
        <w:rPr>
          <w:rFonts w:ascii="Times New Roman" w:eastAsia="Garamond" w:hAnsi="Times New Roman" w:cs="Times New Roman"/>
          <w:color w:val="222222"/>
          <w:sz w:val="24"/>
          <w:szCs w:val="24"/>
          <w:highlight w:val="white"/>
        </w:rPr>
        <w:t>that of the EU</w:t>
      </w:r>
      <w:r w:rsidRPr="009E6EF1">
        <w:rPr>
          <w:rFonts w:ascii="Times New Roman" w:eastAsia="Garamond" w:hAnsi="Times New Roman" w:cs="Times New Roman"/>
          <w:color w:val="222222"/>
          <w:sz w:val="24"/>
          <w:szCs w:val="24"/>
          <w:highlight w:val="white"/>
        </w:rPr>
        <w:t>.</w:t>
      </w:r>
    </w:p>
    <w:p w14:paraId="5759BBCF" w14:textId="77777777" w:rsidR="00E36302" w:rsidRPr="009E6EF1" w:rsidRDefault="009E6EF1">
      <w:pPr>
        <w:spacing w:after="200" w:line="360" w:lineRule="auto"/>
        <w:jc w:val="both"/>
        <w:rPr>
          <w:rFonts w:ascii="Times New Roman" w:hAnsi="Times New Roman" w:cs="Times New Roman"/>
          <w:sz w:val="24"/>
          <w:szCs w:val="24"/>
        </w:rPr>
      </w:pPr>
      <w:r w:rsidRPr="009E6EF1">
        <w:rPr>
          <w:rFonts w:ascii="Times New Roman" w:eastAsia="Garamond" w:hAnsi="Times New Roman" w:cs="Times New Roman"/>
          <w:i/>
          <w:color w:val="222222"/>
          <w:sz w:val="24"/>
          <w:szCs w:val="24"/>
          <w:highlight w:val="white"/>
        </w:rPr>
        <w:t>Moderate Congruence</w:t>
      </w:r>
    </w:p>
    <w:p w14:paraId="670BA119" w14:textId="67B9CCC9" w:rsidR="009F3776" w:rsidRDefault="009E6EF1">
      <w:pPr>
        <w:spacing w:after="200" w:line="360" w:lineRule="auto"/>
        <w:jc w:val="both"/>
        <w:rPr>
          <w:rFonts w:ascii="Times New Roman" w:eastAsia="Garamond" w:hAnsi="Times New Roman" w:cs="Times New Roman"/>
          <w:color w:val="222222"/>
          <w:sz w:val="24"/>
          <w:szCs w:val="24"/>
          <w:highlight w:val="white"/>
        </w:rPr>
      </w:pPr>
      <w:r w:rsidRPr="009E6EF1">
        <w:rPr>
          <w:rFonts w:ascii="Times New Roman" w:eastAsia="Garamond" w:hAnsi="Times New Roman" w:cs="Times New Roman"/>
          <w:color w:val="222222"/>
          <w:sz w:val="24"/>
          <w:szCs w:val="24"/>
          <w:highlight w:val="white"/>
        </w:rPr>
        <w:t>Outside of the Caribbean, ACP regions demonstrated a poorer fit with the institutional prerequisites of the EPAs. This was not simply a technical question of institutional capacity. It also reflected a weaker political and ideological commitment to the model of regional economic development at the heart of both the European project in general, and the EU’s external promotion of regional integration through the EPAs more specifically.</w:t>
      </w:r>
      <w:r w:rsidR="00EA086F">
        <w:rPr>
          <w:rStyle w:val="EndnoteReference"/>
          <w:rFonts w:ascii="Times New Roman" w:eastAsia="Garamond" w:hAnsi="Times New Roman" w:cs="Times New Roman"/>
          <w:color w:val="222222"/>
          <w:sz w:val="24"/>
          <w:szCs w:val="24"/>
          <w:highlight w:val="white"/>
        </w:rPr>
        <w:endnoteReference w:id="35"/>
      </w:r>
      <w:r w:rsidRPr="009E6EF1">
        <w:rPr>
          <w:rFonts w:ascii="Times New Roman" w:eastAsia="Garamond" w:hAnsi="Times New Roman" w:cs="Times New Roman"/>
          <w:color w:val="222222"/>
          <w:sz w:val="24"/>
          <w:szCs w:val="24"/>
          <w:highlight w:val="white"/>
        </w:rPr>
        <w:t xml:space="preserve"> </w:t>
      </w:r>
      <w:r w:rsidR="00D42225">
        <w:rPr>
          <w:rFonts w:ascii="Times New Roman" w:eastAsia="Garamond" w:hAnsi="Times New Roman" w:cs="Times New Roman"/>
          <w:color w:val="222222"/>
          <w:sz w:val="24"/>
          <w:szCs w:val="24"/>
          <w:highlight w:val="white"/>
        </w:rPr>
        <w:t>Yet s</w:t>
      </w:r>
      <w:r w:rsidRPr="009E6EF1">
        <w:rPr>
          <w:rFonts w:ascii="Times New Roman" w:eastAsia="Garamond" w:hAnsi="Times New Roman" w:cs="Times New Roman"/>
          <w:color w:val="222222"/>
          <w:sz w:val="24"/>
          <w:szCs w:val="24"/>
          <w:highlight w:val="white"/>
        </w:rPr>
        <w:t>ome regions outside of the Caribbean</w:t>
      </w:r>
      <w:r w:rsidR="00D42225">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 xml:space="preserve">approximated the institutional forms on which the EPAs were predicated </w:t>
      </w:r>
      <w:proofErr w:type="gramStart"/>
      <w:r w:rsidRPr="009E6EF1">
        <w:rPr>
          <w:rFonts w:ascii="Times New Roman" w:eastAsia="Garamond" w:hAnsi="Times New Roman" w:cs="Times New Roman"/>
          <w:color w:val="222222"/>
          <w:sz w:val="24"/>
          <w:szCs w:val="24"/>
          <w:highlight w:val="white"/>
        </w:rPr>
        <w:t>better</w:t>
      </w:r>
      <w:proofErr w:type="gramEnd"/>
      <w:r w:rsidRPr="009E6EF1">
        <w:rPr>
          <w:rFonts w:ascii="Times New Roman" w:eastAsia="Garamond" w:hAnsi="Times New Roman" w:cs="Times New Roman"/>
          <w:color w:val="222222"/>
          <w:sz w:val="24"/>
          <w:szCs w:val="24"/>
          <w:highlight w:val="white"/>
        </w:rPr>
        <w:t xml:space="preserve"> than others (see Table 2).</w:t>
      </w:r>
      <w:r w:rsidR="00D42225">
        <w:rPr>
          <w:rFonts w:ascii="Times New Roman" w:eastAsia="Garamond" w:hAnsi="Times New Roman" w:cs="Times New Roman"/>
          <w:color w:val="222222"/>
          <w:sz w:val="24"/>
          <w:szCs w:val="24"/>
        </w:rPr>
        <w:t xml:space="preserve"> </w:t>
      </w:r>
      <w:r w:rsidRPr="009E6EF1">
        <w:rPr>
          <w:rFonts w:ascii="Times New Roman" w:eastAsia="Garamond" w:hAnsi="Times New Roman" w:cs="Times New Roman"/>
          <w:color w:val="222222"/>
          <w:sz w:val="24"/>
          <w:szCs w:val="24"/>
          <w:highlight w:val="white"/>
        </w:rPr>
        <w:t xml:space="preserve">In particular, the West Africa group mapped closely onto the membership of ECOWAS (with only the addition of Mauritania required), while the EAC EPA group matched the EAC organisation exactly. Both of these regions had economic integration as their original aim and had made progress towards the creation of a customs union </w:t>
      </w:r>
      <w:r w:rsidR="00D42225">
        <w:rPr>
          <w:rFonts w:ascii="Times New Roman" w:eastAsia="Garamond" w:hAnsi="Times New Roman" w:cs="Times New Roman"/>
          <w:color w:val="222222"/>
          <w:sz w:val="24"/>
          <w:szCs w:val="24"/>
          <w:highlight w:val="white"/>
        </w:rPr>
        <w:t>(</w:t>
      </w:r>
      <w:r w:rsidRPr="009E6EF1">
        <w:rPr>
          <w:rFonts w:ascii="Times New Roman" w:eastAsia="Garamond" w:hAnsi="Times New Roman" w:cs="Times New Roman"/>
          <w:color w:val="222222"/>
          <w:sz w:val="24"/>
          <w:szCs w:val="24"/>
          <w:highlight w:val="white"/>
        </w:rPr>
        <w:t>in West Africa this has been implemented in the West African Economic and Monetary Union sub-region while the EAC has been implementing a CET since 2004</w:t>
      </w:r>
      <w:r w:rsidR="00D42225">
        <w:rPr>
          <w:rFonts w:ascii="Times New Roman" w:eastAsia="Garamond" w:hAnsi="Times New Roman" w:cs="Times New Roman"/>
          <w:color w:val="222222"/>
          <w:sz w:val="24"/>
          <w:szCs w:val="24"/>
          <w:highlight w:val="white"/>
        </w:rPr>
        <w:t>)</w:t>
      </w:r>
      <w:r w:rsidRPr="009E6EF1">
        <w:rPr>
          <w:rFonts w:ascii="Times New Roman" w:eastAsia="Garamond" w:hAnsi="Times New Roman" w:cs="Times New Roman"/>
          <w:color w:val="222222"/>
          <w:sz w:val="24"/>
          <w:szCs w:val="24"/>
          <w:highlight w:val="white"/>
        </w:rPr>
        <w:t xml:space="preserve">. Of all the African regions, ECOWAS is one of the more inclined towards supranationalism, as evidenced by the prominent </w:t>
      </w:r>
      <w:r w:rsidRPr="009E6EF1">
        <w:rPr>
          <w:rFonts w:ascii="Times New Roman" w:eastAsia="Garamond" w:hAnsi="Times New Roman" w:cs="Times New Roman"/>
          <w:color w:val="222222"/>
          <w:sz w:val="24"/>
          <w:szCs w:val="24"/>
          <w:highlight w:val="white"/>
        </w:rPr>
        <w:lastRenderedPageBreak/>
        <w:t>role played by the ECOWAS Commission at the apex of the region’s EPA negotiating structure</w:t>
      </w:r>
      <w:r w:rsidR="0073304F">
        <w:rPr>
          <w:rFonts w:ascii="Times New Roman" w:eastAsia="Garamond" w:hAnsi="Times New Roman" w:cs="Times New Roman"/>
          <w:color w:val="222222"/>
          <w:sz w:val="24"/>
          <w:szCs w:val="24"/>
          <w:highlight w:val="white"/>
        </w:rPr>
        <w:t>.</w:t>
      </w:r>
      <w:r w:rsidR="0035000A">
        <w:rPr>
          <w:rStyle w:val="EndnoteReference"/>
          <w:rFonts w:ascii="Times New Roman" w:eastAsia="Garamond" w:hAnsi="Times New Roman" w:cs="Times New Roman"/>
          <w:color w:val="222222"/>
          <w:sz w:val="24"/>
          <w:szCs w:val="24"/>
          <w:highlight w:val="white"/>
        </w:rPr>
        <w:endnoteReference w:id="36"/>
      </w:r>
      <w:r w:rsidRPr="009E6EF1">
        <w:rPr>
          <w:rFonts w:ascii="Times New Roman" w:eastAsia="Garamond" w:hAnsi="Times New Roman" w:cs="Times New Roman"/>
          <w:color w:val="222222"/>
          <w:sz w:val="24"/>
          <w:szCs w:val="24"/>
          <w:highlight w:val="white"/>
        </w:rPr>
        <w:t xml:space="preserve"> </w:t>
      </w:r>
      <w:r w:rsidR="00127326">
        <w:rPr>
          <w:rFonts w:ascii="Times New Roman" w:eastAsia="Garamond" w:hAnsi="Times New Roman" w:cs="Times New Roman"/>
          <w:color w:val="222222"/>
          <w:sz w:val="24"/>
          <w:szCs w:val="24"/>
          <w:highlight w:val="white"/>
        </w:rPr>
        <w:t>Furthermore, the dominant regional actor, Nigeria, worked closely with the ECOWAS Commission to secure a unified regional approach to the negotiations – for example by placing pressure on Ghana and Côte D’Ivoire to refuse to go ahead with the implementation of interim EPAs without the agreement of the rest of the group.</w:t>
      </w:r>
      <w:r w:rsidR="000E4FD7">
        <w:rPr>
          <w:rStyle w:val="EndnoteReference"/>
          <w:rFonts w:ascii="Times New Roman" w:eastAsia="Garamond" w:hAnsi="Times New Roman" w:cs="Times New Roman"/>
          <w:color w:val="222222"/>
          <w:sz w:val="24"/>
          <w:szCs w:val="24"/>
          <w:highlight w:val="white"/>
        </w:rPr>
        <w:endnoteReference w:id="37"/>
      </w:r>
      <w:r w:rsidR="00127326">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 xml:space="preserve">The EAC’s late conversion into an EPA negotiating group meant that </w:t>
      </w:r>
      <w:r w:rsidR="00127326">
        <w:rPr>
          <w:rFonts w:ascii="Times New Roman" w:eastAsia="Garamond" w:hAnsi="Times New Roman" w:cs="Times New Roman"/>
          <w:color w:val="222222"/>
          <w:sz w:val="24"/>
          <w:szCs w:val="24"/>
          <w:highlight w:val="white"/>
        </w:rPr>
        <w:t xml:space="preserve">its </w:t>
      </w:r>
      <w:r w:rsidRPr="009E6EF1">
        <w:rPr>
          <w:rFonts w:ascii="Times New Roman" w:eastAsia="Garamond" w:hAnsi="Times New Roman" w:cs="Times New Roman"/>
          <w:color w:val="222222"/>
          <w:sz w:val="24"/>
          <w:szCs w:val="24"/>
          <w:highlight w:val="white"/>
        </w:rPr>
        <w:t>collective negotiating structures</w:t>
      </w:r>
      <w:r w:rsidR="00127326">
        <w:rPr>
          <w:rFonts w:ascii="Times New Roman" w:eastAsia="Garamond" w:hAnsi="Times New Roman" w:cs="Times New Roman"/>
          <w:color w:val="222222"/>
          <w:sz w:val="24"/>
          <w:szCs w:val="24"/>
          <w:highlight w:val="white"/>
        </w:rPr>
        <w:t xml:space="preserve"> were less sophisticated that those of ECOWAS</w:t>
      </w:r>
      <w:r w:rsidRPr="009E6EF1">
        <w:rPr>
          <w:rFonts w:ascii="Times New Roman" w:eastAsia="Garamond" w:hAnsi="Times New Roman" w:cs="Times New Roman"/>
          <w:color w:val="222222"/>
          <w:sz w:val="24"/>
          <w:szCs w:val="24"/>
          <w:highlight w:val="white"/>
        </w:rPr>
        <w:t xml:space="preserve"> and the negotiations remained primarily in the hands of national ministries</w:t>
      </w:r>
      <w:r w:rsidR="00D42225">
        <w:rPr>
          <w:rFonts w:ascii="Times New Roman" w:eastAsia="Garamond" w:hAnsi="Times New Roman" w:cs="Times New Roman"/>
          <w:color w:val="222222"/>
          <w:sz w:val="24"/>
          <w:szCs w:val="24"/>
          <w:highlight w:val="white"/>
        </w:rPr>
        <w:t>.</w:t>
      </w:r>
      <w:r w:rsidR="0035000A">
        <w:rPr>
          <w:rStyle w:val="EndnoteReference"/>
          <w:rFonts w:ascii="Times New Roman" w:eastAsia="Garamond" w:hAnsi="Times New Roman" w:cs="Times New Roman"/>
          <w:color w:val="222222"/>
          <w:sz w:val="24"/>
          <w:szCs w:val="24"/>
          <w:highlight w:val="white"/>
        </w:rPr>
        <w:endnoteReference w:id="38"/>
      </w:r>
      <w:r w:rsidRPr="009E6EF1">
        <w:rPr>
          <w:rFonts w:ascii="Times New Roman" w:eastAsia="Garamond" w:hAnsi="Times New Roman" w:cs="Times New Roman"/>
          <w:color w:val="222222"/>
          <w:sz w:val="24"/>
          <w:szCs w:val="24"/>
          <w:highlight w:val="white"/>
        </w:rPr>
        <w:t xml:space="preserve"> </w:t>
      </w:r>
      <w:r w:rsidR="00D42225">
        <w:rPr>
          <w:rFonts w:ascii="Times New Roman" w:eastAsia="Garamond" w:hAnsi="Times New Roman" w:cs="Times New Roman"/>
          <w:color w:val="222222"/>
          <w:sz w:val="24"/>
          <w:szCs w:val="24"/>
          <w:highlight w:val="white"/>
        </w:rPr>
        <w:t xml:space="preserve">Here </w:t>
      </w:r>
      <w:r w:rsidRPr="009E6EF1">
        <w:rPr>
          <w:rFonts w:ascii="Times New Roman" w:eastAsia="Garamond" w:hAnsi="Times New Roman" w:cs="Times New Roman"/>
          <w:color w:val="222222"/>
          <w:sz w:val="24"/>
          <w:szCs w:val="24"/>
          <w:highlight w:val="white"/>
        </w:rPr>
        <w:t>Kenya play</w:t>
      </w:r>
      <w:r w:rsidR="00D42225">
        <w:rPr>
          <w:rFonts w:ascii="Times New Roman" w:eastAsia="Garamond" w:hAnsi="Times New Roman" w:cs="Times New Roman"/>
          <w:color w:val="222222"/>
          <w:sz w:val="24"/>
          <w:szCs w:val="24"/>
          <w:highlight w:val="white"/>
        </w:rPr>
        <w:t>ed</w:t>
      </w:r>
      <w:r w:rsidRPr="009E6EF1">
        <w:rPr>
          <w:rFonts w:ascii="Times New Roman" w:eastAsia="Garamond" w:hAnsi="Times New Roman" w:cs="Times New Roman"/>
          <w:color w:val="222222"/>
          <w:sz w:val="24"/>
          <w:szCs w:val="24"/>
          <w:highlight w:val="white"/>
        </w:rPr>
        <w:t xml:space="preserve"> </w:t>
      </w:r>
      <w:r w:rsidR="00D42225">
        <w:rPr>
          <w:rFonts w:ascii="Times New Roman" w:eastAsia="Garamond" w:hAnsi="Times New Roman" w:cs="Times New Roman"/>
          <w:color w:val="222222"/>
          <w:sz w:val="24"/>
          <w:szCs w:val="24"/>
          <w:highlight w:val="white"/>
        </w:rPr>
        <w:t>a</w:t>
      </w:r>
      <w:r w:rsidRPr="009E6EF1">
        <w:rPr>
          <w:rFonts w:ascii="Times New Roman" w:eastAsia="Garamond" w:hAnsi="Times New Roman" w:cs="Times New Roman"/>
          <w:color w:val="222222"/>
          <w:sz w:val="24"/>
          <w:szCs w:val="24"/>
          <w:highlight w:val="white"/>
        </w:rPr>
        <w:t xml:space="preserve"> </w:t>
      </w:r>
      <w:r w:rsidR="00D42225">
        <w:rPr>
          <w:rFonts w:ascii="Times New Roman" w:eastAsia="Garamond" w:hAnsi="Times New Roman" w:cs="Times New Roman"/>
          <w:color w:val="222222"/>
          <w:sz w:val="24"/>
          <w:szCs w:val="24"/>
          <w:highlight w:val="white"/>
        </w:rPr>
        <w:t xml:space="preserve">key leadership </w:t>
      </w:r>
      <w:r w:rsidRPr="009E6EF1">
        <w:rPr>
          <w:rFonts w:ascii="Times New Roman" w:eastAsia="Garamond" w:hAnsi="Times New Roman" w:cs="Times New Roman"/>
          <w:color w:val="222222"/>
          <w:sz w:val="24"/>
          <w:szCs w:val="24"/>
          <w:highlight w:val="white"/>
        </w:rPr>
        <w:t xml:space="preserve">role in fostering regional negotiating positions. </w:t>
      </w:r>
    </w:p>
    <w:p w14:paraId="4C6D2802" w14:textId="2D9CFB28" w:rsidR="009739B5" w:rsidRDefault="009E6EF1">
      <w:pPr>
        <w:spacing w:after="200" w:line="360" w:lineRule="auto"/>
        <w:jc w:val="both"/>
        <w:rPr>
          <w:rFonts w:ascii="Times New Roman" w:eastAsia="Garamond" w:hAnsi="Times New Roman" w:cs="Times New Roman"/>
          <w:color w:val="222222"/>
          <w:sz w:val="24"/>
          <w:szCs w:val="24"/>
          <w:highlight w:val="white"/>
        </w:rPr>
      </w:pPr>
      <w:r w:rsidRPr="009E6EF1">
        <w:rPr>
          <w:rFonts w:ascii="Times New Roman" w:eastAsia="Garamond" w:hAnsi="Times New Roman" w:cs="Times New Roman"/>
          <w:color w:val="222222"/>
          <w:sz w:val="24"/>
          <w:szCs w:val="24"/>
          <w:highlight w:val="white"/>
        </w:rPr>
        <w:t>While the SADC EPA group is inclu</w:t>
      </w:r>
      <w:r w:rsidR="00700AEA">
        <w:rPr>
          <w:rFonts w:ascii="Times New Roman" w:eastAsia="Garamond" w:hAnsi="Times New Roman" w:cs="Times New Roman"/>
          <w:color w:val="222222"/>
          <w:sz w:val="24"/>
          <w:szCs w:val="24"/>
          <w:highlight w:val="white"/>
        </w:rPr>
        <w:t>ded in the ‘moderate’ congruence</w:t>
      </w:r>
      <w:r w:rsidRPr="009E6EF1">
        <w:rPr>
          <w:rFonts w:ascii="Times New Roman" w:eastAsia="Garamond" w:hAnsi="Times New Roman" w:cs="Times New Roman"/>
          <w:color w:val="222222"/>
          <w:sz w:val="24"/>
          <w:szCs w:val="24"/>
          <w:highlight w:val="white"/>
        </w:rPr>
        <w:t xml:space="preserve"> category, its case is different. </w:t>
      </w:r>
      <w:r w:rsidR="00B54362">
        <w:rPr>
          <w:rFonts w:ascii="Times New Roman" w:eastAsia="Garamond" w:hAnsi="Times New Roman" w:cs="Times New Roman"/>
          <w:color w:val="222222"/>
          <w:sz w:val="24"/>
          <w:szCs w:val="24"/>
          <w:highlight w:val="white"/>
        </w:rPr>
        <w:t>Here</w:t>
      </w:r>
      <w:r w:rsidRPr="009E6EF1">
        <w:rPr>
          <w:rFonts w:ascii="Times New Roman" w:eastAsia="Garamond" w:hAnsi="Times New Roman" w:cs="Times New Roman"/>
          <w:color w:val="222222"/>
          <w:sz w:val="24"/>
          <w:szCs w:val="24"/>
          <w:highlight w:val="white"/>
        </w:rPr>
        <w:t>, it was to all intents and purposes impossible to establish an EPA group that matched the contours of existing regional projects, given the plethora of overlapping regional institutions in southern and east Africa. The SADC EPA group included only eight (</w:t>
      </w:r>
      <w:r w:rsidR="00CB4430">
        <w:rPr>
          <w:rFonts w:ascii="Times New Roman" w:eastAsia="Garamond" w:hAnsi="Times New Roman" w:cs="Times New Roman"/>
          <w:color w:val="222222"/>
          <w:sz w:val="24"/>
          <w:szCs w:val="24"/>
          <w:highlight w:val="white"/>
        </w:rPr>
        <w:t xml:space="preserve">seven, </w:t>
      </w:r>
      <w:r w:rsidRPr="009E6EF1">
        <w:rPr>
          <w:rFonts w:ascii="Times New Roman" w:eastAsia="Garamond" w:hAnsi="Times New Roman" w:cs="Times New Roman"/>
          <w:color w:val="222222"/>
          <w:sz w:val="24"/>
          <w:szCs w:val="24"/>
          <w:highlight w:val="white"/>
        </w:rPr>
        <w:t xml:space="preserve">once Tanzania had defected to EAC) of the SADC regional economic community’s members. The members of the SADC region were particularly suspicious of surrendering sovereignty to supranational institutions, which is why </w:t>
      </w:r>
      <w:proofErr w:type="gramStart"/>
      <w:r w:rsidRPr="009E6EF1">
        <w:rPr>
          <w:rFonts w:ascii="Times New Roman" w:eastAsia="Garamond" w:hAnsi="Times New Roman" w:cs="Times New Roman"/>
          <w:color w:val="222222"/>
          <w:sz w:val="24"/>
          <w:szCs w:val="24"/>
          <w:highlight w:val="white"/>
        </w:rPr>
        <w:t>the EPA negotiations were led by national trade ministers</w:t>
      </w:r>
      <w:proofErr w:type="gramEnd"/>
      <w:r w:rsidRPr="009E6EF1">
        <w:rPr>
          <w:rFonts w:ascii="Times New Roman" w:eastAsia="Garamond" w:hAnsi="Times New Roman" w:cs="Times New Roman"/>
          <w:color w:val="222222"/>
          <w:sz w:val="24"/>
          <w:szCs w:val="24"/>
          <w:highlight w:val="white"/>
        </w:rPr>
        <w:t xml:space="preserve"> on the basis intergovernmental consensus.</w:t>
      </w:r>
      <w:r w:rsidR="0035000A">
        <w:rPr>
          <w:rStyle w:val="EndnoteReference"/>
          <w:rFonts w:ascii="Times New Roman" w:eastAsia="Garamond" w:hAnsi="Times New Roman" w:cs="Times New Roman"/>
          <w:color w:val="222222"/>
          <w:sz w:val="24"/>
          <w:szCs w:val="24"/>
          <w:highlight w:val="white"/>
        </w:rPr>
        <w:endnoteReference w:id="39"/>
      </w:r>
      <w:r w:rsidRPr="009E6EF1">
        <w:rPr>
          <w:rFonts w:ascii="Times New Roman" w:eastAsia="Garamond" w:hAnsi="Times New Roman" w:cs="Times New Roman"/>
          <w:color w:val="222222"/>
          <w:sz w:val="24"/>
          <w:szCs w:val="24"/>
          <w:highlight w:val="white"/>
        </w:rPr>
        <w:t xml:space="preserve"> South Africa</w:t>
      </w:r>
      <w:r w:rsidR="00CB4430">
        <w:rPr>
          <w:rFonts w:ascii="Times New Roman" w:eastAsia="Garamond" w:hAnsi="Times New Roman" w:cs="Times New Roman"/>
          <w:color w:val="222222"/>
          <w:sz w:val="24"/>
          <w:szCs w:val="24"/>
          <w:highlight w:val="white"/>
        </w:rPr>
        <w:t>, however,</w:t>
      </w:r>
      <w:r w:rsidRPr="009E6EF1">
        <w:rPr>
          <w:rFonts w:ascii="Times New Roman" w:eastAsia="Garamond" w:hAnsi="Times New Roman" w:cs="Times New Roman"/>
          <w:color w:val="222222"/>
          <w:sz w:val="24"/>
          <w:szCs w:val="24"/>
          <w:highlight w:val="white"/>
        </w:rPr>
        <w:t xml:space="preserve"> </w:t>
      </w:r>
      <w:r w:rsidR="009563B3">
        <w:rPr>
          <w:rFonts w:ascii="Times New Roman" w:eastAsia="Garamond" w:hAnsi="Times New Roman" w:cs="Times New Roman"/>
          <w:color w:val="222222"/>
          <w:sz w:val="24"/>
          <w:szCs w:val="24"/>
          <w:highlight w:val="white"/>
        </w:rPr>
        <w:t>wielded the considerable leverage that it enjoyed through the smaller Southern African Customs Union to bring the negotiating positions of the other four members of this group – Botswana, Lesotho, Namibia and Swaziland – into line with its own preferences.</w:t>
      </w:r>
      <w:r w:rsidR="009563B3">
        <w:rPr>
          <w:rStyle w:val="EndnoteReference"/>
          <w:rFonts w:ascii="Times New Roman" w:eastAsia="Garamond" w:hAnsi="Times New Roman" w:cs="Times New Roman"/>
          <w:color w:val="222222"/>
          <w:sz w:val="24"/>
          <w:szCs w:val="24"/>
          <w:highlight w:val="white"/>
        </w:rPr>
        <w:endnoteReference w:id="40"/>
      </w:r>
      <w:r w:rsidR="00137160">
        <w:rPr>
          <w:rFonts w:ascii="Times New Roman" w:eastAsia="Garamond" w:hAnsi="Times New Roman" w:cs="Times New Roman"/>
          <w:color w:val="222222"/>
          <w:sz w:val="24"/>
          <w:szCs w:val="24"/>
          <w:highlight w:val="white"/>
        </w:rPr>
        <w:t xml:space="preserve"> In this way, South Africa’s dominance</w:t>
      </w:r>
      <w:r w:rsidR="009739B5">
        <w:rPr>
          <w:rFonts w:ascii="Times New Roman" w:eastAsia="Garamond" w:hAnsi="Times New Roman" w:cs="Times New Roman"/>
          <w:color w:val="222222"/>
          <w:sz w:val="24"/>
          <w:szCs w:val="24"/>
          <w:highlight w:val="white"/>
        </w:rPr>
        <w:t xml:space="preserve"> to some extent</w:t>
      </w:r>
      <w:r w:rsidR="00137160">
        <w:rPr>
          <w:rFonts w:ascii="Times New Roman" w:eastAsia="Garamond" w:hAnsi="Times New Roman" w:cs="Times New Roman"/>
          <w:color w:val="222222"/>
          <w:sz w:val="24"/>
          <w:szCs w:val="24"/>
          <w:highlight w:val="white"/>
        </w:rPr>
        <w:t xml:space="preserve"> compensated for the institutional shortcomings of</w:t>
      </w:r>
      <w:r w:rsidR="009739B5">
        <w:rPr>
          <w:rFonts w:ascii="Times New Roman" w:eastAsia="Garamond" w:hAnsi="Times New Roman" w:cs="Times New Roman"/>
          <w:color w:val="222222"/>
          <w:sz w:val="24"/>
          <w:szCs w:val="24"/>
          <w:highlight w:val="white"/>
        </w:rPr>
        <w:t xml:space="preserve"> the SADC EPA group by (belatedly)</w:t>
      </w:r>
      <w:r w:rsidR="009739B5" w:rsidRPr="009739B5">
        <w:rPr>
          <w:rFonts w:ascii="Times New Roman" w:eastAsia="Garamond" w:hAnsi="Times New Roman" w:cs="Times New Roman"/>
          <w:color w:val="222222"/>
          <w:sz w:val="24"/>
          <w:szCs w:val="24"/>
          <w:highlight w:val="white"/>
        </w:rPr>
        <w:t xml:space="preserve"> </w:t>
      </w:r>
      <w:r w:rsidR="009739B5">
        <w:rPr>
          <w:rFonts w:ascii="Times New Roman" w:eastAsia="Garamond" w:hAnsi="Times New Roman" w:cs="Times New Roman"/>
          <w:color w:val="222222"/>
          <w:sz w:val="24"/>
          <w:szCs w:val="24"/>
          <w:highlight w:val="white"/>
        </w:rPr>
        <w:t>fostering a unified regional negotiating position. It is worth noting, however, that this position was arrived at largely through regional power play as opposed to institutionalised dialogue and cooperation.</w:t>
      </w:r>
      <w:r w:rsidR="009739B5">
        <w:rPr>
          <w:rStyle w:val="EndnoteReference"/>
          <w:rFonts w:ascii="Times New Roman" w:eastAsia="Garamond" w:hAnsi="Times New Roman" w:cs="Times New Roman"/>
          <w:color w:val="222222"/>
          <w:sz w:val="24"/>
          <w:szCs w:val="24"/>
          <w:highlight w:val="white"/>
        </w:rPr>
        <w:endnoteReference w:id="41"/>
      </w:r>
    </w:p>
    <w:p w14:paraId="0541E33C" w14:textId="34CE652F" w:rsidR="00E36302" w:rsidRPr="009E6EF1" w:rsidRDefault="009E6EF1">
      <w:pPr>
        <w:spacing w:after="200" w:line="360" w:lineRule="auto"/>
        <w:jc w:val="both"/>
        <w:rPr>
          <w:rFonts w:ascii="Times New Roman" w:hAnsi="Times New Roman" w:cs="Times New Roman"/>
          <w:sz w:val="24"/>
          <w:szCs w:val="24"/>
        </w:rPr>
      </w:pPr>
      <w:r w:rsidRPr="009E6EF1">
        <w:rPr>
          <w:rFonts w:ascii="Times New Roman" w:eastAsia="Garamond" w:hAnsi="Times New Roman" w:cs="Times New Roman"/>
          <w:color w:val="222222"/>
          <w:sz w:val="24"/>
          <w:szCs w:val="24"/>
          <w:highlight w:val="white"/>
        </w:rPr>
        <w:t xml:space="preserve">In each of these three regions, the formation and pursuit of a coherent regional agenda proved intensely challenging, as evidenced by the divisions within West Africa and the SADC EPA group in 2007 and the fact the EAC never signed the deal that it struck at this time. In the lead up to the later 2014 deadline, however, each of these groups was able </w:t>
      </w:r>
      <w:r w:rsidR="00CB4430">
        <w:rPr>
          <w:rFonts w:ascii="Times New Roman" w:eastAsia="Garamond" w:hAnsi="Times New Roman" w:cs="Times New Roman"/>
          <w:color w:val="222222"/>
          <w:sz w:val="24"/>
          <w:szCs w:val="24"/>
          <w:highlight w:val="white"/>
        </w:rPr>
        <w:t>(partially, at least)</w:t>
      </w:r>
      <w:r w:rsidRPr="009E6EF1">
        <w:rPr>
          <w:rFonts w:ascii="Times New Roman" w:eastAsia="Garamond" w:hAnsi="Times New Roman" w:cs="Times New Roman"/>
          <w:color w:val="222222"/>
          <w:sz w:val="24"/>
          <w:szCs w:val="24"/>
          <w:highlight w:val="white"/>
        </w:rPr>
        <w:t xml:space="preserve"> to pull together to negotiate collectively with the EU. Unlike in CARIFORUM, this did not mean accepting the EU’s political and economic model in its entirety. Indeed, each of these three regions was able to coalesce around key objections to the agreements proposed by the EU. A </w:t>
      </w:r>
      <w:r w:rsidRPr="009E6EF1">
        <w:rPr>
          <w:rFonts w:ascii="Times New Roman" w:eastAsia="Garamond" w:hAnsi="Times New Roman" w:cs="Times New Roman"/>
          <w:color w:val="222222"/>
          <w:sz w:val="24"/>
          <w:szCs w:val="24"/>
          <w:highlight w:val="white"/>
        </w:rPr>
        <w:lastRenderedPageBreak/>
        <w:t xml:space="preserve">degree of </w:t>
      </w:r>
      <w:r w:rsidR="00A9795E">
        <w:rPr>
          <w:rFonts w:ascii="Times New Roman" w:eastAsia="Garamond" w:hAnsi="Times New Roman" w:cs="Times New Roman"/>
          <w:color w:val="222222"/>
          <w:sz w:val="24"/>
          <w:szCs w:val="24"/>
          <w:highlight w:val="white"/>
        </w:rPr>
        <w:t>institutional coherence</w:t>
      </w:r>
      <w:r w:rsidRPr="009E6EF1">
        <w:rPr>
          <w:rFonts w:ascii="Times New Roman" w:eastAsia="Garamond" w:hAnsi="Times New Roman" w:cs="Times New Roman"/>
          <w:color w:val="222222"/>
          <w:sz w:val="24"/>
          <w:szCs w:val="24"/>
          <w:highlight w:val="white"/>
        </w:rPr>
        <w:t xml:space="preserve">, then, provided these groups with a source of leverage </w:t>
      </w:r>
      <w:proofErr w:type="spellStart"/>
      <w:r w:rsidRPr="009E6EF1">
        <w:rPr>
          <w:rFonts w:ascii="Times New Roman" w:eastAsia="Garamond" w:hAnsi="Times New Roman" w:cs="Times New Roman"/>
          <w:color w:val="222222"/>
          <w:sz w:val="24"/>
          <w:szCs w:val="24"/>
          <w:highlight w:val="white"/>
        </w:rPr>
        <w:t>vis</w:t>
      </w:r>
      <w:proofErr w:type="spellEnd"/>
      <w:r w:rsidRPr="009E6EF1">
        <w:rPr>
          <w:rFonts w:ascii="Times New Roman" w:eastAsia="Garamond" w:hAnsi="Times New Roman" w:cs="Times New Roman"/>
          <w:color w:val="222222"/>
          <w:sz w:val="24"/>
          <w:szCs w:val="24"/>
          <w:highlight w:val="white"/>
        </w:rPr>
        <w:t>-a-</w:t>
      </w:r>
      <w:proofErr w:type="spellStart"/>
      <w:r w:rsidRPr="009E6EF1">
        <w:rPr>
          <w:rFonts w:ascii="Times New Roman" w:eastAsia="Garamond" w:hAnsi="Times New Roman" w:cs="Times New Roman"/>
          <w:color w:val="222222"/>
          <w:sz w:val="24"/>
          <w:szCs w:val="24"/>
          <w:highlight w:val="white"/>
        </w:rPr>
        <w:t>vis</w:t>
      </w:r>
      <w:proofErr w:type="spellEnd"/>
      <w:r w:rsidRPr="009E6EF1">
        <w:rPr>
          <w:rFonts w:ascii="Times New Roman" w:eastAsia="Garamond" w:hAnsi="Times New Roman" w:cs="Times New Roman"/>
          <w:color w:val="222222"/>
          <w:sz w:val="24"/>
          <w:szCs w:val="24"/>
          <w:highlight w:val="white"/>
        </w:rPr>
        <w:t xml:space="preserve"> the EU. In other words, these groups were able to invoke the sanctity of existing regional institutions - to which the EU repeatedly professed its commitment - to extract concessions on a range of negotiating issues, including the extent of reciprocal tariff liberalisation, the inclusion of services and the Singapore issues as well as various technical clauses</w:t>
      </w:r>
      <w:r w:rsidR="00CB4430">
        <w:rPr>
          <w:rFonts w:ascii="Times New Roman" w:eastAsia="Garamond" w:hAnsi="Times New Roman" w:cs="Times New Roman"/>
          <w:color w:val="222222"/>
          <w:sz w:val="24"/>
          <w:szCs w:val="24"/>
          <w:highlight w:val="white"/>
        </w:rPr>
        <w:t>.</w:t>
      </w:r>
      <w:r w:rsidR="00CB4430">
        <w:rPr>
          <w:rStyle w:val="EndnoteReference"/>
          <w:rFonts w:ascii="Times New Roman" w:eastAsia="Garamond" w:hAnsi="Times New Roman" w:cs="Times New Roman"/>
          <w:color w:val="222222"/>
          <w:sz w:val="24"/>
          <w:szCs w:val="24"/>
          <w:highlight w:val="white"/>
        </w:rPr>
        <w:endnoteReference w:id="42"/>
      </w:r>
      <w:r w:rsidRPr="009E6EF1">
        <w:rPr>
          <w:rFonts w:ascii="Times New Roman" w:eastAsia="Garamond" w:hAnsi="Times New Roman" w:cs="Times New Roman"/>
          <w:color w:val="222222"/>
          <w:sz w:val="24"/>
          <w:szCs w:val="24"/>
          <w:highlight w:val="white"/>
        </w:rPr>
        <w:t xml:space="preserve"> All told, these regions displayed sufficient institutional capacity to conclude agreements in 2014 – and thereby avoid the regional disruption that had been evident in other ACP groups – that subordinated the EPAs to local regional integration projects.</w:t>
      </w:r>
    </w:p>
    <w:p w14:paraId="4BB7323D" w14:textId="77777777" w:rsidR="00E36302" w:rsidRPr="009E6EF1" w:rsidRDefault="009E6EF1">
      <w:pPr>
        <w:spacing w:after="200" w:line="360" w:lineRule="auto"/>
        <w:jc w:val="both"/>
        <w:rPr>
          <w:rFonts w:ascii="Times New Roman" w:hAnsi="Times New Roman" w:cs="Times New Roman"/>
          <w:sz w:val="24"/>
          <w:szCs w:val="24"/>
        </w:rPr>
      </w:pPr>
      <w:r w:rsidRPr="009E6EF1">
        <w:rPr>
          <w:rFonts w:ascii="Times New Roman" w:eastAsia="Garamond" w:hAnsi="Times New Roman" w:cs="Times New Roman"/>
          <w:i/>
          <w:color w:val="222222"/>
          <w:sz w:val="24"/>
          <w:szCs w:val="24"/>
          <w:highlight w:val="white"/>
        </w:rPr>
        <w:t>Low Congruence</w:t>
      </w:r>
    </w:p>
    <w:p w14:paraId="4E0F25E7" w14:textId="6ADDD0AA" w:rsidR="00E36302" w:rsidRPr="000836F2" w:rsidRDefault="009E6EF1">
      <w:pPr>
        <w:spacing w:after="200" w:line="360" w:lineRule="auto"/>
        <w:jc w:val="both"/>
        <w:rPr>
          <w:rFonts w:ascii="Times New Roman" w:eastAsia="Garamond" w:hAnsi="Times New Roman" w:cs="Times New Roman"/>
          <w:color w:val="222222"/>
          <w:sz w:val="24"/>
          <w:szCs w:val="24"/>
          <w:highlight w:val="white"/>
        </w:rPr>
      </w:pPr>
      <w:r w:rsidRPr="009E6EF1">
        <w:rPr>
          <w:rFonts w:ascii="Times New Roman" w:eastAsia="Garamond" w:hAnsi="Times New Roman" w:cs="Times New Roman"/>
          <w:color w:val="222222"/>
          <w:sz w:val="24"/>
          <w:szCs w:val="24"/>
          <w:highlight w:val="white"/>
        </w:rPr>
        <w:t>A final set of EPA negotiating groups offered a particularly low level of congruence with the institutional parameters on which the EPAs were premised. In Central Africa and ESA, regional organisations with a reasonable degree of institutional capacity – CEMAC and COMESA respectively – existed</w:t>
      </w:r>
      <w:r w:rsidR="00875FA0">
        <w:rPr>
          <w:rFonts w:ascii="Times New Roman" w:eastAsia="Garamond" w:hAnsi="Times New Roman" w:cs="Times New Roman"/>
          <w:color w:val="222222"/>
          <w:sz w:val="24"/>
          <w:szCs w:val="24"/>
          <w:highlight w:val="white"/>
        </w:rPr>
        <w:t xml:space="preserve">. </w:t>
      </w:r>
      <w:r w:rsidR="00624707">
        <w:rPr>
          <w:rFonts w:ascii="Times New Roman" w:eastAsia="Garamond" w:hAnsi="Times New Roman" w:cs="Times New Roman"/>
          <w:color w:val="222222"/>
          <w:sz w:val="24"/>
          <w:szCs w:val="24"/>
          <w:highlight w:val="white"/>
        </w:rPr>
        <w:t>I</w:t>
      </w:r>
      <w:r w:rsidRPr="009E6EF1">
        <w:rPr>
          <w:rFonts w:ascii="Times New Roman" w:eastAsia="Garamond" w:hAnsi="Times New Roman" w:cs="Times New Roman"/>
          <w:color w:val="222222"/>
          <w:sz w:val="24"/>
          <w:szCs w:val="24"/>
          <w:highlight w:val="white"/>
        </w:rPr>
        <w:t>n both cases</w:t>
      </w:r>
      <w:r w:rsidR="00624707">
        <w:rPr>
          <w:rFonts w:ascii="Times New Roman" w:eastAsia="Garamond" w:hAnsi="Times New Roman" w:cs="Times New Roman"/>
          <w:color w:val="222222"/>
          <w:sz w:val="24"/>
          <w:szCs w:val="24"/>
          <w:highlight w:val="white"/>
        </w:rPr>
        <w:t xml:space="preserve">, however, </w:t>
      </w:r>
      <w:r w:rsidRPr="009E6EF1">
        <w:rPr>
          <w:rFonts w:ascii="Times New Roman" w:eastAsia="Garamond" w:hAnsi="Times New Roman" w:cs="Times New Roman"/>
          <w:color w:val="222222"/>
          <w:sz w:val="24"/>
          <w:szCs w:val="24"/>
          <w:highlight w:val="white"/>
        </w:rPr>
        <w:t>the mismatch between the scope of these organisations and the geographic configuration of the negotiating group proved to be a significant stumbling block. For Central Africa, this problem emerged when the Democratic Republic of Congo – which was not a member of CEMAC but was a member of both SADC and COMESA – joined the group in 2005.</w:t>
      </w:r>
      <w:r w:rsidR="0035000A">
        <w:rPr>
          <w:rStyle w:val="EndnoteReference"/>
          <w:rFonts w:ascii="Times New Roman" w:eastAsia="Garamond" w:hAnsi="Times New Roman" w:cs="Times New Roman"/>
          <w:color w:val="222222"/>
          <w:sz w:val="24"/>
          <w:szCs w:val="24"/>
          <w:highlight w:val="white"/>
        </w:rPr>
        <w:endnoteReference w:id="43"/>
      </w:r>
      <w:r w:rsidRPr="009E6EF1">
        <w:rPr>
          <w:rFonts w:ascii="Times New Roman" w:eastAsia="Garamond" w:hAnsi="Times New Roman" w:cs="Times New Roman"/>
          <w:color w:val="222222"/>
          <w:sz w:val="24"/>
          <w:szCs w:val="24"/>
          <w:highlight w:val="white"/>
        </w:rPr>
        <w:t xml:space="preserve"> For ESA, this was evident from the start, with the COMESA region divided between two and later three, and then four, EPA negotiating groups. Both CEMAC and COMESA had plans to introduce customs unions at the time of the EPA negotiations, but had encountered considerable implementation problems.</w:t>
      </w:r>
      <w:r w:rsidR="00DE4FD1">
        <w:rPr>
          <w:rStyle w:val="EndnoteReference"/>
          <w:rFonts w:ascii="Times New Roman" w:eastAsia="Garamond" w:hAnsi="Times New Roman" w:cs="Times New Roman"/>
          <w:color w:val="222222"/>
          <w:sz w:val="24"/>
          <w:szCs w:val="24"/>
          <w:highlight w:val="white"/>
        </w:rPr>
        <w:endnoteReference w:id="44"/>
      </w:r>
      <w:r w:rsidRPr="009E6EF1">
        <w:rPr>
          <w:rFonts w:ascii="Times New Roman" w:eastAsia="Garamond" w:hAnsi="Times New Roman" w:cs="Times New Roman"/>
          <w:color w:val="222222"/>
          <w:sz w:val="24"/>
          <w:szCs w:val="24"/>
          <w:highlight w:val="white"/>
        </w:rPr>
        <w:t xml:space="preserve"> This signalled just how difficult it would be to arrive at and implement a collective market access offer in relation to the EU. While both regions delegated some negotiating authority to regional bodies, the coherence of their negotiating structures was disrupted by their changing regional configurations – in particular after the EAC had formed a separate negotiating group in the case of the ESA configuration.</w:t>
      </w:r>
      <w:r w:rsidR="00DE4FD1">
        <w:rPr>
          <w:rStyle w:val="EndnoteReference"/>
          <w:rFonts w:ascii="Times New Roman" w:eastAsia="Garamond" w:hAnsi="Times New Roman" w:cs="Times New Roman"/>
          <w:color w:val="222222"/>
          <w:sz w:val="24"/>
          <w:szCs w:val="24"/>
          <w:highlight w:val="white"/>
        </w:rPr>
        <w:endnoteReference w:id="45"/>
      </w:r>
      <w:r w:rsidRPr="009E6EF1">
        <w:rPr>
          <w:rFonts w:ascii="Times New Roman" w:eastAsia="Garamond" w:hAnsi="Times New Roman" w:cs="Times New Roman"/>
          <w:color w:val="222222"/>
          <w:sz w:val="24"/>
          <w:szCs w:val="24"/>
          <w:highlight w:val="white"/>
        </w:rPr>
        <w:t xml:space="preserve"> It is worth noting that both of these regions lacked </w:t>
      </w:r>
      <w:r w:rsidR="00700AEA">
        <w:rPr>
          <w:rFonts w:ascii="Times New Roman" w:eastAsia="Garamond" w:hAnsi="Times New Roman" w:cs="Times New Roman"/>
          <w:color w:val="222222"/>
          <w:sz w:val="24"/>
          <w:szCs w:val="24"/>
          <w:highlight w:val="white"/>
        </w:rPr>
        <w:t>any individual</w:t>
      </w:r>
      <w:r w:rsidRPr="009E6EF1">
        <w:rPr>
          <w:rFonts w:ascii="Times New Roman" w:eastAsia="Garamond" w:hAnsi="Times New Roman" w:cs="Times New Roman"/>
          <w:color w:val="222222"/>
          <w:sz w:val="24"/>
          <w:szCs w:val="24"/>
          <w:highlight w:val="white"/>
        </w:rPr>
        <w:t xml:space="preserve"> country with the resources and leadership capabilities to overcome collective action problems by articulating a regional negotiating position – something that had been important to a greater or lesser extent in each of the regions with ‘moderate’ congruence. The final ‘low’ congruence EPA group was the Pacific.</w:t>
      </w:r>
      <w:r w:rsidR="00DE4FD1">
        <w:rPr>
          <w:rStyle w:val="EndnoteReference"/>
          <w:rFonts w:ascii="Times New Roman" w:eastAsia="Garamond" w:hAnsi="Times New Roman" w:cs="Times New Roman"/>
          <w:color w:val="222222"/>
          <w:sz w:val="24"/>
          <w:szCs w:val="24"/>
          <w:highlight w:val="white"/>
        </w:rPr>
        <w:endnoteReference w:id="46"/>
      </w:r>
      <w:r w:rsidRPr="009E6EF1">
        <w:rPr>
          <w:rFonts w:ascii="Times New Roman" w:eastAsia="Garamond" w:hAnsi="Times New Roman" w:cs="Times New Roman"/>
          <w:color w:val="222222"/>
          <w:sz w:val="24"/>
          <w:szCs w:val="24"/>
          <w:highlight w:val="white"/>
        </w:rPr>
        <w:t xml:space="preserve"> The only organisation on which the EPA could be built in this region was the Pacific Islands Forum (PIF), which included 13 of the 14 Pacific ACP countries but also Australia and </w:t>
      </w:r>
      <w:r w:rsidRPr="009E6EF1">
        <w:rPr>
          <w:rFonts w:ascii="Times New Roman" w:eastAsia="Garamond" w:hAnsi="Times New Roman" w:cs="Times New Roman"/>
          <w:color w:val="222222"/>
          <w:sz w:val="24"/>
          <w:szCs w:val="24"/>
          <w:highlight w:val="white"/>
        </w:rPr>
        <w:lastRenderedPageBreak/>
        <w:t xml:space="preserve">New Zealand, the latter of which were involved in their own process of </w:t>
      </w:r>
      <w:r w:rsidR="00322A4B">
        <w:rPr>
          <w:rFonts w:ascii="Times New Roman" w:eastAsia="Garamond" w:hAnsi="Times New Roman" w:cs="Times New Roman"/>
          <w:color w:val="222222"/>
          <w:sz w:val="24"/>
          <w:szCs w:val="24"/>
          <w:highlight w:val="white"/>
        </w:rPr>
        <w:t>trade</w:t>
      </w:r>
      <w:r w:rsidR="00322A4B" w:rsidRPr="009E6EF1">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reform in relation to the Pacific island states. While the PIF Secretariat played a coordinating role in the negotiations, its capacity and legitimacy to do so was frequently questioned by both of the main players in the region – Fiji and Papua New Guinea.</w:t>
      </w:r>
      <w:r w:rsidR="00DE4FD1">
        <w:rPr>
          <w:rStyle w:val="EndnoteReference"/>
          <w:rFonts w:ascii="Times New Roman" w:eastAsia="Garamond" w:hAnsi="Times New Roman" w:cs="Times New Roman"/>
          <w:color w:val="222222"/>
          <w:sz w:val="24"/>
          <w:szCs w:val="24"/>
          <w:highlight w:val="white"/>
        </w:rPr>
        <w:endnoteReference w:id="47"/>
      </w:r>
      <w:r w:rsidRPr="009E6EF1">
        <w:rPr>
          <w:rFonts w:ascii="Times New Roman" w:eastAsia="Garamond" w:hAnsi="Times New Roman" w:cs="Times New Roman"/>
          <w:color w:val="222222"/>
          <w:sz w:val="24"/>
          <w:szCs w:val="24"/>
          <w:highlight w:val="white"/>
        </w:rPr>
        <w:t xml:space="preserve"> Furthermore, there was little in the way of a record of successful economic integration in the Pacific – the only progress in this regard having been made by the Melanesian Spearhead Group (Fiji, Papua New Guinea, the Solomon Islands and Vanuatu).</w:t>
      </w:r>
      <w:r w:rsidR="00DE4FD1">
        <w:rPr>
          <w:rStyle w:val="EndnoteReference"/>
          <w:rFonts w:ascii="Times New Roman" w:eastAsia="Garamond" w:hAnsi="Times New Roman" w:cs="Times New Roman"/>
          <w:color w:val="222222"/>
          <w:sz w:val="24"/>
          <w:szCs w:val="24"/>
          <w:highlight w:val="white"/>
        </w:rPr>
        <w:endnoteReference w:id="48"/>
      </w:r>
    </w:p>
    <w:p w14:paraId="362DDD4B" w14:textId="48241EE4" w:rsidR="00E36302" w:rsidRPr="009E6EF1" w:rsidRDefault="009E6EF1">
      <w:pPr>
        <w:spacing w:after="200" w:line="360" w:lineRule="auto"/>
        <w:jc w:val="both"/>
        <w:rPr>
          <w:rFonts w:ascii="Times New Roman" w:hAnsi="Times New Roman" w:cs="Times New Roman"/>
          <w:sz w:val="24"/>
          <w:szCs w:val="24"/>
        </w:rPr>
      </w:pPr>
      <w:r w:rsidRPr="009E6EF1">
        <w:rPr>
          <w:rFonts w:ascii="Times New Roman" w:eastAsia="Garamond" w:hAnsi="Times New Roman" w:cs="Times New Roman"/>
          <w:color w:val="222222"/>
          <w:sz w:val="24"/>
          <w:szCs w:val="24"/>
          <w:highlight w:val="white"/>
        </w:rPr>
        <w:t>Each of these regions, then, was divided over whether to sign an interim EPA in 2007, and continued to be so in the face of the EU’s new EPA deadline in 2014. Furthermore, the outcomes in these regions tended to closely reflect the immediate and easily traceable effects of a possible loss of EU market access</w:t>
      </w:r>
      <w:r w:rsidR="00322A4B">
        <w:rPr>
          <w:rFonts w:ascii="Times New Roman" w:eastAsia="Garamond" w:hAnsi="Times New Roman" w:cs="Times New Roman"/>
          <w:color w:val="222222"/>
          <w:sz w:val="24"/>
          <w:szCs w:val="24"/>
          <w:highlight w:val="white"/>
        </w:rPr>
        <w:t xml:space="preserve">. In short, </w:t>
      </w:r>
      <w:r w:rsidRPr="009E6EF1">
        <w:rPr>
          <w:rFonts w:ascii="Times New Roman" w:eastAsia="Garamond" w:hAnsi="Times New Roman" w:cs="Times New Roman"/>
          <w:color w:val="222222"/>
          <w:sz w:val="24"/>
          <w:szCs w:val="24"/>
          <w:highlight w:val="white"/>
        </w:rPr>
        <w:t xml:space="preserve">preference dependent non-LDCs signed EPAs while LDCs and those without significant preference-dependence did not (see Table 1). This was not because countries in these regions were motivated by straightforward material interests to any greater extent than countries in the ‘high’ and ‘moderate’ congruence regions. Rather, countries acting in regions with low institutional capacity had relatively little opportunity or leverage to seek concessions from the EU in line with their perception of the type of EPA that would suit their political and economic preferences. Whether or not they felt that the EPA as a whole was aligned with their national or regional economic and political trajectory, these countries tended to fall back on narrow economic calculations about how best to secure access to the EU market. Indeed, even where some countries in these regions </w:t>
      </w:r>
      <w:r w:rsidR="00624707">
        <w:rPr>
          <w:rFonts w:ascii="Times New Roman" w:eastAsia="Garamond" w:hAnsi="Times New Roman" w:cs="Times New Roman"/>
          <w:color w:val="222222"/>
          <w:sz w:val="24"/>
          <w:szCs w:val="24"/>
          <w:highlight w:val="white"/>
        </w:rPr>
        <w:t xml:space="preserve">were </w:t>
      </w:r>
      <w:r w:rsidR="00322A4B">
        <w:rPr>
          <w:rFonts w:ascii="Times New Roman" w:eastAsia="Garamond" w:hAnsi="Times New Roman" w:cs="Times New Roman"/>
          <w:color w:val="222222"/>
          <w:sz w:val="24"/>
          <w:szCs w:val="24"/>
          <w:highlight w:val="white"/>
        </w:rPr>
        <w:t xml:space="preserve">sympathetic </w:t>
      </w:r>
      <w:r w:rsidR="00624707">
        <w:rPr>
          <w:rFonts w:ascii="Times New Roman" w:eastAsia="Garamond" w:hAnsi="Times New Roman" w:cs="Times New Roman"/>
          <w:color w:val="222222"/>
          <w:sz w:val="24"/>
          <w:szCs w:val="24"/>
          <w:highlight w:val="white"/>
        </w:rPr>
        <w:t>to</w:t>
      </w:r>
      <w:r w:rsidR="00624707" w:rsidRPr="009E6EF1">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 xml:space="preserve">the </w:t>
      </w:r>
      <w:r w:rsidR="00322A4B">
        <w:rPr>
          <w:rFonts w:ascii="Times New Roman" w:eastAsia="Garamond" w:hAnsi="Times New Roman" w:cs="Times New Roman"/>
          <w:color w:val="222222"/>
          <w:sz w:val="24"/>
          <w:szCs w:val="24"/>
          <w:highlight w:val="white"/>
        </w:rPr>
        <w:t>ideological prospectus of the EPAs</w:t>
      </w:r>
      <w:r w:rsidR="00624707">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 as was the cas</w:t>
      </w:r>
      <w:r w:rsidR="00CA6014">
        <w:rPr>
          <w:rFonts w:ascii="Times New Roman" w:eastAsia="Garamond" w:hAnsi="Times New Roman" w:cs="Times New Roman"/>
          <w:color w:val="222222"/>
          <w:sz w:val="24"/>
          <w:szCs w:val="24"/>
          <w:highlight w:val="white"/>
        </w:rPr>
        <w:t>e, for example, in Mauritius</w:t>
      </w:r>
      <w:r w:rsidR="00CA6014">
        <w:rPr>
          <w:rStyle w:val="EndnoteReference"/>
          <w:rFonts w:ascii="Times New Roman" w:eastAsia="Garamond" w:hAnsi="Times New Roman" w:cs="Times New Roman"/>
          <w:color w:val="222222"/>
          <w:sz w:val="24"/>
          <w:szCs w:val="24"/>
          <w:highlight w:val="white"/>
        </w:rPr>
        <w:endnoteReference w:id="49"/>
      </w:r>
      <w:r w:rsidR="00CA6014">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 xml:space="preserve">– they were effectively prevented from </w:t>
      </w:r>
      <w:r w:rsidR="00E526CD">
        <w:rPr>
          <w:rFonts w:ascii="Times New Roman" w:eastAsia="Garamond" w:hAnsi="Times New Roman" w:cs="Times New Roman"/>
          <w:color w:val="222222"/>
          <w:sz w:val="24"/>
          <w:szCs w:val="24"/>
          <w:highlight w:val="white"/>
        </w:rPr>
        <w:t>concluding comprehensive EPAs because the EU wished only to pursue this more ambitious agenda on a regional basis</w:t>
      </w:r>
      <w:r w:rsidRPr="009E6EF1">
        <w:rPr>
          <w:rFonts w:ascii="Times New Roman" w:eastAsia="Garamond" w:hAnsi="Times New Roman" w:cs="Times New Roman"/>
          <w:color w:val="222222"/>
          <w:sz w:val="24"/>
          <w:szCs w:val="24"/>
          <w:highlight w:val="white"/>
        </w:rPr>
        <w:t>. While the regions with ‘moderate’ congruence went on to negotiate compromise deals with the EU in 2014, the countries in ‘low’ congruence regions either signed and implemented the interim EPAs that they had concluded at the end of 2007 or reverted to one of the EU’s alternative preference schemes.</w:t>
      </w:r>
    </w:p>
    <w:p w14:paraId="46634E47" w14:textId="77777777" w:rsidR="00322A4B" w:rsidRDefault="00322A4B">
      <w:pPr>
        <w:spacing w:after="200" w:line="360" w:lineRule="auto"/>
        <w:jc w:val="both"/>
        <w:rPr>
          <w:rFonts w:ascii="Times New Roman" w:eastAsia="Garamond" w:hAnsi="Times New Roman" w:cs="Times New Roman"/>
          <w:b/>
          <w:color w:val="222222"/>
          <w:sz w:val="24"/>
          <w:szCs w:val="24"/>
          <w:highlight w:val="white"/>
        </w:rPr>
      </w:pPr>
    </w:p>
    <w:p w14:paraId="188F5FF0" w14:textId="77777777" w:rsidR="00E36302" w:rsidRPr="009E6EF1" w:rsidRDefault="009E6EF1">
      <w:pPr>
        <w:spacing w:after="200" w:line="360" w:lineRule="auto"/>
        <w:jc w:val="both"/>
        <w:rPr>
          <w:rFonts w:ascii="Times New Roman" w:hAnsi="Times New Roman" w:cs="Times New Roman"/>
          <w:sz w:val="24"/>
          <w:szCs w:val="24"/>
        </w:rPr>
      </w:pPr>
      <w:r w:rsidRPr="009E6EF1">
        <w:rPr>
          <w:rFonts w:ascii="Times New Roman" w:eastAsia="Garamond" w:hAnsi="Times New Roman" w:cs="Times New Roman"/>
          <w:b/>
          <w:color w:val="222222"/>
          <w:sz w:val="24"/>
          <w:szCs w:val="24"/>
          <w:highlight w:val="white"/>
        </w:rPr>
        <w:t>Conclusion</w:t>
      </w:r>
    </w:p>
    <w:p w14:paraId="4F603DEC" w14:textId="5257A040" w:rsidR="00E36302" w:rsidRPr="009E6EF1" w:rsidRDefault="009E6EF1">
      <w:pPr>
        <w:spacing w:after="200" w:line="360" w:lineRule="auto"/>
        <w:jc w:val="both"/>
        <w:rPr>
          <w:rFonts w:ascii="Times New Roman" w:hAnsi="Times New Roman" w:cs="Times New Roman"/>
          <w:sz w:val="24"/>
          <w:szCs w:val="24"/>
        </w:rPr>
      </w:pPr>
      <w:r w:rsidRPr="009E6EF1">
        <w:rPr>
          <w:rFonts w:ascii="Times New Roman" w:eastAsia="Garamond" w:hAnsi="Times New Roman" w:cs="Times New Roman"/>
          <w:color w:val="222222"/>
          <w:sz w:val="24"/>
          <w:szCs w:val="24"/>
          <w:highlight w:val="white"/>
        </w:rPr>
        <w:lastRenderedPageBreak/>
        <w:t xml:space="preserve">The aim of this article was to map and explain the divergent responses of ACP regions to the EU’s attempts to promote regional economic integration through the EPAs. In one region – CARIFORUM – the EPA resulted in the early and relatively complete adoption of the EU’s regional economic prospectus. Elsewhere, in Africa and the Pacific, this regional model was adopted late and partially or not at all. While existing accounts of the EPAs identify a common set of controversies and roadblocks that marred the negotiations, they do not systematically account for the uneven regional trajectories of the EPAs. </w:t>
      </w:r>
      <w:r w:rsidR="00F415EE">
        <w:rPr>
          <w:rFonts w:ascii="Times New Roman" w:eastAsia="Garamond" w:hAnsi="Times New Roman" w:cs="Times New Roman"/>
          <w:color w:val="222222"/>
          <w:sz w:val="24"/>
          <w:szCs w:val="24"/>
          <w:highlight w:val="white"/>
        </w:rPr>
        <w:t>W</w:t>
      </w:r>
      <w:r w:rsidRPr="009E6EF1">
        <w:rPr>
          <w:rFonts w:ascii="Times New Roman" w:eastAsia="Garamond" w:hAnsi="Times New Roman" w:cs="Times New Roman"/>
          <w:color w:val="222222"/>
          <w:sz w:val="24"/>
          <w:szCs w:val="24"/>
          <w:highlight w:val="white"/>
        </w:rPr>
        <w:t>e acknowledge the importance</w:t>
      </w:r>
      <w:r w:rsidR="00F415EE">
        <w:rPr>
          <w:rFonts w:ascii="Times New Roman" w:eastAsia="Garamond" w:hAnsi="Times New Roman" w:cs="Times New Roman"/>
          <w:color w:val="222222"/>
          <w:sz w:val="24"/>
          <w:szCs w:val="24"/>
          <w:highlight w:val="white"/>
        </w:rPr>
        <w:t xml:space="preserve"> of</w:t>
      </w:r>
      <w:r w:rsidRPr="009E6EF1">
        <w:rPr>
          <w:rFonts w:ascii="Times New Roman" w:eastAsia="Garamond" w:hAnsi="Times New Roman" w:cs="Times New Roman"/>
          <w:color w:val="222222"/>
          <w:sz w:val="24"/>
          <w:szCs w:val="24"/>
          <w:highlight w:val="white"/>
        </w:rPr>
        <w:t xml:space="preserve"> varying levels of</w:t>
      </w:r>
      <w:r w:rsidR="00F415EE">
        <w:rPr>
          <w:rFonts w:ascii="Times New Roman" w:eastAsia="Garamond" w:hAnsi="Times New Roman" w:cs="Times New Roman"/>
          <w:color w:val="222222"/>
          <w:sz w:val="24"/>
          <w:szCs w:val="24"/>
          <w:highlight w:val="white"/>
        </w:rPr>
        <w:t xml:space="preserve"> ACP</w:t>
      </w:r>
      <w:r w:rsidRPr="009E6EF1">
        <w:rPr>
          <w:rFonts w:ascii="Times New Roman" w:eastAsia="Garamond" w:hAnsi="Times New Roman" w:cs="Times New Roman"/>
          <w:color w:val="222222"/>
          <w:sz w:val="24"/>
          <w:szCs w:val="24"/>
          <w:highlight w:val="white"/>
        </w:rPr>
        <w:t xml:space="preserve"> trade dependence </w:t>
      </w:r>
      <w:r w:rsidR="00F415EE">
        <w:rPr>
          <w:rFonts w:ascii="Times New Roman" w:eastAsia="Garamond" w:hAnsi="Times New Roman" w:cs="Times New Roman"/>
          <w:color w:val="222222"/>
          <w:sz w:val="24"/>
          <w:szCs w:val="24"/>
          <w:highlight w:val="white"/>
        </w:rPr>
        <w:t>– and the way in which these were underscored by the EU’s efforts to secure both reciprocity and special and differential treatment through the EPAs –</w:t>
      </w:r>
      <w:r w:rsidRPr="009E6EF1">
        <w:rPr>
          <w:rFonts w:ascii="Times New Roman" w:eastAsia="Garamond" w:hAnsi="Times New Roman" w:cs="Times New Roman"/>
          <w:color w:val="222222"/>
          <w:sz w:val="24"/>
          <w:szCs w:val="24"/>
          <w:highlight w:val="white"/>
        </w:rPr>
        <w:t xml:space="preserve"> in explaining </w:t>
      </w:r>
      <w:r w:rsidR="00F415EE">
        <w:rPr>
          <w:rFonts w:ascii="Times New Roman" w:eastAsia="Garamond" w:hAnsi="Times New Roman" w:cs="Times New Roman"/>
          <w:color w:val="222222"/>
          <w:sz w:val="24"/>
          <w:szCs w:val="24"/>
          <w:highlight w:val="white"/>
        </w:rPr>
        <w:t>different countries’</w:t>
      </w:r>
      <w:r w:rsidR="00F415EE" w:rsidRPr="009E6EF1">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 xml:space="preserve">enthusiasm or otherwise for the </w:t>
      </w:r>
      <w:r w:rsidR="00F415EE">
        <w:rPr>
          <w:rFonts w:ascii="Times New Roman" w:eastAsia="Garamond" w:hAnsi="Times New Roman" w:cs="Times New Roman"/>
          <w:color w:val="222222"/>
          <w:sz w:val="24"/>
          <w:szCs w:val="24"/>
          <w:highlight w:val="white"/>
        </w:rPr>
        <w:t xml:space="preserve">agreements. Yet </w:t>
      </w:r>
      <w:r w:rsidRPr="009E6EF1">
        <w:rPr>
          <w:rFonts w:ascii="Times New Roman" w:eastAsia="Garamond" w:hAnsi="Times New Roman" w:cs="Times New Roman"/>
          <w:color w:val="222222"/>
          <w:sz w:val="24"/>
          <w:szCs w:val="24"/>
          <w:highlight w:val="white"/>
        </w:rPr>
        <w:t xml:space="preserve">we have shown that such an account cannot </w:t>
      </w:r>
      <w:proofErr w:type="gramStart"/>
      <w:r w:rsidRPr="009E6EF1">
        <w:rPr>
          <w:rFonts w:ascii="Times New Roman" w:eastAsia="Garamond" w:hAnsi="Times New Roman" w:cs="Times New Roman"/>
          <w:color w:val="222222"/>
          <w:sz w:val="24"/>
          <w:szCs w:val="24"/>
          <w:highlight w:val="white"/>
        </w:rPr>
        <w:t>on its own</w:t>
      </w:r>
      <w:proofErr w:type="gramEnd"/>
      <w:r w:rsidRPr="009E6EF1">
        <w:rPr>
          <w:rFonts w:ascii="Times New Roman" w:eastAsia="Garamond" w:hAnsi="Times New Roman" w:cs="Times New Roman"/>
          <w:color w:val="222222"/>
          <w:sz w:val="24"/>
          <w:szCs w:val="24"/>
          <w:highlight w:val="white"/>
        </w:rPr>
        <w:t xml:space="preserve"> explain why some regions were able to overcome these dive</w:t>
      </w:r>
      <w:r w:rsidR="000C5A30">
        <w:rPr>
          <w:rFonts w:ascii="Times New Roman" w:eastAsia="Garamond" w:hAnsi="Times New Roman" w:cs="Times New Roman"/>
          <w:color w:val="222222"/>
          <w:sz w:val="24"/>
          <w:szCs w:val="24"/>
          <w:highlight w:val="white"/>
        </w:rPr>
        <w:t>rgent national-level incentives</w:t>
      </w:r>
      <w:r w:rsidR="00966AC2">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 xml:space="preserve">why some were able to do so only belatedly </w:t>
      </w:r>
      <w:r w:rsidR="00966AC2">
        <w:rPr>
          <w:rFonts w:ascii="Times New Roman" w:eastAsia="Garamond" w:hAnsi="Times New Roman" w:cs="Times New Roman"/>
          <w:color w:val="222222"/>
          <w:sz w:val="24"/>
          <w:szCs w:val="24"/>
          <w:highlight w:val="white"/>
        </w:rPr>
        <w:t xml:space="preserve">and </w:t>
      </w:r>
      <w:r w:rsidRPr="009E6EF1">
        <w:rPr>
          <w:rFonts w:ascii="Times New Roman" w:eastAsia="Garamond" w:hAnsi="Times New Roman" w:cs="Times New Roman"/>
          <w:color w:val="222222"/>
          <w:sz w:val="24"/>
          <w:szCs w:val="24"/>
          <w:highlight w:val="white"/>
        </w:rPr>
        <w:t>while others still were not able to do so at all. We therefore turn</w:t>
      </w:r>
      <w:r w:rsidR="00322A4B">
        <w:rPr>
          <w:rFonts w:ascii="Times New Roman" w:eastAsia="Garamond" w:hAnsi="Times New Roman" w:cs="Times New Roman"/>
          <w:color w:val="222222"/>
          <w:sz w:val="24"/>
          <w:szCs w:val="24"/>
          <w:highlight w:val="white"/>
        </w:rPr>
        <w:t>ed</w:t>
      </w:r>
      <w:r w:rsidRPr="009E6EF1">
        <w:rPr>
          <w:rFonts w:ascii="Times New Roman" w:eastAsia="Garamond" w:hAnsi="Times New Roman" w:cs="Times New Roman"/>
          <w:color w:val="222222"/>
          <w:sz w:val="24"/>
          <w:szCs w:val="24"/>
          <w:highlight w:val="white"/>
        </w:rPr>
        <w:t xml:space="preserve"> our attention to the less</w:t>
      </w:r>
      <w:r w:rsidR="00322A4B">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 xml:space="preserve">discussed political dimension of the EPAs – </w:t>
      </w:r>
      <w:r w:rsidR="00322A4B">
        <w:rPr>
          <w:rFonts w:ascii="Times New Roman" w:eastAsia="Garamond" w:hAnsi="Times New Roman" w:cs="Times New Roman"/>
          <w:color w:val="222222"/>
          <w:sz w:val="24"/>
          <w:szCs w:val="24"/>
          <w:highlight w:val="white"/>
        </w:rPr>
        <w:t>i.e.</w:t>
      </w:r>
      <w:r w:rsidRPr="009E6EF1">
        <w:rPr>
          <w:rFonts w:ascii="Times New Roman" w:eastAsia="Garamond" w:hAnsi="Times New Roman" w:cs="Times New Roman"/>
          <w:color w:val="222222"/>
          <w:sz w:val="24"/>
          <w:szCs w:val="24"/>
          <w:highlight w:val="white"/>
        </w:rPr>
        <w:t xml:space="preserve"> the EU’s decision to place a particular model of </w:t>
      </w:r>
      <w:r w:rsidR="00966AC2">
        <w:rPr>
          <w:rFonts w:ascii="Times New Roman" w:eastAsia="Garamond" w:hAnsi="Times New Roman" w:cs="Times New Roman"/>
          <w:color w:val="222222"/>
          <w:sz w:val="24"/>
          <w:szCs w:val="24"/>
          <w:highlight w:val="white"/>
        </w:rPr>
        <w:t>liberal</w:t>
      </w:r>
      <w:r w:rsidR="00966AC2" w:rsidRPr="009E6EF1">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economic integration and cooperation at the heart of the EPAs and the congruence (or lack thereof) between this model and the regional integration projects that existed on the ground in ACP regions.</w:t>
      </w:r>
    </w:p>
    <w:p w14:paraId="3A34685E" w14:textId="62C413A4" w:rsidR="00E36302" w:rsidRPr="009E6EF1" w:rsidRDefault="009E6EF1">
      <w:pPr>
        <w:spacing w:after="200" w:line="360" w:lineRule="auto"/>
        <w:jc w:val="both"/>
        <w:rPr>
          <w:rFonts w:ascii="Times New Roman" w:hAnsi="Times New Roman" w:cs="Times New Roman"/>
          <w:sz w:val="24"/>
          <w:szCs w:val="24"/>
        </w:rPr>
      </w:pPr>
      <w:r w:rsidRPr="009E6EF1">
        <w:rPr>
          <w:rFonts w:ascii="Times New Roman" w:eastAsia="Garamond" w:hAnsi="Times New Roman" w:cs="Times New Roman"/>
          <w:color w:val="222222"/>
          <w:sz w:val="24"/>
          <w:szCs w:val="24"/>
          <w:highlight w:val="white"/>
        </w:rPr>
        <w:t xml:space="preserve">Our key finding is that the level of congruence between the institutional trajectories of individual regional projects mattered in determining the regional coherence of the ACP response to the EPA in each individual negotiating group. We measured this congruence in terms of geographic coherence between the EPA group and existing regional institutions, the compatibility of the EPA with existing customs union obligations, the delegation of supranational negotiating authority and regional leadership. </w:t>
      </w:r>
      <w:proofErr w:type="gramStart"/>
      <w:r w:rsidRPr="009E6EF1">
        <w:rPr>
          <w:rFonts w:ascii="Times New Roman" w:eastAsia="Garamond" w:hAnsi="Times New Roman" w:cs="Times New Roman"/>
          <w:color w:val="222222"/>
          <w:sz w:val="24"/>
          <w:szCs w:val="24"/>
          <w:highlight w:val="white"/>
        </w:rPr>
        <w:t>The varying levels of congruence of the EPA groups maps onto their responses to the regional dimension of the EPAs.</w:t>
      </w:r>
      <w:proofErr w:type="gramEnd"/>
      <w:r w:rsidRPr="009E6EF1">
        <w:rPr>
          <w:rFonts w:ascii="Times New Roman" w:eastAsia="Garamond" w:hAnsi="Times New Roman" w:cs="Times New Roman"/>
          <w:color w:val="222222"/>
          <w:sz w:val="24"/>
          <w:szCs w:val="24"/>
          <w:highlight w:val="white"/>
        </w:rPr>
        <w:t xml:space="preserve"> CARIFORUM – the only EPA group with a high level of institutional congruence according to our criteria, and a region in which there was considerable ideological s</w:t>
      </w:r>
      <w:r w:rsidR="00322A4B">
        <w:rPr>
          <w:rFonts w:ascii="Times New Roman" w:eastAsia="Garamond" w:hAnsi="Times New Roman" w:cs="Times New Roman"/>
          <w:color w:val="222222"/>
          <w:sz w:val="24"/>
          <w:szCs w:val="24"/>
          <w:highlight w:val="white"/>
        </w:rPr>
        <w:t>ympathy</w:t>
      </w:r>
      <w:r w:rsidRPr="009E6EF1">
        <w:rPr>
          <w:rFonts w:ascii="Times New Roman" w:eastAsia="Garamond" w:hAnsi="Times New Roman" w:cs="Times New Roman"/>
          <w:color w:val="222222"/>
          <w:sz w:val="24"/>
          <w:szCs w:val="24"/>
          <w:highlight w:val="white"/>
        </w:rPr>
        <w:t xml:space="preserve"> for the EU’s favoured model of economic integration – was the region where the EPA model was most fully realised. Three regions in Africa displayed a ‘moderate’ level of congruence with the institutional requirements of the EPAs. Here, ideas also mattered in the sense that regions with reasonable institutional capacity and coherence – but which did not fully buy into the model of economic integration at the heart of the EU’s EPA model – were able to generate some leverage in order to negotiate concessions from the EU and </w:t>
      </w:r>
      <w:r w:rsidRPr="009E6EF1">
        <w:rPr>
          <w:rFonts w:ascii="Times New Roman" w:eastAsia="Garamond" w:hAnsi="Times New Roman" w:cs="Times New Roman"/>
          <w:color w:val="222222"/>
          <w:sz w:val="24"/>
          <w:szCs w:val="24"/>
          <w:highlight w:val="white"/>
        </w:rPr>
        <w:lastRenderedPageBreak/>
        <w:t>ultimately (and belatedly) arrive at compromise regional solution</w:t>
      </w:r>
      <w:r w:rsidR="000C5A30">
        <w:rPr>
          <w:rFonts w:ascii="Times New Roman" w:eastAsia="Garamond" w:hAnsi="Times New Roman" w:cs="Times New Roman"/>
          <w:color w:val="222222"/>
          <w:sz w:val="24"/>
          <w:szCs w:val="24"/>
          <w:highlight w:val="white"/>
        </w:rPr>
        <w:t>s</w:t>
      </w:r>
      <w:r w:rsidRPr="009E6EF1">
        <w:rPr>
          <w:rFonts w:ascii="Times New Roman" w:eastAsia="Garamond" w:hAnsi="Times New Roman" w:cs="Times New Roman"/>
          <w:color w:val="222222"/>
          <w:sz w:val="24"/>
          <w:szCs w:val="24"/>
          <w:highlight w:val="white"/>
        </w:rPr>
        <w:t>. Finally, three regions with ‘low’ institutional congruence were unable to formulate coherent regional negotiating positions and – in the absence of opportunities to challenge the EU’s approach to the negotiations – their constituent countries tended to make narrow strategic calculations about how best to maximise their access to the EU market at the lowest economic short term cost.</w:t>
      </w:r>
    </w:p>
    <w:p w14:paraId="0794ABA1" w14:textId="77777777" w:rsidR="00E36302" w:rsidRPr="009E6EF1" w:rsidRDefault="009E6EF1">
      <w:pPr>
        <w:spacing w:after="200" w:line="360" w:lineRule="auto"/>
        <w:jc w:val="both"/>
        <w:rPr>
          <w:rFonts w:ascii="Times New Roman" w:hAnsi="Times New Roman" w:cs="Times New Roman"/>
          <w:sz w:val="24"/>
          <w:szCs w:val="24"/>
        </w:rPr>
      </w:pPr>
      <w:r w:rsidRPr="009E6EF1">
        <w:rPr>
          <w:rFonts w:ascii="Times New Roman" w:eastAsia="Garamond" w:hAnsi="Times New Roman" w:cs="Times New Roman"/>
          <w:color w:val="222222"/>
          <w:sz w:val="24"/>
          <w:szCs w:val="24"/>
          <w:highlight w:val="white"/>
        </w:rPr>
        <w:t xml:space="preserve"> </w:t>
      </w:r>
    </w:p>
    <w:p w14:paraId="445DBDDE" w14:textId="062461C3" w:rsidR="009B018C" w:rsidRDefault="009E6EF1" w:rsidP="00DE4FD1">
      <w:pPr>
        <w:spacing w:after="200" w:line="360" w:lineRule="auto"/>
        <w:jc w:val="both"/>
        <w:rPr>
          <w:rFonts w:ascii="Times New Roman" w:hAnsi="Times New Roman" w:cs="Times New Roman"/>
          <w:sz w:val="24"/>
          <w:szCs w:val="24"/>
        </w:rPr>
      </w:pPr>
      <w:r w:rsidRPr="009E6EF1">
        <w:rPr>
          <w:rFonts w:ascii="Times New Roman" w:eastAsia="Garamond" w:hAnsi="Times New Roman" w:cs="Times New Roman"/>
          <w:color w:val="222222"/>
          <w:sz w:val="24"/>
          <w:szCs w:val="24"/>
          <w:highlight w:val="white"/>
        </w:rPr>
        <w:t>The divergent ACP responses to the promotion of regional integration through the EPAs clearly have consequences for longer-term governance and development in the ACP. In those groups where some countries have signed an EPA while others have not, the legacy of the agreements may serve to heighten intraregional barriers as non-signatories seek to avoid transhipment of EU goods that have entered the region on the basis of lower tariffs via an EPA member. This does not necessarily mean to say</w:t>
      </w:r>
      <w:r w:rsidR="00322A4B">
        <w:rPr>
          <w:rFonts w:ascii="Times New Roman" w:eastAsia="Garamond" w:hAnsi="Times New Roman" w:cs="Times New Roman"/>
          <w:color w:val="222222"/>
          <w:sz w:val="24"/>
          <w:szCs w:val="24"/>
          <w:highlight w:val="white"/>
        </w:rPr>
        <w:t xml:space="preserve"> </w:t>
      </w:r>
      <w:r w:rsidRPr="009E6EF1">
        <w:rPr>
          <w:rFonts w:ascii="Times New Roman" w:eastAsia="Garamond" w:hAnsi="Times New Roman" w:cs="Times New Roman"/>
          <w:color w:val="222222"/>
          <w:sz w:val="24"/>
          <w:szCs w:val="24"/>
          <w:highlight w:val="white"/>
        </w:rPr>
        <w:t>that the inverse is true and where an EPA group has signed a joint agreement, that this will support the aims of regi</w:t>
      </w:r>
      <w:r w:rsidR="000C5A30">
        <w:rPr>
          <w:rFonts w:ascii="Times New Roman" w:eastAsia="Garamond" w:hAnsi="Times New Roman" w:cs="Times New Roman"/>
          <w:color w:val="222222"/>
          <w:sz w:val="24"/>
          <w:szCs w:val="24"/>
          <w:highlight w:val="white"/>
        </w:rPr>
        <w:t>onal integration in that region</w:t>
      </w:r>
      <w:r w:rsidRPr="009E6EF1">
        <w:rPr>
          <w:rFonts w:ascii="Times New Roman" w:eastAsia="Garamond" w:hAnsi="Times New Roman" w:cs="Times New Roman"/>
          <w:color w:val="222222"/>
          <w:sz w:val="24"/>
          <w:szCs w:val="24"/>
          <w:highlight w:val="white"/>
        </w:rPr>
        <w:t>. Here, much is dependent on questions such as whether the EPA region matches the contours of the underlying regional project; whether the terms of the EPA are compatible with the region’s integration plans; and whether a long and sometimes acrimonious negotiating process has strengthened or weakened regional institutions and political ties. Measuring the precise institutional legacies of the EPAs in ACP regions is therefore an important avenue for future research.</w:t>
      </w:r>
      <w:r w:rsidR="00DE4FD1">
        <w:rPr>
          <w:rFonts w:ascii="Times New Roman" w:hAnsi="Times New Roman" w:cs="Times New Roman"/>
          <w:sz w:val="24"/>
          <w:szCs w:val="24"/>
        </w:rPr>
        <w:t xml:space="preserve">   </w:t>
      </w:r>
    </w:p>
    <w:sectPr w:rsidR="009B018C">
      <w:footerReference w:type="even" r:id="rId8"/>
      <w:footerReference w:type="default" r:id="rId9"/>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57804" w14:textId="77777777" w:rsidR="00C24E82" w:rsidRDefault="00C24E82" w:rsidP="006A123C">
      <w:pPr>
        <w:pStyle w:val="Footer"/>
        <w:rPr>
          <w:rFonts w:ascii="Times New Roman" w:hAnsi="Times New Roman" w:cs="Times New Roman"/>
          <w:b/>
          <w:sz w:val="24"/>
          <w:szCs w:val="24"/>
        </w:rPr>
      </w:pPr>
      <w:r>
        <w:rPr>
          <w:rFonts w:ascii="Times New Roman" w:hAnsi="Times New Roman" w:cs="Times New Roman"/>
          <w:b/>
          <w:sz w:val="24"/>
          <w:szCs w:val="24"/>
        </w:rPr>
        <w:t>Notes</w:t>
      </w:r>
    </w:p>
    <w:p w14:paraId="061A1869" w14:textId="77777777" w:rsidR="00C24E82" w:rsidRPr="006A123C" w:rsidRDefault="00C24E82" w:rsidP="006A123C">
      <w:pPr>
        <w:pStyle w:val="Footer"/>
        <w:rPr>
          <w:rFonts w:ascii="Times New Roman" w:hAnsi="Times New Roman" w:cs="Times New Roman"/>
          <w:b/>
          <w:sz w:val="24"/>
          <w:szCs w:val="24"/>
        </w:rPr>
      </w:pPr>
    </w:p>
  </w:endnote>
  <w:endnote w:type="continuationSeparator" w:id="0">
    <w:p w14:paraId="20B52CA1" w14:textId="77777777" w:rsidR="00C24E82" w:rsidRDefault="00C24E82" w:rsidP="005066B9">
      <w:pPr>
        <w:spacing w:line="240" w:lineRule="auto"/>
      </w:pPr>
    </w:p>
  </w:endnote>
  <w:endnote w:id="1">
    <w:p w14:paraId="65D231B1" w14:textId="06ABABD8" w:rsidR="00C24E82" w:rsidRPr="00433D39" w:rsidRDefault="00C24E82">
      <w:pPr>
        <w:pStyle w:val="EndnoteText"/>
        <w:rPr>
          <w:rFonts w:ascii="Times New Roman" w:hAnsi="Times New Roman" w:cs="Times New Roman"/>
          <w:sz w:val="20"/>
          <w:szCs w:val="20"/>
        </w:rPr>
      </w:pPr>
      <w:r w:rsidRPr="00433D39">
        <w:rPr>
          <w:rStyle w:val="EndnoteReference"/>
          <w:rFonts w:ascii="Times New Roman" w:hAnsi="Times New Roman" w:cs="Times New Roman"/>
          <w:sz w:val="20"/>
          <w:szCs w:val="20"/>
        </w:rPr>
        <w:endnoteRef/>
      </w:r>
      <w:r w:rsidRPr="00433D39">
        <w:rPr>
          <w:rFonts w:ascii="Times New Roman" w:hAnsi="Times New Roman" w:cs="Times New Roman"/>
          <w:sz w:val="20"/>
          <w:szCs w:val="20"/>
        </w:rPr>
        <w:t xml:space="preserve"> </w:t>
      </w:r>
      <w:r>
        <w:rPr>
          <w:rFonts w:ascii="Times New Roman" w:hAnsi="Times New Roman" w:cs="Times New Roman"/>
          <w:sz w:val="20"/>
          <w:szCs w:val="20"/>
        </w:rPr>
        <w:t>Heron, “Asymmetric Bargaining and Development”; Heron and Murray-Evans, “Limits to Market Power”; Murray-Evans, “Regionalism and African Agency”</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Nyaga Munyi, “Beyond Asymmetry”. Namibia and Ghana both concluded interim EPAs at the end of 2007 but later refused to sign these agreements. Both countries concluded watered-down EPAs along with their respective regions in 2014.</w:t>
      </w:r>
    </w:p>
  </w:endnote>
  <w:endnote w:id="2">
    <w:p w14:paraId="153F9FEA" w14:textId="3901173B" w:rsidR="00C24E82" w:rsidRPr="000B06D5" w:rsidRDefault="00C24E82">
      <w:pPr>
        <w:pStyle w:val="EndnoteText"/>
        <w:rPr>
          <w:rFonts w:ascii="Times New Roman" w:hAnsi="Times New Roman" w:cs="Times New Roman"/>
          <w:sz w:val="20"/>
          <w:szCs w:val="20"/>
        </w:rPr>
      </w:pPr>
      <w:r w:rsidRPr="000B06D5">
        <w:rPr>
          <w:rStyle w:val="EndnoteReference"/>
          <w:rFonts w:ascii="Times New Roman" w:hAnsi="Times New Roman" w:cs="Times New Roman"/>
          <w:sz w:val="20"/>
          <w:szCs w:val="20"/>
        </w:rPr>
        <w:endnoteRef/>
      </w:r>
      <w:r w:rsidRPr="000B06D5">
        <w:rPr>
          <w:rFonts w:ascii="Times New Roman" w:hAnsi="Times New Roman" w:cs="Times New Roman"/>
          <w:sz w:val="20"/>
          <w:szCs w:val="20"/>
        </w:rPr>
        <w:t xml:space="preserve"> </w:t>
      </w:r>
      <w:r>
        <w:rPr>
          <w:rFonts w:ascii="Times New Roman" w:hAnsi="Times New Roman" w:cs="Times New Roman"/>
          <w:sz w:val="20"/>
          <w:szCs w:val="20"/>
        </w:rPr>
        <w:t>Heron and Murray-Evans, “The EU and Africa”.</w:t>
      </w:r>
    </w:p>
  </w:endnote>
  <w:endnote w:id="3">
    <w:p w14:paraId="26D8C8A3" w14:textId="54DFEA5E" w:rsidR="00C24E82" w:rsidRPr="00057558" w:rsidRDefault="00C24E82" w:rsidP="00C87454">
      <w:pPr>
        <w:pStyle w:val="EndnoteText"/>
        <w:jc w:val="both"/>
        <w:rPr>
          <w:rFonts w:ascii="Times New Roman" w:hAnsi="Times New Roman" w:cs="Times New Roman"/>
          <w:sz w:val="20"/>
          <w:szCs w:val="20"/>
          <w:lang w:val="en-US"/>
        </w:rPr>
      </w:pPr>
      <w:r w:rsidRPr="00057558">
        <w:rPr>
          <w:rStyle w:val="EndnoteReference"/>
          <w:rFonts w:ascii="Times New Roman" w:hAnsi="Times New Roman" w:cs="Times New Roman"/>
          <w:sz w:val="20"/>
          <w:szCs w:val="20"/>
        </w:rPr>
        <w:endnoteRef/>
      </w:r>
      <w:r w:rsidRPr="00057558">
        <w:rPr>
          <w:rFonts w:ascii="Times New Roman" w:hAnsi="Times New Roman" w:cs="Times New Roman"/>
          <w:sz w:val="20"/>
          <w:szCs w:val="20"/>
        </w:rPr>
        <w:t xml:space="preserve"> </w:t>
      </w:r>
      <w:r>
        <w:rPr>
          <w:rFonts w:ascii="Times New Roman" w:hAnsi="Times New Roman" w:cs="Times New Roman"/>
          <w:sz w:val="20"/>
          <w:szCs w:val="20"/>
        </w:rPr>
        <w:t xml:space="preserve">The Singapore issues – government procurement, trade facilitation, investment and competition – were introduced onto the World Trade Organisation agenda at the Singapore Ministerial in 1996 and subsequently became part of the Doha Round negotiations. All except trade facilitation were dropped from the Doha agenda following disagreements between developed and developing </w:t>
      </w:r>
      <w:r w:rsidR="00137F69">
        <w:rPr>
          <w:rFonts w:ascii="Times New Roman" w:hAnsi="Times New Roman" w:cs="Times New Roman"/>
          <w:sz w:val="20"/>
          <w:szCs w:val="20"/>
        </w:rPr>
        <w:t>countries that culminated in the collapse of the</w:t>
      </w:r>
      <w:r>
        <w:rPr>
          <w:rFonts w:ascii="Times New Roman" w:hAnsi="Times New Roman" w:cs="Times New Roman"/>
          <w:sz w:val="20"/>
          <w:szCs w:val="20"/>
        </w:rPr>
        <w:t xml:space="preserve"> Cancun Ministerial in 2003. These issues were mentioned only briefly in the 2000 Cotonou Agreement between the EU and the ACP countries but the EU subsequently insisted that they should be an important part of any ‘comprehensive’ EPA.</w:t>
      </w:r>
    </w:p>
  </w:endnote>
  <w:endnote w:id="4">
    <w:p w14:paraId="76D39F25" w14:textId="02EC22DD" w:rsidR="00C24E82" w:rsidRPr="008B5D7B" w:rsidRDefault="00C24E82">
      <w:pPr>
        <w:pStyle w:val="EndnoteText"/>
        <w:rPr>
          <w:rFonts w:ascii="Times New Roman" w:hAnsi="Times New Roman" w:cs="Times New Roman"/>
          <w:sz w:val="20"/>
          <w:szCs w:val="20"/>
        </w:rPr>
      </w:pPr>
      <w:r w:rsidRPr="000B06D5">
        <w:rPr>
          <w:rStyle w:val="EndnoteReference"/>
          <w:rFonts w:ascii="Times New Roman" w:hAnsi="Times New Roman" w:cs="Times New Roman"/>
          <w:sz w:val="20"/>
          <w:szCs w:val="20"/>
        </w:rPr>
        <w:endnoteRef/>
      </w:r>
      <w:r w:rsidRPr="000B06D5">
        <w:rPr>
          <w:rFonts w:ascii="Times New Roman" w:hAnsi="Times New Roman" w:cs="Times New Roman"/>
          <w:sz w:val="20"/>
          <w:szCs w:val="20"/>
        </w:rPr>
        <w:t xml:space="preserve"> </w:t>
      </w:r>
      <w:r>
        <w:rPr>
          <w:rFonts w:ascii="Times New Roman" w:hAnsi="Times New Roman" w:cs="Times New Roman"/>
          <w:sz w:val="20"/>
          <w:szCs w:val="20"/>
        </w:rPr>
        <w:t xml:space="preserve">See, </w:t>
      </w:r>
      <w:r>
        <w:rPr>
          <w:rFonts w:ascii="Times New Roman" w:hAnsi="Times New Roman" w:cs="Times New Roman"/>
          <w:i/>
          <w:sz w:val="20"/>
          <w:szCs w:val="20"/>
        </w:rPr>
        <w:t>inter alia</w:t>
      </w:r>
      <w:r>
        <w:rPr>
          <w:rFonts w:ascii="Times New Roman" w:hAnsi="Times New Roman" w:cs="Times New Roman"/>
          <w:sz w:val="20"/>
          <w:szCs w:val="20"/>
        </w:rPr>
        <w:t xml:space="preserve">, Brown, “Restructuring North-South Relations”; Faber and Orbie, </w:t>
      </w:r>
      <w:r>
        <w:rPr>
          <w:rFonts w:ascii="Times New Roman" w:hAnsi="Times New Roman" w:cs="Times New Roman"/>
          <w:i/>
          <w:sz w:val="20"/>
          <w:szCs w:val="20"/>
        </w:rPr>
        <w:t>Beyond Market Access</w:t>
      </w:r>
      <w:r>
        <w:rPr>
          <w:rFonts w:ascii="Times New Roman" w:hAnsi="Times New Roman" w:cs="Times New Roman"/>
          <w:sz w:val="20"/>
          <w:szCs w:val="20"/>
        </w:rPr>
        <w:t>; Gibb, “Post-</w:t>
      </w:r>
      <w:proofErr w:type="spellStart"/>
      <w:r>
        <w:rPr>
          <w:rFonts w:ascii="Times New Roman" w:hAnsi="Times New Roman" w:cs="Times New Roman"/>
          <w:sz w:val="20"/>
          <w:szCs w:val="20"/>
        </w:rPr>
        <w:t>Lome</w:t>
      </w:r>
      <w:proofErr w:type="spellEnd"/>
      <w:r>
        <w:rPr>
          <w:rFonts w:ascii="Times New Roman" w:hAnsi="Times New Roman" w:cs="Times New Roman"/>
          <w:sz w:val="20"/>
          <w:szCs w:val="20"/>
        </w:rPr>
        <w:t xml:space="preserve">”; Heron, </w:t>
      </w:r>
      <w:r>
        <w:rPr>
          <w:rFonts w:ascii="Times New Roman" w:hAnsi="Times New Roman" w:cs="Times New Roman"/>
          <w:i/>
          <w:sz w:val="20"/>
          <w:szCs w:val="20"/>
        </w:rPr>
        <w:t>Pathways from Preferential Trade</w:t>
      </w:r>
      <w:r>
        <w:rPr>
          <w:rFonts w:ascii="Times New Roman" w:hAnsi="Times New Roman" w:cs="Times New Roman"/>
          <w:sz w:val="20"/>
          <w:szCs w:val="20"/>
        </w:rPr>
        <w:t xml:space="preserve">; Heron and Murray-Evans, “Limits to Market Power”; Heron and Siles-Brügge, “Competitive Liberalisation and the ‘Global Europe’”; Siles-Brügge, </w:t>
      </w:r>
      <w:r>
        <w:rPr>
          <w:rFonts w:ascii="Times New Roman" w:hAnsi="Times New Roman" w:cs="Times New Roman"/>
          <w:i/>
          <w:sz w:val="20"/>
          <w:szCs w:val="20"/>
        </w:rPr>
        <w:t>Constructing European Union Trade Policy</w:t>
      </w:r>
      <w:r>
        <w:rPr>
          <w:rFonts w:ascii="Times New Roman" w:hAnsi="Times New Roman" w:cs="Times New Roman"/>
          <w:sz w:val="20"/>
          <w:szCs w:val="20"/>
        </w:rPr>
        <w:t>; Ravenhill, “Back to the Nest”.</w:t>
      </w:r>
    </w:p>
  </w:endnote>
  <w:endnote w:id="5">
    <w:p w14:paraId="24513854" w14:textId="791DB74D" w:rsidR="00C24E82" w:rsidRPr="008B5D7B" w:rsidRDefault="00C24E82">
      <w:pPr>
        <w:pStyle w:val="EndnoteText"/>
        <w:rPr>
          <w:rFonts w:ascii="Times New Roman" w:hAnsi="Times New Roman" w:cs="Times New Roman"/>
          <w:sz w:val="20"/>
          <w:szCs w:val="20"/>
        </w:rPr>
      </w:pPr>
      <w:r w:rsidRPr="008B5D7B">
        <w:rPr>
          <w:rStyle w:val="EndnoteReference"/>
          <w:rFonts w:ascii="Times New Roman" w:hAnsi="Times New Roman" w:cs="Times New Roman"/>
          <w:sz w:val="20"/>
          <w:szCs w:val="20"/>
        </w:rPr>
        <w:endnoteRef/>
      </w:r>
      <w:r w:rsidRPr="008B5D7B">
        <w:rPr>
          <w:rFonts w:ascii="Times New Roman" w:hAnsi="Times New Roman" w:cs="Times New Roman"/>
          <w:sz w:val="20"/>
          <w:szCs w:val="20"/>
        </w:rPr>
        <w:t xml:space="preserve"> </w:t>
      </w:r>
      <w:r>
        <w:rPr>
          <w:rFonts w:ascii="Times New Roman" w:hAnsi="Times New Roman" w:cs="Times New Roman"/>
          <w:sz w:val="20"/>
          <w:szCs w:val="20"/>
        </w:rPr>
        <w:t>Heron and Murray-Evans, “Limits to Market Power”.</w:t>
      </w:r>
    </w:p>
  </w:endnote>
  <w:endnote w:id="6">
    <w:p w14:paraId="07047D7D" w14:textId="168F3F82" w:rsidR="00C24E82" w:rsidRPr="008B5D7B" w:rsidRDefault="00C24E82">
      <w:pPr>
        <w:pStyle w:val="EndnoteText"/>
        <w:rPr>
          <w:rFonts w:ascii="Times New Roman" w:hAnsi="Times New Roman" w:cs="Times New Roman"/>
          <w:sz w:val="20"/>
          <w:szCs w:val="20"/>
        </w:rPr>
      </w:pPr>
      <w:r w:rsidRPr="008B5D7B">
        <w:rPr>
          <w:rStyle w:val="EndnoteReference"/>
          <w:rFonts w:ascii="Times New Roman" w:hAnsi="Times New Roman" w:cs="Times New Roman"/>
          <w:sz w:val="20"/>
          <w:szCs w:val="20"/>
        </w:rPr>
        <w:endnoteRef/>
      </w:r>
      <w:r w:rsidRPr="008B5D7B">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Siles-Brügge, </w:t>
      </w:r>
      <w:r>
        <w:rPr>
          <w:rFonts w:ascii="Times New Roman" w:hAnsi="Times New Roman" w:cs="Times New Roman"/>
          <w:i/>
          <w:sz w:val="20"/>
          <w:szCs w:val="20"/>
        </w:rPr>
        <w:t>Constructing European Union Trade Policy</w:t>
      </w:r>
      <w:r>
        <w:rPr>
          <w:rFonts w:ascii="Times New Roman" w:hAnsi="Times New Roman" w:cs="Times New Roman"/>
          <w:sz w:val="20"/>
          <w:szCs w:val="20"/>
        </w:rPr>
        <w:t>, 142.</w:t>
      </w:r>
      <w:proofErr w:type="gramEnd"/>
    </w:p>
  </w:endnote>
  <w:endnote w:id="7">
    <w:p w14:paraId="77D36AF1" w14:textId="4BB68DC2" w:rsidR="00C24E82" w:rsidRPr="008B5D7B" w:rsidRDefault="00C24E82">
      <w:pPr>
        <w:pStyle w:val="EndnoteText"/>
        <w:rPr>
          <w:rFonts w:ascii="Times New Roman" w:hAnsi="Times New Roman" w:cs="Times New Roman"/>
        </w:rPr>
      </w:pPr>
      <w:r w:rsidRPr="008B5D7B">
        <w:rPr>
          <w:rStyle w:val="EndnoteReference"/>
          <w:rFonts w:ascii="Times New Roman" w:hAnsi="Times New Roman" w:cs="Times New Roman"/>
          <w:sz w:val="20"/>
        </w:rPr>
        <w:endnoteRef/>
      </w:r>
      <w:r w:rsidRPr="008B5D7B">
        <w:rPr>
          <w:rFonts w:ascii="Times New Roman" w:hAnsi="Times New Roman" w:cs="Times New Roman"/>
          <w:sz w:val="20"/>
        </w:rPr>
        <w:t xml:space="preserve"> </w:t>
      </w:r>
      <w:proofErr w:type="spellStart"/>
      <w:r>
        <w:rPr>
          <w:rFonts w:ascii="Times New Roman" w:hAnsi="Times New Roman" w:cs="Times New Roman"/>
          <w:sz w:val="20"/>
        </w:rPr>
        <w:t>Solignac</w:t>
      </w:r>
      <w:proofErr w:type="spellEnd"/>
      <w:r>
        <w:rPr>
          <w:rFonts w:ascii="Times New Roman" w:hAnsi="Times New Roman" w:cs="Times New Roman"/>
          <w:sz w:val="20"/>
        </w:rPr>
        <w:t xml:space="preserve"> </w:t>
      </w:r>
      <w:proofErr w:type="spellStart"/>
      <w:r>
        <w:rPr>
          <w:rFonts w:ascii="Times New Roman" w:hAnsi="Times New Roman" w:cs="Times New Roman"/>
          <w:sz w:val="20"/>
        </w:rPr>
        <w:t>Lecomte</w:t>
      </w:r>
      <w:proofErr w:type="spellEnd"/>
      <w:r>
        <w:rPr>
          <w:rFonts w:ascii="Times New Roman" w:hAnsi="Times New Roman" w:cs="Times New Roman"/>
          <w:sz w:val="20"/>
        </w:rPr>
        <w:t xml:space="preserve">, </w:t>
      </w:r>
      <w:r>
        <w:rPr>
          <w:rFonts w:ascii="Times New Roman" w:hAnsi="Times New Roman" w:cs="Times New Roman"/>
          <w:i/>
          <w:sz w:val="20"/>
        </w:rPr>
        <w:t>Options for Future ACP-EU</w:t>
      </w:r>
      <w:r>
        <w:rPr>
          <w:rFonts w:ascii="Times New Roman" w:hAnsi="Times New Roman" w:cs="Times New Roman"/>
          <w:sz w:val="20"/>
        </w:rPr>
        <w:t>, 7.</w:t>
      </w:r>
    </w:p>
  </w:endnote>
  <w:endnote w:id="8">
    <w:p w14:paraId="3C0CC7A7" w14:textId="155176E7" w:rsidR="00C24E82" w:rsidRPr="00346490" w:rsidRDefault="00C24E82">
      <w:pPr>
        <w:pStyle w:val="EndnoteText"/>
        <w:rPr>
          <w:rFonts w:ascii="Times New Roman" w:hAnsi="Times New Roman" w:cs="Times New Roman"/>
        </w:rPr>
      </w:pPr>
      <w:r w:rsidRPr="00346490">
        <w:rPr>
          <w:rStyle w:val="EndnoteReference"/>
          <w:rFonts w:ascii="Times New Roman" w:hAnsi="Times New Roman" w:cs="Times New Roman"/>
          <w:sz w:val="20"/>
        </w:rPr>
        <w:endnoteRef/>
      </w:r>
      <w:r w:rsidRPr="00346490">
        <w:rPr>
          <w:rFonts w:ascii="Times New Roman" w:hAnsi="Times New Roman" w:cs="Times New Roman"/>
          <w:sz w:val="20"/>
        </w:rPr>
        <w:t xml:space="preserve"> </w:t>
      </w:r>
      <w:proofErr w:type="gramStart"/>
      <w:r>
        <w:rPr>
          <w:rFonts w:ascii="Times New Roman" w:hAnsi="Times New Roman" w:cs="Times New Roman"/>
          <w:sz w:val="20"/>
        </w:rPr>
        <w:t>European Commission, “Green Paper on Relations”, xii.</w:t>
      </w:r>
      <w:proofErr w:type="gramEnd"/>
    </w:p>
  </w:endnote>
  <w:endnote w:id="9">
    <w:p w14:paraId="778178E5" w14:textId="238ABF07" w:rsidR="00C24E82" w:rsidRPr="00346490" w:rsidRDefault="00C24E82">
      <w:pPr>
        <w:pStyle w:val="EndnoteText"/>
        <w:rPr>
          <w:rFonts w:ascii="Times New Roman" w:hAnsi="Times New Roman" w:cs="Times New Roman"/>
        </w:rPr>
      </w:pPr>
      <w:r w:rsidRPr="00346490">
        <w:rPr>
          <w:rStyle w:val="EndnoteReference"/>
          <w:rFonts w:ascii="Times New Roman" w:hAnsi="Times New Roman" w:cs="Times New Roman"/>
          <w:sz w:val="20"/>
        </w:rPr>
        <w:endnoteRef/>
      </w:r>
      <w:r w:rsidRPr="00346490">
        <w:rPr>
          <w:rFonts w:ascii="Times New Roman" w:hAnsi="Times New Roman" w:cs="Times New Roman"/>
          <w:sz w:val="20"/>
        </w:rPr>
        <w:t xml:space="preserve"> </w:t>
      </w:r>
      <w:r>
        <w:rPr>
          <w:rFonts w:ascii="Times New Roman" w:hAnsi="Times New Roman" w:cs="Times New Roman"/>
          <w:sz w:val="20"/>
        </w:rPr>
        <w:t>European Commission, “European Community Support”, 2002.</w:t>
      </w:r>
    </w:p>
  </w:endnote>
  <w:endnote w:id="10">
    <w:p w14:paraId="2890F3AC" w14:textId="7B06FE15" w:rsidR="00C24E82" w:rsidRPr="00346490" w:rsidRDefault="00C24E82">
      <w:pPr>
        <w:pStyle w:val="EndnoteText"/>
        <w:rPr>
          <w:rFonts w:ascii="Times New Roman" w:hAnsi="Times New Roman" w:cs="Times New Roman"/>
          <w:sz w:val="20"/>
          <w:szCs w:val="20"/>
        </w:rPr>
      </w:pPr>
      <w:r w:rsidRPr="00346490">
        <w:rPr>
          <w:rStyle w:val="EndnoteReference"/>
          <w:rFonts w:ascii="Times New Roman" w:hAnsi="Times New Roman" w:cs="Times New Roman"/>
          <w:sz w:val="20"/>
        </w:rPr>
        <w:endnoteRef/>
      </w:r>
      <w:r w:rsidRPr="00346490">
        <w:rPr>
          <w:rFonts w:ascii="Times New Roman" w:hAnsi="Times New Roman" w:cs="Times New Roman"/>
        </w:rPr>
        <w:t xml:space="preserve"> </w:t>
      </w:r>
      <w:r>
        <w:rPr>
          <w:rFonts w:ascii="Times New Roman" w:hAnsi="Times New Roman" w:cs="Times New Roman"/>
          <w:sz w:val="20"/>
          <w:szCs w:val="20"/>
        </w:rPr>
        <w:t xml:space="preserve">Heron, </w:t>
      </w:r>
      <w:r>
        <w:rPr>
          <w:rFonts w:ascii="Times New Roman" w:hAnsi="Times New Roman" w:cs="Times New Roman"/>
          <w:i/>
          <w:sz w:val="20"/>
          <w:szCs w:val="20"/>
        </w:rPr>
        <w:t>Pathways from Preferential Trade</w:t>
      </w:r>
      <w:r>
        <w:rPr>
          <w:rFonts w:ascii="Times New Roman" w:hAnsi="Times New Roman" w:cs="Times New Roman"/>
          <w:sz w:val="20"/>
          <w:szCs w:val="20"/>
        </w:rPr>
        <w:t>.</w:t>
      </w:r>
    </w:p>
  </w:endnote>
  <w:endnote w:id="11">
    <w:p w14:paraId="79787034" w14:textId="6A8379C9" w:rsidR="00C24E82" w:rsidRPr="00E665AD" w:rsidRDefault="00C24E82">
      <w:pPr>
        <w:pStyle w:val="EndnoteText"/>
        <w:rPr>
          <w:rFonts w:ascii="Times New Roman" w:hAnsi="Times New Roman" w:cs="Times New Roman"/>
          <w:sz w:val="20"/>
          <w:szCs w:val="20"/>
          <w:lang w:val="en-US"/>
        </w:rPr>
      </w:pPr>
      <w:r w:rsidRPr="001450DD">
        <w:rPr>
          <w:rStyle w:val="EndnoteReference"/>
          <w:rFonts w:ascii="Times New Roman" w:hAnsi="Times New Roman" w:cs="Times New Roman"/>
          <w:sz w:val="20"/>
          <w:szCs w:val="20"/>
        </w:rPr>
        <w:endnoteRef/>
      </w:r>
      <w:r w:rsidRPr="001450DD">
        <w:rPr>
          <w:rFonts w:ascii="Times New Roman" w:hAnsi="Times New Roman" w:cs="Times New Roman"/>
          <w:sz w:val="20"/>
          <w:szCs w:val="20"/>
        </w:rPr>
        <w:t xml:space="preserve"> </w:t>
      </w:r>
      <w:r>
        <w:rPr>
          <w:rFonts w:ascii="Times New Roman" w:hAnsi="Times New Roman" w:cs="Times New Roman"/>
          <w:sz w:val="20"/>
          <w:szCs w:val="20"/>
        </w:rPr>
        <w:t xml:space="preserve">For a more detailed discussion of the central contradictions within the EU’s approach to the EPAs and their consequences, see Heron and Murray-Evans, “Limits to Market Power”; Heron, </w:t>
      </w:r>
      <w:r>
        <w:rPr>
          <w:rFonts w:ascii="Times New Roman" w:hAnsi="Times New Roman" w:cs="Times New Roman"/>
          <w:i/>
          <w:sz w:val="20"/>
          <w:szCs w:val="20"/>
        </w:rPr>
        <w:t>Pathways from Preferential Trade</w:t>
      </w:r>
      <w:r>
        <w:rPr>
          <w:rFonts w:ascii="Times New Roman" w:hAnsi="Times New Roman" w:cs="Times New Roman"/>
          <w:sz w:val="20"/>
          <w:szCs w:val="20"/>
        </w:rPr>
        <w:t>.</w:t>
      </w:r>
    </w:p>
  </w:endnote>
  <w:endnote w:id="12">
    <w:p w14:paraId="663553CC" w14:textId="25701161" w:rsidR="00C24E82" w:rsidRPr="004F5D05" w:rsidRDefault="00C24E82">
      <w:pPr>
        <w:pStyle w:val="EndnoteText"/>
        <w:rPr>
          <w:rFonts w:ascii="Times New Roman" w:hAnsi="Times New Roman" w:cs="Times New Roman"/>
          <w:sz w:val="20"/>
        </w:rPr>
      </w:pPr>
      <w:r w:rsidRPr="004F5D05">
        <w:rPr>
          <w:rStyle w:val="EndnoteReference"/>
          <w:rFonts w:ascii="Times New Roman" w:hAnsi="Times New Roman" w:cs="Times New Roman"/>
          <w:sz w:val="20"/>
        </w:rPr>
        <w:endnoteRef/>
      </w:r>
      <w:r w:rsidRPr="004F5D05">
        <w:rPr>
          <w:rFonts w:ascii="Times New Roman" w:hAnsi="Times New Roman" w:cs="Times New Roman"/>
          <w:sz w:val="20"/>
        </w:rPr>
        <w:t xml:space="preserve"> </w:t>
      </w:r>
      <w:proofErr w:type="spellStart"/>
      <w:r>
        <w:rPr>
          <w:rFonts w:ascii="Times New Roman" w:hAnsi="Times New Roman" w:cs="Times New Roman"/>
          <w:sz w:val="20"/>
        </w:rPr>
        <w:t>Hurrell</w:t>
      </w:r>
      <w:proofErr w:type="spellEnd"/>
      <w:r>
        <w:rPr>
          <w:rFonts w:ascii="Times New Roman" w:hAnsi="Times New Roman" w:cs="Times New Roman"/>
          <w:sz w:val="20"/>
        </w:rPr>
        <w:t xml:space="preserve">, “Regionalism in Theoretical Perspective”; </w:t>
      </w:r>
      <w:proofErr w:type="spellStart"/>
      <w:r>
        <w:rPr>
          <w:rFonts w:ascii="Times New Roman" w:hAnsi="Times New Roman" w:cs="Times New Roman"/>
          <w:sz w:val="20"/>
        </w:rPr>
        <w:t>Breslin</w:t>
      </w:r>
      <w:proofErr w:type="spellEnd"/>
      <w:r>
        <w:rPr>
          <w:rFonts w:ascii="Times New Roman" w:hAnsi="Times New Roman" w:cs="Times New Roman"/>
          <w:sz w:val="20"/>
        </w:rPr>
        <w:t xml:space="preserve"> and </w:t>
      </w:r>
      <w:proofErr w:type="spellStart"/>
      <w:r>
        <w:rPr>
          <w:rFonts w:ascii="Times New Roman" w:hAnsi="Times New Roman" w:cs="Times New Roman"/>
          <w:sz w:val="20"/>
        </w:rPr>
        <w:t>Higgott</w:t>
      </w:r>
      <w:proofErr w:type="spellEnd"/>
      <w:r>
        <w:rPr>
          <w:rFonts w:ascii="Times New Roman" w:hAnsi="Times New Roman" w:cs="Times New Roman"/>
          <w:sz w:val="20"/>
        </w:rPr>
        <w:t>, “Studying Regions: Learning from the Old”.</w:t>
      </w:r>
    </w:p>
  </w:endnote>
  <w:endnote w:id="13">
    <w:p w14:paraId="5CF3A3DF" w14:textId="4F64FD70" w:rsidR="00C24E82" w:rsidRPr="00AB2ACF" w:rsidRDefault="00C24E82">
      <w:pPr>
        <w:pStyle w:val="EndnoteText"/>
        <w:rPr>
          <w:rFonts w:ascii="Times New Roman" w:hAnsi="Times New Roman" w:cs="Times New Roman"/>
        </w:rPr>
      </w:pPr>
      <w:r w:rsidRPr="004F5D05">
        <w:rPr>
          <w:rStyle w:val="EndnoteReference"/>
          <w:rFonts w:ascii="Times New Roman" w:hAnsi="Times New Roman" w:cs="Times New Roman"/>
          <w:sz w:val="20"/>
        </w:rPr>
        <w:endnoteRef/>
      </w:r>
      <w:r w:rsidRPr="004F5D05">
        <w:rPr>
          <w:rFonts w:ascii="Times New Roman" w:hAnsi="Times New Roman" w:cs="Times New Roman"/>
          <w:sz w:val="20"/>
        </w:rPr>
        <w:t xml:space="preserve"> </w:t>
      </w:r>
      <w:proofErr w:type="spellStart"/>
      <w:r>
        <w:rPr>
          <w:rFonts w:ascii="Times New Roman" w:hAnsi="Times New Roman" w:cs="Times New Roman"/>
          <w:sz w:val="20"/>
        </w:rPr>
        <w:t>Akokpari</w:t>
      </w:r>
      <w:proofErr w:type="spellEnd"/>
      <w:r>
        <w:rPr>
          <w:rFonts w:ascii="Times New Roman" w:hAnsi="Times New Roman" w:cs="Times New Roman"/>
          <w:sz w:val="20"/>
        </w:rPr>
        <w:t xml:space="preserve">, “Dilemmas of Regional Integration”; </w:t>
      </w:r>
      <w:proofErr w:type="spellStart"/>
      <w:r>
        <w:rPr>
          <w:rFonts w:ascii="Times New Roman" w:hAnsi="Times New Roman" w:cs="Times New Roman"/>
          <w:sz w:val="20"/>
        </w:rPr>
        <w:t>Østergaard</w:t>
      </w:r>
      <w:proofErr w:type="spellEnd"/>
      <w:r>
        <w:rPr>
          <w:rFonts w:ascii="Times New Roman" w:hAnsi="Times New Roman" w:cs="Times New Roman"/>
          <w:sz w:val="20"/>
        </w:rPr>
        <w:t xml:space="preserve">, “Classical Models of Regional Integration”; </w:t>
      </w:r>
      <w:proofErr w:type="spellStart"/>
      <w:r>
        <w:rPr>
          <w:rFonts w:ascii="Times New Roman" w:hAnsi="Times New Roman" w:cs="Times New Roman"/>
          <w:sz w:val="20"/>
        </w:rPr>
        <w:t>Qualmann</w:t>
      </w:r>
      <w:proofErr w:type="spellEnd"/>
      <w:r>
        <w:rPr>
          <w:rFonts w:ascii="Times New Roman" w:hAnsi="Times New Roman" w:cs="Times New Roman"/>
          <w:sz w:val="20"/>
        </w:rPr>
        <w:t xml:space="preserve">, “Political, Legal and Economic Perspective”; </w:t>
      </w:r>
      <w:proofErr w:type="spellStart"/>
      <w:r>
        <w:rPr>
          <w:rFonts w:ascii="Times New Roman" w:hAnsi="Times New Roman" w:cs="Times New Roman"/>
          <w:sz w:val="20"/>
        </w:rPr>
        <w:t>Tekere</w:t>
      </w:r>
      <w:proofErr w:type="spellEnd"/>
      <w:r>
        <w:rPr>
          <w:rFonts w:ascii="Times New Roman" w:hAnsi="Times New Roman" w:cs="Times New Roman"/>
          <w:sz w:val="20"/>
        </w:rPr>
        <w:t xml:space="preserve">, “Challenges for the SADC EPA Group”; Payne, </w:t>
      </w:r>
      <w:r w:rsidRPr="00AB2ACF">
        <w:rPr>
          <w:rFonts w:ascii="Times New Roman" w:hAnsi="Times New Roman" w:cs="Times New Roman"/>
          <w:i/>
          <w:sz w:val="20"/>
        </w:rPr>
        <w:t>The Politics of the Caribbean Community</w:t>
      </w:r>
      <w:r>
        <w:rPr>
          <w:rFonts w:ascii="Times New Roman" w:hAnsi="Times New Roman" w:cs="Times New Roman"/>
          <w:sz w:val="20"/>
        </w:rPr>
        <w:t>.</w:t>
      </w:r>
    </w:p>
  </w:endnote>
  <w:endnote w:id="14">
    <w:p w14:paraId="1F00DE6A" w14:textId="76585D1F" w:rsidR="00C24E82" w:rsidRPr="00AB2ACF" w:rsidRDefault="00C24E82">
      <w:pPr>
        <w:pStyle w:val="EndnoteText"/>
        <w:rPr>
          <w:rFonts w:ascii="Times New Roman" w:hAnsi="Times New Roman" w:cs="Times New Roman"/>
          <w:sz w:val="20"/>
          <w:szCs w:val="20"/>
        </w:rPr>
      </w:pPr>
      <w:r w:rsidRPr="00AB2ACF">
        <w:rPr>
          <w:rStyle w:val="EndnoteReference"/>
          <w:rFonts w:ascii="Times New Roman" w:hAnsi="Times New Roman" w:cs="Times New Roman"/>
          <w:sz w:val="20"/>
          <w:szCs w:val="20"/>
        </w:rPr>
        <w:endnoteRef/>
      </w:r>
      <w:r w:rsidRPr="00AB2ACF">
        <w:rPr>
          <w:rFonts w:ascii="Times New Roman" w:hAnsi="Times New Roman" w:cs="Times New Roman"/>
          <w:sz w:val="20"/>
          <w:szCs w:val="20"/>
        </w:rPr>
        <w:t xml:space="preserve"> </w:t>
      </w:r>
      <w:r>
        <w:rPr>
          <w:rFonts w:ascii="Times New Roman" w:hAnsi="Times New Roman" w:cs="Times New Roman"/>
          <w:sz w:val="20"/>
          <w:szCs w:val="20"/>
        </w:rPr>
        <w:t>Heron and Murray-Evans, “The EU and Africa”.</w:t>
      </w:r>
    </w:p>
  </w:endnote>
  <w:endnote w:id="15">
    <w:p w14:paraId="59A14DED" w14:textId="43AF8D73" w:rsidR="00C24E82" w:rsidRPr="00AB2ACF" w:rsidRDefault="00C24E82">
      <w:pPr>
        <w:pStyle w:val="EndnoteText"/>
        <w:rPr>
          <w:rFonts w:ascii="Times New Roman" w:hAnsi="Times New Roman" w:cs="Times New Roman"/>
          <w:sz w:val="20"/>
          <w:szCs w:val="20"/>
        </w:rPr>
      </w:pPr>
      <w:r w:rsidRPr="00AB2ACF">
        <w:rPr>
          <w:rStyle w:val="EndnoteReference"/>
          <w:rFonts w:ascii="Times New Roman" w:hAnsi="Times New Roman" w:cs="Times New Roman"/>
          <w:sz w:val="20"/>
          <w:szCs w:val="20"/>
        </w:rPr>
        <w:endnoteRef/>
      </w:r>
      <w:r w:rsidRPr="00AB2ACF">
        <w:rPr>
          <w:rFonts w:ascii="Times New Roman" w:hAnsi="Times New Roman" w:cs="Times New Roman"/>
          <w:sz w:val="20"/>
          <w:szCs w:val="20"/>
        </w:rPr>
        <w:t xml:space="preserve"> </w:t>
      </w:r>
      <w:proofErr w:type="gramStart"/>
      <w:r w:rsidRPr="00AB2ACF">
        <w:rPr>
          <w:rFonts w:ascii="Times New Roman" w:hAnsi="Times New Roman" w:cs="Times New Roman"/>
          <w:sz w:val="20"/>
          <w:szCs w:val="20"/>
        </w:rPr>
        <w:t xml:space="preserve">European Commission, </w:t>
      </w:r>
      <w:r w:rsidRPr="00AB2ACF">
        <w:rPr>
          <w:rFonts w:ascii="Times New Roman" w:hAnsi="Times New Roman" w:cs="Times New Roman"/>
          <w:i/>
          <w:sz w:val="20"/>
          <w:szCs w:val="20"/>
        </w:rPr>
        <w:t>Orientations on the Qualification</w:t>
      </w:r>
      <w:r w:rsidRPr="00AB2ACF">
        <w:rPr>
          <w:rFonts w:ascii="Times New Roman" w:hAnsi="Times New Roman" w:cs="Times New Roman"/>
          <w:sz w:val="20"/>
          <w:szCs w:val="20"/>
        </w:rPr>
        <w:t>, 3.</w:t>
      </w:r>
      <w:proofErr w:type="gramEnd"/>
    </w:p>
  </w:endnote>
  <w:endnote w:id="16">
    <w:p w14:paraId="21C4FDC6" w14:textId="4082DA27" w:rsidR="00C24E82" w:rsidRPr="00AB2ACF" w:rsidRDefault="00C24E82">
      <w:pPr>
        <w:pStyle w:val="EndnoteText"/>
        <w:rPr>
          <w:rFonts w:ascii="Times New Roman" w:hAnsi="Times New Roman" w:cs="Times New Roman"/>
          <w:sz w:val="20"/>
          <w:szCs w:val="20"/>
        </w:rPr>
      </w:pPr>
      <w:r w:rsidRPr="00AB2ACF">
        <w:rPr>
          <w:rStyle w:val="EndnoteReference"/>
          <w:rFonts w:ascii="Times New Roman" w:hAnsi="Times New Roman" w:cs="Times New Roman"/>
          <w:sz w:val="20"/>
          <w:szCs w:val="20"/>
        </w:rPr>
        <w:endnoteRef/>
      </w:r>
      <w:r w:rsidRPr="00AB2ACF">
        <w:rPr>
          <w:rFonts w:ascii="Times New Roman" w:hAnsi="Times New Roman" w:cs="Times New Roman"/>
          <w:sz w:val="20"/>
          <w:szCs w:val="20"/>
        </w:rPr>
        <w:t xml:space="preserve"> </w:t>
      </w:r>
      <w:r>
        <w:rPr>
          <w:rFonts w:ascii="Times New Roman" w:hAnsi="Times New Roman" w:cs="Times New Roman"/>
          <w:sz w:val="20"/>
          <w:szCs w:val="20"/>
        </w:rPr>
        <w:t>Ibid</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9.</w:t>
      </w:r>
    </w:p>
  </w:endnote>
  <w:endnote w:id="17">
    <w:p w14:paraId="42475276" w14:textId="5BC6E591" w:rsidR="00C24E82" w:rsidRPr="00AB2ACF" w:rsidRDefault="00C24E82">
      <w:pPr>
        <w:pStyle w:val="EndnoteText"/>
        <w:rPr>
          <w:rFonts w:ascii="Times New Roman" w:hAnsi="Times New Roman" w:cs="Times New Roman"/>
          <w:sz w:val="20"/>
          <w:szCs w:val="20"/>
        </w:rPr>
      </w:pPr>
      <w:r w:rsidRPr="00AB2ACF">
        <w:rPr>
          <w:rStyle w:val="EndnoteReference"/>
          <w:rFonts w:ascii="Times New Roman" w:hAnsi="Times New Roman" w:cs="Times New Roman"/>
          <w:sz w:val="20"/>
          <w:szCs w:val="20"/>
        </w:rPr>
        <w:endnoteRef/>
      </w:r>
      <w:r w:rsidRPr="00AB2ACF">
        <w:rPr>
          <w:rFonts w:ascii="Times New Roman" w:hAnsi="Times New Roman" w:cs="Times New Roman"/>
          <w:sz w:val="20"/>
          <w:szCs w:val="20"/>
        </w:rPr>
        <w:t xml:space="preserve"> </w:t>
      </w:r>
      <w:r>
        <w:rPr>
          <w:rFonts w:ascii="Times New Roman" w:hAnsi="Times New Roman" w:cs="Times New Roman"/>
          <w:sz w:val="20"/>
          <w:szCs w:val="20"/>
        </w:rPr>
        <w:t>Ibid.</w:t>
      </w:r>
    </w:p>
  </w:endnote>
  <w:endnote w:id="18">
    <w:p w14:paraId="56A7C379" w14:textId="7BF19B15" w:rsidR="00C24E82" w:rsidRPr="00CA6014" w:rsidRDefault="00C24E82" w:rsidP="005066B9">
      <w:pPr>
        <w:pStyle w:val="EndnoteText"/>
        <w:jc w:val="both"/>
        <w:rPr>
          <w:rFonts w:ascii="Times New Roman" w:hAnsi="Times New Roman" w:cs="Times New Roman"/>
          <w:sz w:val="20"/>
          <w:szCs w:val="20"/>
          <w:lang w:val="en-US"/>
        </w:rPr>
      </w:pPr>
      <w:r w:rsidRPr="00433D39">
        <w:rPr>
          <w:rStyle w:val="EndnoteReference"/>
          <w:rFonts w:ascii="Times New Roman" w:hAnsi="Times New Roman" w:cs="Times New Roman"/>
          <w:sz w:val="20"/>
          <w:szCs w:val="20"/>
        </w:rPr>
        <w:endnoteRef/>
      </w:r>
      <w:r>
        <w:t xml:space="preserve"> </w:t>
      </w:r>
      <w:r w:rsidRPr="00CA6014">
        <w:rPr>
          <w:rFonts w:ascii="Times New Roman" w:eastAsia="Times New Roman" w:hAnsi="Times New Roman" w:cs="Times New Roman"/>
          <w:sz w:val="20"/>
          <w:szCs w:val="20"/>
        </w:rPr>
        <w:t>The other regional economic communities either contain a number of non-ACP countries (Community of Sahel-Saharan States [CEN-SAD] and Arab Maghreb Union [UMA]) or focus primarily on security and political dialogue (IGAD).</w:t>
      </w:r>
      <w:r>
        <w:rPr>
          <w:rFonts w:ascii="Times New Roman" w:eastAsia="Times New Roman" w:hAnsi="Times New Roman" w:cs="Times New Roman"/>
          <w:sz w:val="20"/>
          <w:szCs w:val="20"/>
        </w:rPr>
        <w:t xml:space="preserve"> While ECCAS was initially identified as the possible basis for an EPA, the eventual EPA group in Central Africa more closely reflected the smaller and more integrated </w:t>
      </w:r>
      <w:r w:rsidRPr="00B65EAD">
        <w:rPr>
          <w:rFonts w:ascii="Times New Roman" w:eastAsia="Times New Roman" w:hAnsi="Times New Roman" w:cs="Times New Roman"/>
          <w:sz w:val="20"/>
          <w:szCs w:val="20"/>
        </w:rPr>
        <w:t>Economic and Monetary Community of Central Africa</w:t>
      </w:r>
      <w:r>
        <w:rPr>
          <w:rFonts w:ascii="Times New Roman" w:eastAsia="Times New Roman" w:hAnsi="Times New Roman" w:cs="Times New Roman"/>
          <w:sz w:val="20"/>
          <w:szCs w:val="20"/>
        </w:rPr>
        <w:t xml:space="preserve"> (CEMAC).</w:t>
      </w:r>
    </w:p>
  </w:endnote>
  <w:endnote w:id="19">
    <w:p w14:paraId="7D02D6B0" w14:textId="77777777" w:rsidR="00C24E82" w:rsidRPr="00CA6014" w:rsidRDefault="00C24E82" w:rsidP="005066B9">
      <w:pPr>
        <w:pStyle w:val="EndnoteText"/>
        <w:jc w:val="both"/>
        <w:rPr>
          <w:rFonts w:ascii="Times New Roman" w:hAnsi="Times New Roman" w:cs="Times New Roman"/>
          <w:sz w:val="20"/>
          <w:szCs w:val="20"/>
          <w:lang w:val="en-US"/>
        </w:rPr>
      </w:pPr>
      <w:r w:rsidRPr="00CA6014">
        <w:rPr>
          <w:rStyle w:val="EndnoteReference"/>
          <w:rFonts w:ascii="Times New Roman" w:hAnsi="Times New Roman" w:cs="Times New Roman"/>
          <w:sz w:val="20"/>
          <w:szCs w:val="20"/>
        </w:rPr>
        <w:endnoteRef/>
      </w:r>
      <w:r w:rsidRPr="00CA6014">
        <w:rPr>
          <w:rFonts w:ascii="Times New Roman" w:hAnsi="Times New Roman" w:cs="Times New Roman"/>
          <w:sz w:val="20"/>
          <w:szCs w:val="20"/>
        </w:rPr>
        <w:t xml:space="preserve"> </w:t>
      </w:r>
      <w:r w:rsidRPr="00CA6014">
        <w:rPr>
          <w:rFonts w:ascii="Times New Roman" w:eastAsia="Times New Roman" w:hAnsi="Times New Roman" w:cs="Times New Roman"/>
          <w:sz w:val="20"/>
          <w:szCs w:val="20"/>
        </w:rPr>
        <w:t>A confidential interview with a former DG Trade official revealed that the Commission argued the case for the Democratic Republic of Congo – a member of three separate RECs – to be part of the Central Africa EPA configuration to give this region more market potential. In 2007, the Commission also insisted that Tanzania leave the SADC-minus group and join the EAC group instead (a customs union of which it was a member).</w:t>
      </w:r>
    </w:p>
  </w:endnote>
  <w:endnote w:id="20">
    <w:p w14:paraId="70F3270E" w14:textId="77777777" w:rsidR="00C24E82" w:rsidRPr="00CA6014" w:rsidRDefault="00C24E82" w:rsidP="005066B9">
      <w:pPr>
        <w:pStyle w:val="EndnoteText"/>
        <w:jc w:val="both"/>
        <w:rPr>
          <w:rFonts w:ascii="Times New Roman" w:hAnsi="Times New Roman" w:cs="Times New Roman"/>
          <w:sz w:val="20"/>
          <w:szCs w:val="20"/>
          <w:lang w:val="en-US"/>
        </w:rPr>
      </w:pPr>
      <w:r w:rsidRPr="00CA6014">
        <w:rPr>
          <w:rStyle w:val="EndnoteReference"/>
          <w:rFonts w:ascii="Times New Roman" w:hAnsi="Times New Roman" w:cs="Times New Roman"/>
          <w:sz w:val="20"/>
          <w:szCs w:val="20"/>
        </w:rPr>
        <w:endnoteRef/>
      </w:r>
      <w:r w:rsidRPr="00CA6014">
        <w:rPr>
          <w:rFonts w:ascii="Times New Roman" w:hAnsi="Times New Roman" w:cs="Times New Roman"/>
          <w:sz w:val="20"/>
          <w:szCs w:val="20"/>
        </w:rPr>
        <w:t xml:space="preserve"> </w:t>
      </w:r>
      <w:r w:rsidRPr="00CA6014">
        <w:rPr>
          <w:rFonts w:ascii="Times New Roman" w:eastAsia="Times New Roman" w:hAnsi="Times New Roman" w:cs="Times New Roman"/>
          <w:sz w:val="20"/>
          <w:szCs w:val="20"/>
        </w:rPr>
        <w:t>The SADC REC members were initially divided between the SADC-minus, Central Africa, and Eastern and Southern Africa EPA groups. Tanzania later joined the EAC EPA, dividing the SADC REC into a fourth EPA group.</w:t>
      </w:r>
    </w:p>
  </w:endnote>
  <w:endnote w:id="21">
    <w:p w14:paraId="18483E4C" w14:textId="11C80FF9" w:rsidR="00C24E82" w:rsidRPr="00AB2ACF" w:rsidRDefault="00C24E82">
      <w:pPr>
        <w:pStyle w:val="EndnoteText"/>
        <w:rPr>
          <w:rFonts w:ascii="Times New Roman" w:hAnsi="Times New Roman" w:cs="Times New Roman"/>
          <w:sz w:val="20"/>
          <w:szCs w:val="20"/>
        </w:rPr>
      </w:pPr>
      <w:r w:rsidRPr="00AB2ACF">
        <w:rPr>
          <w:rStyle w:val="EndnoteReference"/>
          <w:rFonts w:ascii="Times New Roman" w:hAnsi="Times New Roman" w:cs="Times New Roman"/>
          <w:sz w:val="20"/>
          <w:szCs w:val="20"/>
        </w:rPr>
        <w:endnoteRef/>
      </w:r>
      <w:r w:rsidRPr="00AB2ACF">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European Commission, </w:t>
      </w:r>
      <w:r>
        <w:rPr>
          <w:rFonts w:ascii="Times New Roman" w:hAnsi="Times New Roman" w:cs="Times New Roman"/>
          <w:i/>
          <w:sz w:val="20"/>
          <w:szCs w:val="20"/>
        </w:rPr>
        <w:t>Orientations of the Qualifications</w:t>
      </w:r>
      <w:r>
        <w:rPr>
          <w:rFonts w:ascii="Times New Roman" w:hAnsi="Times New Roman" w:cs="Times New Roman"/>
          <w:sz w:val="20"/>
          <w:szCs w:val="20"/>
        </w:rPr>
        <w:t>, 9.</w:t>
      </w:r>
      <w:proofErr w:type="gramEnd"/>
    </w:p>
  </w:endnote>
  <w:endnote w:id="22">
    <w:p w14:paraId="6D8CDF61" w14:textId="6E7F0A8F" w:rsidR="00C24E82" w:rsidRPr="00AB2ACF" w:rsidRDefault="00C24E82">
      <w:pPr>
        <w:pStyle w:val="EndnoteText"/>
        <w:rPr>
          <w:rFonts w:ascii="Times New Roman" w:hAnsi="Times New Roman" w:cs="Times New Roman"/>
          <w:sz w:val="20"/>
          <w:szCs w:val="20"/>
        </w:rPr>
      </w:pPr>
      <w:r w:rsidRPr="00AB2ACF">
        <w:rPr>
          <w:rStyle w:val="EndnoteReference"/>
          <w:rFonts w:ascii="Times New Roman" w:hAnsi="Times New Roman" w:cs="Times New Roman"/>
          <w:sz w:val="20"/>
          <w:szCs w:val="20"/>
        </w:rPr>
        <w:endnoteRef/>
      </w:r>
      <w:r w:rsidRPr="00AB2ACF">
        <w:rPr>
          <w:rFonts w:ascii="Times New Roman" w:hAnsi="Times New Roman" w:cs="Times New Roman"/>
          <w:sz w:val="20"/>
          <w:szCs w:val="20"/>
        </w:rPr>
        <w:t xml:space="preserve"> </w:t>
      </w:r>
      <w:r>
        <w:rPr>
          <w:rFonts w:ascii="Times New Roman" w:hAnsi="Times New Roman" w:cs="Times New Roman"/>
          <w:sz w:val="20"/>
          <w:szCs w:val="20"/>
        </w:rPr>
        <w:t>Bilal and Ramdoo, “EPA Negotiations: The Honeymoon”.</w:t>
      </w:r>
    </w:p>
  </w:endnote>
  <w:endnote w:id="23">
    <w:p w14:paraId="3B2E2D83" w14:textId="4441E170" w:rsidR="00C24E82" w:rsidRPr="00CA6014" w:rsidRDefault="00C24E82" w:rsidP="005066B9">
      <w:pPr>
        <w:pStyle w:val="EndnoteText"/>
        <w:jc w:val="both"/>
        <w:rPr>
          <w:rFonts w:ascii="Times New Roman" w:hAnsi="Times New Roman" w:cs="Times New Roman"/>
          <w:sz w:val="20"/>
          <w:szCs w:val="20"/>
          <w:lang w:val="en-US"/>
        </w:rPr>
      </w:pPr>
      <w:r w:rsidRPr="00CA6014">
        <w:rPr>
          <w:rStyle w:val="EndnoteReference"/>
          <w:rFonts w:ascii="Times New Roman" w:hAnsi="Times New Roman" w:cs="Times New Roman"/>
          <w:sz w:val="20"/>
          <w:szCs w:val="20"/>
        </w:rPr>
        <w:endnoteRef/>
      </w:r>
      <w:r w:rsidRPr="00CA6014">
        <w:rPr>
          <w:rFonts w:ascii="Times New Roman" w:hAnsi="Times New Roman" w:cs="Times New Roman"/>
          <w:sz w:val="20"/>
          <w:szCs w:val="20"/>
        </w:rPr>
        <w:t xml:space="preserve"> Signatures of the West Africa and EAC EPAs are still pending at the time of writing. This is in some doubt in</w:t>
      </w:r>
      <w:r>
        <w:rPr>
          <w:rFonts w:ascii="Times New Roman" w:hAnsi="Times New Roman" w:cs="Times New Roman"/>
          <w:sz w:val="20"/>
          <w:szCs w:val="20"/>
        </w:rPr>
        <w:t xml:space="preserve"> both regions.</w:t>
      </w:r>
      <w:r w:rsidRPr="00CA6014">
        <w:rPr>
          <w:rFonts w:ascii="Times New Roman" w:hAnsi="Times New Roman" w:cs="Times New Roman"/>
          <w:sz w:val="20"/>
          <w:szCs w:val="20"/>
        </w:rPr>
        <w:t xml:space="preserve"> </w:t>
      </w:r>
      <w:r>
        <w:rPr>
          <w:rFonts w:ascii="Times New Roman" w:hAnsi="Times New Roman" w:cs="Times New Roman"/>
          <w:sz w:val="20"/>
          <w:szCs w:val="20"/>
        </w:rPr>
        <w:t>In</w:t>
      </w:r>
      <w:r w:rsidRPr="00CA6014">
        <w:rPr>
          <w:rFonts w:ascii="Times New Roman" w:hAnsi="Times New Roman" w:cs="Times New Roman"/>
          <w:sz w:val="20"/>
          <w:szCs w:val="20"/>
        </w:rPr>
        <w:t xml:space="preserve"> West African there has been opposition to the deal from Nigerian government and private sector actors since the terms were agreed in 2014.</w:t>
      </w:r>
      <w:r>
        <w:rPr>
          <w:rFonts w:ascii="Times New Roman" w:hAnsi="Times New Roman" w:cs="Times New Roman"/>
          <w:sz w:val="20"/>
          <w:szCs w:val="20"/>
        </w:rPr>
        <w:t xml:space="preserve"> In the EAC, Tanzania indicated in advance of the scheduled signing of the region’s EPA on July 18 2016 that it no longer wished to be part of the agreement, citing the uncertainty created by the United Kingdom’s vote to leave the EU as a key reason for the decision.</w:t>
      </w:r>
    </w:p>
  </w:endnote>
  <w:endnote w:id="24">
    <w:p w14:paraId="3E40CCC7" w14:textId="023F9EE2" w:rsidR="00C24E82" w:rsidRPr="00823301" w:rsidRDefault="00C24E82">
      <w:pPr>
        <w:pStyle w:val="EndnoteText"/>
        <w:rPr>
          <w:rFonts w:ascii="Times New Roman" w:hAnsi="Times New Roman"/>
          <w:sz w:val="20"/>
          <w:szCs w:val="20"/>
          <w:lang w:val="en-US"/>
        </w:rPr>
      </w:pPr>
      <w:r w:rsidRPr="00823301">
        <w:rPr>
          <w:rStyle w:val="EndnoteReference"/>
          <w:rFonts w:ascii="Times New Roman" w:hAnsi="Times New Roman"/>
          <w:sz w:val="20"/>
          <w:szCs w:val="20"/>
        </w:rPr>
        <w:endnoteRef/>
      </w:r>
      <w:r w:rsidRPr="00823301">
        <w:rPr>
          <w:rFonts w:ascii="Times New Roman" w:hAnsi="Times New Roman"/>
          <w:sz w:val="20"/>
          <w:szCs w:val="20"/>
        </w:rPr>
        <w:t xml:space="preserve"> </w:t>
      </w:r>
      <w:r>
        <w:rPr>
          <w:rFonts w:ascii="Times New Roman" w:hAnsi="Times New Roman"/>
          <w:sz w:val="20"/>
          <w:szCs w:val="20"/>
        </w:rPr>
        <w:t>Lesotho and Mozambique concluded sub-regional EPAs in 2007 before concluding a regional deal with the rest of the SADC EPA group in 2014. Zambia and Comoro</w:t>
      </w:r>
      <w:r w:rsidRPr="00823301">
        <w:rPr>
          <w:rFonts w:ascii="Times New Roman" w:hAnsi="Times New Roman"/>
          <w:sz w:val="20"/>
          <w:szCs w:val="20"/>
        </w:rPr>
        <w:t xml:space="preserve">s </w:t>
      </w:r>
      <w:r w:rsidRPr="00823301">
        <w:rPr>
          <w:rFonts w:ascii="Times New Roman" w:eastAsia="Garamond" w:hAnsi="Times New Roman" w:cs="Times New Roman"/>
          <w:color w:val="222222"/>
          <w:sz w:val="20"/>
          <w:szCs w:val="20"/>
          <w:highlight w:val="white"/>
        </w:rPr>
        <w:t>initialled an EPA in 2007 but never signed or ratified this deal.</w:t>
      </w:r>
    </w:p>
  </w:endnote>
  <w:endnote w:id="25">
    <w:p w14:paraId="00B62937" w14:textId="6363E08F" w:rsidR="00C24E82" w:rsidRPr="00CA11EB" w:rsidRDefault="00C24E82">
      <w:pPr>
        <w:pStyle w:val="EndnoteText"/>
        <w:rPr>
          <w:rFonts w:ascii="Times New Roman" w:hAnsi="Times New Roman" w:cs="Times New Roman"/>
          <w:sz w:val="20"/>
          <w:szCs w:val="20"/>
        </w:rPr>
      </w:pPr>
      <w:r w:rsidRPr="00CA11EB">
        <w:rPr>
          <w:rStyle w:val="EndnoteReference"/>
          <w:rFonts w:ascii="Times New Roman" w:hAnsi="Times New Roman" w:cs="Times New Roman"/>
          <w:sz w:val="20"/>
          <w:szCs w:val="20"/>
        </w:rPr>
        <w:endnoteRef/>
      </w:r>
      <w:r w:rsidRPr="00CA11EB">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European Commission, </w:t>
      </w:r>
      <w:r>
        <w:rPr>
          <w:rFonts w:ascii="Times New Roman" w:hAnsi="Times New Roman" w:cs="Times New Roman"/>
          <w:i/>
          <w:sz w:val="20"/>
          <w:szCs w:val="20"/>
        </w:rPr>
        <w:t>Orientations on the Qualification</w:t>
      </w:r>
      <w:r>
        <w:rPr>
          <w:rFonts w:ascii="Times New Roman" w:hAnsi="Times New Roman" w:cs="Times New Roman"/>
          <w:sz w:val="20"/>
          <w:szCs w:val="20"/>
        </w:rPr>
        <w:t>.</w:t>
      </w:r>
      <w:proofErr w:type="gramEnd"/>
    </w:p>
  </w:endnote>
  <w:endnote w:id="26">
    <w:p w14:paraId="68A2407E" w14:textId="77562ADE" w:rsidR="00C24E82" w:rsidRPr="00443605" w:rsidRDefault="00C24E82" w:rsidP="00B60684">
      <w:pPr>
        <w:pStyle w:val="EndnoteText"/>
        <w:jc w:val="both"/>
        <w:rPr>
          <w:rFonts w:ascii="Times New Roman" w:hAnsi="Times New Roman" w:cs="Times New Roman"/>
          <w:sz w:val="20"/>
          <w:szCs w:val="20"/>
          <w:lang w:val="en-US"/>
        </w:rPr>
      </w:pPr>
      <w:r w:rsidRPr="00443605">
        <w:rPr>
          <w:rStyle w:val="EndnoteReference"/>
          <w:rFonts w:ascii="Times New Roman" w:hAnsi="Times New Roman" w:cs="Times New Roman"/>
          <w:sz w:val="20"/>
          <w:szCs w:val="20"/>
        </w:rPr>
        <w:endnoteRef/>
      </w:r>
      <w:r w:rsidRPr="00443605">
        <w:rPr>
          <w:rFonts w:ascii="Times New Roman" w:hAnsi="Times New Roman" w:cs="Times New Roman"/>
          <w:sz w:val="20"/>
          <w:szCs w:val="20"/>
        </w:rPr>
        <w:t xml:space="preserve"> </w:t>
      </w:r>
      <w:r>
        <w:rPr>
          <w:rFonts w:ascii="Times New Roman" w:hAnsi="Times New Roman" w:cs="Times New Roman"/>
          <w:sz w:val="20"/>
          <w:szCs w:val="20"/>
        </w:rPr>
        <w:t xml:space="preserve">These categorisations – low, moderate or high – are based on the authors’ judgement, with brief justifications offered in Table 2. They are intended to provide an indication of the comparative degree of institutional congruence between the individual ACP groups and the model of economic integration on which the EU’s approach to the EPAs was premised. The claim is not that the outcome of the negotiations could be read off solely on the basis of these categorisations, </w:t>
      </w:r>
      <w:proofErr w:type="gramStart"/>
      <w:r>
        <w:rPr>
          <w:rFonts w:ascii="Times New Roman" w:hAnsi="Times New Roman" w:cs="Times New Roman"/>
          <w:sz w:val="20"/>
          <w:szCs w:val="20"/>
        </w:rPr>
        <w:t>nor</w:t>
      </w:r>
      <w:proofErr w:type="gramEnd"/>
      <w:r>
        <w:rPr>
          <w:rFonts w:ascii="Times New Roman" w:hAnsi="Times New Roman" w:cs="Times New Roman"/>
          <w:sz w:val="20"/>
          <w:szCs w:val="20"/>
        </w:rPr>
        <w:t xml:space="preserve"> that each of the four variables carried the same weight in determining the negotiating outcome in each case. Rather, Table 2 offers a simplified picture of the institutional dynamics of each region, while the way in which these shaped the outcome of the negotiations is discussed in further detail and with greater nuance in the sections below.</w:t>
      </w:r>
    </w:p>
  </w:endnote>
  <w:endnote w:id="27">
    <w:p w14:paraId="391FD2CD" w14:textId="3A5E1F82" w:rsidR="00C24E82" w:rsidRPr="00CA11EB" w:rsidRDefault="00C24E82">
      <w:pPr>
        <w:pStyle w:val="EndnoteText"/>
        <w:rPr>
          <w:rFonts w:ascii="Times New Roman" w:hAnsi="Times New Roman" w:cs="Times New Roman"/>
          <w:sz w:val="20"/>
          <w:szCs w:val="20"/>
        </w:rPr>
      </w:pPr>
      <w:r w:rsidRPr="00CA11EB">
        <w:rPr>
          <w:rStyle w:val="EndnoteReference"/>
          <w:rFonts w:ascii="Times New Roman" w:hAnsi="Times New Roman" w:cs="Times New Roman"/>
          <w:sz w:val="20"/>
          <w:szCs w:val="20"/>
        </w:rPr>
        <w:endnoteRef/>
      </w:r>
      <w:r w:rsidRPr="00CA11EB">
        <w:rPr>
          <w:rFonts w:ascii="Times New Roman" w:hAnsi="Times New Roman" w:cs="Times New Roman"/>
          <w:sz w:val="20"/>
          <w:szCs w:val="20"/>
        </w:rPr>
        <w:t xml:space="preserve"> </w:t>
      </w:r>
      <w:r>
        <w:rPr>
          <w:rFonts w:ascii="Times New Roman" w:hAnsi="Times New Roman" w:cs="Times New Roman"/>
          <w:sz w:val="20"/>
          <w:szCs w:val="20"/>
        </w:rPr>
        <w:t>Heron, “Asymmetric Bargaining and Development”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Nyaga Munyi, “Beyond Asymmetry”.</w:t>
      </w:r>
    </w:p>
  </w:endnote>
  <w:endnote w:id="28">
    <w:p w14:paraId="34B1089E" w14:textId="2E727136" w:rsidR="00C24E82" w:rsidRPr="000330F9" w:rsidRDefault="00C24E82">
      <w:pPr>
        <w:pStyle w:val="EndnoteText"/>
        <w:rPr>
          <w:rFonts w:ascii="Times New Roman" w:hAnsi="Times New Roman" w:cs="Times New Roman"/>
          <w:sz w:val="20"/>
          <w:szCs w:val="20"/>
        </w:rPr>
      </w:pPr>
      <w:r w:rsidRPr="00CA11EB">
        <w:rPr>
          <w:rStyle w:val="EndnoteReference"/>
          <w:rFonts w:ascii="Times New Roman" w:hAnsi="Times New Roman" w:cs="Times New Roman"/>
          <w:sz w:val="20"/>
          <w:szCs w:val="20"/>
        </w:rPr>
        <w:endnoteRef/>
      </w:r>
      <w:r w:rsidRPr="00CA11EB">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South Centre, </w:t>
      </w:r>
      <w:r>
        <w:rPr>
          <w:rFonts w:ascii="Times New Roman" w:hAnsi="Times New Roman" w:cs="Times New Roman"/>
          <w:i/>
          <w:sz w:val="20"/>
          <w:szCs w:val="20"/>
        </w:rPr>
        <w:t>EPA Negotiations in the Caribbean Region</w:t>
      </w:r>
      <w:r>
        <w:rPr>
          <w:rFonts w:ascii="Times New Roman" w:hAnsi="Times New Roman" w:cs="Times New Roman"/>
          <w:sz w:val="20"/>
          <w:szCs w:val="20"/>
        </w:rPr>
        <w:t>, 5.</w:t>
      </w:r>
      <w:proofErr w:type="gramEnd"/>
    </w:p>
  </w:endnote>
  <w:endnote w:id="29">
    <w:p w14:paraId="02C3F083" w14:textId="7F3FB12A" w:rsidR="00C24E82" w:rsidRPr="000330F9" w:rsidRDefault="00C24E82">
      <w:pPr>
        <w:pStyle w:val="EndnoteText"/>
        <w:rPr>
          <w:rFonts w:ascii="Times New Roman" w:hAnsi="Times New Roman" w:cs="Times New Roman"/>
          <w:sz w:val="20"/>
          <w:szCs w:val="20"/>
        </w:rPr>
      </w:pPr>
      <w:r w:rsidRPr="000330F9">
        <w:rPr>
          <w:rStyle w:val="EndnoteReference"/>
          <w:rFonts w:ascii="Times New Roman" w:hAnsi="Times New Roman" w:cs="Times New Roman"/>
          <w:sz w:val="20"/>
          <w:szCs w:val="20"/>
        </w:rPr>
        <w:endnoteRef/>
      </w:r>
      <w:r w:rsidRPr="000330F9">
        <w:rPr>
          <w:rFonts w:ascii="Times New Roman" w:hAnsi="Times New Roman" w:cs="Times New Roman"/>
          <w:sz w:val="20"/>
          <w:szCs w:val="20"/>
        </w:rPr>
        <w:t xml:space="preserve"> </w:t>
      </w:r>
      <w:r>
        <w:rPr>
          <w:rFonts w:ascii="Times New Roman" w:hAnsi="Times New Roman" w:cs="Times New Roman"/>
          <w:sz w:val="20"/>
          <w:szCs w:val="20"/>
        </w:rPr>
        <w:t>Ibid</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8.</w:t>
      </w:r>
    </w:p>
  </w:endnote>
  <w:endnote w:id="30">
    <w:p w14:paraId="113B5E5B" w14:textId="0F713E94" w:rsidR="00C24E82" w:rsidRPr="000330F9" w:rsidRDefault="00C24E82">
      <w:pPr>
        <w:pStyle w:val="EndnoteText"/>
        <w:rPr>
          <w:rFonts w:ascii="Times New Roman" w:hAnsi="Times New Roman" w:cs="Times New Roman"/>
          <w:sz w:val="20"/>
          <w:szCs w:val="20"/>
        </w:rPr>
      </w:pPr>
      <w:r w:rsidRPr="000330F9">
        <w:rPr>
          <w:rStyle w:val="EndnoteReference"/>
          <w:rFonts w:ascii="Times New Roman" w:hAnsi="Times New Roman" w:cs="Times New Roman"/>
          <w:sz w:val="20"/>
          <w:szCs w:val="20"/>
        </w:rPr>
        <w:endnoteRef/>
      </w:r>
      <w:r w:rsidRPr="000330F9">
        <w:rPr>
          <w:rFonts w:ascii="Times New Roman" w:hAnsi="Times New Roman" w:cs="Times New Roman"/>
          <w:sz w:val="20"/>
          <w:szCs w:val="20"/>
        </w:rPr>
        <w:t xml:space="preserve"> </w:t>
      </w:r>
      <w:r>
        <w:rPr>
          <w:rFonts w:ascii="Times New Roman" w:hAnsi="Times New Roman" w:cs="Times New Roman"/>
          <w:sz w:val="20"/>
          <w:szCs w:val="20"/>
        </w:rPr>
        <w:t>Heron, “Asymmetric Bargaining and Development”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ECDPM, </w:t>
      </w:r>
      <w:r>
        <w:rPr>
          <w:rFonts w:ascii="Times New Roman" w:hAnsi="Times New Roman" w:cs="Times New Roman"/>
          <w:i/>
          <w:sz w:val="20"/>
          <w:szCs w:val="20"/>
        </w:rPr>
        <w:t>Implementing the Economic Partnership Agreement</w:t>
      </w:r>
      <w:r>
        <w:rPr>
          <w:rFonts w:ascii="Times New Roman" w:hAnsi="Times New Roman" w:cs="Times New Roman"/>
          <w:sz w:val="20"/>
          <w:szCs w:val="20"/>
        </w:rPr>
        <w:t>.</w:t>
      </w:r>
    </w:p>
  </w:endnote>
  <w:endnote w:id="31">
    <w:p w14:paraId="7594C3F1" w14:textId="77777777" w:rsidR="00C24E82" w:rsidRPr="00CA6014" w:rsidRDefault="00C24E82" w:rsidP="00CA6014">
      <w:pPr>
        <w:jc w:val="both"/>
        <w:rPr>
          <w:rFonts w:ascii="Times New Roman" w:eastAsia="Times New Roman" w:hAnsi="Times New Roman" w:cs="Times New Roman"/>
          <w:color w:val="auto"/>
          <w:sz w:val="20"/>
          <w:szCs w:val="20"/>
          <w:lang w:eastAsia="en-US"/>
        </w:rPr>
      </w:pPr>
      <w:r w:rsidRPr="00CA6014">
        <w:rPr>
          <w:rStyle w:val="EndnoteReference"/>
          <w:rFonts w:ascii="Times New Roman" w:hAnsi="Times New Roman" w:cs="Times New Roman"/>
          <w:sz w:val="20"/>
          <w:szCs w:val="20"/>
        </w:rPr>
        <w:endnoteRef/>
      </w:r>
      <w:r w:rsidRPr="00CA6014">
        <w:rPr>
          <w:rFonts w:ascii="Times New Roman" w:hAnsi="Times New Roman" w:cs="Times New Roman"/>
          <w:sz w:val="20"/>
          <w:szCs w:val="20"/>
        </w:rPr>
        <w:t xml:space="preserve"> </w:t>
      </w:r>
      <w:r w:rsidRPr="00CA6014">
        <w:rPr>
          <w:rFonts w:ascii="Times New Roman" w:eastAsia="Times New Roman" w:hAnsi="Times New Roman" w:cs="Times New Roman"/>
          <w:sz w:val="20"/>
          <w:szCs w:val="20"/>
          <w:lang w:eastAsia="en-US"/>
        </w:rPr>
        <w:t>During the 30</w:t>
      </w:r>
      <w:r w:rsidRPr="00CA6014">
        <w:rPr>
          <w:rFonts w:ascii="Times New Roman" w:eastAsia="Times New Roman" w:hAnsi="Times New Roman" w:cs="Times New Roman"/>
          <w:sz w:val="20"/>
          <w:szCs w:val="20"/>
          <w:vertAlign w:val="superscript"/>
          <w:lang w:eastAsia="en-US"/>
        </w:rPr>
        <w:t>th</w:t>
      </w:r>
      <w:r w:rsidRPr="00CA6014">
        <w:rPr>
          <w:rFonts w:ascii="Times New Roman" w:eastAsia="Times New Roman" w:hAnsi="Times New Roman" w:cs="Times New Roman"/>
          <w:sz w:val="20"/>
          <w:szCs w:val="20"/>
          <w:lang w:eastAsia="en-US"/>
        </w:rPr>
        <w:t xml:space="preserve"> Annual Conference of CARICOM Heads of Government, held in Guyana 2-4 July 2009, the decision was taken to rename the CRNM as the Office of Trade Negotiations (OTN) and to redefine its operational remit. Among other things, the OTN was re-incorporated into the CARICOM Secretariat. These changes are a direct result of the fallout from the EPA negotiations where the quasi-autonomous status of the CRNM was widely criticised in the region. The controversy surrounding the CRNM provides an interesting footnote to the issues explored in this article, not least the tension between the economic and political dimensions of the EPAs.</w:t>
      </w:r>
    </w:p>
  </w:endnote>
  <w:endnote w:id="32">
    <w:p w14:paraId="01D4D379" w14:textId="630C244B" w:rsidR="00C24E82" w:rsidRPr="000330F9" w:rsidRDefault="00C24E82">
      <w:pPr>
        <w:pStyle w:val="EndnoteText"/>
        <w:rPr>
          <w:rFonts w:ascii="Times New Roman" w:hAnsi="Times New Roman" w:cs="Times New Roman"/>
          <w:sz w:val="20"/>
          <w:szCs w:val="20"/>
        </w:rPr>
      </w:pPr>
      <w:r w:rsidRPr="000330F9">
        <w:rPr>
          <w:rStyle w:val="EndnoteReference"/>
          <w:rFonts w:ascii="Times New Roman" w:hAnsi="Times New Roman" w:cs="Times New Roman"/>
          <w:sz w:val="20"/>
          <w:szCs w:val="20"/>
        </w:rPr>
        <w:endnoteRef/>
      </w:r>
      <w:r w:rsidRPr="000330F9">
        <w:rPr>
          <w:rFonts w:ascii="Times New Roman" w:hAnsi="Times New Roman" w:cs="Times New Roman"/>
          <w:sz w:val="20"/>
          <w:szCs w:val="20"/>
        </w:rPr>
        <w:t xml:space="preserve"> </w:t>
      </w:r>
      <w:proofErr w:type="gramStart"/>
      <w:r>
        <w:rPr>
          <w:rFonts w:ascii="Times New Roman" w:hAnsi="Times New Roman" w:cs="Times New Roman"/>
          <w:sz w:val="20"/>
          <w:szCs w:val="20"/>
        </w:rPr>
        <w:t>Bishop et al., “Caribbean Development Alternatives”, 94-5.</w:t>
      </w:r>
      <w:proofErr w:type="gramEnd"/>
    </w:p>
  </w:endnote>
  <w:endnote w:id="33">
    <w:p w14:paraId="7182E506" w14:textId="1F96461A" w:rsidR="00C24E82" w:rsidRPr="000330F9" w:rsidRDefault="00C24E82">
      <w:pPr>
        <w:pStyle w:val="EndnoteText"/>
        <w:rPr>
          <w:rFonts w:ascii="Times New Roman" w:hAnsi="Times New Roman" w:cs="Times New Roman"/>
          <w:sz w:val="20"/>
          <w:szCs w:val="20"/>
        </w:rPr>
      </w:pPr>
      <w:r w:rsidRPr="000330F9">
        <w:rPr>
          <w:rStyle w:val="EndnoteReference"/>
          <w:rFonts w:ascii="Times New Roman" w:hAnsi="Times New Roman" w:cs="Times New Roman"/>
          <w:sz w:val="20"/>
          <w:szCs w:val="20"/>
        </w:rPr>
        <w:endnoteRef/>
      </w:r>
      <w:r w:rsidRPr="000330F9">
        <w:rPr>
          <w:rFonts w:ascii="Times New Roman" w:hAnsi="Times New Roman" w:cs="Times New Roman"/>
          <w:sz w:val="20"/>
          <w:szCs w:val="20"/>
        </w:rPr>
        <w:t xml:space="preserve"> </w:t>
      </w:r>
      <w:proofErr w:type="gramStart"/>
      <w:r>
        <w:rPr>
          <w:rFonts w:ascii="Times New Roman" w:hAnsi="Times New Roman" w:cs="Times New Roman"/>
          <w:sz w:val="20"/>
          <w:szCs w:val="20"/>
        </w:rPr>
        <w:t>Nyaga Munyi, “Beyond Asymmetry”, 58-9.</w:t>
      </w:r>
      <w:proofErr w:type="gramEnd"/>
      <w:r>
        <w:rPr>
          <w:rFonts w:ascii="Times New Roman" w:hAnsi="Times New Roman" w:cs="Times New Roman"/>
          <w:sz w:val="20"/>
          <w:szCs w:val="20"/>
        </w:rPr>
        <w:t xml:space="preserve"> </w:t>
      </w:r>
    </w:p>
  </w:endnote>
  <w:endnote w:id="34">
    <w:p w14:paraId="7C308DB1" w14:textId="2B522D77" w:rsidR="00C24E82" w:rsidRPr="000330F9" w:rsidRDefault="00C24E82">
      <w:pPr>
        <w:pStyle w:val="EndnoteText"/>
        <w:rPr>
          <w:rFonts w:ascii="Times New Roman" w:hAnsi="Times New Roman" w:cs="Times New Roman"/>
          <w:sz w:val="20"/>
          <w:szCs w:val="20"/>
        </w:rPr>
      </w:pPr>
      <w:r w:rsidRPr="000330F9">
        <w:rPr>
          <w:rStyle w:val="EndnoteReference"/>
          <w:rFonts w:ascii="Times New Roman" w:hAnsi="Times New Roman" w:cs="Times New Roman"/>
          <w:sz w:val="20"/>
          <w:szCs w:val="20"/>
        </w:rPr>
        <w:endnoteRef/>
      </w:r>
      <w:r w:rsidRPr="000330F9">
        <w:rPr>
          <w:rFonts w:ascii="Times New Roman" w:hAnsi="Times New Roman" w:cs="Times New Roman"/>
          <w:sz w:val="20"/>
          <w:szCs w:val="20"/>
        </w:rPr>
        <w:t xml:space="preserve"> </w:t>
      </w:r>
      <w:proofErr w:type="gramStart"/>
      <w:r>
        <w:rPr>
          <w:rFonts w:ascii="Times New Roman" w:hAnsi="Times New Roman" w:cs="Times New Roman"/>
          <w:sz w:val="20"/>
          <w:szCs w:val="20"/>
        </w:rPr>
        <w:t>Bishop et al., “Caribbean Development Alternatives”, 95-6.</w:t>
      </w:r>
      <w:proofErr w:type="gramEnd"/>
    </w:p>
  </w:endnote>
  <w:endnote w:id="35">
    <w:p w14:paraId="47DE66C0" w14:textId="553CF5C3" w:rsidR="00C24E82" w:rsidRPr="00BA26E7" w:rsidRDefault="00C24E82">
      <w:pPr>
        <w:pStyle w:val="EndnoteText"/>
        <w:rPr>
          <w:rFonts w:ascii="Times New Roman" w:hAnsi="Times New Roman" w:cs="Times New Roman"/>
          <w:sz w:val="20"/>
          <w:szCs w:val="20"/>
          <w:lang w:val="en-US"/>
        </w:rPr>
      </w:pPr>
      <w:r w:rsidRPr="00BA26E7">
        <w:rPr>
          <w:rStyle w:val="EndnoteReference"/>
          <w:rFonts w:ascii="Times New Roman" w:hAnsi="Times New Roman" w:cs="Times New Roman"/>
          <w:sz w:val="20"/>
          <w:szCs w:val="20"/>
        </w:rPr>
        <w:endnoteRef/>
      </w:r>
      <w:r w:rsidRPr="00BA26E7">
        <w:rPr>
          <w:rFonts w:ascii="Times New Roman" w:hAnsi="Times New Roman" w:cs="Times New Roman"/>
          <w:sz w:val="20"/>
          <w:szCs w:val="20"/>
        </w:rPr>
        <w:t xml:space="preserve"> </w:t>
      </w:r>
      <w:r>
        <w:rPr>
          <w:rFonts w:ascii="Times New Roman" w:hAnsi="Times New Roman" w:cs="Times New Roman"/>
          <w:sz w:val="20"/>
          <w:szCs w:val="20"/>
        </w:rPr>
        <w:t>See Heron and Murray-Evans, “The EU and Africa”.</w:t>
      </w:r>
    </w:p>
  </w:endnote>
  <w:endnote w:id="36">
    <w:p w14:paraId="700569C1" w14:textId="00A9B464" w:rsidR="00C24E82" w:rsidRPr="0035000A" w:rsidRDefault="00C24E82">
      <w:pPr>
        <w:pStyle w:val="EndnoteText"/>
        <w:rPr>
          <w:rFonts w:ascii="Times New Roman" w:hAnsi="Times New Roman" w:cs="Times New Roman"/>
          <w:sz w:val="20"/>
          <w:szCs w:val="20"/>
        </w:rPr>
      </w:pPr>
      <w:r w:rsidRPr="0035000A">
        <w:rPr>
          <w:rStyle w:val="EndnoteReference"/>
          <w:rFonts w:ascii="Times New Roman" w:hAnsi="Times New Roman" w:cs="Times New Roman"/>
          <w:sz w:val="20"/>
          <w:szCs w:val="20"/>
        </w:rPr>
        <w:endnoteRef/>
      </w:r>
      <w:r w:rsidRPr="0035000A">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Hulse</w:t>
      </w:r>
      <w:proofErr w:type="spellEnd"/>
      <w:r>
        <w:rPr>
          <w:rFonts w:ascii="Times New Roman" w:hAnsi="Times New Roman" w:cs="Times New Roman"/>
          <w:sz w:val="20"/>
          <w:szCs w:val="20"/>
        </w:rPr>
        <w:t>, “Actorness Beyond the European Union”, 556-7.</w:t>
      </w:r>
      <w:proofErr w:type="gramEnd"/>
    </w:p>
  </w:endnote>
  <w:endnote w:id="37">
    <w:p w14:paraId="63428100" w14:textId="5B130549" w:rsidR="00C24E82" w:rsidRPr="009563B3" w:rsidRDefault="00C24E82">
      <w:pPr>
        <w:pStyle w:val="EndnoteText"/>
        <w:rPr>
          <w:rFonts w:ascii="Times New Roman" w:hAnsi="Times New Roman" w:cs="Times New Roman"/>
          <w:sz w:val="20"/>
          <w:szCs w:val="20"/>
          <w:lang w:val="en-US"/>
        </w:rPr>
      </w:pPr>
      <w:r w:rsidRPr="009563B3">
        <w:rPr>
          <w:rStyle w:val="EndnoteReference"/>
          <w:rFonts w:ascii="Times New Roman" w:hAnsi="Times New Roman" w:cs="Times New Roman"/>
          <w:sz w:val="20"/>
          <w:szCs w:val="20"/>
        </w:rPr>
        <w:endnoteRef/>
      </w:r>
      <w:r w:rsidRPr="009563B3">
        <w:rPr>
          <w:rFonts w:ascii="Times New Roman" w:hAnsi="Times New Roman" w:cs="Times New Roman"/>
          <w:sz w:val="20"/>
          <w:szCs w:val="20"/>
        </w:rPr>
        <w:t xml:space="preserve"> </w:t>
      </w:r>
      <w:r>
        <w:rPr>
          <w:rFonts w:ascii="Times New Roman" w:hAnsi="Times New Roman" w:cs="Times New Roman"/>
          <w:i/>
          <w:sz w:val="20"/>
          <w:szCs w:val="20"/>
        </w:rPr>
        <w:t>Ibid</w:t>
      </w:r>
      <w:proofErr w:type="gramStart"/>
      <w:r>
        <w:rPr>
          <w:rFonts w:ascii="Times New Roman" w:hAnsi="Times New Roman" w:cs="Times New Roman"/>
          <w:i/>
          <w:sz w:val="20"/>
          <w:szCs w:val="20"/>
        </w:rPr>
        <w:t>.</w:t>
      </w:r>
      <w:r>
        <w:rPr>
          <w:rFonts w:ascii="Times New Roman" w:hAnsi="Times New Roman" w:cs="Times New Roman"/>
          <w:sz w:val="20"/>
          <w:szCs w:val="20"/>
        </w:rPr>
        <w:t>,</w:t>
      </w:r>
      <w:proofErr w:type="gramEnd"/>
      <w:r>
        <w:rPr>
          <w:rFonts w:ascii="Times New Roman" w:hAnsi="Times New Roman" w:cs="Times New Roman"/>
          <w:sz w:val="20"/>
          <w:szCs w:val="20"/>
        </w:rPr>
        <w:t xml:space="preserve"> 558.</w:t>
      </w:r>
    </w:p>
  </w:endnote>
  <w:endnote w:id="38">
    <w:p w14:paraId="04E47C4E" w14:textId="48892CF4" w:rsidR="00C24E82" w:rsidRPr="0035000A" w:rsidRDefault="00C24E82">
      <w:pPr>
        <w:pStyle w:val="EndnoteText"/>
        <w:rPr>
          <w:rFonts w:ascii="Times New Roman" w:hAnsi="Times New Roman" w:cs="Times New Roman"/>
          <w:sz w:val="20"/>
          <w:szCs w:val="20"/>
        </w:rPr>
      </w:pPr>
      <w:r w:rsidRPr="0035000A">
        <w:rPr>
          <w:rStyle w:val="EndnoteReference"/>
          <w:rFonts w:ascii="Times New Roman" w:hAnsi="Times New Roman" w:cs="Times New Roman"/>
          <w:sz w:val="20"/>
          <w:szCs w:val="20"/>
        </w:rPr>
        <w:endnoteRef/>
      </w:r>
      <w:r w:rsidRPr="0035000A">
        <w:rPr>
          <w:rFonts w:ascii="Times New Roman" w:hAnsi="Times New Roman" w:cs="Times New Roman"/>
          <w:sz w:val="20"/>
          <w:szCs w:val="20"/>
        </w:rPr>
        <w:t xml:space="preserve"> </w:t>
      </w:r>
      <w:r>
        <w:rPr>
          <w:rFonts w:ascii="Times New Roman" w:hAnsi="Times New Roman" w:cs="Times New Roman"/>
          <w:sz w:val="20"/>
          <w:szCs w:val="20"/>
        </w:rPr>
        <w:t xml:space="preserve">Lorenz, </w:t>
      </w:r>
      <w:r>
        <w:rPr>
          <w:rFonts w:ascii="Times New Roman" w:hAnsi="Times New Roman" w:cs="Times New Roman"/>
          <w:i/>
          <w:sz w:val="20"/>
          <w:szCs w:val="20"/>
        </w:rPr>
        <w:t>Transformation on Whose Terms</w:t>
      </w:r>
      <w:proofErr w:type="gramStart"/>
      <w:r>
        <w:rPr>
          <w:rFonts w:ascii="Times New Roman" w:hAnsi="Times New Roman" w:cs="Times New Roman"/>
          <w:i/>
          <w:sz w:val="20"/>
          <w:szCs w:val="20"/>
        </w:rPr>
        <w:t>?</w:t>
      </w:r>
      <w:r>
        <w:rPr>
          <w:rFonts w:ascii="Times New Roman" w:hAnsi="Times New Roman" w:cs="Times New Roman"/>
          <w:sz w:val="20"/>
          <w:szCs w:val="20"/>
        </w:rPr>
        <w:t>,</w:t>
      </w:r>
      <w:proofErr w:type="gramEnd"/>
      <w:r>
        <w:rPr>
          <w:rFonts w:ascii="Times New Roman" w:hAnsi="Times New Roman" w:cs="Times New Roman"/>
          <w:sz w:val="20"/>
          <w:szCs w:val="20"/>
        </w:rPr>
        <w:t xml:space="preserve"> 14.</w:t>
      </w:r>
    </w:p>
  </w:endnote>
  <w:endnote w:id="39">
    <w:p w14:paraId="4A20050A" w14:textId="71AE4861" w:rsidR="00C24E82" w:rsidRPr="0035000A" w:rsidRDefault="00C24E82">
      <w:pPr>
        <w:pStyle w:val="EndnoteText"/>
        <w:rPr>
          <w:rFonts w:ascii="Times New Roman" w:hAnsi="Times New Roman" w:cs="Times New Roman"/>
          <w:sz w:val="20"/>
          <w:szCs w:val="20"/>
        </w:rPr>
      </w:pPr>
      <w:r w:rsidRPr="0035000A">
        <w:rPr>
          <w:rStyle w:val="EndnoteReference"/>
          <w:rFonts w:ascii="Times New Roman" w:hAnsi="Times New Roman" w:cs="Times New Roman"/>
          <w:sz w:val="20"/>
          <w:szCs w:val="20"/>
        </w:rPr>
        <w:endnoteRef/>
      </w:r>
      <w:r w:rsidRPr="0035000A">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Hulse</w:t>
      </w:r>
      <w:proofErr w:type="spellEnd"/>
      <w:r>
        <w:rPr>
          <w:rFonts w:ascii="Times New Roman" w:hAnsi="Times New Roman" w:cs="Times New Roman"/>
          <w:sz w:val="20"/>
          <w:szCs w:val="20"/>
        </w:rPr>
        <w:t>, “Actorness Beyond the European Union”, 556.</w:t>
      </w:r>
      <w:proofErr w:type="gramEnd"/>
    </w:p>
  </w:endnote>
  <w:endnote w:id="40">
    <w:p w14:paraId="235CB822" w14:textId="77777777" w:rsidR="00C24E82" w:rsidRPr="0035000A" w:rsidRDefault="00C24E82" w:rsidP="009563B3">
      <w:pPr>
        <w:pStyle w:val="EndnoteText"/>
        <w:rPr>
          <w:rFonts w:ascii="Times New Roman" w:hAnsi="Times New Roman" w:cs="Times New Roman"/>
          <w:sz w:val="20"/>
          <w:szCs w:val="20"/>
        </w:rPr>
      </w:pPr>
      <w:r w:rsidRPr="0035000A">
        <w:rPr>
          <w:rStyle w:val="EndnoteReference"/>
          <w:rFonts w:ascii="Times New Roman" w:hAnsi="Times New Roman" w:cs="Times New Roman"/>
          <w:sz w:val="20"/>
          <w:szCs w:val="20"/>
        </w:rPr>
        <w:endnoteRef/>
      </w:r>
      <w:r w:rsidRPr="0035000A">
        <w:rPr>
          <w:rFonts w:ascii="Times New Roman" w:hAnsi="Times New Roman" w:cs="Times New Roman"/>
          <w:sz w:val="20"/>
          <w:szCs w:val="20"/>
        </w:rPr>
        <w:t xml:space="preserve"> </w:t>
      </w:r>
      <w:proofErr w:type="gramStart"/>
      <w:r>
        <w:rPr>
          <w:rFonts w:ascii="Times New Roman" w:hAnsi="Times New Roman" w:cs="Times New Roman"/>
          <w:sz w:val="20"/>
          <w:szCs w:val="20"/>
        </w:rPr>
        <w:t>See Murray-Evans, “Regionalism and African Agency”.</w:t>
      </w:r>
      <w:proofErr w:type="gramEnd"/>
    </w:p>
  </w:endnote>
  <w:endnote w:id="41">
    <w:p w14:paraId="146E9503" w14:textId="2E4EE766" w:rsidR="00C24E82" w:rsidRPr="00160826" w:rsidRDefault="00C24E82">
      <w:pPr>
        <w:pStyle w:val="EndnoteText"/>
        <w:rPr>
          <w:rFonts w:ascii="Times New Roman" w:hAnsi="Times New Roman" w:cs="Times New Roman"/>
          <w:sz w:val="20"/>
          <w:szCs w:val="20"/>
          <w:lang w:val="en-US"/>
        </w:rPr>
      </w:pPr>
      <w:r w:rsidRPr="00160826">
        <w:rPr>
          <w:rStyle w:val="EndnoteReference"/>
          <w:rFonts w:ascii="Times New Roman" w:hAnsi="Times New Roman" w:cs="Times New Roman"/>
          <w:sz w:val="20"/>
          <w:szCs w:val="20"/>
        </w:rPr>
        <w:endnoteRef/>
      </w:r>
      <w:r w:rsidRPr="00160826">
        <w:rPr>
          <w:rFonts w:ascii="Times New Roman" w:hAnsi="Times New Roman" w:cs="Times New Roman"/>
          <w:sz w:val="20"/>
          <w:szCs w:val="20"/>
        </w:rPr>
        <w:t xml:space="preserve"> </w:t>
      </w:r>
      <w:r w:rsidRPr="008C5347">
        <w:rPr>
          <w:rFonts w:ascii="Times New Roman" w:hAnsi="Times New Roman" w:cs="Times New Roman"/>
          <w:i/>
          <w:sz w:val="20"/>
          <w:szCs w:val="20"/>
        </w:rPr>
        <w:t>Ibid.</w:t>
      </w:r>
    </w:p>
  </w:endnote>
  <w:endnote w:id="42">
    <w:p w14:paraId="3A86B762" w14:textId="0539B71B" w:rsidR="00C24E82" w:rsidRPr="008C5347" w:rsidRDefault="00C24E82">
      <w:pPr>
        <w:pStyle w:val="EndnoteText"/>
        <w:rPr>
          <w:u w:val="single"/>
          <w:lang w:val="en-US"/>
        </w:rPr>
      </w:pPr>
      <w:r>
        <w:rPr>
          <w:rStyle w:val="EndnoteReference"/>
        </w:rPr>
        <w:endnoteRef/>
      </w:r>
      <w:r>
        <w:t xml:space="preserve"> </w:t>
      </w:r>
      <w:r w:rsidRPr="008C5347">
        <w:rPr>
          <w:rFonts w:ascii="Times New Roman" w:hAnsi="Times New Roman" w:cs="Times New Roman"/>
          <w:i/>
          <w:sz w:val="20"/>
          <w:szCs w:val="20"/>
        </w:rPr>
        <w:t>Ibid.</w:t>
      </w:r>
    </w:p>
  </w:endnote>
  <w:endnote w:id="43">
    <w:p w14:paraId="39D1D3C9" w14:textId="44A2234F" w:rsidR="00C24E82" w:rsidRPr="0035000A" w:rsidRDefault="00C24E82">
      <w:pPr>
        <w:pStyle w:val="EndnoteText"/>
        <w:rPr>
          <w:rFonts w:ascii="Times New Roman" w:hAnsi="Times New Roman" w:cs="Times New Roman"/>
          <w:sz w:val="20"/>
          <w:szCs w:val="20"/>
        </w:rPr>
      </w:pPr>
      <w:r w:rsidRPr="0035000A">
        <w:rPr>
          <w:rStyle w:val="EndnoteReference"/>
          <w:rFonts w:ascii="Times New Roman" w:hAnsi="Times New Roman" w:cs="Times New Roman"/>
          <w:sz w:val="20"/>
          <w:szCs w:val="20"/>
        </w:rPr>
        <w:endnoteRef/>
      </w:r>
      <w:r w:rsidRPr="0035000A">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South Centre, </w:t>
      </w:r>
      <w:r>
        <w:rPr>
          <w:rFonts w:ascii="Times New Roman" w:hAnsi="Times New Roman" w:cs="Times New Roman"/>
          <w:i/>
          <w:sz w:val="20"/>
          <w:szCs w:val="20"/>
        </w:rPr>
        <w:t>EPA Negotiations in Central African Region</w:t>
      </w:r>
      <w:r>
        <w:rPr>
          <w:rFonts w:ascii="Times New Roman" w:hAnsi="Times New Roman" w:cs="Times New Roman"/>
          <w:sz w:val="20"/>
          <w:szCs w:val="20"/>
        </w:rPr>
        <w:t>, 2.</w:t>
      </w:r>
      <w:proofErr w:type="gramEnd"/>
    </w:p>
  </w:endnote>
  <w:endnote w:id="44">
    <w:p w14:paraId="5156300C" w14:textId="5A80ABEC" w:rsidR="00C24E82" w:rsidRPr="00DE4FD1" w:rsidRDefault="00C24E82">
      <w:pPr>
        <w:pStyle w:val="EndnoteText"/>
        <w:rPr>
          <w:rFonts w:ascii="Times New Roman" w:hAnsi="Times New Roman" w:cs="Times New Roman"/>
          <w:sz w:val="20"/>
          <w:szCs w:val="20"/>
        </w:rPr>
      </w:pPr>
      <w:r w:rsidRPr="00DE4FD1">
        <w:rPr>
          <w:rStyle w:val="EndnoteReference"/>
          <w:rFonts w:ascii="Times New Roman" w:hAnsi="Times New Roman" w:cs="Times New Roman"/>
          <w:sz w:val="20"/>
          <w:szCs w:val="20"/>
        </w:rPr>
        <w:endnoteRef/>
      </w:r>
      <w:r w:rsidRPr="00DE4FD1">
        <w:rPr>
          <w:rFonts w:ascii="Times New Roman" w:hAnsi="Times New Roman" w:cs="Times New Roman"/>
          <w:sz w:val="20"/>
          <w:szCs w:val="20"/>
        </w:rPr>
        <w:t xml:space="preserve"> </w:t>
      </w:r>
      <w:proofErr w:type="spellStart"/>
      <w:r>
        <w:rPr>
          <w:rFonts w:ascii="Times New Roman" w:hAnsi="Times New Roman" w:cs="Times New Roman"/>
          <w:sz w:val="20"/>
          <w:szCs w:val="20"/>
        </w:rPr>
        <w:t>Babarinde</w:t>
      </w:r>
      <w:proofErr w:type="spellEnd"/>
      <w:r>
        <w:rPr>
          <w:rFonts w:ascii="Times New Roman" w:hAnsi="Times New Roman" w:cs="Times New Roman"/>
          <w:sz w:val="20"/>
          <w:szCs w:val="20"/>
        </w:rPr>
        <w:t xml:space="preserve"> and Faber, “EPAs and Integration in SSA”.</w:t>
      </w:r>
    </w:p>
  </w:endnote>
  <w:endnote w:id="45">
    <w:p w14:paraId="44631EB1" w14:textId="0FF06BCF" w:rsidR="00C24E82" w:rsidRPr="00DE4FD1" w:rsidRDefault="00C24E82">
      <w:pPr>
        <w:pStyle w:val="EndnoteText"/>
        <w:rPr>
          <w:rFonts w:ascii="Times New Roman" w:hAnsi="Times New Roman" w:cs="Times New Roman"/>
          <w:sz w:val="20"/>
          <w:szCs w:val="20"/>
        </w:rPr>
      </w:pPr>
      <w:r w:rsidRPr="00DE4FD1">
        <w:rPr>
          <w:rStyle w:val="EndnoteReference"/>
          <w:rFonts w:ascii="Times New Roman" w:hAnsi="Times New Roman" w:cs="Times New Roman"/>
          <w:sz w:val="20"/>
          <w:szCs w:val="20"/>
        </w:rPr>
        <w:endnoteRef/>
      </w:r>
      <w:r w:rsidRPr="00DE4FD1">
        <w:rPr>
          <w:rFonts w:ascii="Times New Roman" w:hAnsi="Times New Roman" w:cs="Times New Roman"/>
          <w:sz w:val="20"/>
          <w:szCs w:val="20"/>
        </w:rPr>
        <w:t xml:space="preserve"> </w:t>
      </w:r>
      <w:r>
        <w:rPr>
          <w:rFonts w:ascii="Times New Roman" w:hAnsi="Times New Roman" w:cs="Times New Roman"/>
          <w:sz w:val="20"/>
          <w:szCs w:val="20"/>
        </w:rPr>
        <w:t xml:space="preserve">Lorenz, </w:t>
      </w:r>
      <w:r>
        <w:rPr>
          <w:rFonts w:ascii="Times New Roman" w:hAnsi="Times New Roman" w:cs="Times New Roman"/>
          <w:i/>
          <w:sz w:val="20"/>
          <w:szCs w:val="20"/>
        </w:rPr>
        <w:t>Transformation on Whose Terms</w:t>
      </w:r>
      <w:r>
        <w:rPr>
          <w:rFonts w:ascii="Times New Roman" w:hAnsi="Times New Roman" w:cs="Times New Roman"/>
          <w:sz w:val="20"/>
          <w:szCs w:val="20"/>
        </w:rPr>
        <w:t>.</w:t>
      </w:r>
    </w:p>
  </w:endnote>
  <w:endnote w:id="46">
    <w:p w14:paraId="31929486" w14:textId="7537AB7D" w:rsidR="00C24E82" w:rsidRPr="00DE4FD1" w:rsidRDefault="00C24E82">
      <w:pPr>
        <w:pStyle w:val="EndnoteText"/>
        <w:rPr>
          <w:rFonts w:ascii="Times New Roman" w:hAnsi="Times New Roman" w:cs="Times New Roman"/>
          <w:sz w:val="20"/>
          <w:szCs w:val="20"/>
        </w:rPr>
      </w:pPr>
      <w:r w:rsidRPr="00DE4FD1">
        <w:rPr>
          <w:rStyle w:val="EndnoteReference"/>
          <w:rFonts w:ascii="Times New Roman" w:hAnsi="Times New Roman" w:cs="Times New Roman"/>
          <w:sz w:val="20"/>
          <w:szCs w:val="20"/>
        </w:rPr>
        <w:endnoteRef/>
      </w:r>
      <w:r w:rsidRPr="00DE4FD1">
        <w:rPr>
          <w:rFonts w:ascii="Times New Roman" w:hAnsi="Times New Roman" w:cs="Times New Roman"/>
          <w:sz w:val="20"/>
          <w:szCs w:val="20"/>
        </w:rPr>
        <w:t xml:space="preserve"> </w:t>
      </w:r>
      <w:r>
        <w:rPr>
          <w:rFonts w:ascii="Times New Roman" w:hAnsi="Times New Roman" w:cs="Times New Roman"/>
          <w:sz w:val="20"/>
          <w:szCs w:val="20"/>
        </w:rPr>
        <w:t xml:space="preserve">For and extended discussion, see Heron, </w:t>
      </w:r>
      <w:r>
        <w:rPr>
          <w:rFonts w:ascii="Times New Roman" w:hAnsi="Times New Roman" w:cs="Times New Roman"/>
          <w:i/>
          <w:sz w:val="20"/>
          <w:szCs w:val="20"/>
        </w:rPr>
        <w:t>Pathways from Preferential Trade</w:t>
      </w:r>
      <w:r>
        <w:rPr>
          <w:rFonts w:ascii="Times New Roman" w:hAnsi="Times New Roman" w:cs="Times New Roman"/>
          <w:sz w:val="20"/>
          <w:szCs w:val="20"/>
        </w:rPr>
        <w:t>.</w:t>
      </w:r>
    </w:p>
  </w:endnote>
  <w:endnote w:id="47">
    <w:p w14:paraId="499386C5" w14:textId="02D2BB2A" w:rsidR="00C24E82" w:rsidRPr="00DE4FD1" w:rsidRDefault="00C24E82">
      <w:pPr>
        <w:pStyle w:val="EndnoteText"/>
        <w:rPr>
          <w:rFonts w:ascii="Times New Roman" w:hAnsi="Times New Roman" w:cs="Times New Roman"/>
          <w:sz w:val="20"/>
          <w:szCs w:val="20"/>
        </w:rPr>
      </w:pPr>
      <w:r w:rsidRPr="00DE4FD1">
        <w:rPr>
          <w:rStyle w:val="EndnoteReference"/>
          <w:rFonts w:ascii="Times New Roman" w:hAnsi="Times New Roman" w:cs="Times New Roman"/>
          <w:sz w:val="20"/>
          <w:szCs w:val="20"/>
        </w:rPr>
        <w:endnoteRef/>
      </w:r>
      <w:r w:rsidRPr="00DE4FD1">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Julian et al., “EPA Update”; </w:t>
      </w:r>
      <w:proofErr w:type="spellStart"/>
      <w:r>
        <w:rPr>
          <w:rFonts w:ascii="Times New Roman" w:hAnsi="Times New Roman" w:cs="Times New Roman"/>
          <w:sz w:val="20"/>
          <w:szCs w:val="20"/>
        </w:rPr>
        <w:t>Roquefeul</w:t>
      </w:r>
      <w:proofErr w:type="spellEnd"/>
      <w:r>
        <w:rPr>
          <w:rFonts w:ascii="Times New Roman" w:hAnsi="Times New Roman" w:cs="Times New Roman"/>
          <w:sz w:val="20"/>
          <w:szCs w:val="20"/>
        </w:rPr>
        <w:t>, “EPA Update”.</w:t>
      </w:r>
      <w:proofErr w:type="gramEnd"/>
    </w:p>
  </w:endnote>
  <w:endnote w:id="48">
    <w:p w14:paraId="7DFC21CB" w14:textId="22A1A255" w:rsidR="00C24E82" w:rsidRPr="00DE4FD1" w:rsidRDefault="00C24E82">
      <w:pPr>
        <w:pStyle w:val="EndnoteText"/>
        <w:rPr>
          <w:rFonts w:ascii="Times New Roman" w:hAnsi="Times New Roman" w:cs="Times New Roman"/>
          <w:sz w:val="20"/>
          <w:szCs w:val="20"/>
        </w:rPr>
      </w:pPr>
      <w:r w:rsidRPr="00DE4FD1">
        <w:rPr>
          <w:rStyle w:val="EndnoteReference"/>
          <w:rFonts w:ascii="Times New Roman" w:hAnsi="Times New Roman" w:cs="Times New Roman"/>
          <w:sz w:val="20"/>
          <w:szCs w:val="20"/>
        </w:rPr>
        <w:endnoteRef/>
      </w:r>
      <w:r w:rsidRPr="00DE4FD1">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South Centre, </w:t>
      </w:r>
      <w:r>
        <w:rPr>
          <w:rFonts w:ascii="Times New Roman" w:hAnsi="Times New Roman" w:cs="Times New Roman"/>
          <w:i/>
          <w:sz w:val="20"/>
          <w:szCs w:val="20"/>
        </w:rPr>
        <w:t>EPA Negotiations in the Pacific Region</w:t>
      </w:r>
      <w:r>
        <w:rPr>
          <w:rFonts w:ascii="Times New Roman" w:hAnsi="Times New Roman" w:cs="Times New Roman"/>
          <w:sz w:val="20"/>
          <w:szCs w:val="20"/>
        </w:rPr>
        <w:t>, 9.</w:t>
      </w:r>
      <w:proofErr w:type="gramEnd"/>
    </w:p>
  </w:endnote>
  <w:endnote w:id="49">
    <w:p w14:paraId="672DEE15" w14:textId="77777777" w:rsidR="00C24E82" w:rsidRDefault="00C24E82">
      <w:pPr>
        <w:pStyle w:val="EndnoteText"/>
        <w:rPr>
          <w:rFonts w:ascii="Times New Roman" w:eastAsia="Garamond" w:hAnsi="Times New Roman" w:cs="Times New Roman"/>
          <w:color w:val="222222"/>
          <w:sz w:val="20"/>
          <w:szCs w:val="20"/>
        </w:rPr>
      </w:pPr>
      <w:r w:rsidRPr="00CA6014">
        <w:rPr>
          <w:rStyle w:val="EndnoteReference"/>
          <w:rFonts w:ascii="Times New Roman" w:hAnsi="Times New Roman" w:cs="Times New Roman"/>
          <w:sz w:val="20"/>
          <w:szCs w:val="20"/>
        </w:rPr>
        <w:endnoteRef/>
      </w:r>
      <w:r w:rsidRPr="00CA6014">
        <w:rPr>
          <w:rFonts w:ascii="Times New Roman" w:hAnsi="Times New Roman" w:cs="Times New Roman"/>
          <w:sz w:val="20"/>
          <w:szCs w:val="20"/>
        </w:rPr>
        <w:t xml:space="preserve"> </w:t>
      </w:r>
      <w:proofErr w:type="gramStart"/>
      <w:r w:rsidRPr="00CA6014">
        <w:rPr>
          <w:rFonts w:ascii="Times New Roman" w:eastAsia="Garamond" w:hAnsi="Times New Roman" w:cs="Times New Roman"/>
          <w:color w:val="222222"/>
          <w:sz w:val="20"/>
          <w:szCs w:val="20"/>
          <w:highlight w:val="white"/>
        </w:rPr>
        <w:t>Confidential interview, 9 September 2015</w:t>
      </w:r>
      <w:r>
        <w:rPr>
          <w:rFonts w:ascii="Times New Roman" w:eastAsia="Garamond" w:hAnsi="Times New Roman" w:cs="Times New Roman"/>
          <w:color w:val="222222"/>
          <w:sz w:val="20"/>
          <w:szCs w:val="20"/>
          <w:highlight w:val="white"/>
        </w:rPr>
        <w:t>.</w:t>
      </w:r>
      <w:proofErr w:type="gramEnd"/>
    </w:p>
    <w:p w14:paraId="3F428D66" w14:textId="77777777" w:rsidR="00C24E82" w:rsidRDefault="00C24E82">
      <w:pPr>
        <w:pStyle w:val="EndnoteText"/>
        <w:rPr>
          <w:rFonts w:ascii="Times New Roman" w:eastAsia="Garamond" w:hAnsi="Times New Roman" w:cs="Times New Roman"/>
          <w:color w:val="222222"/>
          <w:sz w:val="20"/>
          <w:szCs w:val="20"/>
        </w:rPr>
      </w:pPr>
    </w:p>
    <w:p w14:paraId="57651A53" w14:textId="77777777" w:rsidR="00C24E82" w:rsidRDefault="00C24E82">
      <w:pPr>
        <w:pStyle w:val="EndnoteText"/>
        <w:rPr>
          <w:rFonts w:ascii="Times New Roman" w:eastAsia="Garamond" w:hAnsi="Times New Roman" w:cs="Times New Roman"/>
          <w:b/>
          <w:color w:val="222222"/>
        </w:rPr>
      </w:pPr>
    </w:p>
    <w:p w14:paraId="7C1FF397" w14:textId="77777777" w:rsidR="00C24E82" w:rsidRPr="00FE04DA" w:rsidRDefault="00C24E82" w:rsidP="00FE04DA">
      <w:pPr>
        <w:spacing w:after="200"/>
        <w:rPr>
          <w:rFonts w:ascii="Times New Roman" w:eastAsiaTheme="minorHAnsi" w:hAnsi="Times New Roman" w:cs="Times New Roman"/>
          <w:b/>
          <w:color w:val="auto"/>
          <w:sz w:val="24"/>
          <w:szCs w:val="24"/>
          <w:lang w:eastAsia="en-US"/>
        </w:rPr>
      </w:pPr>
      <w:r w:rsidRPr="00FE04DA">
        <w:rPr>
          <w:rFonts w:ascii="Times New Roman" w:eastAsiaTheme="minorHAnsi" w:hAnsi="Times New Roman" w:cs="Times New Roman"/>
          <w:b/>
          <w:color w:val="auto"/>
          <w:sz w:val="24"/>
          <w:szCs w:val="24"/>
          <w:lang w:eastAsia="en-US"/>
        </w:rPr>
        <w:t>Bibliography</w:t>
      </w:r>
    </w:p>
    <w:p w14:paraId="70D0D9E5" w14:textId="77777777" w:rsidR="00C24E82" w:rsidRPr="00FE04DA" w:rsidRDefault="00C24E82" w:rsidP="00FE04DA">
      <w:pPr>
        <w:spacing w:after="200"/>
        <w:rPr>
          <w:rFonts w:ascii="Times New Roman" w:eastAsiaTheme="minorHAnsi" w:hAnsi="Times New Roman" w:cs="Times New Roman"/>
          <w:noProof/>
          <w:color w:val="auto"/>
          <w:sz w:val="24"/>
          <w:szCs w:val="24"/>
          <w:lang w:eastAsia="en-US"/>
        </w:rPr>
      </w:pPr>
      <w:proofErr w:type="spellStart"/>
      <w:r w:rsidRPr="00FE04DA">
        <w:rPr>
          <w:rFonts w:ascii="Times New Roman" w:eastAsiaTheme="minorHAnsi" w:hAnsi="Times New Roman" w:cs="Times New Roman"/>
          <w:color w:val="auto"/>
          <w:sz w:val="24"/>
          <w:szCs w:val="24"/>
          <w:lang w:eastAsia="en-US"/>
        </w:rPr>
        <w:t>Akokpari</w:t>
      </w:r>
      <w:proofErr w:type="spellEnd"/>
      <w:r w:rsidRPr="00FE04DA">
        <w:rPr>
          <w:rFonts w:ascii="Times New Roman" w:eastAsiaTheme="minorHAnsi" w:hAnsi="Times New Roman" w:cs="Times New Roman"/>
          <w:color w:val="auto"/>
          <w:sz w:val="24"/>
          <w:szCs w:val="24"/>
          <w:lang w:eastAsia="en-US"/>
        </w:rPr>
        <w:t xml:space="preserve">, John. </w:t>
      </w:r>
      <w:r w:rsidRPr="00FE04DA">
        <w:rPr>
          <w:rFonts w:ascii="Times New Roman" w:eastAsiaTheme="minorHAnsi" w:hAnsi="Times New Roman" w:cs="Times New Roman"/>
          <w:noProof/>
          <w:color w:val="auto"/>
          <w:sz w:val="24"/>
          <w:szCs w:val="24"/>
          <w:lang w:eastAsia="en-US"/>
        </w:rPr>
        <w:t xml:space="preserve">"Dilemmas of Regional Integration and Development in Africa." In </w:t>
      </w:r>
      <w:r w:rsidRPr="00FE04DA">
        <w:rPr>
          <w:rFonts w:ascii="Times New Roman" w:eastAsiaTheme="minorHAnsi" w:hAnsi="Times New Roman" w:cs="Times New Roman"/>
          <w:i/>
          <w:noProof/>
          <w:color w:val="auto"/>
          <w:sz w:val="24"/>
          <w:szCs w:val="24"/>
          <w:lang w:eastAsia="en-US"/>
        </w:rPr>
        <w:t>The African Union and its Institutions</w:t>
      </w:r>
      <w:r w:rsidRPr="00FE04DA">
        <w:rPr>
          <w:rFonts w:ascii="Times New Roman" w:eastAsiaTheme="minorHAnsi" w:hAnsi="Times New Roman" w:cs="Times New Roman"/>
          <w:noProof/>
          <w:color w:val="auto"/>
          <w:sz w:val="24"/>
          <w:szCs w:val="24"/>
          <w:lang w:eastAsia="en-US"/>
        </w:rPr>
        <w:t>, edited by Akokpari, John, Ndinga-Muvumba, Angela and Murithi, Timothy, 85-112. Auckland Park: Fanele, 2008.</w:t>
      </w:r>
    </w:p>
    <w:p w14:paraId="174411B7" w14:textId="77777777" w:rsidR="00C24E82" w:rsidRPr="00FE04DA" w:rsidRDefault="00C24E82" w:rsidP="00FE04DA">
      <w:pPr>
        <w:spacing w:after="200"/>
        <w:rPr>
          <w:rFonts w:ascii="Times New Roman" w:eastAsiaTheme="minorHAnsi" w:hAnsi="Times New Roman" w:cs="Times New Roman"/>
          <w:noProof/>
          <w:color w:val="auto"/>
          <w:sz w:val="24"/>
          <w:szCs w:val="24"/>
          <w:lang w:eastAsia="en-US"/>
        </w:rPr>
      </w:pPr>
      <w:r w:rsidRPr="00FE04DA">
        <w:rPr>
          <w:rFonts w:ascii="Times New Roman" w:eastAsiaTheme="minorHAnsi" w:hAnsi="Times New Roman" w:cs="Times New Roman"/>
          <w:noProof/>
          <w:color w:val="auto"/>
          <w:sz w:val="24"/>
          <w:szCs w:val="24"/>
          <w:lang w:eastAsia="en-US"/>
        </w:rPr>
        <w:t xml:space="preserve">Babarinde, Olufemi and Faber, Gerrit. “EPAs and Integration in SSA.” In </w:t>
      </w:r>
      <w:r w:rsidRPr="00FE04DA">
        <w:rPr>
          <w:rFonts w:ascii="Times New Roman" w:eastAsiaTheme="minorHAnsi" w:hAnsi="Times New Roman" w:cs="Times New Roman"/>
          <w:i/>
          <w:noProof/>
          <w:color w:val="auto"/>
          <w:sz w:val="24"/>
          <w:szCs w:val="24"/>
          <w:lang w:eastAsia="en-US"/>
        </w:rPr>
        <w:t>Beyond Market Access for Development: EU African Relations in Transition</w:t>
      </w:r>
      <w:r w:rsidRPr="00FE04DA">
        <w:rPr>
          <w:rFonts w:ascii="Times New Roman" w:eastAsiaTheme="minorHAnsi" w:hAnsi="Times New Roman" w:cs="Times New Roman"/>
          <w:noProof/>
          <w:color w:val="auto"/>
          <w:sz w:val="24"/>
          <w:szCs w:val="24"/>
          <w:lang w:eastAsia="en-US"/>
        </w:rPr>
        <w:t>, edited by Faber, Gerrit and Orbie, Jan, 111-134. Abingdon: Routledge, 2009.</w:t>
      </w:r>
    </w:p>
    <w:p w14:paraId="29686622" w14:textId="472BBAB3" w:rsidR="00C24E82" w:rsidRPr="00FE04DA" w:rsidRDefault="00C24E82" w:rsidP="00FE04DA">
      <w:pPr>
        <w:spacing w:after="200"/>
        <w:rPr>
          <w:rFonts w:ascii="Times New Roman" w:eastAsiaTheme="minorHAnsi" w:hAnsi="Times New Roman" w:cs="Times New Roman"/>
          <w:noProof/>
          <w:color w:val="auto"/>
          <w:sz w:val="24"/>
          <w:szCs w:val="24"/>
          <w:lang w:eastAsia="en-US"/>
        </w:rPr>
      </w:pPr>
      <w:r w:rsidRPr="00FE04DA">
        <w:rPr>
          <w:rFonts w:ascii="Times New Roman" w:eastAsiaTheme="minorHAnsi" w:hAnsi="Times New Roman" w:cs="Times New Roman"/>
          <w:noProof/>
          <w:color w:val="auto"/>
          <w:sz w:val="24"/>
          <w:szCs w:val="24"/>
          <w:lang w:eastAsia="en-US"/>
        </w:rPr>
        <w:t>Bilal, San and Ramdoo, Isabelle. “EPA Negotiations: The Honeymoon is Over…”</w:t>
      </w:r>
      <w:r w:rsidRPr="00FE04DA">
        <w:rPr>
          <w:rFonts w:ascii="Times New Roman" w:eastAsiaTheme="minorHAnsi" w:hAnsi="Times New Roman" w:cs="Times New Roman"/>
          <w:i/>
          <w:noProof/>
          <w:color w:val="auto"/>
          <w:sz w:val="24"/>
          <w:szCs w:val="24"/>
          <w:lang w:eastAsia="en-US"/>
        </w:rPr>
        <w:t xml:space="preserve"> Trade Negotiations Insights</w:t>
      </w:r>
      <w:r w:rsidRPr="00FE04DA">
        <w:rPr>
          <w:rFonts w:ascii="Times New Roman" w:eastAsiaTheme="minorHAnsi" w:hAnsi="Times New Roman" w:cs="Times New Roman"/>
          <w:noProof/>
          <w:color w:val="auto"/>
          <w:sz w:val="24"/>
          <w:szCs w:val="24"/>
          <w:lang w:eastAsia="en-US"/>
        </w:rPr>
        <w:t xml:space="preserve"> 10, no. 7 (2011).</w:t>
      </w:r>
      <w:r>
        <w:rPr>
          <w:rFonts w:ascii="Times New Roman" w:eastAsiaTheme="minorHAnsi" w:hAnsi="Times New Roman" w:cs="Times New Roman"/>
          <w:noProof/>
          <w:color w:val="auto"/>
          <w:sz w:val="24"/>
          <w:szCs w:val="24"/>
          <w:lang w:eastAsia="en-US"/>
        </w:rPr>
        <w:t xml:space="preserve"> </w:t>
      </w:r>
    </w:p>
    <w:p w14:paraId="2522F939" w14:textId="0C1E4CA2" w:rsidR="00C24E82" w:rsidRPr="00FE04DA" w:rsidRDefault="00C24E82" w:rsidP="00FE04DA">
      <w:pPr>
        <w:spacing w:after="200"/>
        <w:rPr>
          <w:rFonts w:ascii="Times New Roman" w:eastAsiaTheme="minorHAnsi" w:hAnsi="Times New Roman" w:cs="Times New Roman"/>
          <w:noProof/>
          <w:color w:val="auto"/>
          <w:sz w:val="24"/>
          <w:szCs w:val="24"/>
          <w:lang w:eastAsia="en-US"/>
        </w:rPr>
      </w:pPr>
      <w:r w:rsidRPr="00FE04DA">
        <w:rPr>
          <w:rFonts w:ascii="Times New Roman" w:eastAsiaTheme="minorHAnsi" w:hAnsi="Times New Roman" w:cs="Times New Roman"/>
          <w:color w:val="auto"/>
          <w:sz w:val="24"/>
          <w:szCs w:val="24"/>
          <w:lang w:eastAsia="en-US"/>
        </w:rPr>
        <w:t xml:space="preserve">Bishop, Matthew Louis, Heron, Tony and Payne, Tony. “Caribbean Development Alternatives and the CARIFORUM-European Union Economic Partnership Agreement.” </w:t>
      </w:r>
      <w:r w:rsidRPr="00FE04DA">
        <w:rPr>
          <w:rFonts w:ascii="Times New Roman" w:eastAsiaTheme="minorHAnsi" w:hAnsi="Times New Roman" w:cs="Times New Roman"/>
          <w:i/>
          <w:noProof/>
          <w:color w:val="auto"/>
          <w:sz w:val="24"/>
          <w:szCs w:val="24"/>
          <w:lang w:eastAsia="en-US"/>
        </w:rPr>
        <w:t>Journal of International Relations and Development</w:t>
      </w:r>
      <w:r w:rsidRPr="00FE04DA">
        <w:rPr>
          <w:rFonts w:ascii="Times New Roman" w:eastAsiaTheme="minorHAnsi" w:hAnsi="Times New Roman" w:cs="Times New Roman"/>
          <w:noProof/>
          <w:color w:val="auto"/>
          <w:sz w:val="24"/>
          <w:szCs w:val="24"/>
          <w:lang w:eastAsia="en-US"/>
        </w:rPr>
        <w:t xml:space="preserve"> 16, no. 1 (2013): 82-110.</w:t>
      </w:r>
      <w:r>
        <w:rPr>
          <w:rFonts w:ascii="Times New Roman" w:eastAsiaTheme="minorHAnsi" w:hAnsi="Times New Roman" w:cs="Times New Roman"/>
          <w:noProof/>
          <w:color w:val="auto"/>
          <w:sz w:val="24"/>
          <w:szCs w:val="24"/>
          <w:lang w:eastAsia="en-US"/>
        </w:rPr>
        <w:t xml:space="preserve"> Doi: </w:t>
      </w:r>
      <w:r w:rsidRPr="00042371">
        <w:rPr>
          <w:rFonts w:ascii="Times New Roman" w:eastAsiaTheme="minorHAnsi" w:hAnsi="Times New Roman" w:cs="Times New Roman"/>
          <w:noProof/>
          <w:color w:val="auto"/>
          <w:sz w:val="24"/>
          <w:szCs w:val="24"/>
          <w:lang w:eastAsia="en-US"/>
        </w:rPr>
        <w:t>10.1057/jird.2012.5</w:t>
      </w:r>
    </w:p>
    <w:p w14:paraId="49BFD580" w14:textId="77777777" w:rsidR="00C24E82" w:rsidRPr="00FE04DA" w:rsidRDefault="00C24E82" w:rsidP="00FE04DA">
      <w:pPr>
        <w:spacing w:after="200"/>
        <w:rPr>
          <w:rFonts w:ascii="Times New Roman" w:eastAsiaTheme="minorHAnsi" w:hAnsi="Times New Roman" w:cs="Times New Roman"/>
          <w:noProof/>
          <w:color w:val="auto"/>
          <w:sz w:val="24"/>
          <w:szCs w:val="24"/>
          <w:lang w:eastAsia="en-US"/>
        </w:rPr>
      </w:pPr>
      <w:r w:rsidRPr="00FE04DA">
        <w:rPr>
          <w:rFonts w:ascii="Times New Roman" w:eastAsiaTheme="minorHAnsi" w:hAnsi="Times New Roman" w:cs="Times New Roman"/>
          <w:noProof/>
          <w:color w:val="auto"/>
          <w:sz w:val="24"/>
          <w:szCs w:val="24"/>
          <w:lang w:eastAsia="en-US"/>
        </w:rPr>
        <w:t xml:space="preserve">Breslin, Shaun and Higgott, Richard. “Studying Regions: Learning from the Old, Constructing the New.” </w:t>
      </w:r>
      <w:r w:rsidRPr="00FE04DA">
        <w:rPr>
          <w:rFonts w:ascii="Times New Roman" w:eastAsiaTheme="minorHAnsi" w:hAnsi="Times New Roman" w:cs="Times New Roman"/>
          <w:i/>
          <w:noProof/>
          <w:color w:val="auto"/>
          <w:sz w:val="24"/>
          <w:szCs w:val="24"/>
          <w:lang w:eastAsia="en-US"/>
        </w:rPr>
        <w:t>New Political Economy</w:t>
      </w:r>
      <w:r w:rsidRPr="00FE04DA">
        <w:rPr>
          <w:rFonts w:ascii="Times New Roman" w:eastAsiaTheme="minorHAnsi" w:hAnsi="Times New Roman" w:cs="Times New Roman"/>
          <w:noProof/>
          <w:color w:val="auto"/>
          <w:sz w:val="24"/>
          <w:szCs w:val="24"/>
          <w:lang w:eastAsia="en-US"/>
        </w:rPr>
        <w:t xml:space="preserve"> 5, no. 3 (2000): 333-352.</w:t>
      </w:r>
    </w:p>
    <w:p w14:paraId="5F6E6883" w14:textId="77777777" w:rsidR="00C24E82" w:rsidRPr="00FE04DA" w:rsidRDefault="00C24E82" w:rsidP="00FE04DA">
      <w:pPr>
        <w:spacing w:after="200"/>
        <w:rPr>
          <w:rFonts w:ascii="Times New Roman" w:eastAsiaTheme="minorHAnsi" w:hAnsi="Times New Roman" w:cs="Times New Roman"/>
          <w:noProof/>
          <w:color w:val="auto"/>
          <w:sz w:val="24"/>
          <w:szCs w:val="24"/>
          <w:lang w:eastAsia="en-US"/>
        </w:rPr>
      </w:pPr>
      <w:r w:rsidRPr="00FE04DA">
        <w:rPr>
          <w:rFonts w:ascii="Times New Roman" w:eastAsiaTheme="minorHAnsi" w:hAnsi="Times New Roman" w:cs="Times New Roman"/>
          <w:noProof/>
          <w:color w:val="auto"/>
          <w:sz w:val="24"/>
          <w:szCs w:val="24"/>
          <w:lang w:eastAsia="en-US"/>
        </w:rPr>
        <w:t xml:space="preserve">Brown, William. “Restructuring North-South Relations: ACP-EU Development Co-operation in a Liberal International Order.” </w:t>
      </w:r>
      <w:r w:rsidRPr="00FE04DA">
        <w:rPr>
          <w:rFonts w:ascii="Times New Roman" w:eastAsiaTheme="minorHAnsi" w:hAnsi="Times New Roman" w:cs="Times New Roman"/>
          <w:i/>
          <w:noProof/>
          <w:color w:val="auto"/>
          <w:sz w:val="24"/>
          <w:szCs w:val="24"/>
          <w:lang w:eastAsia="en-US"/>
        </w:rPr>
        <w:t>Review of African Political Economy</w:t>
      </w:r>
      <w:r w:rsidRPr="00FE04DA">
        <w:rPr>
          <w:rFonts w:ascii="Times New Roman" w:eastAsiaTheme="minorHAnsi" w:hAnsi="Times New Roman" w:cs="Times New Roman"/>
          <w:noProof/>
          <w:color w:val="auto"/>
          <w:sz w:val="24"/>
          <w:szCs w:val="24"/>
          <w:lang w:eastAsia="en-US"/>
        </w:rPr>
        <w:t xml:space="preserve"> 27, no. 85 (2000): 367-83.</w:t>
      </w:r>
    </w:p>
    <w:p w14:paraId="29AC61B4" w14:textId="77777777" w:rsidR="00C24E82" w:rsidRPr="00FE04DA" w:rsidRDefault="00C24E82" w:rsidP="00FE04DA">
      <w:pPr>
        <w:spacing w:after="200"/>
        <w:rPr>
          <w:rFonts w:ascii="Times New Roman" w:eastAsiaTheme="minorHAnsi" w:hAnsi="Times New Roman" w:cs="Times New Roman"/>
          <w:color w:val="auto"/>
          <w:sz w:val="24"/>
          <w:szCs w:val="24"/>
          <w:lang w:eastAsia="en-US"/>
        </w:rPr>
      </w:pPr>
      <w:r w:rsidRPr="00FE04DA">
        <w:rPr>
          <w:rFonts w:ascii="Times New Roman" w:eastAsiaTheme="minorHAnsi" w:hAnsi="Times New Roman" w:cs="Times New Roman"/>
          <w:color w:val="auto"/>
          <w:sz w:val="24"/>
          <w:szCs w:val="24"/>
          <w:lang w:eastAsia="en-US"/>
        </w:rPr>
        <w:t xml:space="preserve">ECDPM. </w:t>
      </w:r>
      <w:r w:rsidRPr="00FE04DA">
        <w:rPr>
          <w:rFonts w:ascii="Times New Roman" w:eastAsiaTheme="minorHAnsi" w:hAnsi="Times New Roman" w:cs="Times New Roman"/>
          <w:i/>
          <w:color w:val="auto"/>
          <w:sz w:val="24"/>
          <w:szCs w:val="24"/>
          <w:lang w:eastAsia="en-US"/>
        </w:rPr>
        <w:t>Implementing the Economic Partnership Agreements in the East African Community and the CARIFORUM Regions: What is in it for the Private Sector</w:t>
      </w:r>
      <w:proofErr w:type="gramStart"/>
      <w:r w:rsidRPr="00FE04DA">
        <w:rPr>
          <w:rFonts w:ascii="Times New Roman" w:eastAsiaTheme="minorHAnsi" w:hAnsi="Times New Roman" w:cs="Times New Roman"/>
          <w:i/>
          <w:color w:val="auto"/>
          <w:sz w:val="24"/>
          <w:szCs w:val="24"/>
          <w:lang w:eastAsia="en-US"/>
        </w:rPr>
        <w:t>?</w:t>
      </w:r>
      <w:r w:rsidRPr="00FE04DA">
        <w:rPr>
          <w:rFonts w:ascii="Times New Roman" w:eastAsiaTheme="minorHAnsi" w:hAnsi="Times New Roman" w:cs="Times New Roman"/>
          <w:color w:val="auto"/>
          <w:sz w:val="24"/>
          <w:szCs w:val="24"/>
          <w:lang w:eastAsia="en-US"/>
        </w:rPr>
        <w:t>.</w:t>
      </w:r>
      <w:proofErr w:type="gramEnd"/>
      <w:r w:rsidRPr="00FE04DA">
        <w:rPr>
          <w:rFonts w:ascii="Times New Roman" w:eastAsiaTheme="minorHAnsi" w:hAnsi="Times New Roman" w:cs="Times New Roman"/>
          <w:color w:val="auto"/>
          <w:sz w:val="24"/>
          <w:szCs w:val="24"/>
          <w:lang w:eastAsia="en-US"/>
        </w:rPr>
        <w:t xml:space="preserve"> </w:t>
      </w:r>
      <w:proofErr w:type="gramStart"/>
      <w:r w:rsidRPr="00FE04DA">
        <w:rPr>
          <w:rFonts w:ascii="Times New Roman" w:eastAsiaTheme="minorHAnsi" w:hAnsi="Times New Roman" w:cs="Times New Roman"/>
          <w:color w:val="auto"/>
          <w:sz w:val="24"/>
          <w:szCs w:val="24"/>
          <w:lang w:eastAsia="en-US"/>
        </w:rPr>
        <w:t>Discussion Paper No. 104, 2010.</w:t>
      </w:r>
      <w:proofErr w:type="gramEnd"/>
      <w:r w:rsidRPr="00FE04DA">
        <w:rPr>
          <w:rFonts w:ascii="Times New Roman" w:eastAsiaTheme="minorHAnsi" w:hAnsi="Times New Roman" w:cs="Times New Roman"/>
          <w:color w:val="auto"/>
          <w:sz w:val="24"/>
          <w:szCs w:val="24"/>
          <w:lang w:eastAsia="en-US"/>
        </w:rPr>
        <w:t xml:space="preserve"> </w:t>
      </w:r>
    </w:p>
    <w:p w14:paraId="552CF062" w14:textId="77777777" w:rsidR="00C24E82" w:rsidRPr="00FE04DA" w:rsidRDefault="00C24E82" w:rsidP="00FE04DA">
      <w:pPr>
        <w:spacing w:after="200"/>
        <w:rPr>
          <w:rFonts w:ascii="Times New Roman" w:eastAsiaTheme="minorHAnsi" w:hAnsi="Times New Roman" w:cs="Times New Roman"/>
          <w:noProof/>
          <w:color w:val="auto"/>
          <w:sz w:val="24"/>
          <w:szCs w:val="24"/>
          <w:lang w:eastAsia="en-US"/>
        </w:rPr>
      </w:pPr>
      <w:r w:rsidRPr="00FE04DA">
        <w:rPr>
          <w:rFonts w:ascii="Times New Roman" w:eastAsiaTheme="minorHAnsi" w:hAnsi="Times New Roman" w:cs="Times New Roman"/>
          <w:color w:val="auto"/>
          <w:sz w:val="24"/>
          <w:szCs w:val="24"/>
          <w:lang w:eastAsia="en-US"/>
        </w:rPr>
        <w:t>European Commission. “</w:t>
      </w:r>
      <w:r w:rsidRPr="00FE04DA">
        <w:rPr>
          <w:rFonts w:ascii="Times New Roman" w:eastAsiaTheme="minorHAnsi" w:hAnsi="Times New Roman" w:cs="Times New Roman"/>
          <w:noProof/>
          <w:color w:val="auto"/>
          <w:sz w:val="24"/>
          <w:szCs w:val="24"/>
          <w:lang w:eastAsia="en-US"/>
        </w:rPr>
        <w:t xml:space="preserve">European Community Support for Regional Economic Integration Efforts among Developing Countries.” </w:t>
      </w:r>
      <w:r w:rsidRPr="00FE04DA">
        <w:rPr>
          <w:rFonts w:ascii="Times New Roman" w:eastAsiaTheme="minorHAnsi" w:hAnsi="Times New Roman" w:cs="Times New Roman"/>
          <w:i/>
          <w:noProof/>
          <w:color w:val="auto"/>
          <w:sz w:val="24"/>
          <w:szCs w:val="24"/>
          <w:lang w:eastAsia="en-US"/>
        </w:rPr>
        <w:t>Communication from the Commission</w:t>
      </w:r>
      <w:r w:rsidRPr="00FE04DA">
        <w:rPr>
          <w:rFonts w:ascii="Times New Roman" w:eastAsiaTheme="minorHAnsi" w:hAnsi="Times New Roman" w:cs="Times New Roman"/>
          <w:noProof/>
          <w:color w:val="auto"/>
          <w:sz w:val="24"/>
          <w:szCs w:val="24"/>
          <w:lang w:eastAsia="en-US"/>
        </w:rPr>
        <w:t>, COM (95) 219 final, 16 June, 1995.</w:t>
      </w:r>
    </w:p>
    <w:p w14:paraId="380ED012" w14:textId="77777777" w:rsidR="00C24E82" w:rsidRPr="00FE04DA" w:rsidRDefault="00C24E82" w:rsidP="00FE04DA">
      <w:pPr>
        <w:spacing w:after="200"/>
        <w:rPr>
          <w:rFonts w:ascii="Times New Roman" w:eastAsiaTheme="minorHAnsi" w:hAnsi="Times New Roman" w:cs="Times New Roman"/>
          <w:noProof/>
          <w:color w:val="auto"/>
          <w:sz w:val="24"/>
          <w:szCs w:val="24"/>
          <w:lang w:eastAsia="en-US"/>
        </w:rPr>
      </w:pPr>
      <w:r w:rsidRPr="00FE04DA">
        <w:rPr>
          <w:rFonts w:ascii="Times New Roman" w:eastAsiaTheme="minorHAnsi" w:hAnsi="Times New Roman" w:cs="Times New Roman"/>
          <w:noProof/>
          <w:color w:val="auto"/>
          <w:sz w:val="24"/>
          <w:szCs w:val="24"/>
          <w:lang w:eastAsia="en-US"/>
        </w:rPr>
        <w:t xml:space="preserve">European Commission. “Green Paper on Relations Between the European Union and the ACP Countries. “Green Paper on Relations Between the European Union and the ACP Countries.” </w:t>
      </w:r>
      <w:r w:rsidRPr="00FE04DA">
        <w:rPr>
          <w:rFonts w:ascii="Times New Roman" w:eastAsiaTheme="minorHAnsi" w:hAnsi="Times New Roman" w:cs="Times New Roman"/>
          <w:i/>
          <w:noProof/>
          <w:color w:val="auto"/>
          <w:sz w:val="24"/>
          <w:szCs w:val="24"/>
          <w:lang w:eastAsia="en-US"/>
        </w:rPr>
        <w:t>Communication from the Commission</w:t>
      </w:r>
      <w:r w:rsidRPr="00FE04DA">
        <w:rPr>
          <w:rFonts w:ascii="Times New Roman" w:eastAsiaTheme="minorHAnsi" w:hAnsi="Times New Roman" w:cs="Times New Roman"/>
          <w:noProof/>
          <w:color w:val="auto"/>
          <w:sz w:val="24"/>
          <w:szCs w:val="24"/>
          <w:lang w:eastAsia="en-US"/>
        </w:rPr>
        <w:t>, COM(96) 570 final, 20 November, 1996.</w:t>
      </w:r>
    </w:p>
    <w:p w14:paraId="2B510EAB" w14:textId="77777777" w:rsidR="00C24E82" w:rsidRPr="00FE04DA" w:rsidRDefault="00C24E82" w:rsidP="00FE04DA">
      <w:pPr>
        <w:spacing w:after="240" w:line="240" w:lineRule="auto"/>
        <w:rPr>
          <w:rFonts w:ascii="Times New Roman" w:hAnsi="Times New Roman" w:cs="Times New Roman"/>
          <w:noProof/>
          <w:sz w:val="24"/>
          <w:szCs w:val="24"/>
        </w:rPr>
      </w:pPr>
      <w:r w:rsidRPr="00FE04DA">
        <w:rPr>
          <w:rFonts w:ascii="Times New Roman" w:hAnsi="Times New Roman" w:cs="Times New Roman"/>
          <w:noProof/>
          <w:sz w:val="24"/>
          <w:szCs w:val="24"/>
        </w:rPr>
        <w:t xml:space="preserve">European Commission. </w:t>
      </w:r>
      <w:r w:rsidRPr="00FE04DA">
        <w:rPr>
          <w:rFonts w:ascii="Times New Roman" w:hAnsi="Times New Roman" w:cs="Times New Roman"/>
          <w:i/>
          <w:noProof/>
          <w:sz w:val="24"/>
          <w:szCs w:val="24"/>
        </w:rPr>
        <w:t>Orientations on the Qualification of ACP Regions for the Negotiation of Economic Partnership Agreements</w:t>
      </w:r>
      <w:r w:rsidRPr="00FE04DA">
        <w:rPr>
          <w:rFonts w:ascii="Times New Roman" w:hAnsi="Times New Roman" w:cs="Times New Roman"/>
          <w:noProof/>
          <w:sz w:val="24"/>
          <w:szCs w:val="24"/>
        </w:rPr>
        <w:t>, Brussels, 2001.</w:t>
      </w:r>
    </w:p>
    <w:p w14:paraId="5FAC7E93" w14:textId="77777777" w:rsidR="00C24E82" w:rsidRPr="00FE04DA" w:rsidRDefault="00C24E82" w:rsidP="00FE04DA">
      <w:pPr>
        <w:spacing w:after="240" w:line="240" w:lineRule="auto"/>
        <w:rPr>
          <w:rFonts w:ascii="Times New Roman" w:hAnsi="Times New Roman" w:cs="Times New Roman"/>
          <w:noProof/>
          <w:sz w:val="24"/>
          <w:szCs w:val="24"/>
        </w:rPr>
      </w:pPr>
      <w:r w:rsidRPr="00FE04DA">
        <w:rPr>
          <w:rFonts w:ascii="Times New Roman" w:hAnsi="Times New Roman" w:cs="Times New Roman"/>
          <w:noProof/>
          <w:sz w:val="24"/>
          <w:szCs w:val="24"/>
        </w:rPr>
        <w:t xml:space="preserve">European Commission.“Trade and Development: Assisting Developing Countries to Benefit from Trade.” </w:t>
      </w:r>
      <w:r w:rsidRPr="00FE04DA">
        <w:rPr>
          <w:rFonts w:ascii="Times New Roman" w:hAnsi="Times New Roman" w:cs="Times New Roman"/>
          <w:i/>
          <w:noProof/>
          <w:sz w:val="24"/>
          <w:szCs w:val="24"/>
        </w:rPr>
        <w:t>Communication from the Commission to the Council and the European Parliament</w:t>
      </w:r>
      <w:r w:rsidRPr="00FE04DA">
        <w:rPr>
          <w:rFonts w:ascii="Times New Roman" w:hAnsi="Times New Roman" w:cs="Times New Roman"/>
          <w:noProof/>
          <w:sz w:val="24"/>
          <w:szCs w:val="24"/>
        </w:rPr>
        <w:t>, COM (2002) 513 final, 18 September, 2002.</w:t>
      </w:r>
    </w:p>
    <w:p w14:paraId="7780C00A" w14:textId="77777777" w:rsidR="00C24E82" w:rsidRPr="00FE04DA" w:rsidRDefault="00C24E82" w:rsidP="00FE04DA">
      <w:pPr>
        <w:spacing w:after="240" w:line="240" w:lineRule="auto"/>
        <w:rPr>
          <w:rFonts w:ascii="Times New Roman" w:hAnsi="Times New Roman" w:cs="Times New Roman"/>
          <w:noProof/>
          <w:sz w:val="24"/>
          <w:szCs w:val="24"/>
        </w:rPr>
      </w:pPr>
      <w:r w:rsidRPr="00FE04DA">
        <w:rPr>
          <w:rFonts w:ascii="Times New Roman" w:hAnsi="Times New Roman" w:cs="Times New Roman"/>
          <w:noProof/>
          <w:sz w:val="24"/>
          <w:szCs w:val="24"/>
        </w:rPr>
        <w:t xml:space="preserve">Faber, Gerrit and Orbie, Jan, eds. </w:t>
      </w:r>
      <w:r w:rsidRPr="00FE04DA">
        <w:rPr>
          <w:rFonts w:ascii="Times New Roman" w:hAnsi="Times New Roman" w:cs="Times New Roman"/>
          <w:i/>
          <w:noProof/>
          <w:sz w:val="24"/>
          <w:szCs w:val="24"/>
        </w:rPr>
        <w:t>Beyond Market Access for Economic Development: EU-Africa Relations in Transition</w:t>
      </w:r>
      <w:r w:rsidRPr="00FE04DA">
        <w:rPr>
          <w:rFonts w:ascii="Times New Roman" w:hAnsi="Times New Roman" w:cs="Times New Roman"/>
          <w:noProof/>
          <w:sz w:val="24"/>
          <w:szCs w:val="24"/>
        </w:rPr>
        <w:t>. Abingdon: Routledge, 2009.</w:t>
      </w:r>
    </w:p>
    <w:p w14:paraId="21543C64" w14:textId="77777777" w:rsidR="00C24E82" w:rsidRPr="00FE04DA" w:rsidRDefault="00C24E82" w:rsidP="00FE04DA">
      <w:pPr>
        <w:spacing w:after="240" w:line="240" w:lineRule="auto"/>
        <w:rPr>
          <w:rFonts w:ascii="Times New Roman" w:hAnsi="Times New Roman" w:cs="Times New Roman"/>
          <w:noProof/>
          <w:sz w:val="24"/>
          <w:szCs w:val="24"/>
        </w:rPr>
      </w:pPr>
      <w:r w:rsidRPr="00FE04DA">
        <w:rPr>
          <w:rFonts w:ascii="Times New Roman" w:hAnsi="Times New Roman" w:cs="Times New Roman"/>
          <w:noProof/>
          <w:sz w:val="24"/>
          <w:szCs w:val="24"/>
        </w:rPr>
        <w:t xml:space="preserve">Gibb, Richard. “Post-Lomé: the European Union and the South.” </w:t>
      </w:r>
      <w:r w:rsidRPr="00FE04DA">
        <w:rPr>
          <w:rFonts w:ascii="Times New Roman" w:hAnsi="Times New Roman" w:cs="Times New Roman"/>
          <w:i/>
          <w:noProof/>
          <w:sz w:val="24"/>
          <w:szCs w:val="24"/>
        </w:rPr>
        <w:t>Third World Quarterly</w:t>
      </w:r>
      <w:r w:rsidRPr="00FE04DA">
        <w:rPr>
          <w:rFonts w:ascii="Times New Roman" w:hAnsi="Times New Roman" w:cs="Times New Roman"/>
          <w:noProof/>
          <w:sz w:val="24"/>
          <w:szCs w:val="24"/>
        </w:rPr>
        <w:t xml:space="preserve"> 21, no. 3 (2000): 457-481.</w:t>
      </w:r>
    </w:p>
    <w:p w14:paraId="379D8C70" w14:textId="77777777" w:rsidR="00C24E82" w:rsidRPr="00FE04DA" w:rsidRDefault="00C24E82" w:rsidP="00FE04DA">
      <w:pPr>
        <w:spacing w:after="240" w:line="240" w:lineRule="auto"/>
        <w:rPr>
          <w:rFonts w:ascii="Times New Roman" w:hAnsi="Times New Roman" w:cs="Times New Roman"/>
          <w:noProof/>
          <w:sz w:val="24"/>
          <w:szCs w:val="24"/>
        </w:rPr>
      </w:pPr>
      <w:r w:rsidRPr="00FE04DA">
        <w:rPr>
          <w:rFonts w:ascii="Times New Roman" w:hAnsi="Times New Roman" w:cs="Times New Roman"/>
          <w:noProof/>
          <w:sz w:val="24"/>
          <w:szCs w:val="24"/>
        </w:rPr>
        <w:t xml:space="preserve">Heron, Tony. “Asymmetric Bargaining and Development Trade-Offs in the CARIFORUM-European Union Economic Partnership Agreement.” </w:t>
      </w:r>
      <w:r w:rsidRPr="00FE04DA">
        <w:rPr>
          <w:rFonts w:ascii="Times New Roman" w:hAnsi="Times New Roman" w:cs="Times New Roman"/>
          <w:i/>
          <w:noProof/>
          <w:sz w:val="24"/>
          <w:szCs w:val="24"/>
        </w:rPr>
        <w:t>Review of International Political Economy</w:t>
      </w:r>
      <w:r w:rsidRPr="00FE04DA">
        <w:rPr>
          <w:rFonts w:ascii="Times New Roman" w:hAnsi="Times New Roman" w:cs="Times New Roman"/>
          <w:noProof/>
          <w:sz w:val="24"/>
          <w:szCs w:val="24"/>
        </w:rPr>
        <w:t xml:space="preserve"> 18, no. 3 (2011): 328-57.</w:t>
      </w:r>
    </w:p>
    <w:p w14:paraId="322182CC" w14:textId="77777777" w:rsidR="00C24E82" w:rsidRPr="00FE04DA" w:rsidRDefault="00C24E82" w:rsidP="00FE04DA">
      <w:pPr>
        <w:spacing w:after="240" w:line="240" w:lineRule="auto"/>
        <w:rPr>
          <w:rFonts w:ascii="Times New Roman" w:hAnsi="Times New Roman" w:cs="Times New Roman"/>
          <w:noProof/>
          <w:sz w:val="24"/>
          <w:szCs w:val="24"/>
        </w:rPr>
      </w:pPr>
      <w:r w:rsidRPr="00FE04DA">
        <w:rPr>
          <w:rFonts w:ascii="Times New Roman" w:hAnsi="Times New Roman" w:cs="Times New Roman"/>
          <w:noProof/>
          <w:sz w:val="24"/>
          <w:szCs w:val="24"/>
        </w:rPr>
        <w:t xml:space="preserve">Heron, Tony. </w:t>
      </w:r>
      <w:r w:rsidRPr="00FE04DA">
        <w:rPr>
          <w:rFonts w:ascii="Times New Roman" w:hAnsi="Times New Roman" w:cs="Times New Roman"/>
          <w:i/>
          <w:noProof/>
          <w:sz w:val="24"/>
          <w:szCs w:val="24"/>
        </w:rPr>
        <w:t>Pathways from Preferential Trade: The Politics of Trade Adjustment in Africa, Caribbean and Pacific</w:t>
      </w:r>
      <w:r w:rsidRPr="00FE04DA">
        <w:rPr>
          <w:rFonts w:ascii="Times New Roman" w:hAnsi="Times New Roman" w:cs="Times New Roman"/>
          <w:noProof/>
          <w:sz w:val="24"/>
          <w:szCs w:val="24"/>
        </w:rPr>
        <w:t>. London: Palgrave Macmillan, 2013.</w:t>
      </w:r>
    </w:p>
    <w:p w14:paraId="4AA3AB58" w14:textId="77777777" w:rsidR="00C24E82" w:rsidRPr="00FE04DA" w:rsidRDefault="00C24E82" w:rsidP="00FE04DA">
      <w:pPr>
        <w:spacing w:after="240" w:line="240" w:lineRule="auto"/>
        <w:rPr>
          <w:rFonts w:ascii="Times New Roman" w:hAnsi="Times New Roman" w:cs="Times New Roman"/>
          <w:noProof/>
          <w:sz w:val="24"/>
          <w:szCs w:val="24"/>
        </w:rPr>
      </w:pPr>
      <w:r w:rsidRPr="00FE04DA">
        <w:rPr>
          <w:rFonts w:ascii="Times New Roman" w:hAnsi="Times New Roman" w:cs="Times New Roman"/>
          <w:noProof/>
          <w:sz w:val="24"/>
          <w:szCs w:val="24"/>
        </w:rPr>
        <w:t xml:space="preserve">Heron, Tony. </w:t>
      </w:r>
      <w:r w:rsidRPr="00FE04DA">
        <w:rPr>
          <w:rFonts w:ascii="Times New Roman" w:hAnsi="Times New Roman" w:cs="Times New Roman"/>
          <w:i/>
          <w:noProof/>
          <w:sz w:val="24"/>
          <w:szCs w:val="24"/>
        </w:rPr>
        <w:t>Pathways from Preferential Trade: The Politics of Trade Adjustment in Africa, Caribbean and Pacific</w:t>
      </w:r>
      <w:r w:rsidRPr="00FE04DA">
        <w:rPr>
          <w:rFonts w:ascii="Times New Roman" w:hAnsi="Times New Roman" w:cs="Times New Roman"/>
          <w:noProof/>
          <w:sz w:val="24"/>
          <w:szCs w:val="24"/>
        </w:rPr>
        <w:t>. London: Palgrave Macmillan, forthcoming.</w:t>
      </w:r>
    </w:p>
    <w:p w14:paraId="03F123A4" w14:textId="77777777" w:rsidR="00C24E82" w:rsidRPr="00FE04DA" w:rsidRDefault="00C24E82" w:rsidP="00FE04DA">
      <w:pPr>
        <w:spacing w:after="240" w:line="240" w:lineRule="auto"/>
        <w:rPr>
          <w:rFonts w:ascii="Times New Roman" w:hAnsi="Times New Roman" w:cs="Times New Roman"/>
          <w:noProof/>
          <w:sz w:val="24"/>
          <w:szCs w:val="24"/>
        </w:rPr>
      </w:pPr>
      <w:r w:rsidRPr="00FE04DA">
        <w:rPr>
          <w:rFonts w:ascii="Times New Roman" w:hAnsi="Times New Roman" w:cs="Times New Roman"/>
          <w:noProof/>
          <w:sz w:val="24"/>
          <w:szCs w:val="24"/>
        </w:rPr>
        <w:t xml:space="preserve">Heron, Tony and Murray-Evans, Peg. “Limits to Market Power: Strategic Discourse and Institutional Path Dependence in the EU-ACP Economic Partnership Agreements.” </w:t>
      </w:r>
      <w:r w:rsidRPr="00FE04DA">
        <w:rPr>
          <w:rFonts w:ascii="Times New Roman" w:hAnsi="Times New Roman" w:cs="Times New Roman"/>
          <w:i/>
          <w:noProof/>
          <w:sz w:val="24"/>
          <w:szCs w:val="24"/>
        </w:rPr>
        <w:t>European Journal of International Relations</w:t>
      </w:r>
      <w:r w:rsidRPr="00FE04DA">
        <w:rPr>
          <w:rFonts w:ascii="Times New Roman" w:hAnsi="Times New Roman" w:cs="Times New Roman"/>
          <w:noProof/>
          <w:sz w:val="24"/>
          <w:szCs w:val="24"/>
        </w:rPr>
        <w:t>, OnlineFirst (2016).</w:t>
      </w:r>
    </w:p>
    <w:p w14:paraId="54F107CB" w14:textId="19EC5C87" w:rsidR="00C24E82" w:rsidRPr="00FE04DA" w:rsidRDefault="00C24E82" w:rsidP="00FE04DA">
      <w:pPr>
        <w:spacing w:after="240" w:line="240" w:lineRule="auto"/>
        <w:rPr>
          <w:rFonts w:ascii="Times New Roman" w:hAnsi="Times New Roman" w:cs="Times New Roman"/>
          <w:noProof/>
          <w:sz w:val="24"/>
          <w:szCs w:val="24"/>
        </w:rPr>
      </w:pPr>
      <w:r w:rsidRPr="00FE04DA">
        <w:rPr>
          <w:rFonts w:ascii="Times New Roman" w:hAnsi="Times New Roman" w:cs="Times New Roman"/>
          <w:noProof/>
          <w:sz w:val="24"/>
          <w:szCs w:val="24"/>
        </w:rPr>
        <w:t xml:space="preserve">Heron, Tony and Murray-Evans, Peg. “The EU and Africa: Trade, Development and the Politics of Interregionalism.” In </w:t>
      </w:r>
      <w:r w:rsidRPr="00FE04DA">
        <w:rPr>
          <w:rFonts w:ascii="Times New Roman" w:hAnsi="Times New Roman" w:cs="Times New Roman"/>
          <w:i/>
          <w:noProof/>
          <w:sz w:val="24"/>
          <w:szCs w:val="24"/>
        </w:rPr>
        <w:t>Handbook on European Union Trade Policy</w:t>
      </w:r>
      <w:r w:rsidRPr="00FE04DA">
        <w:rPr>
          <w:rFonts w:ascii="Times New Roman" w:hAnsi="Times New Roman" w:cs="Times New Roman"/>
          <w:noProof/>
          <w:sz w:val="24"/>
          <w:szCs w:val="24"/>
        </w:rPr>
        <w:t xml:space="preserve">, edited by </w:t>
      </w:r>
      <w:r w:rsidRPr="00DE6081">
        <w:rPr>
          <w:rFonts w:ascii="Times New Roman" w:hAnsi="Times New Roman" w:cs="Times New Roman"/>
          <w:noProof/>
          <w:sz w:val="24"/>
          <w:szCs w:val="24"/>
        </w:rPr>
        <w:t>Garcia, Maria, Khorana, S</w:t>
      </w:r>
      <w:r>
        <w:rPr>
          <w:rFonts w:ascii="Times New Roman" w:hAnsi="Times New Roman" w:cs="Times New Roman"/>
          <w:noProof/>
          <w:sz w:val="24"/>
          <w:szCs w:val="24"/>
        </w:rPr>
        <w:t>angeeta</w:t>
      </w:r>
      <w:r w:rsidRPr="00FE04DA">
        <w:rPr>
          <w:rFonts w:ascii="Times New Roman" w:hAnsi="Times New Roman" w:cs="Times New Roman"/>
          <w:noProof/>
          <w:sz w:val="24"/>
          <w:szCs w:val="24"/>
        </w:rPr>
        <w:t xml:space="preserve"> and Orbie, Jan. Cheltenham: Edward Elgar, forthcoming. </w:t>
      </w:r>
    </w:p>
    <w:p w14:paraId="3DC4DFF2" w14:textId="77777777" w:rsidR="00C24E82" w:rsidRPr="00FE04DA" w:rsidRDefault="00C24E82" w:rsidP="00FE04DA">
      <w:pPr>
        <w:spacing w:after="240" w:line="240" w:lineRule="auto"/>
        <w:rPr>
          <w:rFonts w:ascii="Times New Roman" w:hAnsi="Times New Roman" w:cs="Times New Roman"/>
          <w:noProof/>
          <w:sz w:val="24"/>
          <w:szCs w:val="24"/>
        </w:rPr>
      </w:pPr>
      <w:r w:rsidRPr="00FE04DA">
        <w:rPr>
          <w:rFonts w:ascii="Times New Roman" w:hAnsi="Times New Roman" w:cs="Times New Roman"/>
          <w:noProof/>
          <w:sz w:val="24"/>
          <w:szCs w:val="24"/>
        </w:rPr>
        <w:t xml:space="preserve">Heron, Tony and Siles-Brügge, Gabriel. “Competitive Liberalisation and the "Global Europe" Services and Investment Agenda: Locating the Commercial Drivers of the EU-ACP Economic Partnership Agreements.” </w:t>
      </w:r>
      <w:r w:rsidRPr="00FE04DA">
        <w:rPr>
          <w:rFonts w:ascii="Times New Roman" w:hAnsi="Times New Roman" w:cs="Times New Roman"/>
          <w:i/>
          <w:noProof/>
          <w:sz w:val="24"/>
          <w:szCs w:val="24"/>
        </w:rPr>
        <w:t>Journal of Common Market Studies</w:t>
      </w:r>
      <w:r w:rsidRPr="00FE04DA">
        <w:rPr>
          <w:rFonts w:ascii="Times New Roman" w:hAnsi="Times New Roman" w:cs="Times New Roman"/>
          <w:noProof/>
          <w:sz w:val="24"/>
          <w:szCs w:val="24"/>
        </w:rPr>
        <w:t xml:space="preserve"> 50, no. 2 (2012): 250-66.</w:t>
      </w:r>
    </w:p>
    <w:p w14:paraId="44D021A7" w14:textId="77777777" w:rsidR="00C24E82" w:rsidRPr="00FE04DA" w:rsidRDefault="00C24E82" w:rsidP="00FE04DA">
      <w:pPr>
        <w:spacing w:after="240" w:line="240" w:lineRule="auto"/>
        <w:rPr>
          <w:rFonts w:ascii="Times New Roman" w:hAnsi="Times New Roman" w:cs="Times New Roman"/>
          <w:noProof/>
          <w:sz w:val="24"/>
          <w:szCs w:val="24"/>
        </w:rPr>
      </w:pPr>
      <w:r w:rsidRPr="00FE04DA">
        <w:rPr>
          <w:rFonts w:ascii="Times New Roman" w:hAnsi="Times New Roman" w:cs="Times New Roman"/>
          <w:noProof/>
          <w:sz w:val="24"/>
          <w:szCs w:val="24"/>
        </w:rPr>
        <w:t xml:space="preserve">Hulse, Merran. “Actorness Beyond the European Union: Comparing the International Trade Actorness of SADC and ECOWAS.” </w:t>
      </w:r>
      <w:r w:rsidRPr="00FE04DA">
        <w:rPr>
          <w:rFonts w:ascii="Times New Roman" w:hAnsi="Times New Roman" w:cs="Times New Roman"/>
          <w:i/>
          <w:noProof/>
          <w:sz w:val="24"/>
          <w:szCs w:val="24"/>
        </w:rPr>
        <w:t>Journal of Common Market Studies</w:t>
      </w:r>
      <w:r w:rsidRPr="00FE04DA">
        <w:rPr>
          <w:rFonts w:ascii="Times New Roman" w:hAnsi="Times New Roman" w:cs="Times New Roman"/>
          <w:noProof/>
          <w:sz w:val="24"/>
          <w:szCs w:val="24"/>
        </w:rPr>
        <w:t xml:space="preserve"> 52, no. 3 (2014): 547-65.</w:t>
      </w:r>
    </w:p>
    <w:p w14:paraId="7FA7DC3B" w14:textId="77777777" w:rsidR="00C24E82" w:rsidRDefault="00C24E82" w:rsidP="00FE04DA">
      <w:pPr>
        <w:spacing w:after="240" w:line="240" w:lineRule="auto"/>
        <w:rPr>
          <w:rFonts w:ascii="Times New Roman" w:hAnsi="Times New Roman" w:cs="Times New Roman"/>
          <w:noProof/>
          <w:sz w:val="24"/>
          <w:szCs w:val="24"/>
        </w:rPr>
      </w:pPr>
      <w:r w:rsidRPr="00FE04DA">
        <w:rPr>
          <w:rFonts w:ascii="Times New Roman" w:hAnsi="Times New Roman" w:cs="Times New Roman"/>
          <w:noProof/>
          <w:sz w:val="24"/>
          <w:szCs w:val="24"/>
        </w:rPr>
        <w:t xml:space="preserve">Hurrell, Andrew. “Regionalism in Theoretical Perspective.” In </w:t>
      </w:r>
      <w:r w:rsidRPr="00FE04DA">
        <w:rPr>
          <w:rFonts w:ascii="Times New Roman" w:hAnsi="Times New Roman" w:cs="Times New Roman"/>
          <w:i/>
          <w:noProof/>
          <w:sz w:val="24"/>
          <w:szCs w:val="24"/>
        </w:rPr>
        <w:t>Regionalism in World Politics: Regional Organization and International Order</w:t>
      </w:r>
      <w:r w:rsidRPr="00FE04DA">
        <w:rPr>
          <w:rFonts w:ascii="Times New Roman" w:hAnsi="Times New Roman" w:cs="Times New Roman"/>
          <w:noProof/>
          <w:sz w:val="24"/>
          <w:szCs w:val="24"/>
        </w:rPr>
        <w:t>, edited by Fawcett, Louise and Hurrell, Andrew, 37-73. Oxford: Oxford University Press, 1995.</w:t>
      </w:r>
    </w:p>
    <w:p w14:paraId="62BD025C" w14:textId="03455EB9" w:rsidR="00C24E82" w:rsidRPr="00FE04DA" w:rsidRDefault="00C24E82" w:rsidP="00FE04DA">
      <w:pPr>
        <w:spacing w:after="240" w:line="240" w:lineRule="auto"/>
        <w:rPr>
          <w:rFonts w:ascii="Times New Roman" w:hAnsi="Times New Roman" w:cs="Times New Roman"/>
          <w:noProof/>
          <w:sz w:val="24"/>
          <w:szCs w:val="24"/>
        </w:rPr>
      </w:pPr>
      <w:r w:rsidRPr="00AF4059">
        <w:rPr>
          <w:rFonts w:ascii="Times New Roman" w:hAnsi="Times New Roman" w:cs="Times New Roman"/>
          <w:noProof/>
          <w:sz w:val="24"/>
          <w:szCs w:val="24"/>
          <w:lang w:val="en-US"/>
        </w:rPr>
        <w:t xml:space="preserve">International Trade Centre (2016) Trade Map: Statistics for International Business Development. </w:t>
      </w:r>
      <w:r>
        <w:rPr>
          <w:rFonts w:ascii="Times New Roman" w:hAnsi="Times New Roman" w:cs="Times New Roman"/>
          <w:noProof/>
          <w:sz w:val="24"/>
          <w:szCs w:val="24"/>
          <w:lang w:val="en-US"/>
        </w:rPr>
        <w:t>Accessed</w:t>
      </w:r>
      <w:r w:rsidRPr="00AF4059">
        <w:rPr>
          <w:rFonts w:ascii="Times New Roman" w:hAnsi="Times New Roman" w:cs="Times New Roman"/>
          <w:noProof/>
          <w:sz w:val="24"/>
          <w:szCs w:val="24"/>
          <w:lang w:val="en-US"/>
        </w:rPr>
        <w:t xml:space="preserve"> September</w:t>
      </w:r>
      <w:r>
        <w:rPr>
          <w:rFonts w:ascii="Times New Roman" w:hAnsi="Times New Roman" w:cs="Times New Roman"/>
          <w:noProof/>
          <w:sz w:val="24"/>
          <w:szCs w:val="24"/>
          <w:lang w:val="en-US"/>
        </w:rPr>
        <w:t xml:space="preserve"> 3,</w:t>
      </w:r>
      <w:r w:rsidRPr="00AF4059">
        <w:rPr>
          <w:rFonts w:ascii="Times New Roman" w:hAnsi="Times New Roman" w:cs="Times New Roman"/>
          <w:noProof/>
          <w:sz w:val="24"/>
          <w:szCs w:val="24"/>
          <w:lang w:val="en-US"/>
        </w:rPr>
        <w:t xml:space="preserve"> 2016</w:t>
      </w:r>
      <w:r>
        <w:rPr>
          <w:rFonts w:ascii="Times New Roman" w:hAnsi="Times New Roman" w:cs="Times New Roman"/>
          <w:noProof/>
          <w:sz w:val="24"/>
          <w:szCs w:val="24"/>
          <w:lang w:val="en-US"/>
        </w:rPr>
        <w:t xml:space="preserve">. </w:t>
      </w:r>
      <w:hyperlink r:id="rId1" w:history="1">
        <w:r w:rsidRPr="00AF4059">
          <w:rPr>
            <w:rStyle w:val="Hyperlink"/>
            <w:rFonts w:ascii="Times New Roman" w:hAnsi="Times New Roman" w:cs="Times New Roman"/>
            <w:noProof/>
            <w:sz w:val="24"/>
            <w:szCs w:val="24"/>
            <w:lang w:val="en-US"/>
          </w:rPr>
          <w:t>http://www.trademap.org</w:t>
        </w:r>
      </w:hyperlink>
      <w:r w:rsidRPr="00AF4059">
        <w:rPr>
          <w:rFonts w:ascii="Times New Roman" w:hAnsi="Times New Roman" w:cs="Times New Roman"/>
          <w:noProof/>
          <w:sz w:val="24"/>
          <w:szCs w:val="24"/>
          <w:lang w:val="en-US"/>
        </w:rPr>
        <w:t>.</w:t>
      </w:r>
    </w:p>
    <w:p w14:paraId="65B8B818" w14:textId="77777777" w:rsidR="00C24E82" w:rsidRPr="00FE04DA" w:rsidRDefault="00C24E82" w:rsidP="00FE04DA">
      <w:pPr>
        <w:spacing w:after="240" w:line="240" w:lineRule="auto"/>
        <w:rPr>
          <w:rFonts w:ascii="Times New Roman" w:hAnsi="Times New Roman" w:cs="Times New Roman"/>
          <w:noProof/>
          <w:sz w:val="24"/>
          <w:szCs w:val="24"/>
        </w:rPr>
      </w:pPr>
      <w:r w:rsidRPr="00FE04DA">
        <w:rPr>
          <w:rFonts w:ascii="Times New Roman" w:hAnsi="Times New Roman" w:cs="Times New Roman"/>
          <w:noProof/>
          <w:sz w:val="24"/>
          <w:szCs w:val="24"/>
        </w:rPr>
        <w:t xml:space="preserve">Julian, Melissa, Dalleau, Melissa and de Roquefeuil, Quentin. “EPA Update.” </w:t>
      </w:r>
      <w:r w:rsidRPr="00FE04DA">
        <w:rPr>
          <w:rFonts w:ascii="Times New Roman" w:hAnsi="Times New Roman" w:cs="Times New Roman"/>
          <w:i/>
          <w:noProof/>
          <w:sz w:val="24"/>
          <w:szCs w:val="24"/>
        </w:rPr>
        <w:t>Trade Negotiations Insights</w:t>
      </w:r>
      <w:r w:rsidRPr="00FE04DA">
        <w:rPr>
          <w:rFonts w:ascii="Times New Roman" w:hAnsi="Times New Roman" w:cs="Times New Roman"/>
          <w:noProof/>
          <w:sz w:val="24"/>
          <w:szCs w:val="24"/>
        </w:rPr>
        <w:t xml:space="preserve"> 10, no. 2 (2011).</w:t>
      </w:r>
    </w:p>
    <w:p w14:paraId="7A7B69E0" w14:textId="77777777" w:rsidR="00C24E82" w:rsidRPr="00FE04DA" w:rsidRDefault="00C24E82" w:rsidP="00FE04DA">
      <w:pPr>
        <w:spacing w:after="200"/>
        <w:rPr>
          <w:rFonts w:ascii="Times New Roman" w:eastAsiaTheme="minorHAnsi" w:hAnsi="Times New Roman" w:cs="Times New Roman"/>
          <w:noProof/>
          <w:color w:val="auto"/>
          <w:sz w:val="24"/>
          <w:szCs w:val="24"/>
          <w:lang w:eastAsia="en-US"/>
        </w:rPr>
      </w:pPr>
      <w:r w:rsidRPr="00FE04DA">
        <w:rPr>
          <w:rFonts w:ascii="Times New Roman" w:eastAsiaTheme="minorHAnsi" w:hAnsi="Times New Roman" w:cs="Times New Roman"/>
          <w:color w:val="auto"/>
          <w:sz w:val="24"/>
          <w:szCs w:val="24"/>
          <w:lang w:eastAsia="en-US"/>
        </w:rPr>
        <w:t xml:space="preserve">Lorenz, Ulrike. </w:t>
      </w:r>
      <w:r w:rsidRPr="00FE04DA">
        <w:rPr>
          <w:rFonts w:ascii="Times New Roman" w:eastAsiaTheme="minorHAnsi" w:hAnsi="Times New Roman" w:cs="Times New Roman"/>
          <w:i/>
          <w:noProof/>
          <w:color w:val="auto"/>
          <w:sz w:val="24"/>
          <w:szCs w:val="24"/>
          <w:lang w:eastAsia="en-US"/>
        </w:rPr>
        <w:t>Transformation on Whose Terms? Understanding the New EU-ACP Trade Relations from the Outside In</w:t>
      </w:r>
      <w:r w:rsidRPr="00FE04DA">
        <w:rPr>
          <w:rFonts w:ascii="Times New Roman" w:eastAsiaTheme="minorHAnsi" w:hAnsi="Times New Roman" w:cs="Times New Roman"/>
          <w:noProof/>
          <w:color w:val="auto"/>
          <w:sz w:val="24"/>
          <w:szCs w:val="24"/>
          <w:lang w:eastAsia="en-US"/>
        </w:rPr>
        <w:t>. KFG Working Paper Series, No. 40, 2012.</w:t>
      </w:r>
    </w:p>
    <w:p w14:paraId="6B99AB8F" w14:textId="77777777" w:rsidR="00C24E82" w:rsidRPr="00FE04DA" w:rsidRDefault="00C24E82" w:rsidP="00FE04DA">
      <w:pPr>
        <w:spacing w:after="200"/>
        <w:rPr>
          <w:rFonts w:ascii="Times New Roman" w:eastAsiaTheme="minorHAnsi" w:hAnsi="Times New Roman" w:cs="Times New Roman"/>
          <w:noProof/>
          <w:color w:val="auto"/>
          <w:sz w:val="24"/>
          <w:szCs w:val="24"/>
          <w:lang w:eastAsia="en-US"/>
        </w:rPr>
      </w:pPr>
      <w:r w:rsidRPr="00FE04DA">
        <w:rPr>
          <w:rFonts w:ascii="Times New Roman" w:eastAsiaTheme="minorHAnsi" w:hAnsi="Times New Roman" w:cs="Times New Roman"/>
          <w:noProof/>
          <w:color w:val="auto"/>
          <w:sz w:val="24"/>
          <w:szCs w:val="24"/>
          <w:lang w:eastAsia="en-US"/>
        </w:rPr>
        <w:t xml:space="preserve">Murray-Evans, Peg. “Regionalism and African Agency: Negotiating an Economic Partnership Agreement between the EU and Southern Africa.” </w:t>
      </w:r>
      <w:r w:rsidRPr="00FE04DA">
        <w:rPr>
          <w:rFonts w:ascii="Times New Roman" w:eastAsiaTheme="minorHAnsi" w:hAnsi="Times New Roman" w:cs="Times New Roman"/>
          <w:i/>
          <w:noProof/>
          <w:color w:val="auto"/>
          <w:sz w:val="24"/>
          <w:szCs w:val="24"/>
          <w:lang w:eastAsia="en-US"/>
        </w:rPr>
        <w:t xml:space="preserve">Third World Quarterly </w:t>
      </w:r>
      <w:r w:rsidRPr="00FE04DA">
        <w:rPr>
          <w:rFonts w:ascii="Times New Roman" w:eastAsiaTheme="minorHAnsi" w:hAnsi="Times New Roman" w:cs="Times New Roman"/>
          <w:noProof/>
          <w:color w:val="auto"/>
          <w:sz w:val="24"/>
          <w:szCs w:val="24"/>
          <w:lang w:eastAsia="en-US"/>
        </w:rPr>
        <w:t>36, no. 10 (2015): 1845-65.</w:t>
      </w:r>
    </w:p>
    <w:p w14:paraId="01579074" w14:textId="77777777" w:rsidR="00C24E82" w:rsidRPr="00FE04DA" w:rsidRDefault="00C24E82" w:rsidP="00FE04DA">
      <w:pPr>
        <w:spacing w:after="200"/>
        <w:rPr>
          <w:rFonts w:ascii="Times New Roman" w:eastAsiaTheme="minorHAnsi" w:hAnsi="Times New Roman" w:cs="Times New Roman"/>
          <w:noProof/>
          <w:color w:val="auto"/>
          <w:sz w:val="24"/>
          <w:szCs w:val="24"/>
          <w:lang w:eastAsia="en-US"/>
        </w:rPr>
      </w:pPr>
      <w:r w:rsidRPr="00FE04DA">
        <w:rPr>
          <w:rFonts w:ascii="Times New Roman" w:eastAsiaTheme="minorHAnsi" w:hAnsi="Times New Roman" w:cs="Times New Roman"/>
          <w:color w:val="auto"/>
          <w:sz w:val="24"/>
          <w:szCs w:val="24"/>
          <w:lang w:eastAsia="en-US"/>
        </w:rPr>
        <w:t>Nyaga Munyi, Elijah. “</w:t>
      </w:r>
      <w:r w:rsidRPr="00FE04DA">
        <w:rPr>
          <w:rFonts w:ascii="Times New Roman" w:eastAsiaTheme="minorHAnsi" w:hAnsi="Times New Roman" w:cs="Times New Roman"/>
          <w:noProof/>
          <w:color w:val="auto"/>
          <w:sz w:val="24"/>
          <w:szCs w:val="24"/>
          <w:lang w:eastAsia="en-US"/>
        </w:rPr>
        <w:t xml:space="preserve">Beyond Asymmetry: Substantive Beliefs in Preference Formation and Efficiency of Asymmetrical Negotiations.” </w:t>
      </w:r>
      <w:r w:rsidRPr="00FE04DA">
        <w:rPr>
          <w:rFonts w:ascii="Times New Roman" w:eastAsiaTheme="minorHAnsi" w:hAnsi="Times New Roman" w:cs="Times New Roman"/>
          <w:i/>
          <w:noProof/>
          <w:color w:val="auto"/>
          <w:sz w:val="24"/>
          <w:szCs w:val="24"/>
          <w:lang w:eastAsia="en-US"/>
        </w:rPr>
        <w:t>New Political Economy</w:t>
      </w:r>
      <w:r w:rsidRPr="00FE04DA">
        <w:rPr>
          <w:rFonts w:ascii="Times New Roman" w:eastAsiaTheme="minorHAnsi" w:hAnsi="Times New Roman" w:cs="Times New Roman"/>
          <w:noProof/>
          <w:color w:val="auto"/>
          <w:sz w:val="24"/>
          <w:szCs w:val="24"/>
          <w:lang w:eastAsia="en-US"/>
        </w:rPr>
        <w:t xml:space="preserve"> 21, no. 1 (2016): 49-68.</w:t>
      </w:r>
    </w:p>
    <w:p w14:paraId="174D5D3A" w14:textId="77777777" w:rsidR="00C24E82" w:rsidRDefault="00C24E82" w:rsidP="00FE04DA">
      <w:pPr>
        <w:spacing w:after="200"/>
        <w:rPr>
          <w:rFonts w:ascii="Times New Roman" w:eastAsiaTheme="minorHAnsi" w:hAnsi="Times New Roman" w:cs="Times New Roman"/>
          <w:noProof/>
          <w:color w:val="auto"/>
          <w:sz w:val="24"/>
          <w:szCs w:val="24"/>
          <w:lang w:eastAsia="en-US"/>
        </w:rPr>
      </w:pPr>
      <w:r w:rsidRPr="00FE04DA">
        <w:rPr>
          <w:rFonts w:ascii="Times New Roman" w:eastAsiaTheme="minorHAnsi" w:hAnsi="Times New Roman" w:cs="Times New Roman"/>
          <w:noProof/>
          <w:color w:val="auto"/>
          <w:sz w:val="24"/>
          <w:szCs w:val="24"/>
          <w:lang w:eastAsia="en-US"/>
        </w:rPr>
        <w:t xml:space="preserve">Østergaard, Tom. “Classical Models of Regional Integration - What Relevance for Southern Africa.” In </w:t>
      </w:r>
      <w:r w:rsidRPr="00FE04DA">
        <w:rPr>
          <w:rFonts w:ascii="Times New Roman" w:eastAsiaTheme="minorHAnsi" w:hAnsi="Times New Roman" w:cs="Times New Roman"/>
          <w:i/>
          <w:noProof/>
          <w:color w:val="auto"/>
          <w:sz w:val="24"/>
          <w:szCs w:val="24"/>
          <w:lang w:eastAsia="en-US"/>
        </w:rPr>
        <w:t>Southern Africa After Apartheid: Regional Integration and External Resources</w:t>
      </w:r>
      <w:r w:rsidRPr="00FE04DA">
        <w:rPr>
          <w:rFonts w:ascii="Times New Roman" w:eastAsiaTheme="minorHAnsi" w:hAnsi="Times New Roman" w:cs="Times New Roman"/>
          <w:noProof/>
          <w:color w:val="auto"/>
          <w:sz w:val="24"/>
          <w:szCs w:val="24"/>
          <w:lang w:eastAsia="en-US"/>
        </w:rPr>
        <w:t>, edited by Odén, Bertil, 27-47. Uppsala: Scandinavian Institute of African Studies, 1993.</w:t>
      </w:r>
    </w:p>
    <w:p w14:paraId="77F46942" w14:textId="3E6FD14B" w:rsidR="00C24E82" w:rsidRPr="00AF4059" w:rsidRDefault="00C24E82" w:rsidP="00FE04DA">
      <w:pPr>
        <w:spacing w:after="200"/>
        <w:rPr>
          <w:rFonts w:ascii="Times New Roman" w:eastAsiaTheme="minorHAnsi" w:hAnsi="Times New Roman" w:cs="Times New Roman"/>
          <w:noProof/>
          <w:color w:val="auto"/>
          <w:sz w:val="24"/>
          <w:szCs w:val="24"/>
          <w:lang w:eastAsia="en-US"/>
        </w:rPr>
      </w:pPr>
      <w:r w:rsidRPr="00721796">
        <w:rPr>
          <w:rFonts w:ascii="Times New Roman" w:eastAsiaTheme="minorHAnsi" w:hAnsi="Times New Roman" w:cs="Times New Roman"/>
          <w:noProof/>
          <w:color w:val="auto"/>
          <w:sz w:val="24"/>
          <w:szCs w:val="24"/>
          <w:lang w:val="en-US" w:eastAsia="en-US"/>
        </w:rPr>
        <w:t>Overs</w:t>
      </w:r>
      <w:r>
        <w:rPr>
          <w:rFonts w:ascii="Times New Roman" w:eastAsiaTheme="minorHAnsi" w:hAnsi="Times New Roman" w:cs="Times New Roman"/>
          <w:noProof/>
          <w:color w:val="auto"/>
          <w:sz w:val="24"/>
          <w:szCs w:val="24"/>
          <w:lang w:val="en-US" w:eastAsia="en-US"/>
        </w:rPr>
        <w:t>eas Development Institute.</w:t>
      </w:r>
      <w:r w:rsidRPr="00721796">
        <w:rPr>
          <w:rFonts w:ascii="Times New Roman" w:eastAsiaTheme="minorHAnsi" w:hAnsi="Times New Roman" w:cs="Times New Roman"/>
          <w:noProof/>
          <w:color w:val="auto"/>
          <w:sz w:val="24"/>
          <w:szCs w:val="24"/>
          <w:lang w:val="en-US" w:eastAsia="en-US"/>
        </w:rPr>
        <w:t xml:space="preserve"> </w:t>
      </w:r>
      <w:r w:rsidRPr="00721796">
        <w:rPr>
          <w:rFonts w:ascii="Times New Roman" w:eastAsiaTheme="minorHAnsi" w:hAnsi="Times New Roman" w:cs="Times New Roman"/>
          <w:i/>
          <w:noProof/>
          <w:color w:val="auto"/>
          <w:sz w:val="24"/>
          <w:szCs w:val="24"/>
          <w:lang w:val="en-US" w:eastAsia="en-US"/>
        </w:rPr>
        <w:t>The Costs to the ACP of Exporting to the EU under the GSP</w:t>
      </w:r>
      <w:r w:rsidRPr="00721796">
        <w:rPr>
          <w:rFonts w:ascii="Times New Roman" w:eastAsiaTheme="minorHAnsi" w:hAnsi="Times New Roman" w:cs="Times New Roman"/>
          <w:noProof/>
          <w:color w:val="auto"/>
          <w:sz w:val="24"/>
          <w:szCs w:val="24"/>
          <w:lang w:val="en-US" w:eastAsia="en-US"/>
        </w:rPr>
        <w:t xml:space="preserve">. </w:t>
      </w:r>
      <w:r w:rsidRPr="00AF4059">
        <w:rPr>
          <w:rFonts w:ascii="Times New Roman" w:eastAsiaTheme="minorHAnsi" w:hAnsi="Times New Roman" w:cs="Times New Roman"/>
          <w:iCs/>
          <w:noProof/>
          <w:color w:val="auto"/>
          <w:sz w:val="24"/>
          <w:szCs w:val="24"/>
          <w:lang w:val="en-US" w:eastAsia="en-US"/>
        </w:rPr>
        <w:t>London</w:t>
      </w:r>
      <w:r>
        <w:rPr>
          <w:rFonts w:ascii="Times New Roman" w:eastAsiaTheme="minorHAnsi" w:hAnsi="Times New Roman" w:cs="Times New Roman"/>
          <w:iCs/>
          <w:noProof/>
          <w:color w:val="auto"/>
          <w:sz w:val="24"/>
          <w:szCs w:val="24"/>
          <w:lang w:val="en-US" w:eastAsia="en-US"/>
        </w:rPr>
        <w:t>: Overseas Development Institute, 2007.</w:t>
      </w:r>
    </w:p>
    <w:p w14:paraId="0DFE3E8F" w14:textId="77777777" w:rsidR="00C24E82" w:rsidRPr="00FE04DA" w:rsidRDefault="00C24E82" w:rsidP="00FE04DA">
      <w:pPr>
        <w:spacing w:after="200"/>
        <w:rPr>
          <w:rFonts w:ascii="Times New Roman" w:eastAsiaTheme="minorHAnsi" w:hAnsi="Times New Roman" w:cs="Times New Roman"/>
          <w:noProof/>
          <w:color w:val="auto"/>
          <w:sz w:val="24"/>
          <w:szCs w:val="24"/>
          <w:lang w:eastAsia="en-US"/>
        </w:rPr>
      </w:pPr>
      <w:r w:rsidRPr="00FE04DA">
        <w:rPr>
          <w:rFonts w:ascii="Times New Roman" w:eastAsiaTheme="minorHAnsi" w:hAnsi="Times New Roman" w:cs="Times New Roman"/>
          <w:noProof/>
          <w:color w:val="auto"/>
          <w:sz w:val="24"/>
          <w:szCs w:val="24"/>
          <w:lang w:eastAsia="en-US"/>
        </w:rPr>
        <w:t xml:space="preserve">Payne, Anthony. </w:t>
      </w:r>
      <w:r w:rsidRPr="00FE04DA">
        <w:rPr>
          <w:rFonts w:ascii="Times New Roman" w:eastAsiaTheme="minorHAnsi" w:hAnsi="Times New Roman" w:cs="Times New Roman"/>
          <w:i/>
          <w:noProof/>
          <w:color w:val="auto"/>
          <w:sz w:val="24"/>
          <w:szCs w:val="24"/>
          <w:lang w:eastAsia="en-US"/>
        </w:rPr>
        <w:t>The Politics of the Caribbean Community 1961-79: Regional Integration Amongst New States</w:t>
      </w:r>
      <w:r w:rsidRPr="00FE04DA">
        <w:rPr>
          <w:rFonts w:ascii="Times New Roman" w:eastAsiaTheme="minorHAnsi" w:hAnsi="Times New Roman" w:cs="Times New Roman"/>
          <w:noProof/>
          <w:color w:val="auto"/>
          <w:sz w:val="24"/>
          <w:szCs w:val="24"/>
          <w:lang w:eastAsia="en-US"/>
        </w:rPr>
        <w:t>. Manchester: Manchester University Press, 1980.</w:t>
      </w:r>
    </w:p>
    <w:p w14:paraId="6DB2B3AC" w14:textId="1BA673B2" w:rsidR="00C24E82" w:rsidRPr="00FE04DA" w:rsidRDefault="00C24E82" w:rsidP="00FE04DA">
      <w:pPr>
        <w:spacing w:after="200"/>
        <w:rPr>
          <w:rFonts w:ascii="Times New Roman" w:eastAsiaTheme="minorHAnsi" w:hAnsi="Times New Roman" w:cs="Times New Roman"/>
          <w:noProof/>
          <w:color w:val="auto"/>
          <w:sz w:val="24"/>
          <w:szCs w:val="24"/>
          <w:lang w:eastAsia="en-US"/>
        </w:rPr>
      </w:pPr>
      <w:proofErr w:type="spellStart"/>
      <w:r w:rsidRPr="00DE6081">
        <w:rPr>
          <w:rFonts w:ascii="Times New Roman" w:eastAsiaTheme="minorHAnsi" w:hAnsi="Times New Roman" w:cs="Times New Roman"/>
          <w:color w:val="auto"/>
          <w:sz w:val="24"/>
          <w:szCs w:val="24"/>
          <w:lang w:eastAsia="en-US"/>
        </w:rPr>
        <w:t>Qualmann</w:t>
      </w:r>
      <w:proofErr w:type="spellEnd"/>
      <w:r w:rsidRPr="00DE6081">
        <w:rPr>
          <w:rFonts w:ascii="Times New Roman" w:eastAsiaTheme="minorHAnsi" w:hAnsi="Times New Roman" w:cs="Times New Roman"/>
          <w:color w:val="auto"/>
          <w:sz w:val="24"/>
          <w:szCs w:val="24"/>
          <w:lang w:eastAsia="en-US"/>
        </w:rPr>
        <w:t xml:space="preserve">, </w:t>
      </w:r>
      <w:proofErr w:type="spellStart"/>
      <w:r w:rsidRPr="00DE6081">
        <w:rPr>
          <w:rFonts w:ascii="Times New Roman" w:eastAsiaTheme="minorHAnsi" w:hAnsi="Times New Roman" w:cs="Times New Roman"/>
          <w:color w:val="auto"/>
          <w:sz w:val="24"/>
          <w:szCs w:val="24"/>
          <w:lang w:eastAsia="en-US"/>
        </w:rPr>
        <w:t>Regine</w:t>
      </w:r>
      <w:proofErr w:type="spellEnd"/>
      <w:r w:rsidRPr="00FE04DA">
        <w:rPr>
          <w:rFonts w:ascii="Times New Roman" w:eastAsiaTheme="minorHAnsi" w:hAnsi="Times New Roman" w:cs="Times New Roman"/>
          <w:color w:val="auto"/>
          <w:sz w:val="24"/>
          <w:szCs w:val="24"/>
          <w:lang w:eastAsia="en-US"/>
        </w:rPr>
        <w:t>. “</w:t>
      </w:r>
      <w:r w:rsidRPr="00FE04DA">
        <w:rPr>
          <w:rFonts w:ascii="Times New Roman" w:eastAsiaTheme="minorHAnsi" w:hAnsi="Times New Roman" w:cs="Times New Roman"/>
          <w:noProof/>
          <w:color w:val="auto"/>
          <w:sz w:val="24"/>
          <w:szCs w:val="24"/>
          <w:lang w:eastAsia="en-US"/>
        </w:rPr>
        <w:t xml:space="preserve">Political, Legal and Economic Perspective.” In </w:t>
      </w:r>
      <w:r w:rsidRPr="00FE04DA">
        <w:rPr>
          <w:rFonts w:ascii="Times New Roman" w:eastAsiaTheme="minorHAnsi" w:hAnsi="Times New Roman" w:cs="Times New Roman"/>
          <w:i/>
          <w:noProof/>
          <w:color w:val="auto"/>
          <w:sz w:val="24"/>
          <w:szCs w:val="24"/>
          <w:lang w:eastAsia="en-US"/>
        </w:rPr>
        <w:t>Regional Integration and Economic Partnership Agreements: Southern Africa at the Crossroads</w:t>
      </w:r>
      <w:r w:rsidRPr="00FE04DA">
        <w:rPr>
          <w:rFonts w:ascii="Times New Roman" w:eastAsiaTheme="minorHAnsi" w:hAnsi="Times New Roman" w:cs="Times New Roman"/>
          <w:noProof/>
          <w:color w:val="auto"/>
          <w:sz w:val="24"/>
          <w:szCs w:val="24"/>
          <w:lang w:eastAsia="en-US"/>
        </w:rPr>
        <w:t>, edited by Bertelsmann-Scott, Talitha and Draper, Peter, 47-58. Johannesburg: South African Institute of International Affairs, 2006.</w:t>
      </w:r>
    </w:p>
    <w:p w14:paraId="7BA3CD1F" w14:textId="77777777" w:rsidR="00C24E82" w:rsidRPr="00FE04DA" w:rsidRDefault="00C24E82" w:rsidP="00FE04DA">
      <w:pPr>
        <w:spacing w:after="200"/>
        <w:rPr>
          <w:rFonts w:ascii="Times New Roman" w:eastAsiaTheme="minorHAnsi" w:hAnsi="Times New Roman" w:cs="Times New Roman"/>
          <w:noProof/>
          <w:color w:val="auto"/>
          <w:sz w:val="24"/>
          <w:szCs w:val="24"/>
          <w:lang w:eastAsia="en-US"/>
        </w:rPr>
      </w:pPr>
      <w:r w:rsidRPr="00FE04DA">
        <w:rPr>
          <w:rFonts w:ascii="Times New Roman" w:eastAsiaTheme="minorHAnsi" w:hAnsi="Times New Roman" w:cs="Times New Roman"/>
          <w:noProof/>
          <w:color w:val="auto"/>
          <w:sz w:val="24"/>
          <w:szCs w:val="24"/>
          <w:lang w:eastAsia="en-US"/>
        </w:rPr>
        <w:t xml:space="preserve">Ravenhill, John. “Back to the Nest? Europe's Relations with the African Caribbean and Pacific Group of Countries.” In </w:t>
      </w:r>
      <w:r w:rsidRPr="00FE04DA">
        <w:rPr>
          <w:rFonts w:ascii="Times New Roman" w:eastAsiaTheme="minorHAnsi" w:hAnsi="Times New Roman" w:cs="Times New Roman"/>
          <w:i/>
          <w:noProof/>
          <w:color w:val="auto"/>
          <w:sz w:val="24"/>
          <w:szCs w:val="24"/>
          <w:lang w:eastAsia="en-US"/>
        </w:rPr>
        <w:t>EU Trade Strategies: Between Regionalism and Globalism</w:t>
      </w:r>
      <w:r w:rsidRPr="00FE04DA">
        <w:rPr>
          <w:rFonts w:ascii="Times New Roman" w:eastAsiaTheme="minorHAnsi" w:hAnsi="Times New Roman" w:cs="Times New Roman"/>
          <w:noProof/>
          <w:color w:val="auto"/>
          <w:sz w:val="24"/>
          <w:szCs w:val="24"/>
          <w:lang w:eastAsia="en-US"/>
        </w:rPr>
        <w:t>, edited by Aggarwal, Vinod K. and Fogarty, Edward. London: Palgrave Macmillan, 2004.</w:t>
      </w:r>
    </w:p>
    <w:p w14:paraId="56011B9E" w14:textId="77777777" w:rsidR="00C24E82" w:rsidRPr="00FE04DA" w:rsidRDefault="00C24E82" w:rsidP="00FE04DA">
      <w:pPr>
        <w:spacing w:after="200"/>
        <w:rPr>
          <w:rFonts w:ascii="Times New Roman" w:eastAsiaTheme="minorHAnsi" w:hAnsi="Times New Roman" w:cs="Times New Roman"/>
          <w:noProof/>
          <w:color w:val="auto"/>
          <w:sz w:val="24"/>
          <w:szCs w:val="24"/>
          <w:lang w:eastAsia="en-US"/>
        </w:rPr>
      </w:pPr>
      <w:r w:rsidRPr="00FE04DA">
        <w:rPr>
          <w:rFonts w:ascii="Times New Roman" w:eastAsiaTheme="minorHAnsi" w:hAnsi="Times New Roman" w:cs="Times New Roman"/>
          <w:noProof/>
          <w:color w:val="auto"/>
          <w:sz w:val="24"/>
          <w:szCs w:val="24"/>
          <w:lang w:eastAsia="en-US"/>
        </w:rPr>
        <w:t xml:space="preserve">Roquefeuil, Quentin de. “EPA Update.” </w:t>
      </w:r>
      <w:r w:rsidRPr="00FE04DA">
        <w:rPr>
          <w:rFonts w:ascii="Times New Roman" w:eastAsiaTheme="minorHAnsi" w:hAnsi="Times New Roman" w:cs="Times New Roman"/>
          <w:i/>
          <w:noProof/>
          <w:color w:val="auto"/>
          <w:sz w:val="24"/>
          <w:szCs w:val="24"/>
          <w:lang w:eastAsia="en-US"/>
        </w:rPr>
        <w:t>GREAT Insights</w:t>
      </w:r>
      <w:r w:rsidRPr="00FE04DA">
        <w:rPr>
          <w:rFonts w:ascii="Times New Roman" w:eastAsiaTheme="minorHAnsi" w:hAnsi="Times New Roman" w:cs="Times New Roman"/>
          <w:noProof/>
          <w:color w:val="auto"/>
          <w:sz w:val="24"/>
          <w:szCs w:val="24"/>
          <w:lang w:eastAsia="en-US"/>
        </w:rPr>
        <w:t xml:space="preserve"> 3, no. 2 (2014).</w:t>
      </w:r>
    </w:p>
    <w:p w14:paraId="038D51E5" w14:textId="77777777" w:rsidR="00C24E82" w:rsidRPr="00FE04DA" w:rsidRDefault="00C24E82" w:rsidP="00FE04DA">
      <w:pPr>
        <w:spacing w:after="200"/>
        <w:rPr>
          <w:rFonts w:ascii="Times New Roman" w:eastAsiaTheme="minorHAnsi" w:hAnsi="Times New Roman" w:cs="Times New Roman"/>
          <w:noProof/>
          <w:color w:val="auto"/>
          <w:sz w:val="24"/>
          <w:szCs w:val="24"/>
          <w:lang w:eastAsia="en-US"/>
        </w:rPr>
      </w:pPr>
      <w:r w:rsidRPr="00FE04DA">
        <w:rPr>
          <w:rFonts w:ascii="Times New Roman" w:eastAsiaTheme="minorHAnsi" w:hAnsi="Times New Roman" w:cs="Times New Roman"/>
          <w:noProof/>
          <w:color w:val="auto"/>
          <w:sz w:val="24"/>
          <w:szCs w:val="24"/>
          <w:lang w:eastAsia="en-US"/>
        </w:rPr>
        <w:t xml:space="preserve">Siles-Brügge, G. </w:t>
      </w:r>
      <w:r w:rsidRPr="00FE04DA">
        <w:rPr>
          <w:rFonts w:ascii="Times New Roman" w:eastAsiaTheme="minorHAnsi" w:hAnsi="Times New Roman" w:cs="Times New Roman"/>
          <w:i/>
          <w:noProof/>
          <w:color w:val="auto"/>
          <w:sz w:val="24"/>
          <w:szCs w:val="24"/>
          <w:lang w:eastAsia="en-US"/>
        </w:rPr>
        <w:t>Constructing European Union Trade Policy</w:t>
      </w:r>
      <w:r w:rsidRPr="00FE04DA">
        <w:rPr>
          <w:rFonts w:ascii="Times New Roman" w:eastAsiaTheme="minorHAnsi" w:hAnsi="Times New Roman" w:cs="Times New Roman"/>
          <w:noProof/>
          <w:color w:val="auto"/>
          <w:sz w:val="24"/>
          <w:szCs w:val="24"/>
          <w:lang w:eastAsia="en-US"/>
        </w:rPr>
        <w:t>. London: Palgrave Macmillan, 2014.</w:t>
      </w:r>
    </w:p>
    <w:p w14:paraId="5F8B7B55" w14:textId="77777777" w:rsidR="00C24E82" w:rsidRPr="00FE04DA" w:rsidRDefault="00C24E82" w:rsidP="00FE04DA">
      <w:pPr>
        <w:spacing w:after="200"/>
        <w:rPr>
          <w:rFonts w:ascii="Times New Roman" w:eastAsiaTheme="minorHAnsi" w:hAnsi="Times New Roman" w:cs="Times New Roman"/>
          <w:color w:val="auto"/>
          <w:sz w:val="24"/>
          <w:szCs w:val="24"/>
          <w:lang w:eastAsia="en-US"/>
        </w:rPr>
      </w:pPr>
      <w:proofErr w:type="spellStart"/>
      <w:r w:rsidRPr="00FE04DA">
        <w:rPr>
          <w:rFonts w:ascii="Times New Roman" w:eastAsiaTheme="minorHAnsi" w:hAnsi="Times New Roman" w:cs="Times New Roman"/>
          <w:color w:val="auto"/>
          <w:sz w:val="24"/>
          <w:szCs w:val="24"/>
          <w:lang w:eastAsia="en-US"/>
        </w:rPr>
        <w:t>Solinac</w:t>
      </w:r>
      <w:proofErr w:type="spellEnd"/>
      <w:r w:rsidRPr="00FE04DA">
        <w:rPr>
          <w:rFonts w:ascii="Times New Roman" w:eastAsiaTheme="minorHAnsi" w:hAnsi="Times New Roman" w:cs="Times New Roman"/>
          <w:color w:val="auto"/>
          <w:sz w:val="24"/>
          <w:szCs w:val="24"/>
          <w:lang w:eastAsia="en-US"/>
        </w:rPr>
        <w:t xml:space="preserve"> </w:t>
      </w:r>
      <w:proofErr w:type="spellStart"/>
      <w:r w:rsidRPr="00FE04DA">
        <w:rPr>
          <w:rFonts w:ascii="Times New Roman" w:eastAsiaTheme="minorHAnsi" w:hAnsi="Times New Roman" w:cs="Times New Roman"/>
          <w:color w:val="auto"/>
          <w:sz w:val="24"/>
          <w:szCs w:val="24"/>
          <w:lang w:eastAsia="en-US"/>
        </w:rPr>
        <w:t>Lecomte</w:t>
      </w:r>
      <w:proofErr w:type="spellEnd"/>
      <w:r w:rsidRPr="00FE04DA">
        <w:rPr>
          <w:rFonts w:ascii="Times New Roman" w:eastAsiaTheme="minorHAnsi" w:hAnsi="Times New Roman" w:cs="Times New Roman"/>
          <w:color w:val="auto"/>
          <w:sz w:val="24"/>
          <w:szCs w:val="24"/>
          <w:lang w:eastAsia="en-US"/>
        </w:rPr>
        <w:t xml:space="preserve">, Henri-Bernard. </w:t>
      </w:r>
      <w:proofErr w:type="gramStart"/>
      <w:r w:rsidRPr="00FE04DA">
        <w:rPr>
          <w:rFonts w:ascii="Times New Roman" w:eastAsiaTheme="minorHAnsi" w:hAnsi="Times New Roman" w:cs="Times New Roman"/>
          <w:i/>
          <w:color w:val="auto"/>
          <w:sz w:val="24"/>
          <w:szCs w:val="24"/>
          <w:lang w:eastAsia="en-US"/>
        </w:rPr>
        <w:t>Options for Future ACP-EU Trade Relations</w:t>
      </w:r>
      <w:r w:rsidRPr="00FE04DA">
        <w:rPr>
          <w:rFonts w:ascii="Times New Roman" w:eastAsiaTheme="minorHAnsi" w:hAnsi="Times New Roman" w:cs="Times New Roman"/>
          <w:color w:val="auto"/>
          <w:sz w:val="24"/>
          <w:szCs w:val="24"/>
          <w:lang w:eastAsia="en-US"/>
        </w:rPr>
        <w:t>.</w:t>
      </w:r>
      <w:proofErr w:type="gramEnd"/>
      <w:r w:rsidRPr="00FE04DA">
        <w:rPr>
          <w:rFonts w:ascii="Times New Roman" w:eastAsiaTheme="minorHAnsi" w:hAnsi="Times New Roman" w:cs="Times New Roman"/>
          <w:color w:val="auto"/>
          <w:sz w:val="24"/>
          <w:szCs w:val="24"/>
          <w:lang w:eastAsia="en-US"/>
        </w:rPr>
        <w:t xml:space="preserve"> </w:t>
      </w:r>
      <w:proofErr w:type="gramStart"/>
      <w:r w:rsidRPr="00FE04DA">
        <w:rPr>
          <w:rFonts w:ascii="Times New Roman" w:eastAsiaTheme="minorHAnsi" w:hAnsi="Times New Roman" w:cs="Times New Roman"/>
          <w:color w:val="auto"/>
          <w:sz w:val="24"/>
          <w:szCs w:val="24"/>
          <w:lang w:eastAsia="en-US"/>
        </w:rPr>
        <w:t>ECDPM paper sponsored by the Belgian Administration for Development Cooperation and the Swedish Ministry for Foreign Affairs.</w:t>
      </w:r>
      <w:proofErr w:type="gramEnd"/>
    </w:p>
    <w:p w14:paraId="05074E1D" w14:textId="77777777" w:rsidR="00C24E82" w:rsidRPr="00FE04DA" w:rsidRDefault="00C24E82" w:rsidP="00FE04DA">
      <w:pPr>
        <w:spacing w:after="200"/>
        <w:rPr>
          <w:rFonts w:ascii="Times New Roman" w:eastAsiaTheme="minorHAnsi" w:hAnsi="Times New Roman" w:cs="Times New Roman"/>
          <w:noProof/>
          <w:color w:val="auto"/>
          <w:sz w:val="24"/>
          <w:szCs w:val="24"/>
          <w:lang w:eastAsia="en-US"/>
        </w:rPr>
      </w:pPr>
      <w:r w:rsidRPr="00FE04DA">
        <w:rPr>
          <w:rFonts w:ascii="Times New Roman" w:eastAsiaTheme="minorHAnsi" w:hAnsi="Times New Roman" w:cs="Times New Roman"/>
          <w:color w:val="auto"/>
          <w:sz w:val="24"/>
          <w:szCs w:val="24"/>
          <w:lang w:eastAsia="en-US"/>
        </w:rPr>
        <w:t xml:space="preserve">South Centre. </w:t>
      </w:r>
      <w:r w:rsidRPr="00FE04DA">
        <w:rPr>
          <w:rFonts w:ascii="Times New Roman" w:eastAsiaTheme="minorHAnsi" w:hAnsi="Times New Roman" w:cs="Times New Roman"/>
          <w:i/>
          <w:color w:val="auto"/>
          <w:sz w:val="24"/>
          <w:szCs w:val="24"/>
          <w:lang w:eastAsia="en-US"/>
        </w:rPr>
        <w:t>EPA Negotiations in the Central African Region: Some Issues for Consideration</w:t>
      </w:r>
      <w:r w:rsidRPr="00FE04DA">
        <w:rPr>
          <w:rFonts w:ascii="Times New Roman" w:eastAsiaTheme="minorHAnsi" w:hAnsi="Times New Roman" w:cs="Times New Roman"/>
          <w:color w:val="auto"/>
          <w:sz w:val="24"/>
          <w:szCs w:val="24"/>
          <w:lang w:eastAsia="en-US"/>
        </w:rPr>
        <w:t xml:space="preserve">. </w:t>
      </w:r>
      <w:r w:rsidRPr="00FE04DA">
        <w:rPr>
          <w:rFonts w:ascii="Times New Roman" w:eastAsiaTheme="minorHAnsi" w:hAnsi="Times New Roman" w:cs="Times New Roman"/>
          <w:noProof/>
          <w:color w:val="auto"/>
          <w:sz w:val="24"/>
          <w:szCs w:val="24"/>
          <w:lang w:eastAsia="en-US"/>
        </w:rPr>
        <w:t>Analytical Note SC/AN/TDP/EPA/9. Geneva: South Centre, 2007a.</w:t>
      </w:r>
    </w:p>
    <w:p w14:paraId="044C6709" w14:textId="77777777" w:rsidR="00C24E82" w:rsidRPr="00FE04DA" w:rsidRDefault="00C24E82" w:rsidP="00FE04DA">
      <w:pPr>
        <w:spacing w:after="200"/>
        <w:rPr>
          <w:rFonts w:ascii="Times New Roman" w:eastAsiaTheme="minorHAnsi" w:hAnsi="Times New Roman" w:cs="Times New Roman"/>
          <w:color w:val="auto"/>
          <w:sz w:val="24"/>
          <w:szCs w:val="24"/>
          <w:lang w:eastAsia="en-US"/>
        </w:rPr>
      </w:pPr>
      <w:r w:rsidRPr="00FE04DA">
        <w:rPr>
          <w:rFonts w:ascii="Times New Roman" w:eastAsiaTheme="minorHAnsi" w:hAnsi="Times New Roman" w:cs="Times New Roman"/>
          <w:color w:val="auto"/>
          <w:sz w:val="24"/>
          <w:szCs w:val="24"/>
          <w:lang w:eastAsia="en-US"/>
        </w:rPr>
        <w:t xml:space="preserve">South Centre. </w:t>
      </w:r>
      <w:r w:rsidRPr="00FE04DA">
        <w:rPr>
          <w:rFonts w:ascii="Times New Roman" w:eastAsiaTheme="minorHAnsi" w:hAnsi="Times New Roman" w:cs="Times New Roman"/>
          <w:i/>
          <w:color w:val="auto"/>
          <w:sz w:val="24"/>
          <w:szCs w:val="24"/>
          <w:lang w:eastAsia="en-US"/>
        </w:rPr>
        <w:t>EPA Negotiations in the Pacific Region: Some Issues of Concern.</w:t>
      </w:r>
      <w:r w:rsidRPr="00FE04DA">
        <w:rPr>
          <w:rFonts w:ascii="Times New Roman" w:eastAsiaTheme="minorHAnsi" w:hAnsi="Times New Roman" w:cs="Times New Roman"/>
          <w:color w:val="auto"/>
          <w:sz w:val="24"/>
          <w:szCs w:val="24"/>
          <w:lang w:eastAsia="en-US"/>
        </w:rPr>
        <w:t xml:space="preserve"> </w:t>
      </w:r>
      <w:proofErr w:type="gramStart"/>
      <w:r w:rsidRPr="00FE04DA">
        <w:rPr>
          <w:rFonts w:ascii="Times New Roman" w:eastAsiaTheme="minorHAnsi" w:hAnsi="Times New Roman" w:cs="Times New Roman"/>
          <w:color w:val="auto"/>
          <w:sz w:val="24"/>
          <w:szCs w:val="24"/>
          <w:lang w:eastAsia="en-US"/>
        </w:rPr>
        <w:t>Analytical Note SC/AN/TDP/EPA/11.</w:t>
      </w:r>
      <w:proofErr w:type="gramEnd"/>
      <w:r w:rsidRPr="00FE04DA">
        <w:rPr>
          <w:rFonts w:ascii="Times New Roman" w:eastAsiaTheme="minorHAnsi" w:hAnsi="Times New Roman" w:cs="Times New Roman"/>
          <w:color w:val="auto"/>
          <w:sz w:val="24"/>
          <w:szCs w:val="24"/>
          <w:lang w:eastAsia="en-US"/>
        </w:rPr>
        <w:t xml:space="preserve"> Geneva: South Centre, 2007b.</w:t>
      </w:r>
    </w:p>
    <w:p w14:paraId="0219761A" w14:textId="164B61F1" w:rsidR="00C24E82" w:rsidRPr="00FE04DA" w:rsidRDefault="00C24E82" w:rsidP="00FE04DA">
      <w:pPr>
        <w:spacing w:after="200"/>
        <w:rPr>
          <w:rFonts w:ascii="Times New Roman" w:eastAsiaTheme="minorHAnsi" w:hAnsi="Times New Roman" w:cs="Times New Roman"/>
          <w:noProof/>
          <w:color w:val="auto"/>
          <w:sz w:val="24"/>
          <w:szCs w:val="24"/>
          <w:lang w:eastAsia="en-US"/>
        </w:rPr>
      </w:pPr>
      <w:r w:rsidRPr="00FE04DA">
        <w:rPr>
          <w:rFonts w:ascii="Times New Roman" w:eastAsiaTheme="minorHAnsi" w:hAnsi="Times New Roman" w:cs="Times New Roman"/>
          <w:color w:val="auto"/>
          <w:sz w:val="24"/>
          <w:szCs w:val="24"/>
          <w:lang w:eastAsia="en-US"/>
        </w:rPr>
        <w:t xml:space="preserve">South Centre. </w:t>
      </w:r>
      <w:r w:rsidRPr="00FE04DA">
        <w:rPr>
          <w:rFonts w:ascii="Times New Roman" w:eastAsiaTheme="minorHAnsi" w:hAnsi="Times New Roman" w:cs="Times New Roman"/>
          <w:i/>
          <w:color w:val="auto"/>
          <w:sz w:val="24"/>
          <w:szCs w:val="24"/>
          <w:lang w:eastAsia="en-US"/>
        </w:rPr>
        <w:t xml:space="preserve">EPA Negotiations in the </w:t>
      </w:r>
      <w:proofErr w:type="spellStart"/>
      <w:r w:rsidRPr="00FE04DA">
        <w:rPr>
          <w:rFonts w:ascii="Times New Roman" w:eastAsiaTheme="minorHAnsi" w:hAnsi="Times New Roman" w:cs="Times New Roman"/>
          <w:i/>
          <w:color w:val="auto"/>
          <w:sz w:val="24"/>
          <w:szCs w:val="24"/>
          <w:lang w:eastAsia="en-US"/>
        </w:rPr>
        <w:t>Caribean</w:t>
      </w:r>
      <w:proofErr w:type="spellEnd"/>
      <w:r w:rsidRPr="00FE04DA">
        <w:rPr>
          <w:rFonts w:ascii="Times New Roman" w:eastAsiaTheme="minorHAnsi" w:hAnsi="Times New Roman" w:cs="Times New Roman"/>
          <w:i/>
          <w:color w:val="auto"/>
          <w:sz w:val="24"/>
          <w:szCs w:val="24"/>
          <w:lang w:eastAsia="en-US"/>
        </w:rPr>
        <w:t xml:space="preserve"> Region: Some Issues of Concern</w:t>
      </w:r>
      <w:r>
        <w:rPr>
          <w:rFonts w:ascii="Times New Roman" w:eastAsiaTheme="minorHAnsi" w:hAnsi="Times New Roman" w:cs="Times New Roman"/>
          <w:color w:val="auto"/>
          <w:sz w:val="24"/>
          <w:szCs w:val="24"/>
          <w:lang w:eastAsia="en-US"/>
        </w:rPr>
        <w:t>.</w:t>
      </w:r>
      <w:r w:rsidRPr="00FE04DA">
        <w:rPr>
          <w:rFonts w:ascii="Times New Roman" w:eastAsiaTheme="minorHAnsi" w:hAnsi="Times New Roman" w:cs="Times New Roman"/>
          <w:color w:val="auto"/>
          <w:sz w:val="24"/>
          <w:szCs w:val="24"/>
          <w:lang w:eastAsia="en-US"/>
        </w:rPr>
        <w:t xml:space="preserve"> </w:t>
      </w:r>
      <w:proofErr w:type="gramStart"/>
      <w:r w:rsidRPr="00FE04DA">
        <w:rPr>
          <w:rFonts w:ascii="Times New Roman" w:eastAsiaTheme="minorHAnsi" w:hAnsi="Times New Roman" w:cs="Times New Roman"/>
          <w:color w:val="auto"/>
          <w:sz w:val="24"/>
          <w:szCs w:val="24"/>
          <w:lang w:eastAsia="en-US"/>
        </w:rPr>
        <w:t xml:space="preserve">Analytical Note </w:t>
      </w:r>
      <w:r w:rsidRPr="00FE04DA">
        <w:rPr>
          <w:rFonts w:ascii="Times New Roman" w:eastAsiaTheme="minorHAnsi" w:hAnsi="Times New Roman" w:cs="Times New Roman"/>
          <w:noProof/>
          <w:color w:val="auto"/>
          <w:sz w:val="24"/>
          <w:szCs w:val="24"/>
          <w:lang w:eastAsia="en-US"/>
        </w:rPr>
        <w:t>C/AN/TDP/EPA/12.</w:t>
      </w:r>
      <w:proofErr w:type="gramEnd"/>
      <w:r w:rsidRPr="00FE04DA">
        <w:rPr>
          <w:rFonts w:ascii="Times New Roman" w:eastAsiaTheme="minorHAnsi" w:hAnsi="Times New Roman" w:cs="Times New Roman"/>
          <w:noProof/>
          <w:color w:val="auto"/>
          <w:sz w:val="24"/>
          <w:szCs w:val="24"/>
          <w:lang w:eastAsia="en-US"/>
        </w:rPr>
        <w:t xml:space="preserve"> Geneva: South Centre, 2008.</w:t>
      </w:r>
    </w:p>
    <w:p w14:paraId="25D46EE8" w14:textId="5BB14689" w:rsidR="00C24E82" w:rsidRPr="00FE04DA" w:rsidRDefault="00C24E82" w:rsidP="00FE04DA">
      <w:pPr>
        <w:spacing w:after="200"/>
        <w:rPr>
          <w:rFonts w:ascii="Times New Roman" w:eastAsiaTheme="minorHAnsi" w:hAnsi="Times New Roman" w:cs="Times New Roman"/>
          <w:noProof/>
          <w:color w:val="auto"/>
          <w:sz w:val="24"/>
          <w:szCs w:val="24"/>
          <w:lang w:eastAsia="en-US"/>
        </w:rPr>
      </w:pPr>
      <w:r w:rsidRPr="00DE6081">
        <w:rPr>
          <w:rFonts w:ascii="Times New Roman" w:eastAsiaTheme="minorHAnsi" w:hAnsi="Times New Roman" w:cs="Times New Roman"/>
          <w:noProof/>
          <w:color w:val="auto"/>
          <w:sz w:val="24"/>
          <w:szCs w:val="24"/>
          <w:lang w:eastAsia="en-US"/>
        </w:rPr>
        <w:t>Tekere, Moses.</w:t>
      </w:r>
      <w:r w:rsidRPr="00FE04DA">
        <w:rPr>
          <w:rFonts w:ascii="Times New Roman" w:eastAsiaTheme="minorHAnsi" w:hAnsi="Times New Roman" w:cs="Times New Roman"/>
          <w:noProof/>
          <w:color w:val="auto"/>
          <w:sz w:val="24"/>
          <w:szCs w:val="24"/>
          <w:lang w:eastAsia="en-US"/>
        </w:rPr>
        <w:t xml:space="preserve"> “Challenges for the SADC EPA Group.” In </w:t>
      </w:r>
      <w:r w:rsidRPr="00FE04DA">
        <w:rPr>
          <w:rFonts w:ascii="Times New Roman" w:eastAsiaTheme="minorHAnsi" w:hAnsi="Times New Roman" w:cs="Times New Roman"/>
          <w:i/>
          <w:noProof/>
          <w:color w:val="auto"/>
          <w:sz w:val="24"/>
          <w:szCs w:val="24"/>
          <w:lang w:eastAsia="en-US"/>
        </w:rPr>
        <w:t>Regional Integration and Economic Partnership Agreements: Southern Africa at the Crossroads</w:t>
      </w:r>
      <w:r w:rsidRPr="00FE04DA">
        <w:rPr>
          <w:rFonts w:ascii="Times New Roman" w:eastAsiaTheme="minorHAnsi" w:hAnsi="Times New Roman" w:cs="Times New Roman"/>
          <w:noProof/>
          <w:color w:val="auto"/>
          <w:sz w:val="24"/>
          <w:szCs w:val="24"/>
          <w:lang w:eastAsia="en-US"/>
        </w:rPr>
        <w:t>, edited by Bertelsmann-Scott, Talitha and Draper, Peter, 65-71. Johannesburg: South African Institute of International Affairs, 2006.</w:t>
      </w:r>
    </w:p>
    <w:p w14:paraId="07814169" w14:textId="1D08F807" w:rsidR="00C24E82" w:rsidRDefault="00C24E82" w:rsidP="00DE4FD1">
      <w:pPr>
        <w:spacing w:line="240" w:lineRule="auto"/>
        <w:rPr>
          <w:rFonts w:ascii="Times New Roman" w:hAnsi="Times New Roman" w:cs="Times New Roman"/>
          <w:sz w:val="24"/>
          <w:szCs w:val="24"/>
        </w:rPr>
      </w:pPr>
    </w:p>
    <w:p w14:paraId="36815A16" w14:textId="77777777" w:rsidR="00C24E82" w:rsidRDefault="00C24E82" w:rsidP="00DE4FD1">
      <w:pPr>
        <w:spacing w:line="240" w:lineRule="auto"/>
        <w:rPr>
          <w:rFonts w:ascii="Times New Roman" w:hAnsi="Times New Roman" w:cs="Times New Roman"/>
          <w:sz w:val="24"/>
          <w:szCs w:val="24"/>
        </w:rPr>
      </w:pPr>
    </w:p>
    <w:p w14:paraId="1B69BD29" w14:textId="77777777" w:rsidR="00C24E82" w:rsidRDefault="00C24E82" w:rsidP="00DE4FD1">
      <w:pPr>
        <w:spacing w:line="240" w:lineRule="auto"/>
        <w:rPr>
          <w:rFonts w:ascii="Times New Roman" w:hAnsi="Times New Roman" w:cs="Times New Roman"/>
          <w:sz w:val="24"/>
          <w:szCs w:val="24"/>
        </w:rPr>
      </w:pPr>
    </w:p>
    <w:p w14:paraId="428A8617" w14:textId="77777777" w:rsidR="00C24E82" w:rsidRDefault="00C24E82" w:rsidP="00DE4FD1">
      <w:pPr>
        <w:spacing w:line="240" w:lineRule="auto"/>
        <w:rPr>
          <w:rFonts w:ascii="Times New Roman" w:hAnsi="Times New Roman" w:cs="Times New Roman"/>
          <w:sz w:val="24"/>
          <w:szCs w:val="24"/>
        </w:rPr>
      </w:pPr>
    </w:p>
    <w:p w14:paraId="57470309" w14:textId="77777777" w:rsidR="00C24E82" w:rsidRDefault="00C24E82" w:rsidP="00DE4FD1">
      <w:pPr>
        <w:spacing w:line="240" w:lineRule="auto"/>
        <w:rPr>
          <w:rFonts w:ascii="Times New Roman" w:hAnsi="Times New Roman" w:cs="Times New Roman"/>
          <w:sz w:val="24"/>
          <w:szCs w:val="24"/>
        </w:rPr>
      </w:pPr>
    </w:p>
    <w:p w14:paraId="5A4C5293" w14:textId="77777777" w:rsidR="00C24E82" w:rsidRDefault="00C24E82" w:rsidP="00DE4FD1">
      <w:pPr>
        <w:spacing w:line="240" w:lineRule="auto"/>
        <w:rPr>
          <w:rFonts w:ascii="Times New Roman" w:hAnsi="Times New Roman" w:cs="Times New Roman"/>
          <w:sz w:val="24"/>
          <w:szCs w:val="24"/>
        </w:rPr>
      </w:pPr>
    </w:p>
    <w:p w14:paraId="3D08B73B" w14:textId="77777777" w:rsidR="00C24E82" w:rsidRDefault="00C24E82" w:rsidP="00DE4FD1">
      <w:pPr>
        <w:spacing w:line="240" w:lineRule="auto"/>
        <w:rPr>
          <w:rFonts w:ascii="Times New Roman" w:hAnsi="Times New Roman" w:cs="Times New Roman"/>
          <w:sz w:val="24"/>
          <w:szCs w:val="24"/>
        </w:rPr>
      </w:pPr>
    </w:p>
    <w:p w14:paraId="126A2682" w14:textId="77777777" w:rsidR="00C24E82" w:rsidRDefault="00C24E82" w:rsidP="00DE4FD1">
      <w:pPr>
        <w:spacing w:line="240" w:lineRule="auto"/>
        <w:rPr>
          <w:rFonts w:ascii="Times New Roman" w:hAnsi="Times New Roman" w:cs="Times New Roman"/>
          <w:sz w:val="24"/>
          <w:szCs w:val="24"/>
        </w:rPr>
      </w:pPr>
    </w:p>
    <w:p w14:paraId="0D53F510" w14:textId="77777777" w:rsidR="00C24E82" w:rsidRDefault="00C24E82" w:rsidP="00DE4FD1">
      <w:pPr>
        <w:spacing w:line="240" w:lineRule="auto"/>
        <w:rPr>
          <w:rFonts w:ascii="Times New Roman" w:hAnsi="Times New Roman" w:cs="Times New Roman"/>
          <w:sz w:val="24"/>
          <w:szCs w:val="24"/>
        </w:rPr>
      </w:pPr>
    </w:p>
    <w:p w14:paraId="68ED2440" w14:textId="77777777" w:rsidR="00C24E82" w:rsidRDefault="00C24E82" w:rsidP="00DE4FD1">
      <w:pPr>
        <w:spacing w:line="240" w:lineRule="auto"/>
        <w:rPr>
          <w:rFonts w:ascii="Times New Roman" w:hAnsi="Times New Roman" w:cs="Times New Roman"/>
          <w:sz w:val="24"/>
          <w:szCs w:val="24"/>
        </w:rPr>
      </w:pPr>
    </w:p>
    <w:p w14:paraId="6C94A95A" w14:textId="77777777" w:rsidR="00C24E82" w:rsidRDefault="00C24E82" w:rsidP="00DE4FD1">
      <w:pPr>
        <w:spacing w:line="240" w:lineRule="auto"/>
        <w:rPr>
          <w:rFonts w:ascii="Times New Roman" w:hAnsi="Times New Roman" w:cs="Times New Roman"/>
          <w:sz w:val="24"/>
          <w:szCs w:val="24"/>
        </w:rPr>
      </w:pPr>
    </w:p>
    <w:p w14:paraId="1E31D670" w14:textId="77777777" w:rsidR="00C24E82" w:rsidRDefault="00C24E82" w:rsidP="00DE4FD1">
      <w:pPr>
        <w:spacing w:line="240" w:lineRule="auto"/>
        <w:rPr>
          <w:rFonts w:ascii="Times New Roman" w:hAnsi="Times New Roman" w:cs="Times New Roman"/>
          <w:sz w:val="24"/>
          <w:szCs w:val="24"/>
        </w:rPr>
      </w:pPr>
    </w:p>
    <w:p w14:paraId="78FC3A29" w14:textId="77777777" w:rsidR="00C24E82" w:rsidRDefault="00C24E82" w:rsidP="00DE4FD1">
      <w:pPr>
        <w:spacing w:line="240" w:lineRule="auto"/>
        <w:rPr>
          <w:rFonts w:ascii="Times New Roman" w:hAnsi="Times New Roman" w:cs="Times New Roman"/>
          <w:sz w:val="24"/>
          <w:szCs w:val="24"/>
        </w:rPr>
      </w:pPr>
    </w:p>
    <w:p w14:paraId="7F502EED" w14:textId="77777777" w:rsidR="00C24E82" w:rsidRDefault="00C24E82" w:rsidP="00DE4FD1">
      <w:pPr>
        <w:spacing w:line="240" w:lineRule="auto"/>
        <w:rPr>
          <w:rFonts w:ascii="Times New Roman" w:hAnsi="Times New Roman" w:cs="Times New Roman"/>
          <w:sz w:val="24"/>
          <w:szCs w:val="24"/>
        </w:rPr>
      </w:pPr>
    </w:p>
    <w:p w14:paraId="42253A00" w14:textId="77777777" w:rsidR="00C24E82" w:rsidRDefault="00C24E82" w:rsidP="00DE4FD1">
      <w:pPr>
        <w:spacing w:line="240" w:lineRule="auto"/>
        <w:rPr>
          <w:rFonts w:ascii="Times New Roman" w:hAnsi="Times New Roman" w:cs="Times New Roman"/>
          <w:sz w:val="24"/>
          <w:szCs w:val="24"/>
        </w:rPr>
      </w:pPr>
    </w:p>
    <w:p w14:paraId="292EEE3D" w14:textId="77777777" w:rsidR="00C24E82" w:rsidRDefault="00C24E82" w:rsidP="00DE4FD1">
      <w:pPr>
        <w:spacing w:line="240" w:lineRule="auto"/>
        <w:rPr>
          <w:rFonts w:ascii="Times New Roman" w:hAnsi="Times New Roman" w:cs="Times New Roman"/>
          <w:sz w:val="24"/>
          <w:szCs w:val="24"/>
        </w:rPr>
      </w:pPr>
    </w:p>
    <w:p w14:paraId="087664A5" w14:textId="77777777" w:rsidR="00C24E82" w:rsidRDefault="00C24E82" w:rsidP="00DE4FD1">
      <w:pPr>
        <w:spacing w:line="240" w:lineRule="auto"/>
        <w:rPr>
          <w:rFonts w:ascii="Times New Roman" w:hAnsi="Times New Roman" w:cs="Times New Roman"/>
          <w:sz w:val="24"/>
          <w:szCs w:val="24"/>
        </w:rPr>
      </w:pPr>
    </w:p>
    <w:p w14:paraId="40FFB02F" w14:textId="77777777" w:rsidR="00C24E82" w:rsidRDefault="00C24E82" w:rsidP="00DE4FD1">
      <w:pPr>
        <w:spacing w:line="240" w:lineRule="auto"/>
        <w:rPr>
          <w:rFonts w:ascii="Times New Roman" w:hAnsi="Times New Roman" w:cs="Times New Roman"/>
          <w:sz w:val="24"/>
          <w:szCs w:val="24"/>
        </w:rPr>
      </w:pPr>
    </w:p>
    <w:p w14:paraId="2C16D54A" w14:textId="77777777" w:rsidR="00C24E82" w:rsidRDefault="00C24E82" w:rsidP="00DE4FD1">
      <w:pPr>
        <w:spacing w:line="240" w:lineRule="auto"/>
        <w:rPr>
          <w:rFonts w:ascii="Times New Roman" w:hAnsi="Times New Roman" w:cs="Times New Roman"/>
          <w:sz w:val="24"/>
          <w:szCs w:val="24"/>
        </w:rPr>
      </w:pPr>
    </w:p>
    <w:p w14:paraId="03014609" w14:textId="77777777" w:rsidR="00C24E82" w:rsidRDefault="00C24E82" w:rsidP="00DE4FD1">
      <w:pPr>
        <w:spacing w:line="240" w:lineRule="auto"/>
        <w:rPr>
          <w:rFonts w:ascii="Times New Roman" w:hAnsi="Times New Roman" w:cs="Times New Roman"/>
          <w:sz w:val="24"/>
          <w:szCs w:val="24"/>
        </w:rPr>
      </w:pPr>
    </w:p>
    <w:p w14:paraId="62E88C0D" w14:textId="77777777" w:rsidR="00C24E82" w:rsidRDefault="00C24E82" w:rsidP="00DE4FD1">
      <w:pPr>
        <w:spacing w:line="240" w:lineRule="auto"/>
        <w:rPr>
          <w:rFonts w:ascii="Times New Roman" w:hAnsi="Times New Roman" w:cs="Times New Roman"/>
          <w:sz w:val="24"/>
          <w:szCs w:val="24"/>
        </w:rPr>
      </w:pPr>
    </w:p>
    <w:p w14:paraId="0E51C531" w14:textId="77777777" w:rsidR="00C24E82" w:rsidRDefault="00C24E82" w:rsidP="00DE4FD1">
      <w:pPr>
        <w:spacing w:line="240" w:lineRule="auto"/>
        <w:rPr>
          <w:rFonts w:ascii="Times New Roman" w:hAnsi="Times New Roman" w:cs="Times New Roman"/>
          <w:sz w:val="24"/>
          <w:szCs w:val="24"/>
        </w:rPr>
      </w:pPr>
    </w:p>
    <w:p w14:paraId="3B3C7F79" w14:textId="77777777" w:rsidR="00C24E82" w:rsidRDefault="00C24E82" w:rsidP="00DE4FD1">
      <w:pPr>
        <w:spacing w:line="240" w:lineRule="auto"/>
        <w:rPr>
          <w:rFonts w:ascii="Times New Roman" w:hAnsi="Times New Roman" w:cs="Times New Roman"/>
          <w:sz w:val="24"/>
          <w:szCs w:val="24"/>
        </w:rPr>
      </w:pPr>
    </w:p>
    <w:p w14:paraId="72069395" w14:textId="77777777" w:rsidR="00C24E82" w:rsidRDefault="00C24E82" w:rsidP="00DE4FD1">
      <w:pPr>
        <w:spacing w:line="240" w:lineRule="auto"/>
        <w:rPr>
          <w:rFonts w:ascii="Times New Roman" w:hAnsi="Times New Roman" w:cs="Times New Roman"/>
          <w:sz w:val="24"/>
          <w:szCs w:val="24"/>
        </w:rPr>
      </w:pPr>
    </w:p>
    <w:p w14:paraId="0158B079" w14:textId="77777777" w:rsidR="00C24E82" w:rsidRDefault="00C24E82" w:rsidP="00DE4FD1">
      <w:pPr>
        <w:spacing w:line="240" w:lineRule="auto"/>
        <w:rPr>
          <w:rFonts w:ascii="Times New Roman" w:hAnsi="Times New Roman" w:cs="Times New Roman"/>
          <w:sz w:val="24"/>
          <w:szCs w:val="24"/>
        </w:rPr>
      </w:pPr>
    </w:p>
    <w:p w14:paraId="4276B074" w14:textId="77777777" w:rsidR="00C24E82" w:rsidRDefault="00C24E82" w:rsidP="00DE4FD1">
      <w:pPr>
        <w:spacing w:line="240" w:lineRule="auto"/>
        <w:rPr>
          <w:rFonts w:ascii="Times New Roman" w:hAnsi="Times New Roman" w:cs="Times New Roman"/>
          <w:sz w:val="24"/>
          <w:szCs w:val="24"/>
        </w:rPr>
      </w:pPr>
    </w:p>
    <w:p w14:paraId="6FB51778" w14:textId="77777777" w:rsidR="00C24E82" w:rsidRDefault="00C24E82" w:rsidP="00DE4FD1">
      <w:pPr>
        <w:spacing w:line="240" w:lineRule="auto"/>
        <w:rPr>
          <w:rFonts w:ascii="Times New Roman" w:hAnsi="Times New Roman" w:cs="Times New Roman"/>
          <w:sz w:val="24"/>
          <w:szCs w:val="24"/>
        </w:rPr>
      </w:pPr>
    </w:p>
    <w:p w14:paraId="1F069FCA" w14:textId="77777777" w:rsidR="00C24E82" w:rsidRPr="006A123C" w:rsidRDefault="00C24E82" w:rsidP="00DE4FD1">
      <w:pPr>
        <w:spacing w:line="240" w:lineRule="auto"/>
        <w:rPr>
          <w:rFonts w:ascii="Times New Roman" w:hAnsi="Times New Roman" w:cs="Times New Roman"/>
          <w:sz w:val="24"/>
          <w:szCs w:val="24"/>
        </w:rPr>
      </w:pPr>
    </w:p>
    <w:tbl>
      <w:tblPr>
        <w:tblStyle w:val="TableGrid"/>
        <w:tblW w:w="8188" w:type="dxa"/>
        <w:tblLayout w:type="fixed"/>
        <w:tblLook w:val="04A0" w:firstRow="1" w:lastRow="0" w:firstColumn="1" w:lastColumn="0" w:noHBand="0" w:noVBand="1"/>
      </w:tblPr>
      <w:tblGrid>
        <w:gridCol w:w="1101"/>
        <w:gridCol w:w="992"/>
        <w:gridCol w:w="1701"/>
        <w:gridCol w:w="1134"/>
        <w:gridCol w:w="1276"/>
        <w:gridCol w:w="992"/>
        <w:gridCol w:w="992"/>
      </w:tblGrid>
      <w:tr w:rsidR="00C24E82" w:rsidRPr="00222975" w14:paraId="1CB983B1" w14:textId="77777777" w:rsidTr="00721796">
        <w:tc>
          <w:tcPr>
            <w:tcW w:w="1101" w:type="dxa"/>
            <w:tcBorders>
              <w:top w:val="single" w:sz="24" w:space="0" w:color="auto"/>
              <w:left w:val="nil"/>
              <w:bottom w:val="single" w:sz="24" w:space="0" w:color="auto"/>
              <w:right w:val="nil"/>
            </w:tcBorders>
          </w:tcPr>
          <w:p w14:paraId="5C2CCD2A" w14:textId="77777777" w:rsidR="00C24E82" w:rsidRPr="00222975" w:rsidRDefault="00C24E82" w:rsidP="00721796">
            <w:pPr>
              <w:rPr>
                <w:rFonts w:ascii="Calibri" w:hAnsi="Calibri"/>
                <w:color w:val="000000" w:themeColor="text1"/>
                <w:sz w:val="16"/>
                <w:szCs w:val="16"/>
              </w:rPr>
            </w:pPr>
          </w:p>
        </w:tc>
        <w:tc>
          <w:tcPr>
            <w:tcW w:w="992" w:type="dxa"/>
            <w:tcBorders>
              <w:top w:val="single" w:sz="24" w:space="0" w:color="auto"/>
              <w:left w:val="nil"/>
              <w:bottom w:val="single" w:sz="24" w:space="0" w:color="auto"/>
              <w:right w:val="nil"/>
            </w:tcBorders>
          </w:tcPr>
          <w:p w14:paraId="3DC7BAB8" w14:textId="77777777" w:rsidR="00C24E82" w:rsidRPr="00222975" w:rsidRDefault="00C24E82" w:rsidP="00721796">
            <w:pPr>
              <w:rPr>
                <w:rFonts w:ascii="Calibri" w:hAnsi="Calibri"/>
                <w:color w:val="000000" w:themeColor="text1"/>
                <w:sz w:val="16"/>
                <w:szCs w:val="16"/>
              </w:rPr>
            </w:pPr>
          </w:p>
        </w:tc>
        <w:tc>
          <w:tcPr>
            <w:tcW w:w="1701" w:type="dxa"/>
            <w:tcBorders>
              <w:top w:val="single" w:sz="24" w:space="0" w:color="auto"/>
              <w:left w:val="nil"/>
              <w:bottom w:val="single" w:sz="24" w:space="0" w:color="auto"/>
              <w:right w:val="nil"/>
            </w:tcBorders>
            <w:vAlign w:val="bottom"/>
          </w:tcPr>
          <w:p w14:paraId="3253055A"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b/>
                <w:bCs/>
                <w:color w:val="000000" w:themeColor="text1"/>
                <w:sz w:val="16"/>
                <w:szCs w:val="16"/>
              </w:rPr>
              <w:t>Members of EPA Group</w:t>
            </w:r>
          </w:p>
        </w:tc>
        <w:tc>
          <w:tcPr>
            <w:tcW w:w="1134" w:type="dxa"/>
            <w:tcBorders>
              <w:top w:val="single" w:sz="24" w:space="0" w:color="auto"/>
              <w:left w:val="nil"/>
              <w:bottom w:val="single" w:sz="24" w:space="0" w:color="auto"/>
              <w:right w:val="nil"/>
            </w:tcBorders>
            <w:vAlign w:val="bottom"/>
          </w:tcPr>
          <w:p w14:paraId="360125BD" w14:textId="77777777" w:rsidR="00C24E82" w:rsidRPr="00222975" w:rsidRDefault="00C24E82" w:rsidP="00721796">
            <w:pPr>
              <w:rPr>
                <w:rFonts w:ascii="Calibri" w:hAnsi="Calibri"/>
                <w:color w:val="000000" w:themeColor="text1"/>
                <w:sz w:val="16"/>
                <w:szCs w:val="16"/>
              </w:rPr>
            </w:pPr>
            <w:r>
              <w:rPr>
                <w:rFonts w:ascii="Calibri" w:eastAsia="Times New Roman" w:hAnsi="Calibri" w:cs="Times New Roman"/>
                <w:b/>
                <w:bCs/>
                <w:color w:val="000000" w:themeColor="text1"/>
                <w:sz w:val="16"/>
                <w:szCs w:val="16"/>
              </w:rPr>
              <w:t>Proportion of total e</w:t>
            </w:r>
            <w:r w:rsidRPr="00222975">
              <w:rPr>
                <w:rFonts w:ascii="Calibri" w:eastAsia="Times New Roman" w:hAnsi="Calibri" w:cs="Times New Roman"/>
                <w:b/>
                <w:bCs/>
                <w:color w:val="000000" w:themeColor="text1"/>
                <w:sz w:val="16"/>
                <w:szCs w:val="16"/>
              </w:rPr>
              <w:t>xports to EU, 2004-2014 (%)</w:t>
            </w:r>
            <w:r>
              <w:rPr>
                <w:rFonts w:ascii="Calibri" w:eastAsia="Times New Roman" w:hAnsi="Calibri" w:cs="Times New Roman"/>
                <w:b/>
                <w:bCs/>
                <w:color w:val="000000" w:themeColor="text1"/>
                <w:sz w:val="16"/>
                <w:szCs w:val="16"/>
              </w:rPr>
              <w:t>*</w:t>
            </w:r>
          </w:p>
        </w:tc>
        <w:tc>
          <w:tcPr>
            <w:tcW w:w="1276" w:type="dxa"/>
            <w:tcBorders>
              <w:top w:val="single" w:sz="24" w:space="0" w:color="auto"/>
              <w:left w:val="nil"/>
              <w:bottom w:val="single" w:sz="24" w:space="0" w:color="auto"/>
              <w:right w:val="nil"/>
            </w:tcBorders>
            <w:vAlign w:val="bottom"/>
          </w:tcPr>
          <w:p w14:paraId="6511878B"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b/>
                <w:bCs/>
                <w:color w:val="000000" w:themeColor="text1"/>
                <w:sz w:val="16"/>
                <w:szCs w:val="16"/>
              </w:rPr>
              <w:t>Proporti</w:t>
            </w:r>
            <w:r>
              <w:rPr>
                <w:rFonts w:ascii="Calibri" w:eastAsia="Times New Roman" w:hAnsi="Calibri" w:cs="Times New Roman"/>
                <w:b/>
                <w:bCs/>
                <w:color w:val="000000" w:themeColor="text1"/>
                <w:sz w:val="16"/>
                <w:szCs w:val="16"/>
              </w:rPr>
              <w:t>on of exports to EU subject to tariff i</w:t>
            </w:r>
            <w:r w:rsidRPr="00222975">
              <w:rPr>
                <w:rFonts w:ascii="Calibri" w:eastAsia="Times New Roman" w:hAnsi="Calibri" w:cs="Times New Roman"/>
                <w:b/>
                <w:bCs/>
                <w:color w:val="000000" w:themeColor="text1"/>
                <w:sz w:val="16"/>
                <w:szCs w:val="16"/>
              </w:rPr>
              <w:t>ncrease under GSP (%)</w:t>
            </w:r>
          </w:p>
        </w:tc>
        <w:tc>
          <w:tcPr>
            <w:tcW w:w="992" w:type="dxa"/>
            <w:tcBorders>
              <w:top w:val="single" w:sz="24" w:space="0" w:color="auto"/>
              <w:left w:val="nil"/>
              <w:bottom w:val="single" w:sz="24" w:space="0" w:color="auto"/>
              <w:right w:val="nil"/>
            </w:tcBorders>
            <w:vAlign w:val="bottom"/>
          </w:tcPr>
          <w:p w14:paraId="6C89CF10"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b/>
                <w:bCs/>
                <w:color w:val="000000" w:themeColor="text1"/>
                <w:sz w:val="16"/>
                <w:szCs w:val="16"/>
              </w:rPr>
              <w:t>EPA Concluded, 2007</w:t>
            </w:r>
          </w:p>
        </w:tc>
        <w:tc>
          <w:tcPr>
            <w:tcW w:w="992" w:type="dxa"/>
            <w:tcBorders>
              <w:top w:val="single" w:sz="24" w:space="0" w:color="auto"/>
              <w:left w:val="nil"/>
              <w:bottom w:val="single" w:sz="24" w:space="0" w:color="auto"/>
              <w:right w:val="nil"/>
            </w:tcBorders>
            <w:vAlign w:val="bottom"/>
          </w:tcPr>
          <w:p w14:paraId="7DD98468"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b/>
                <w:bCs/>
                <w:color w:val="000000" w:themeColor="text1"/>
                <w:sz w:val="16"/>
                <w:szCs w:val="16"/>
              </w:rPr>
              <w:t>EPA Concluded, 2014</w:t>
            </w:r>
          </w:p>
        </w:tc>
      </w:tr>
      <w:tr w:rsidR="00C24E82" w:rsidRPr="00222975" w14:paraId="429DDBB4" w14:textId="77777777" w:rsidTr="00721796">
        <w:tc>
          <w:tcPr>
            <w:tcW w:w="1101" w:type="dxa"/>
            <w:vMerge w:val="restart"/>
            <w:tcBorders>
              <w:top w:val="single" w:sz="24" w:space="0" w:color="auto"/>
              <w:left w:val="nil"/>
              <w:right w:val="nil"/>
            </w:tcBorders>
          </w:tcPr>
          <w:p w14:paraId="13FDE529" w14:textId="77777777" w:rsidR="00C24E82" w:rsidRPr="00F15481" w:rsidRDefault="00C24E82" w:rsidP="00721796">
            <w:pPr>
              <w:rPr>
                <w:rFonts w:ascii="Calibri" w:hAnsi="Calibri"/>
                <w:b/>
                <w:color w:val="000000" w:themeColor="text1"/>
                <w:sz w:val="16"/>
                <w:szCs w:val="16"/>
              </w:rPr>
            </w:pPr>
            <w:r w:rsidRPr="00F15481">
              <w:rPr>
                <w:rFonts w:ascii="Calibri" w:hAnsi="Calibri"/>
                <w:b/>
                <w:color w:val="000000" w:themeColor="text1"/>
                <w:sz w:val="16"/>
                <w:szCs w:val="16"/>
              </w:rPr>
              <w:t>CARIFORUM</w:t>
            </w:r>
          </w:p>
        </w:tc>
        <w:tc>
          <w:tcPr>
            <w:tcW w:w="992" w:type="dxa"/>
            <w:vMerge w:val="restart"/>
            <w:tcBorders>
              <w:top w:val="single" w:sz="24" w:space="0" w:color="auto"/>
              <w:left w:val="nil"/>
              <w:right w:val="nil"/>
            </w:tcBorders>
          </w:tcPr>
          <w:p w14:paraId="0E4D10CB" w14:textId="77777777" w:rsidR="00C24E82" w:rsidRPr="00222975" w:rsidRDefault="00C24E82" w:rsidP="00721796">
            <w:pPr>
              <w:rPr>
                <w:rFonts w:ascii="Calibri" w:hAnsi="Calibri"/>
                <w:color w:val="000000" w:themeColor="text1"/>
                <w:sz w:val="16"/>
                <w:szCs w:val="16"/>
              </w:rPr>
            </w:pPr>
            <w:r w:rsidRPr="00222975">
              <w:rPr>
                <w:rFonts w:ascii="Calibri" w:hAnsi="Calibri"/>
                <w:color w:val="000000" w:themeColor="text1"/>
                <w:sz w:val="16"/>
                <w:szCs w:val="16"/>
              </w:rPr>
              <w:t>Non-LDCs</w:t>
            </w:r>
          </w:p>
        </w:tc>
        <w:tc>
          <w:tcPr>
            <w:tcW w:w="1701" w:type="dxa"/>
            <w:tcBorders>
              <w:top w:val="single" w:sz="24" w:space="0" w:color="auto"/>
              <w:left w:val="nil"/>
              <w:bottom w:val="nil"/>
              <w:right w:val="nil"/>
            </w:tcBorders>
            <w:vAlign w:val="bottom"/>
          </w:tcPr>
          <w:p w14:paraId="3D89E661" w14:textId="77777777" w:rsidR="00C24E82" w:rsidRPr="00222975" w:rsidRDefault="00C24E82" w:rsidP="00721796">
            <w:pPr>
              <w:rPr>
                <w:rFonts w:ascii="Calibri" w:eastAsia="Times New Roman" w:hAnsi="Calibri" w:cs="Times New Roman"/>
                <w:color w:val="000000" w:themeColor="text1"/>
                <w:sz w:val="16"/>
                <w:szCs w:val="16"/>
              </w:rPr>
            </w:pPr>
            <w:r w:rsidRPr="00222975">
              <w:rPr>
                <w:rFonts w:ascii="Calibri" w:eastAsia="Times New Roman" w:hAnsi="Calibri" w:cs="Times New Roman"/>
                <w:color w:val="000000" w:themeColor="text1"/>
                <w:sz w:val="16"/>
                <w:szCs w:val="16"/>
              </w:rPr>
              <w:t>Belize</w:t>
            </w:r>
          </w:p>
        </w:tc>
        <w:tc>
          <w:tcPr>
            <w:tcW w:w="1134" w:type="dxa"/>
            <w:tcBorders>
              <w:top w:val="single" w:sz="24" w:space="0" w:color="auto"/>
              <w:left w:val="nil"/>
              <w:bottom w:val="nil"/>
              <w:right w:val="nil"/>
            </w:tcBorders>
            <w:vAlign w:val="bottom"/>
          </w:tcPr>
          <w:p w14:paraId="6E57FEA3"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30.2</w:t>
            </w:r>
          </w:p>
        </w:tc>
        <w:tc>
          <w:tcPr>
            <w:tcW w:w="1276" w:type="dxa"/>
            <w:tcBorders>
              <w:top w:val="single" w:sz="24" w:space="0" w:color="auto"/>
              <w:left w:val="nil"/>
              <w:bottom w:val="nil"/>
              <w:right w:val="nil"/>
            </w:tcBorders>
            <w:vAlign w:val="bottom"/>
          </w:tcPr>
          <w:p w14:paraId="40D0A688"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75.1</w:t>
            </w:r>
          </w:p>
        </w:tc>
        <w:tc>
          <w:tcPr>
            <w:tcW w:w="992" w:type="dxa"/>
            <w:tcBorders>
              <w:top w:val="single" w:sz="24" w:space="0" w:color="auto"/>
              <w:left w:val="nil"/>
              <w:bottom w:val="nil"/>
              <w:right w:val="nil"/>
            </w:tcBorders>
            <w:vAlign w:val="bottom"/>
          </w:tcPr>
          <w:p w14:paraId="1F9177DD"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single" w:sz="24" w:space="0" w:color="auto"/>
              <w:left w:val="nil"/>
              <w:bottom w:val="nil"/>
              <w:right w:val="nil"/>
            </w:tcBorders>
            <w:vAlign w:val="bottom"/>
          </w:tcPr>
          <w:p w14:paraId="2AB02590"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747AB940" w14:textId="77777777" w:rsidTr="00721796">
        <w:tc>
          <w:tcPr>
            <w:tcW w:w="1101" w:type="dxa"/>
            <w:vMerge/>
            <w:tcBorders>
              <w:left w:val="nil"/>
              <w:right w:val="nil"/>
            </w:tcBorders>
          </w:tcPr>
          <w:p w14:paraId="3D0272CA" w14:textId="77777777" w:rsidR="00C24E82" w:rsidRPr="00F15481" w:rsidRDefault="00C24E82" w:rsidP="00721796">
            <w:pPr>
              <w:rPr>
                <w:rFonts w:ascii="Calibri" w:hAnsi="Calibri"/>
                <w:b/>
                <w:color w:val="000000" w:themeColor="text1"/>
                <w:sz w:val="16"/>
                <w:szCs w:val="16"/>
              </w:rPr>
            </w:pPr>
          </w:p>
        </w:tc>
        <w:tc>
          <w:tcPr>
            <w:tcW w:w="992" w:type="dxa"/>
            <w:vMerge/>
            <w:tcBorders>
              <w:left w:val="nil"/>
              <w:right w:val="nil"/>
            </w:tcBorders>
          </w:tcPr>
          <w:p w14:paraId="21FA8687"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2307A609" w14:textId="77777777" w:rsidR="00C24E82" w:rsidRPr="00222975" w:rsidRDefault="00C24E82" w:rsidP="00721796">
            <w:pPr>
              <w:rPr>
                <w:rFonts w:ascii="Calibri" w:eastAsia="Times New Roman" w:hAnsi="Calibri" w:cs="Times New Roman"/>
                <w:color w:val="000000" w:themeColor="text1"/>
                <w:sz w:val="16"/>
                <w:szCs w:val="16"/>
              </w:rPr>
            </w:pPr>
            <w:r w:rsidRPr="00222975">
              <w:rPr>
                <w:rFonts w:ascii="Calibri" w:eastAsia="Times New Roman" w:hAnsi="Calibri" w:cs="Times New Roman"/>
                <w:color w:val="000000" w:themeColor="text1"/>
                <w:sz w:val="16"/>
                <w:szCs w:val="16"/>
              </w:rPr>
              <w:t>Guyana</w:t>
            </w:r>
          </w:p>
        </w:tc>
        <w:tc>
          <w:tcPr>
            <w:tcW w:w="1134" w:type="dxa"/>
            <w:tcBorders>
              <w:top w:val="nil"/>
              <w:left w:val="nil"/>
              <w:bottom w:val="nil"/>
              <w:right w:val="nil"/>
            </w:tcBorders>
            <w:vAlign w:val="bottom"/>
          </w:tcPr>
          <w:p w14:paraId="77797B90"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24</w:t>
            </w:r>
          </w:p>
        </w:tc>
        <w:tc>
          <w:tcPr>
            <w:tcW w:w="1276" w:type="dxa"/>
            <w:tcBorders>
              <w:top w:val="nil"/>
              <w:left w:val="nil"/>
              <w:bottom w:val="nil"/>
              <w:right w:val="nil"/>
            </w:tcBorders>
            <w:vAlign w:val="bottom"/>
          </w:tcPr>
          <w:p w14:paraId="0A862A6B"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72.3</w:t>
            </w:r>
          </w:p>
        </w:tc>
        <w:tc>
          <w:tcPr>
            <w:tcW w:w="992" w:type="dxa"/>
            <w:tcBorders>
              <w:top w:val="nil"/>
              <w:left w:val="nil"/>
              <w:bottom w:val="nil"/>
              <w:right w:val="nil"/>
            </w:tcBorders>
            <w:vAlign w:val="bottom"/>
          </w:tcPr>
          <w:p w14:paraId="5815FBF3"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5E6F7224"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1ED04859" w14:textId="77777777" w:rsidTr="00721796">
        <w:tc>
          <w:tcPr>
            <w:tcW w:w="1101" w:type="dxa"/>
            <w:vMerge/>
            <w:tcBorders>
              <w:left w:val="nil"/>
              <w:right w:val="nil"/>
            </w:tcBorders>
          </w:tcPr>
          <w:p w14:paraId="2321B4DA" w14:textId="77777777" w:rsidR="00C24E82" w:rsidRPr="00F15481" w:rsidRDefault="00C24E82" w:rsidP="00721796">
            <w:pPr>
              <w:rPr>
                <w:rFonts w:ascii="Calibri" w:hAnsi="Calibri"/>
                <w:b/>
                <w:color w:val="000000" w:themeColor="text1"/>
                <w:sz w:val="16"/>
                <w:szCs w:val="16"/>
              </w:rPr>
            </w:pPr>
          </w:p>
        </w:tc>
        <w:tc>
          <w:tcPr>
            <w:tcW w:w="992" w:type="dxa"/>
            <w:vMerge/>
            <w:tcBorders>
              <w:left w:val="nil"/>
              <w:right w:val="nil"/>
            </w:tcBorders>
          </w:tcPr>
          <w:p w14:paraId="5F23D88C"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7D376C64" w14:textId="77777777" w:rsidR="00C24E82" w:rsidRPr="00222975" w:rsidRDefault="00C24E82" w:rsidP="00721796">
            <w:pPr>
              <w:rPr>
                <w:rFonts w:ascii="Calibri" w:eastAsia="Times New Roman" w:hAnsi="Calibri" w:cs="Times New Roman"/>
                <w:color w:val="000000" w:themeColor="text1"/>
                <w:sz w:val="16"/>
                <w:szCs w:val="16"/>
              </w:rPr>
            </w:pPr>
            <w:r w:rsidRPr="00222975">
              <w:rPr>
                <w:rFonts w:ascii="Calibri" w:eastAsia="Times New Roman" w:hAnsi="Calibri" w:cs="Times New Roman"/>
                <w:color w:val="000000" w:themeColor="text1"/>
                <w:sz w:val="16"/>
                <w:szCs w:val="16"/>
              </w:rPr>
              <w:t>Grenada</w:t>
            </w:r>
          </w:p>
        </w:tc>
        <w:tc>
          <w:tcPr>
            <w:tcW w:w="1134" w:type="dxa"/>
            <w:tcBorders>
              <w:top w:val="nil"/>
              <w:left w:val="nil"/>
              <w:bottom w:val="nil"/>
              <w:right w:val="nil"/>
            </w:tcBorders>
            <w:vAlign w:val="bottom"/>
          </w:tcPr>
          <w:p w14:paraId="524629FE"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23.1</w:t>
            </w:r>
          </w:p>
        </w:tc>
        <w:tc>
          <w:tcPr>
            <w:tcW w:w="1276" w:type="dxa"/>
            <w:tcBorders>
              <w:top w:val="nil"/>
              <w:left w:val="nil"/>
              <w:bottom w:val="nil"/>
              <w:right w:val="nil"/>
            </w:tcBorders>
            <w:vAlign w:val="bottom"/>
          </w:tcPr>
          <w:p w14:paraId="68C5E43D"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9.1</w:t>
            </w:r>
          </w:p>
        </w:tc>
        <w:tc>
          <w:tcPr>
            <w:tcW w:w="992" w:type="dxa"/>
            <w:tcBorders>
              <w:top w:val="nil"/>
              <w:left w:val="nil"/>
              <w:bottom w:val="nil"/>
              <w:right w:val="nil"/>
            </w:tcBorders>
            <w:vAlign w:val="bottom"/>
          </w:tcPr>
          <w:p w14:paraId="0AD1F8BE"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344038D0"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51BB2D16" w14:textId="77777777" w:rsidTr="00721796">
        <w:tc>
          <w:tcPr>
            <w:tcW w:w="1101" w:type="dxa"/>
            <w:vMerge/>
            <w:tcBorders>
              <w:left w:val="nil"/>
              <w:right w:val="nil"/>
            </w:tcBorders>
          </w:tcPr>
          <w:p w14:paraId="37744E6E" w14:textId="77777777" w:rsidR="00C24E82" w:rsidRPr="00F15481" w:rsidRDefault="00C24E82" w:rsidP="00721796">
            <w:pPr>
              <w:rPr>
                <w:rFonts w:ascii="Calibri" w:hAnsi="Calibri"/>
                <w:b/>
                <w:color w:val="000000" w:themeColor="text1"/>
                <w:sz w:val="16"/>
                <w:szCs w:val="16"/>
              </w:rPr>
            </w:pPr>
          </w:p>
        </w:tc>
        <w:tc>
          <w:tcPr>
            <w:tcW w:w="992" w:type="dxa"/>
            <w:vMerge/>
            <w:tcBorders>
              <w:left w:val="nil"/>
              <w:right w:val="nil"/>
            </w:tcBorders>
          </w:tcPr>
          <w:p w14:paraId="03F1B279"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6A587DA2" w14:textId="77777777" w:rsidR="00C24E82" w:rsidRPr="00222975" w:rsidRDefault="00C24E82" w:rsidP="00721796">
            <w:pPr>
              <w:rPr>
                <w:rFonts w:ascii="Calibri" w:eastAsia="Times New Roman" w:hAnsi="Calibri" w:cs="Times New Roman"/>
                <w:color w:val="000000" w:themeColor="text1"/>
                <w:sz w:val="16"/>
                <w:szCs w:val="16"/>
              </w:rPr>
            </w:pPr>
            <w:r w:rsidRPr="00222975">
              <w:rPr>
                <w:rFonts w:ascii="Calibri" w:eastAsia="Times New Roman" w:hAnsi="Calibri" w:cs="Times New Roman"/>
                <w:color w:val="000000" w:themeColor="text1"/>
                <w:sz w:val="16"/>
                <w:szCs w:val="16"/>
              </w:rPr>
              <w:t>Jamaica</w:t>
            </w:r>
          </w:p>
        </w:tc>
        <w:tc>
          <w:tcPr>
            <w:tcW w:w="1134" w:type="dxa"/>
            <w:tcBorders>
              <w:top w:val="nil"/>
              <w:left w:val="nil"/>
              <w:bottom w:val="nil"/>
              <w:right w:val="nil"/>
            </w:tcBorders>
            <w:vAlign w:val="bottom"/>
          </w:tcPr>
          <w:p w14:paraId="5FD89A19"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22.9</w:t>
            </w:r>
          </w:p>
        </w:tc>
        <w:tc>
          <w:tcPr>
            <w:tcW w:w="1276" w:type="dxa"/>
            <w:tcBorders>
              <w:top w:val="nil"/>
              <w:left w:val="nil"/>
              <w:bottom w:val="nil"/>
              <w:right w:val="nil"/>
            </w:tcBorders>
            <w:vAlign w:val="bottom"/>
          </w:tcPr>
          <w:p w14:paraId="139CA0A7"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47.6</w:t>
            </w:r>
          </w:p>
        </w:tc>
        <w:tc>
          <w:tcPr>
            <w:tcW w:w="992" w:type="dxa"/>
            <w:tcBorders>
              <w:top w:val="nil"/>
              <w:left w:val="nil"/>
              <w:bottom w:val="nil"/>
              <w:right w:val="nil"/>
            </w:tcBorders>
            <w:vAlign w:val="bottom"/>
          </w:tcPr>
          <w:p w14:paraId="7ACBEBE6"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7C25D076"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613EDC30" w14:textId="77777777" w:rsidTr="00721796">
        <w:tc>
          <w:tcPr>
            <w:tcW w:w="1101" w:type="dxa"/>
            <w:vMerge/>
            <w:tcBorders>
              <w:left w:val="nil"/>
              <w:right w:val="nil"/>
            </w:tcBorders>
          </w:tcPr>
          <w:p w14:paraId="14BD8654" w14:textId="77777777" w:rsidR="00C24E82" w:rsidRPr="00F15481" w:rsidRDefault="00C24E82" w:rsidP="00721796">
            <w:pPr>
              <w:rPr>
                <w:rFonts w:ascii="Calibri" w:hAnsi="Calibri"/>
                <w:b/>
                <w:color w:val="000000" w:themeColor="text1"/>
                <w:sz w:val="16"/>
                <w:szCs w:val="16"/>
              </w:rPr>
            </w:pPr>
          </w:p>
        </w:tc>
        <w:tc>
          <w:tcPr>
            <w:tcW w:w="992" w:type="dxa"/>
            <w:vMerge/>
            <w:tcBorders>
              <w:left w:val="nil"/>
              <w:right w:val="nil"/>
            </w:tcBorders>
          </w:tcPr>
          <w:p w14:paraId="45D6F61E"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62ACC02D" w14:textId="77777777" w:rsidR="00C24E82" w:rsidRPr="00222975" w:rsidRDefault="00C24E82" w:rsidP="00721796">
            <w:pPr>
              <w:rPr>
                <w:rFonts w:ascii="Calibri" w:eastAsia="Times New Roman" w:hAnsi="Calibri" w:cs="Times New Roman"/>
                <w:color w:val="000000" w:themeColor="text1"/>
                <w:sz w:val="16"/>
                <w:szCs w:val="16"/>
              </w:rPr>
            </w:pPr>
            <w:r w:rsidRPr="00222975">
              <w:rPr>
                <w:rFonts w:ascii="Calibri" w:eastAsia="Times New Roman" w:hAnsi="Calibri" w:cs="Times New Roman"/>
                <w:color w:val="000000" w:themeColor="text1"/>
                <w:sz w:val="16"/>
                <w:szCs w:val="16"/>
              </w:rPr>
              <w:t>St Lucia</w:t>
            </w:r>
          </w:p>
        </w:tc>
        <w:tc>
          <w:tcPr>
            <w:tcW w:w="1134" w:type="dxa"/>
            <w:tcBorders>
              <w:top w:val="nil"/>
              <w:left w:val="nil"/>
              <w:bottom w:val="nil"/>
              <w:right w:val="nil"/>
            </w:tcBorders>
            <w:vAlign w:val="bottom"/>
          </w:tcPr>
          <w:p w14:paraId="1855720A"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20.9</w:t>
            </w:r>
          </w:p>
        </w:tc>
        <w:tc>
          <w:tcPr>
            <w:tcW w:w="1276" w:type="dxa"/>
            <w:tcBorders>
              <w:top w:val="nil"/>
              <w:left w:val="nil"/>
              <w:bottom w:val="nil"/>
              <w:right w:val="nil"/>
            </w:tcBorders>
            <w:vAlign w:val="bottom"/>
          </w:tcPr>
          <w:p w14:paraId="2104AE7E"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27.4</w:t>
            </w:r>
          </w:p>
        </w:tc>
        <w:tc>
          <w:tcPr>
            <w:tcW w:w="992" w:type="dxa"/>
            <w:tcBorders>
              <w:top w:val="nil"/>
              <w:left w:val="nil"/>
              <w:bottom w:val="nil"/>
              <w:right w:val="nil"/>
            </w:tcBorders>
            <w:vAlign w:val="bottom"/>
          </w:tcPr>
          <w:p w14:paraId="4BA6EED7"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5E258A7E"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61408E01" w14:textId="77777777" w:rsidTr="00721796">
        <w:tc>
          <w:tcPr>
            <w:tcW w:w="1101" w:type="dxa"/>
            <w:vMerge/>
            <w:tcBorders>
              <w:left w:val="nil"/>
              <w:right w:val="nil"/>
            </w:tcBorders>
          </w:tcPr>
          <w:p w14:paraId="4392042A" w14:textId="77777777" w:rsidR="00C24E82" w:rsidRPr="00F15481" w:rsidRDefault="00C24E82" w:rsidP="00721796">
            <w:pPr>
              <w:rPr>
                <w:rFonts w:ascii="Calibri" w:hAnsi="Calibri"/>
                <w:b/>
                <w:color w:val="000000" w:themeColor="text1"/>
                <w:sz w:val="16"/>
                <w:szCs w:val="16"/>
              </w:rPr>
            </w:pPr>
          </w:p>
        </w:tc>
        <w:tc>
          <w:tcPr>
            <w:tcW w:w="992" w:type="dxa"/>
            <w:vMerge/>
            <w:tcBorders>
              <w:left w:val="nil"/>
              <w:right w:val="nil"/>
            </w:tcBorders>
          </w:tcPr>
          <w:p w14:paraId="53B69A38"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1F4743D1" w14:textId="77777777" w:rsidR="00C24E82" w:rsidRPr="00222975" w:rsidRDefault="00C24E82" w:rsidP="00721796">
            <w:pPr>
              <w:rPr>
                <w:rFonts w:ascii="Calibri" w:eastAsia="Times New Roman" w:hAnsi="Calibri" w:cs="Times New Roman"/>
                <w:color w:val="000000" w:themeColor="text1"/>
                <w:sz w:val="16"/>
                <w:szCs w:val="16"/>
              </w:rPr>
            </w:pPr>
            <w:r w:rsidRPr="00222975">
              <w:rPr>
                <w:rFonts w:ascii="Calibri" w:eastAsia="Times New Roman" w:hAnsi="Calibri" w:cs="Times New Roman"/>
                <w:color w:val="000000" w:themeColor="text1"/>
                <w:sz w:val="16"/>
                <w:szCs w:val="16"/>
              </w:rPr>
              <w:t>Dominica</w:t>
            </w:r>
          </w:p>
        </w:tc>
        <w:tc>
          <w:tcPr>
            <w:tcW w:w="1134" w:type="dxa"/>
            <w:tcBorders>
              <w:top w:val="nil"/>
              <w:left w:val="nil"/>
              <w:bottom w:val="nil"/>
              <w:right w:val="nil"/>
            </w:tcBorders>
            <w:vAlign w:val="bottom"/>
          </w:tcPr>
          <w:p w14:paraId="0C016ADE"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20.6</w:t>
            </w:r>
          </w:p>
        </w:tc>
        <w:tc>
          <w:tcPr>
            <w:tcW w:w="1276" w:type="dxa"/>
            <w:tcBorders>
              <w:top w:val="nil"/>
              <w:left w:val="nil"/>
              <w:bottom w:val="nil"/>
              <w:right w:val="nil"/>
            </w:tcBorders>
            <w:vAlign w:val="bottom"/>
          </w:tcPr>
          <w:p w14:paraId="2D6D7422"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42</w:t>
            </w:r>
          </w:p>
        </w:tc>
        <w:tc>
          <w:tcPr>
            <w:tcW w:w="992" w:type="dxa"/>
            <w:tcBorders>
              <w:top w:val="nil"/>
              <w:left w:val="nil"/>
              <w:bottom w:val="nil"/>
              <w:right w:val="nil"/>
            </w:tcBorders>
            <w:vAlign w:val="bottom"/>
          </w:tcPr>
          <w:p w14:paraId="5B0CF9A4"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1BD1F8C0"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7DBE7097" w14:textId="77777777" w:rsidTr="00721796">
        <w:tc>
          <w:tcPr>
            <w:tcW w:w="1101" w:type="dxa"/>
            <w:vMerge/>
            <w:tcBorders>
              <w:left w:val="nil"/>
              <w:right w:val="nil"/>
            </w:tcBorders>
          </w:tcPr>
          <w:p w14:paraId="0494954F" w14:textId="77777777" w:rsidR="00C24E82" w:rsidRPr="00F15481" w:rsidRDefault="00C24E82" w:rsidP="00721796">
            <w:pPr>
              <w:rPr>
                <w:rFonts w:ascii="Calibri" w:hAnsi="Calibri"/>
                <w:b/>
                <w:color w:val="000000" w:themeColor="text1"/>
                <w:sz w:val="16"/>
                <w:szCs w:val="16"/>
              </w:rPr>
            </w:pPr>
          </w:p>
        </w:tc>
        <w:tc>
          <w:tcPr>
            <w:tcW w:w="992" w:type="dxa"/>
            <w:vMerge/>
            <w:tcBorders>
              <w:left w:val="nil"/>
              <w:right w:val="nil"/>
            </w:tcBorders>
          </w:tcPr>
          <w:p w14:paraId="53309C1D"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0AE1E904" w14:textId="77777777" w:rsidR="00C24E82" w:rsidRPr="00222975" w:rsidRDefault="00C24E82" w:rsidP="00721796">
            <w:pPr>
              <w:rPr>
                <w:rFonts w:ascii="Calibri" w:eastAsia="Times New Roman" w:hAnsi="Calibri" w:cs="Times New Roman"/>
                <w:color w:val="000000" w:themeColor="text1"/>
                <w:sz w:val="16"/>
                <w:szCs w:val="16"/>
              </w:rPr>
            </w:pPr>
            <w:r w:rsidRPr="00222975">
              <w:rPr>
                <w:rFonts w:ascii="Calibri" w:eastAsia="Times New Roman" w:hAnsi="Calibri" w:cs="Times New Roman"/>
                <w:color w:val="000000" w:themeColor="text1"/>
                <w:sz w:val="16"/>
                <w:szCs w:val="16"/>
              </w:rPr>
              <w:t>Suriname</w:t>
            </w:r>
          </w:p>
        </w:tc>
        <w:tc>
          <w:tcPr>
            <w:tcW w:w="1134" w:type="dxa"/>
            <w:tcBorders>
              <w:top w:val="nil"/>
              <w:left w:val="nil"/>
              <w:bottom w:val="nil"/>
              <w:right w:val="nil"/>
            </w:tcBorders>
            <w:vAlign w:val="bottom"/>
          </w:tcPr>
          <w:p w14:paraId="17B5082F"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15.4</w:t>
            </w:r>
          </w:p>
        </w:tc>
        <w:tc>
          <w:tcPr>
            <w:tcW w:w="1276" w:type="dxa"/>
            <w:tcBorders>
              <w:top w:val="nil"/>
              <w:left w:val="nil"/>
              <w:bottom w:val="nil"/>
              <w:right w:val="nil"/>
            </w:tcBorders>
            <w:vAlign w:val="bottom"/>
          </w:tcPr>
          <w:p w14:paraId="1707C2BA"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44.8</w:t>
            </w:r>
          </w:p>
        </w:tc>
        <w:tc>
          <w:tcPr>
            <w:tcW w:w="992" w:type="dxa"/>
            <w:tcBorders>
              <w:top w:val="nil"/>
              <w:left w:val="nil"/>
              <w:bottom w:val="nil"/>
              <w:right w:val="nil"/>
            </w:tcBorders>
            <w:vAlign w:val="bottom"/>
          </w:tcPr>
          <w:p w14:paraId="1FC61045"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0C6AF179"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4715BC2D" w14:textId="77777777" w:rsidTr="00721796">
        <w:tc>
          <w:tcPr>
            <w:tcW w:w="1101" w:type="dxa"/>
            <w:vMerge/>
            <w:tcBorders>
              <w:left w:val="nil"/>
              <w:right w:val="nil"/>
            </w:tcBorders>
          </w:tcPr>
          <w:p w14:paraId="0DF2558F" w14:textId="77777777" w:rsidR="00C24E82" w:rsidRPr="00F15481" w:rsidRDefault="00C24E82" w:rsidP="00721796">
            <w:pPr>
              <w:rPr>
                <w:rFonts w:ascii="Calibri" w:hAnsi="Calibri"/>
                <w:b/>
                <w:color w:val="000000" w:themeColor="text1"/>
                <w:sz w:val="16"/>
                <w:szCs w:val="16"/>
              </w:rPr>
            </w:pPr>
          </w:p>
        </w:tc>
        <w:tc>
          <w:tcPr>
            <w:tcW w:w="992" w:type="dxa"/>
            <w:vMerge/>
            <w:tcBorders>
              <w:left w:val="nil"/>
              <w:right w:val="nil"/>
            </w:tcBorders>
          </w:tcPr>
          <w:p w14:paraId="24C8F670"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4CA2F5F6" w14:textId="77777777" w:rsidR="00C24E82" w:rsidRPr="00222975" w:rsidRDefault="00C24E82" w:rsidP="00721796">
            <w:pPr>
              <w:rPr>
                <w:rFonts w:ascii="Calibri" w:eastAsia="Times New Roman" w:hAnsi="Calibri" w:cs="Times New Roman"/>
                <w:color w:val="000000" w:themeColor="text1"/>
                <w:sz w:val="16"/>
                <w:szCs w:val="16"/>
              </w:rPr>
            </w:pPr>
            <w:r w:rsidRPr="00222975">
              <w:rPr>
                <w:rFonts w:ascii="Calibri" w:eastAsia="Times New Roman" w:hAnsi="Calibri" w:cs="Times New Roman"/>
                <w:color w:val="000000" w:themeColor="text1"/>
                <w:sz w:val="16"/>
                <w:szCs w:val="16"/>
              </w:rPr>
              <w:t>Antigua and Barbuda</w:t>
            </w:r>
          </w:p>
        </w:tc>
        <w:tc>
          <w:tcPr>
            <w:tcW w:w="1134" w:type="dxa"/>
            <w:tcBorders>
              <w:top w:val="nil"/>
              <w:left w:val="nil"/>
              <w:bottom w:val="nil"/>
              <w:right w:val="nil"/>
            </w:tcBorders>
            <w:vAlign w:val="bottom"/>
          </w:tcPr>
          <w:p w14:paraId="22C2BEF4"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15.1</w:t>
            </w:r>
          </w:p>
        </w:tc>
        <w:tc>
          <w:tcPr>
            <w:tcW w:w="1276" w:type="dxa"/>
            <w:tcBorders>
              <w:top w:val="nil"/>
              <w:left w:val="nil"/>
              <w:bottom w:val="nil"/>
              <w:right w:val="nil"/>
            </w:tcBorders>
            <w:vAlign w:val="bottom"/>
          </w:tcPr>
          <w:p w14:paraId="24244F4A"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1.4</w:t>
            </w:r>
          </w:p>
        </w:tc>
        <w:tc>
          <w:tcPr>
            <w:tcW w:w="992" w:type="dxa"/>
            <w:tcBorders>
              <w:top w:val="nil"/>
              <w:left w:val="nil"/>
              <w:bottom w:val="nil"/>
              <w:right w:val="nil"/>
            </w:tcBorders>
            <w:vAlign w:val="bottom"/>
          </w:tcPr>
          <w:p w14:paraId="200289A6"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1C676EE3"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376DBD51" w14:textId="77777777" w:rsidTr="00721796">
        <w:tc>
          <w:tcPr>
            <w:tcW w:w="1101" w:type="dxa"/>
            <w:vMerge/>
            <w:tcBorders>
              <w:left w:val="nil"/>
              <w:right w:val="nil"/>
            </w:tcBorders>
          </w:tcPr>
          <w:p w14:paraId="27E0EFA7" w14:textId="77777777" w:rsidR="00C24E82" w:rsidRPr="00F15481" w:rsidRDefault="00C24E82" w:rsidP="00721796">
            <w:pPr>
              <w:rPr>
                <w:rFonts w:ascii="Calibri" w:hAnsi="Calibri"/>
                <w:b/>
                <w:color w:val="000000" w:themeColor="text1"/>
                <w:sz w:val="16"/>
                <w:szCs w:val="16"/>
              </w:rPr>
            </w:pPr>
          </w:p>
        </w:tc>
        <w:tc>
          <w:tcPr>
            <w:tcW w:w="992" w:type="dxa"/>
            <w:vMerge/>
            <w:tcBorders>
              <w:left w:val="nil"/>
              <w:right w:val="nil"/>
            </w:tcBorders>
          </w:tcPr>
          <w:p w14:paraId="7B56A352"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45C46FD5" w14:textId="77777777" w:rsidR="00C24E82" w:rsidRPr="00222975" w:rsidRDefault="00C24E82" w:rsidP="00721796">
            <w:pPr>
              <w:rPr>
                <w:rFonts w:ascii="Calibri" w:eastAsia="Times New Roman" w:hAnsi="Calibri" w:cs="Times New Roman"/>
                <w:color w:val="000000" w:themeColor="text1"/>
                <w:sz w:val="16"/>
                <w:szCs w:val="16"/>
              </w:rPr>
            </w:pPr>
            <w:r w:rsidRPr="00222975">
              <w:rPr>
                <w:rFonts w:ascii="Calibri" w:eastAsia="Times New Roman" w:hAnsi="Calibri" w:cs="Times New Roman"/>
                <w:color w:val="000000" w:themeColor="text1"/>
                <w:sz w:val="16"/>
                <w:szCs w:val="16"/>
              </w:rPr>
              <w:t>Bahamas</w:t>
            </w:r>
          </w:p>
        </w:tc>
        <w:tc>
          <w:tcPr>
            <w:tcW w:w="1134" w:type="dxa"/>
            <w:tcBorders>
              <w:top w:val="nil"/>
              <w:left w:val="nil"/>
              <w:bottom w:val="nil"/>
              <w:right w:val="nil"/>
            </w:tcBorders>
            <w:vAlign w:val="bottom"/>
          </w:tcPr>
          <w:p w14:paraId="1C031FB7"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13.1</w:t>
            </w:r>
          </w:p>
        </w:tc>
        <w:tc>
          <w:tcPr>
            <w:tcW w:w="1276" w:type="dxa"/>
            <w:tcBorders>
              <w:top w:val="nil"/>
              <w:left w:val="nil"/>
              <w:bottom w:val="nil"/>
              <w:right w:val="nil"/>
            </w:tcBorders>
            <w:vAlign w:val="bottom"/>
          </w:tcPr>
          <w:p w14:paraId="3EE46115"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3.4</w:t>
            </w:r>
          </w:p>
        </w:tc>
        <w:tc>
          <w:tcPr>
            <w:tcW w:w="992" w:type="dxa"/>
            <w:tcBorders>
              <w:top w:val="nil"/>
              <w:left w:val="nil"/>
              <w:bottom w:val="nil"/>
              <w:right w:val="nil"/>
            </w:tcBorders>
            <w:vAlign w:val="bottom"/>
          </w:tcPr>
          <w:p w14:paraId="5A6D45E8"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2D1FC8F9"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0672181B" w14:textId="77777777" w:rsidTr="00721796">
        <w:tc>
          <w:tcPr>
            <w:tcW w:w="1101" w:type="dxa"/>
            <w:vMerge/>
            <w:tcBorders>
              <w:left w:val="nil"/>
              <w:right w:val="nil"/>
            </w:tcBorders>
          </w:tcPr>
          <w:p w14:paraId="0804A37F" w14:textId="77777777" w:rsidR="00C24E82" w:rsidRPr="00F15481" w:rsidRDefault="00C24E82" w:rsidP="00721796">
            <w:pPr>
              <w:rPr>
                <w:rFonts w:ascii="Calibri" w:hAnsi="Calibri"/>
                <w:b/>
                <w:color w:val="000000" w:themeColor="text1"/>
                <w:sz w:val="16"/>
                <w:szCs w:val="16"/>
              </w:rPr>
            </w:pPr>
          </w:p>
        </w:tc>
        <w:tc>
          <w:tcPr>
            <w:tcW w:w="992" w:type="dxa"/>
            <w:vMerge/>
            <w:tcBorders>
              <w:left w:val="nil"/>
              <w:right w:val="nil"/>
            </w:tcBorders>
          </w:tcPr>
          <w:p w14:paraId="3500F529"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00C9FE50" w14:textId="77777777" w:rsidR="00C24E82" w:rsidRPr="00222975" w:rsidRDefault="00C24E82" w:rsidP="00721796">
            <w:pPr>
              <w:rPr>
                <w:rFonts w:ascii="Calibri" w:eastAsia="Times New Roman" w:hAnsi="Calibri" w:cs="Times New Roman"/>
                <w:color w:val="000000" w:themeColor="text1"/>
                <w:sz w:val="16"/>
                <w:szCs w:val="16"/>
              </w:rPr>
            </w:pPr>
            <w:r w:rsidRPr="00222975">
              <w:rPr>
                <w:rFonts w:ascii="Calibri" w:eastAsia="Times New Roman" w:hAnsi="Calibri" w:cs="Times New Roman"/>
                <w:color w:val="000000" w:themeColor="text1"/>
                <w:sz w:val="16"/>
                <w:szCs w:val="16"/>
              </w:rPr>
              <w:t>Saint Vincent</w:t>
            </w:r>
          </w:p>
        </w:tc>
        <w:tc>
          <w:tcPr>
            <w:tcW w:w="1134" w:type="dxa"/>
            <w:tcBorders>
              <w:top w:val="nil"/>
              <w:left w:val="nil"/>
              <w:bottom w:val="nil"/>
              <w:right w:val="nil"/>
            </w:tcBorders>
            <w:vAlign w:val="bottom"/>
          </w:tcPr>
          <w:p w14:paraId="602E036D"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12.7</w:t>
            </w:r>
          </w:p>
        </w:tc>
        <w:tc>
          <w:tcPr>
            <w:tcW w:w="1276" w:type="dxa"/>
            <w:tcBorders>
              <w:top w:val="nil"/>
              <w:left w:val="nil"/>
              <w:bottom w:val="nil"/>
              <w:right w:val="nil"/>
            </w:tcBorders>
            <w:vAlign w:val="bottom"/>
          </w:tcPr>
          <w:p w14:paraId="6046478F"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3.9</w:t>
            </w:r>
          </w:p>
        </w:tc>
        <w:tc>
          <w:tcPr>
            <w:tcW w:w="992" w:type="dxa"/>
            <w:tcBorders>
              <w:top w:val="nil"/>
              <w:left w:val="nil"/>
              <w:bottom w:val="nil"/>
              <w:right w:val="nil"/>
            </w:tcBorders>
            <w:vAlign w:val="bottom"/>
          </w:tcPr>
          <w:p w14:paraId="033431E3"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046A8B63"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68793960" w14:textId="77777777" w:rsidTr="00721796">
        <w:tc>
          <w:tcPr>
            <w:tcW w:w="1101" w:type="dxa"/>
            <w:vMerge/>
            <w:tcBorders>
              <w:left w:val="nil"/>
              <w:right w:val="nil"/>
            </w:tcBorders>
          </w:tcPr>
          <w:p w14:paraId="621384AF" w14:textId="77777777" w:rsidR="00C24E82" w:rsidRPr="00F15481" w:rsidRDefault="00C24E82" w:rsidP="00721796">
            <w:pPr>
              <w:rPr>
                <w:rFonts w:ascii="Calibri" w:hAnsi="Calibri"/>
                <w:b/>
                <w:color w:val="000000" w:themeColor="text1"/>
                <w:sz w:val="16"/>
                <w:szCs w:val="16"/>
              </w:rPr>
            </w:pPr>
          </w:p>
        </w:tc>
        <w:tc>
          <w:tcPr>
            <w:tcW w:w="992" w:type="dxa"/>
            <w:vMerge/>
            <w:tcBorders>
              <w:left w:val="nil"/>
              <w:right w:val="nil"/>
            </w:tcBorders>
          </w:tcPr>
          <w:p w14:paraId="21D62A0F"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30185765" w14:textId="77777777" w:rsidR="00C24E82" w:rsidRPr="00222975" w:rsidRDefault="00C24E82" w:rsidP="00721796">
            <w:pPr>
              <w:rPr>
                <w:rFonts w:ascii="Calibri" w:eastAsia="Times New Roman" w:hAnsi="Calibri" w:cs="Times New Roman"/>
                <w:color w:val="000000" w:themeColor="text1"/>
                <w:sz w:val="16"/>
                <w:szCs w:val="16"/>
              </w:rPr>
            </w:pPr>
            <w:r w:rsidRPr="00222975">
              <w:rPr>
                <w:rFonts w:ascii="Calibri" w:eastAsia="Times New Roman" w:hAnsi="Calibri" w:cs="Times New Roman"/>
                <w:color w:val="000000" w:themeColor="text1"/>
                <w:sz w:val="16"/>
                <w:szCs w:val="16"/>
              </w:rPr>
              <w:t>Barbados</w:t>
            </w:r>
          </w:p>
        </w:tc>
        <w:tc>
          <w:tcPr>
            <w:tcW w:w="1134" w:type="dxa"/>
            <w:tcBorders>
              <w:top w:val="nil"/>
              <w:left w:val="nil"/>
              <w:bottom w:val="nil"/>
              <w:right w:val="nil"/>
            </w:tcBorders>
            <w:vAlign w:val="bottom"/>
          </w:tcPr>
          <w:p w14:paraId="30DD7E48"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11.6</w:t>
            </w:r>
          </w:p>
        </w:tc>
        <w:tc>
          <w:tcPr>
            <w:tcW w:w="1276" w:type="dxa"/>
            <w:tcBorders>
              <w:top w:val="nil"/>
              <w:left w:val="nil"/>
              <w:bottom w:val="nil"/>
              <w:right w:val="nil"/>
            </w:tcBorders>
            <w:vAlign w:val="bottom"/>
          </w:tcPr>
          <w:p w14:paraId="3C4259A9"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21.7</w:t>
            </w:r>
          </w:p>
        </w:tc>
        <w:tc>
          <w:tcPr>
            <w:tcW w:w="992" w:type="dxa"/>
            <w:tcBorders>
              <w:top w:val="nil"/>
              <w:left w:val="nil"/>
              <w:bottom w:val="nil"/>
              <w:right w:val="nil"/>
            </w:tcBorders>
            <w:vAlign w:val="bottom"/>
          </w:tcPr>
          <w:p w14:paraId="58768980"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5685DCEC"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3B8B0373" w14:textId="77777777" w:rsidTr="00721796">
        <w:tc>
          <w:tcPr>
            <w:tcW w:w="1101" w:type="dxa"/>
            <w:vMerge/>
            <w:tcBorders>
              <w:left w:val="nil"/>
              <w:right w:val="nil"/>
            </w:tcBorders>
          </w:tcPr>
          <w:p w14:paraId="0D9B0A72" w14:textId="77777777" w:rsidR="00C24E82" w:rsidRPr="00F15481" w:rsidRDefault="00C24E82" w:rsidP="00721796">
            <w:pPr>
              <w:rPr>
                <w:rFonts w:ascii="Calibri" w:hAnsi="Calibri"/>
                <w:b/>
                <w:color w:val="000000" w:themeColor="text1"/>
                <w:sz w:val="16"/>
                <w:szCs w:val="16"/>
              </w:rPr>
            </w:pPr>
          </w:p>
        </w:tc>
        <w:tc>
          <w:tcPr>
            <w:tcW w:w="992" w:type="dxa"/>
            <w:vMerge/>
            <w:tcBorders>
              <w:left w:val="nil"/>
              <w:right w:val="nil"/>
            </w:tcBorders>
          </w:tcPr>
          <w:p w14:paraId="0FEC607A"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7A3DF079" w14:textId="77777777" w:rsidR="00C24E82" w:rsidRPr="00222975" w:rsidRDefault="00C24E82" w:rsidP="00721796">
            <w:pPr>
              <w:rPr>
                <w:rFonts w:ascii="Calibri" w:eastAsia="Times New Roman" w:hAnsi="Calibri" w:cs="Times New Roman"/>
                <w:color w:val="000000" w:themeColor="text1"/>
                <w:sz w:val="16"/>
                <w:szCs w:val="16"/>
              </w:rPr>
            </w:pPr>
            <w:r w:rsidRPr="00222975">
              <w:rPr>
                <w:rFonts w:ascii="Calibri" w:eastAsia="Times New Roman" w:hAnsi="Calibri" w:cs="Times New Roman"/>
                <w:color w:val="000000" w:themeColor="text1"/>
                <w:sz w:val="16"/>
                <w:szCs w:val="16"/>
              </w:rPr>
              <w:t>Trinidad and Tobago</w:t>
            </w:r>
          </w:p>
        </w:tc>
        <w:tc>
          <w:tcPr>
            <w:tcW w:w="1134" w:type="dxa"/>
            <w:tcBorders>
              <w:top w:val="nil"/>
              <w:left w:val="nil"/>
              <w:bottom w:val="nil"/>
              <w:right w:val="nil"/>
            </w:tcBorders>
            <w:vAlign w:val="bottom"/>
          </w:tcPr>
          <w:p w14:paraId="353F4F17"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11.4</w:t>
            </w:r>
          </w:p>
        </w:tc>
        <w:tc>
          <w:tcPr>
            <w:tcW w:w="1276" w:type="dxa"/>
            <w:tcBorders>
              <w:top w:val="nil"/>
              <w:left w:val="nil"/>
              <w:bottom w:val="nil"/>
              <w:right w:val="nil"/>
            </w:tcBorders>
            <w:vAlign w:val="bottom"/>
          </w:tcPr>
          <w:p w14:paraId="58C9E604"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17.4</w:t>
            </w:r>
          </w:p>
        </w:tc>
        <w:tc>
          <w:tcPr>
            <w:tcW w:w="992" w:type="dxa"/>
            <w:tcBorders>
              <w:top w:val="nil"/>
              <w:left w:val="nil"/>
              <w:bottom w:val="nil"/>
              <w:right w:val="nil"/>
            </w:tcBorders>
            <w:vAlign w:val="bottom"/>
          </w:tcPr>
          <w:p w14:paraId="548A1E4A"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51B8D9DE"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2C9F9C71" w14:textId="77777777" w:rsidTr="00721796">
        <w:tc>
          <w:tcPr>
            <w:tcW w:w="1101" w:type="dxa"/>
            <w:vMerge/>
            <w:tcBorders>
              <w:left w:val="nil"/>
              <w:right w:val="nil"/>
            </w:tcBorders>
          </w:tcPr>
          <w:p w14:paraId="5F101889" w14:textId="77777777" w:rsidR="00C24E82" w:rsidRPr="00F15481" w:rsidRDefault="00C24E82" w:rsidP="00721796">
            <w:pPr>
              <w:rPr>
                <w:rFonts w:ascii="Calibri" w:hAnsi="Calibri"/>
                <w:b/>
                <w:color w:val="000000" w:themeColor="text1"/>
                <w:sz w:val="16"/>
                <w:szCs w:val="16"/>
              </w:rPr>
            </w:pPr>
          </w:p>
        </w:tc>
        <w:tc>
          <w:tcPr>
            <w:tcW w:w="992" w:type="dxa"/>
            <w:vMerge/>
            <w:tcBorders>
              <w:left w:val="nil"/>
              <w:right w:val="nil"/>
            </w:tcBorders>
          </w:tcPr>
          <w:p w14:paraId="078A1DBC"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58A3603B" w14:textId="77777777" w:rsidR="00C24E82" w:rsidRPr="00222975" w:rsidRDefault="00C24E82" w:rsidP="00721796">
            <w:pPr>
              <w:rPr>
                <w:rFonts w:ascii="Calibri" w:eastAsia="Times New Roman" w:hAnsi="Calibri" w:cs="Times New Roman"/>
                <w:color w:val="000000" w:themeColor="text1"/>
                <w:sz w:val="16"/>
                <w:szCs w:val="16"/>
              </w:rPr>
            </w:pPr>
            <w:r w:rsidRPr="00222975">
              <w:rPr>
                <w:rFonts w:ascii="Calibri" w:eastAsia="Times New Roman" w:hAnsi="Calibri" w:cs="Times New Roman"/>
                <w:color w:val="000000" w:themeColor="text1"/>
                <w:sz w:val="16"/>
                <w:szCs w:val="16"/>
              </w:rPr>
              <w:t>Dominican Republic</w:t>
            </w:r>
          </w:p>
        </w:tc>
        <w:tc>
          <w:tcPr>
            <w:tcW w:w="1134" w:type="dxa"/>
            <w:tcBorders>
              <w:top w:val="nil"/>
              <w:left w:val="nil"/>
              <w:bottom w:val="nil"/>
              <w:right w:val="nil"/>
            </w:tcBorders>
            <w:vAlign w:val="bottom"/>
          </w:tcPr>
          <w:p w14:paraId="0EAF9459"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8.8</w:t>
            </w:r>
          </w:p>
        </w:tc>
        <w:tc>
          <w:tcPr>
            <w:tcW w:w="1276" w:type="dxa"/>
            <w:tcBorders>
              <w:top w:val="nil"/>
              <w:left w:val="nil"/>
              <w:bottom w:val="nil"/>
              <w:right w:val="nil"/>
            </w:tcBorders>
            <w:vAlign w:val="bottom"/>
          </w:tcPr>
          <w:p w14:paraId="00DAD6CE"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30.9</w:t>
            </w:r>
          </w:p>
        </w:tc>
        <w:tc>
          <w:tcPr>
            <w:tcW w:w="992" w:type="dxa"/>
            <w:tcBorders>
              <w:top w:val="nil"/>
              <w:left w:val="nil"/>
              <w:bottom w:val="nil"/>
              <w:right w:val="nil"/>
            </w:tcBorders>
            <w:vAlign w:val="bottom"/>
          </w:tcPr>
          <w:p w14:paraId="666F405A"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55049A48"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4DB5BAB1" w14:textId="77777777" w:rsidTr="00721796">
        <w:tc>
          <w:tcPr>
            <w:tcW w:w="1101" w:type="dxa"/>
            <w:vMerge/>
            <w:tcBorders>
              <w:left w:val="nil"/>
              <w:right w:val="nil"/>
            </w:tcBorders>
          </w:tcPr>
          <w:p w14:paraId="02415E31" w14:textId="77777777" w:rsidR="00C24E82" w:rsidRPr="00F15481" w:rsidRDefault="00C24E82" w:rsidP="00721796">
            <w:pPr>
              <w:rPr>
                <w:rFonts w:ascii="Calibri" w:hAnsi="Calibri"/>
                <w:b/>
                <w:color w:val="000000" w:themeColor="text1"/>
                <w:sz w:val="16"/>
                <w:szCs w:val="16"/>
              </w:rPr>
            </w:pPr>
          </w:p>
        </w:tc>
        <w:tc>
          <w:tcPr>
            <w:tcW w:w="992" w:type="dxa"/>
            <w:vMerge/>
            <w:tcBorders>
              <w:left w:val="nil"/>
              <w:bottom w:val="single" w:sz="4" w:space="0" w:color="auto"/>
              <w:right w:val="nil"/>
            </w:tcBorders>
          </w:tcPr>
          <w:p w14:paraId="20C727B0"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single" w:sz="4" w:space="0" w:color="auto"/>
              <w:right w:val="nil"/>
            </w:tcBorders>
            <w:vAlign w:val="bottom"/>
          </w:tcPr>
          <w:p w14:paraId="134A5306" w14:textId="77777777" w:rsidR="00C24E82" w:rsidRPr="00222975" w:rsidRDefault="00C24E82" w:rsidP="00721796">
            <w:pPr>
              <w:rPr>
                <w:rFonts w:ascii="Calibri" w:eastAsia="Times New Roman" w:hAnsi="Calibri" w:cs="Times New Roman"/>
                <w:color w:val="000000" w:themeColor="text1"/>
                <w:sz w:val="16"/>
                <w:szCs w:val="16"/>
              </w:rPr>
            </w:pPr>
            <w:r w:rsidRPr="00222975">
              <w:rPr>
                <w:rFonts w:ascii="Calibri" w:eastAsia="Times New Roman" w:hAnsi="Calibri" w:cs="Times New Roman"/>
                <w:color w:val="000000" w:themeColor="text1"/>
                <w:sz w:val="16"/>
                <w:szCs w:val="16"/>
              </w:rPr>
              <w:t>Saint Kitts and Nevis</w:t>
            </w:r>
          </w:p>
        </w:tc>
        <w:tc>
          <w:tcPr>
            <w:tcW w:w="1134" w:type="dxa"/>
            <w:tcBorders>
              <w:top w:val="nil"/>
              <w:left w:val="nil"/>
              <w:bottom w:val="single" w:sz="4" w:space="0" w:color="auto"/>
              <w:right w:val="nil"/>
            </w:tcBorders>
            <w:vAlign w:val="bottom"/>
          </w:tcPr>
          <w:p w14:paraId="255FCD9F"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5.1</w:t>
            </w:r>
          </w:p>
        </w:tc>
        <w:tc>
          <w:tcPr>
            <w:tcW w:w="1276" w:type="dxa"/>
            <w:tcBorders>
              <w:top w:val="nil"/>
              <w:left w:val="nil"/>
              <w:bottom w:val="single" w:sz="4" w:space="0" w:color="auto"/>
              <w:right w:val="nil"/>
            </w:tcBorders>
            <w:vAlign w:val="bottom"/>
          </w:tcPr>
          <w:p w14:paraId="67600854"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71.5</w:t>
            </w:r>
          </w:p>
        </w:tc>
        <w:tc>
          <w:tcPr>
            <w:tcW w:w="992" w:type="dxa"/>
            <w:tcBorders>
              <w:top w:val="nil"/>
              <w:left w:val="nil"/>
              <w:bottom w:val="single" w:sz="4" w:space="0" w:color="auto"/>
              <w:right w:val="nil"/>
            </w:tcBorders>
            <w:vAlign w:val="bottom"/>
          </w:tcPr>
          <w:p w14:paraId="6A2C67DD"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single" w:sz="4" w:space="0" w:color="auto"/>
              <w:right w:val="nil"/>
            </w:tcBorders>
            <w:vAlign w:val="bottom"/>
          </w:tcPr>
          <w:p w14:paraId="449971F6"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39B159BB" w14:textId="77777777" w:rsidTr="00721796">
        <w:tc>
          <w:tcPr>
            <w:tcW w:w="1101" w:type="dxa"/>
            <w:vMerge/>
            <w:tcBorders>
              <w:left w:val="nil"/>
              <w:bottom w:val="single" w:sz="24" w:space="0" w:color="auto"/>
              <w:right w:val="nil"/>
            </w:tcBorders>
          </w:tcPr>
          <w:p w14:paraId="4FC7E759" w14:textId="77777777" w:rsidR="00C24E82" w:rsidRPr="00F15481" w:rsidRDefault="00C24E82" w:rsidP="00721796">
            <w:pPr>
              <w:rPr>
                <w:rFonts w:ascii="Calibri" w:hAnsi="Calibri"/>
                <w:b/>
                <w:color w:val="000000" w:themeColor="text1"/>
                <w:sz w:val="16"/>
                <w:szCs w:val="16"/>
              </w:rPr>
            </w:pPr>
          </w:p>
        </w:tc>
        <w:tc>
          <w:tcPr>
            <w:tcW w:w="992" w:type="dxa"/>
            <w:tcBorders>
              <w:left w:val="nil"/>
              <w:bottom w:val="single" w:sz="24" w:space="0" w:color="auto"/>
              <w:right w:val="nil"/>
            </w:tcBorders>
          </w:tcPr>
          <w:p w14:paraId="4303335F" w14:textId="77777777" w:rsidR="00C24E82" w:rsidRPr="00222975" w:rsidRDefault="00C24E82" w:rsidP="00721796">
            <w:pPr>
              <w:rPr>
                <w:rFonts w:ascii="Calibri" w:hAnsi="Calibri"/>
                <w:color w:val="000000" w:themeColor="text1"/>
                <w:sz w:val="16"/>
                <w:szCs w:val="16"/>
              </w:rPr>
            </w:pPr>
            <w:r w:rsidRPr="00222975">
              <w:rPr>
                <w:rFonts w:ascii="Calibri" w:hAnsi="Calibri"/>
                <w:color w:val="000000" w:themeColor="text1"/>
                <w:sz w:val="16"/>
                <w:szCs w:val="16"/>
              </w:rPr>
              <w:t>LDCs</w:t>
            </w:r>
          </w:p>
        </w:tc>
        <w:tc>
          <w:tcPr>
            <w:tcW w:w="1701" w:type="dxa"/>
            <w:tcBorders>
              <w:left w:val="nil"/>
              <w:bottom w:val="single" w:sz="24" w:space="0" w:color="auto"/>
              <w:right w:val="nil"/>
            </w:tcBorders>
            <w:vAlign w:val="bottom"/>
          </w:tcPr>
          <w:p w14:paraId="6CD6AEE2" w14:textId="77777777" w:rsidR="00C24E82" w:rsidRPr="00222975" w:rsidRDefault="00C24E82" w:rsidP="00721796">
            <w:pPr>
              <w:rPr>
                <w:rFonts w:ascii="Calibri" w:eastAsia="Times New Roman" w:hAnsi="Calibri" w:cs="Times New Roman"/>
                <w:color w:val="000000" w:themeColor="text1"/>
                <w:sz w:val="16"/>
                <w:szCs w:val="16"/>
              </w:rPr>
            </w:pPr>
            <w:r w:rsidRPr="00222975">
              <w:rPr>
                <w:rFonts w:ascii="Calibri" w:eastAsia="Times New Roman" w:hAnsi="Calibri" w:cs="Times New Roman"/>
                <w:color w:val="000000" w:themeColor="text1"/>
                <w:sz w:val="16"/>
                <w:szCs w:val="16"/>
              </w:rPr>
              <w:t>Haiti</w:t>
            </w:r>
          </w:p>
        </w:tc>
        <w:tc>
          <w:tcPr>
            <w:tcW w:w="1134" w:type="dxa"/>
            <w:tcBorders>
              <w:left w:val="nil"/>
              <w:bottom w:val="single" w:sz="24" w:space="0" w:color="auto"/>
              <w:right w:val="nil"/>
            </w:tcBorders>
            <w:vAlign w:val="bottom"/>
          </w:tcPr>
          <w:p w14:paraId="02FFF91C"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4.4</w:t>
            </w:r>
          </w:p>
        </w:tc>
        <w:tc>
          <w:tcPr>
            <w:tcW w:w="1276" w:type="dxa"/>
            <w:tcBorders>
              <w:left w:val="nil"/>
              <w:bottom w:val="single" w:sz="24" w:space="0" w:color="auto"/>
              <w:right w:val="nil"/>
            </w:tcBorders>
          </w:tcPr>
          <w:p w14:paraId="310454F4" w14:textId="77777777" w:rsidR="00C24E82" w:rsidRPr="00222975" w:rsidRDefault="00C24E82" w:rsidP="00721796">
            <w:pPr>
              <w:jc w:val="center"/>
              <w:rPr>
                <w:rFonts w:ascii="Calibri" w:eastAsia="Times New Roman" w:hAnsi="Calibri" w:cs="Times New Roman"/>
                <w:bCs/>
                <w:color w:val="000000" w:themeColor="text1"/>
                <w:sz w:val="16"/>
                <w:szCs w:val="16"/>
              </w:rPr>
            </w:pPr>
            <w:r w:rsidRPr="00222975">
              <w:rPr>
                <w:rFonts w:ascii="Calibri" w:eastAsia="Times New Roman" w:hAnsi="Calibri" w:cs="Times New Roman"/>
                <w:bCs/>
                <w:color w:val="000000" w:themeColor="text1"/>
                <w:sz w:val="16"/>
                <w:szCs w:val="16"/>
              </w:rPr>
              <w:t>-</w:t>
            </w:r>
          </w:p>
        </w:tc>
        <w:tc>
          <w:tcPr>
            <w:tcW w:w="992" w:type="dxa"/>
            <w:tcBorders>
              <w:left w:val="nil"/>
              <w:bottom w:val="single" w:sz="24" w:space="0" w:color="auto"/>
              <w:right w:val="nil"/>
            </w:tcBorders>
            <w:vAlign w:val="bottom"/>
          </w:tcPr>
          <w:p w14:paraId="0E3BEDD0"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left w:val="nil"/>
              <w:bottom w:val="single" w:sz="24" w:space="0" w:color="auto"/>
              <w:right w:val="nil"/>
            </w:tcBorders>
            <w:vAlign w:val="bottom"/>
          </w:tcPr>
          <w:p w14:paraId="2C1EEE86" w14:textId="77777777" w:rsidR="00C24E82" w:rsidRPr="00222975" w:rsidRDefault="00C24E82" w:rsidP="00721796">
            <w:pPr>
              <w:jc w:val="center"/>
              <w:rPr>
                <w:rFonts w:ascii="Calibri" w:eastAsia="Times New Roman" w:hAnsi="Calibri" w:cs="Times New Roman"/>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3C66F12F" w14:textId="77777777" w:rsidTr="00721796">
        <w:tc>
          <w:tcPr>
            <w:tcW w:w="1101" w:type="dxa"/>
            <w:vMerge w:val="restart"/>
            <w:tcBorders>
              <w:top w:val="single" w:sz="24" w:space="0" w:color="auto"/>
              <w:left w:val="nil"/>
              <w:bottom w:val="nil"/>
              <w:right w:val="nil"/>
            </w:tcBorders>
          </w:tcPr>
          <w:p w14:paraId="63CC269C" w14:textId="77777777" w:rsidR="00C24E82" w:rsidRPr="00F15481" w:rsidRDefault="00C24E82" w:rsidP="00721796">
            <w:pPr>
              <w:rPr>
                <w:rFonts w:ascii="Calibri" w:hAnsi="Calibri"/>
                <w:b/>
                <w:color w:val="000000" w:themeColor="text1"/>
                <w:sz w:val="16"/>
                <w:szCs w:val="16"/>
              </w:rPr>
            </w:pPr>
            <w:r w:rsidRPr="00F15481">
              <w:rPr>
                <w:rFonts w:ascii="Calibri" w:hAnsi="Calibri"/>
                <w:b/>
                <w:color w:val="000000" w:themeColor="text1"/>
                <w:sz w:val="16"/>
                <w:szCs w:val="16"/>
              </w:rPr>
              <w:t>West Africa</w:t>
            </w:r>
          </w:p>
        </w:tc>
        <w:tc>
          <w:tcPr>
            <w:tcW w:w="992" w:type="dxa"/>
            <w:vMerge w:val="restart"/>
            <w:tcBorders>
              <w:top w:val="single" w:sz="24" w:space="0" w:color="auto"/>
              <w:left w:val="nil"/>
              <w:bottom w:val="nil"/>
              <w:right w:val="nil"/>
            </w:tcBorders>
          </w:tcPr>
          <w:p w14:paraId="29F21A0C" w14:textId="77777777" w:rsidR="00C24E82" w:rsidRPr="00222975" w:rsidRDefault="00C24E82" w:rsidP="00721796">
            <w:pPr>
              <w:rPr>
                <w:rFonts w:ascii="Calibri" w:hAnsi="Calibri"/>
                <w:color w:val="000000" w:themeColor="text1"/>
                <w:sz w:val="16"/>
                <w:szCs w:val="16"/>
              </w:rPr>
            </w:pPr>
            <w:r w:rsidRPr="00222975">
              <w:rPr>
                <w:rFonts w:ascii="Calibri" w:hAnsi="Calibri"/>
                <w:color w:val="000000" w:themeColor="text1"/>
                <w:sz w:val="16"/>
                <w:szCs w:val="16"/>
              </w:rPr>
              <w:t>Non-LDCs</w:t>
            </w:r>
          </w:p>
        </w:tc>
        <w:tc>
          <w:tcPr>
            <w:tcW w:w="1701" w:type="dxa"/>
            <w:tcBorders>
              <w:top w:val="single" w:sz="24" w:space="0" w:color="auto"/>
              <w:left w:val="nil"/>
              <w:bottom w:val="nil"/>
              <w:right w:val="nil"/>
            </w:tcBorders>
            <w:vAlign w:val="bottom"/>
          </w:tcPr>
          <w:p w14:paraId="47DDFD00"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Côte D'Ivoire</w:t>
            </w:r>
          </w:p>
        </w:tc>
        <w:tc>
          <w:tcPr>
            <w:tcW w:w="1134" w:type="dxa"/>
            <w:tcBorders>
              <w:top w:val="single" w:sz="24" w:space="0" w:color="auto"/>
              <w:left w:val="nil"/>
              <w:bottom w:val="nil"/>
              <w:right w:val="nil"/>
            </w:tcBorders>
            <w:vAlign w:val="bottom"/>
          </w:tcPr>
          <w:p w14:paraId="2A3FBD25"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41.7</w:t>
            </w:r>
          </w:p>
        </w:tc>
        <w:tc>
          <w:tcPr>
            <w:tcW w:w="1276" w:type="dxa"/>
            <w:tcBorders>
              <w:top w:val="single" w:sz="24" w:space="0" w:color="auto"/>
              <w:left w:val="nil"/>
              <w:bottom w:val="nil"/>
              <w:right w:val="nil"/>
            </w:tcBorders>
            <w:vAlign w:val="bottom"/>
          </w:tcPr>
          <w:p w14:paraId="6A480D9B"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31.5</w:t>
            </w:r>
          </w:p>
        </w:tc>
        <w:tc>
          <w:tcPr>
            <w:tcW w:w="992" w:type="dxa"/>
            <w:tcBorders>
              <w:top w:val="single" w:sz="24" w:space="0" w:color="auto"/>
              <w:left w:val="nil"/>
              <w:bottom w:val="nil"/>
              <w:right w:val="nil"/>
            </w:tcBorders>
            <w:vAlign w:val="bottom"/>
          </w:tcPr>
          <w:p w14:paraId="693ED2FD"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single" w:sz="24" w:space="0" w:color="auto"/>
              <w:left w:val="nil"/>
              <w:bottom w:val="nil"/>
              <w:right w:val="nil"/>
            </w:tcBorders>
            <w:vAlign w:val="bottom"/>
          </w:tcPr>
          <w:p w14:paraId="2A313264"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0E559FE8" w14:textId="77777777" w:rsidTr="00721796">
        <w:tc>
          <w:tcPr>
            <w:tcW w:w="1101" w:type="dxa"/>
            <w:vMerge/>
            <w:tcBorders>
              <w:top w:val="nil"/>
              <w:left w:val="nil"/>
              <w:bottom w:val="nil"/>
              <w:right w:val="nil"/>
            </w:tcBorders>
          </w:tcPr>
          <w:p w14:paraId="543F5D28"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1DE5B381"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10242BE4"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Nigeria</w:t>
            </w:r>
          </w:p>
        </w:tc>
        <w:tc>
          <w:tcPr>
            <w:tcW w:w="1134" w:type="dxa"/>
            <w:tcBorders>
              <w:top w:val="nil"/>
              <w:left w:val="nil"/>
              <w:bottom w:val="nil"/>
              <w:right w:val="nil"/>
            </w:tcBorders>
            <w:vAlign w:val="bottom"/>
          </w:tcPr>
          <w:p w14:paraId="56B47D01"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29.9</w:t>
            </w:r>
          </w:p>
        </w:tc>
        <w:tc>
          <w:tcPr>
            <w:tcW w:w="1276" w:type="dxa"/>
            <w:tcBorders>
              <w:top w:val="nil"/>
              <w:left w:val="nil"/>
              <w:bottom w:val="nil"/>
              <w:right w:val="nil"/>
            </w:tcBorders>
            <w:vAlign w:val="bottom"/>
          </w:tcPr>
          <w:p w14:paraId="652C6B86"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1.7</w:t>
            </w:r>
          </w:p>
        </w:tc>
        <w:tc>
          <w:tcPr>
            <w:tcW w:w="992" w:type="dxa"/>
            <w:tcBorders>
              <w:top w:val="nil"/>
              <w:left w:val="nil"/>
              <w:bottom w:val="nil"/>
              <w:right w:val="nil"/>
            </w:tcBorders>
            <w:vAlign w:val="bottom"/>
          </w:tcPr>
          <w:p w14:paraId="7425DD8D"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nil"/>
              <w:right w:val="nil"/>
            </w:tcBorders>
            <w:vAlign w:val="bottom"/>
          </w:tcPr>
          <w:p w14:paraId="6BB15D4F"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0C2DE9A1" w14:textId="77777777" w:rsidTr="00721796">
        <w:tc>
          <w:tcPr>
            <w:tcW w:w="1101" w:type="dxa"/>
            <w:vMerge/>
            <w:tcBorders>
              <w:top w:val="nil"/>
              <w:left w:val="nil"/>
              <w:bottom w:val="nil"/>
              <w:right w:val="nil"/>
            </w:tcBorders>
          </w:tcPr>
          <w:p w14:paraId="05E432AB"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single" w:sz="4" w:space="0" w:color="auto"/>
              <w:right w:val="nil"/>
            </w:tcBorders>
          </w:tcPr>
          <w:p w14:paraId="1E78841E"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single" w:sz="4" w:space="0" w:color="auto"/>
              <w:right w:val="nil"/>
            </w:tcBorders>
            <w:vAlign w:val="bottom"/>
          </w:tcPr>
          <w:p w14:paraId="10713D01"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Ghana</w:t>
            </w:r>
          </w:p>
        </w:tc>
        <w:tc>
          <w:tcPr>
            <w:tcW w:w="1134" w:type="dxa"/>
            <w:tcBorders>
              <w:top w:val="nil"/>
              <w:left w:val="nil"/>
              <w:bottom w:val="single" w:sz="4" w:space="0" w:color="auto"/>
              <w:right w:val="nil"/>
            </w:tcBorders>
            <w:vAlign w:val="bottom"/>
          </w:tcPr>
          <w:p w14:paraId="633E1B7D"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28.3</w:t>
            </w:r>
          </w:p>
        </w:tc>
        <w:tc>
          <w:tcPr>
            <w:tcW w:w="1276" w:type="dxa"/>
            <w:tcBorders>
              <w:top w:val="nil"/>
              <w:left w:val="nil"/>
              <w:bottom w:val="single" w:sz="4" w:space="0" w:color="auto"/>
              <w:right w:val="nil"/>
            </w:tcBorders>
            <w:vAlign w:val="bottom"/>
          </w:tcPr>
          <w:p w14:paraId="60B1793A"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16.3</w:t>
            </w:r>
          </w:p>
        </w:tc>
        <w:tc>
          <w:tcPr>
            <w:tcW w:w="992" w:type="dxa"/>
            <w:tcBorders>
              <w:top w:val="nil"/>
              <w:left w:val="nil"/>
              <w:bottom w:val="single" w:sz="4" w:space="0" w:color="auto"/>
              <w:right w:val="nil"/>
            </w:tcBorders>
            <w:vAlign w:val="bottom"/>
          </w:tcPr>
          <w:p w14:paraId="138498B7"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single" w:sz="4" w:space="0" w:color="auto"/>
              <w:right w:val="nil"/>
            </w:tcBorders>
            <w:vAlign w:val="bottom"/>
          </w:tcPr>
          <w:p w14:paraId="60E35482"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42686B54" w14:textId="77777777" w:rsidTr="00721796">
        <w:tc>
          <w:tcPr>
            <w:tcW w:w="1101" w:type="dxa"/>
            <w:vMerge/>
            <w:tcBorders>
              <w:top w:val="nil"/>
              <w:left w:val="nil"/>
              <w:bottom w:val="nil"/>
              <w:right w:val="nil"/>
            </w:tcBorders>
          </w:tcPr>
          <w:p w14:paraId="58687644" w14:textId="77777777" w:rsidR="00C24E82" w:rsidRPr="00F15481" w:rsidRDefault="00C24E82" w:rsidP="00721796">
            <w:pPr>
              <w:rPr>
                <w:rFonts w:ascii="Calibri" w:hAnsi="Calibri"/>
                <w:b/>
                <w:color w:val="000000" w:themeColor="text1"/>
                <w:sz w:val="16"/>
                <w:szCs w:val="16"/>
              </w:rPr>
            </w:pPr>
          </w:p>
        </w:tc>
        <w:tc>
          <w:tcPr>
            <w:tcW w:w="992" w:type="dxa"/>
            <w:vMerge w:val="restart"/>
            <w:tcBorders>
              <w:top w:val="single" w:sz="4" w:space="0" w:color="auto"/>
              <w:left w:val="nil"/>
              <w:bottom w:val="nil"/>
              <w:right w:val="nil"/>
            </w:tcBorders>
          </w:tcPr>
          <w:p w14:paraId="3A8DF20F" w14:textId="77777777" w:rsidR="00C24E82" w:rsidRPr="00222975" w:rsidRDefault="00C24E82" w:rsidP="00721796">
            <w:pPr>
              <w:rPr>
                <w:rFonts w:ascii="Calibri" w:hAnsi="Calibri"/>
                <w:color w:val="000000" w:themeColor="text1"/>
                <w:sz w:val="16"/>
                <w:szCs w:val="16"/>
              </w:rPr>
            </w:pPr>
            <w:r w:rsidRPr="00222975">
              <w:rPr>
                <w:rFonts w:ascii="Calibri" w:hAnsi="Calibri"/>
                <w:color w:val="000000" w:themeColor="text1"/>
                <w:sz w:val="16"/>
                <w:szCs w:val="16"/>
              </w:rPr>
              <w:t>LDCs</w:t>
            </w:r>
          </w:p>
        </w:tc>
        <w:tc>
          <w:tcPr>
            <w:tcW w:w="1701" w:type="dxa"/>
            <w:tcBorders>
              <w:top w:val="single" w:sz="4" w:space="0" w:color="auto"/>
              <w:left w:val="nil"/>
              <w:bottom w:val="nil"/>
              <w:right w:val="nil"/>
            </w:tcBorders>
            <w:vAlign w:val="bottom"/>
          </w:tcPr>
          <w:p w14:paraId="728BFDBE"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Cape Verde</w:t>
            </w:r>
          </w:p>
        </w:tc>
        <w:tc>
          <w:tcPr>
            <w:tcW w:w="1134" w:type="dxa"/>
            <w:tcBorders>
              <w:top w:val="single" w:sz="4" w:space="0" w:color="auto"/>
              <w:left w:val="nil"/>
              <w:bottom w:val="nil"/>
              <w:right w:val="nil"/>
            </w:tcBorders>
            <w:vAlign w:val="bottom"/>
          </w:tcPr>
          <w:p w14:paraId="7F92491F"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62.6</w:t>
            </w:r>
          </w:p>
        </w:tc>
        <w:tc>
          <w:tcPr>
            <w:tcW w:w="1276" w:type="dxa"/>
            <w:tcBorders>
              <w:top w:val="single" w:sz="4" w:space="0" w:color="auto"/>
              <w:left w:val="nil"/>
              <w:bottom w:val="nil"/>
              <w:right w:val="nil"/>
            </w:tcBorders>
            <w:vAlign w:val="bottom"/>
          </w:tcPr>
          <w:p w14:paraId="2A0C2811"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single" w:sz="4" w:space="0" w:color="auto"/>
              <w:left w:val="nil"/>
              <w:bottom w:val="nil"/>
              <w:right w:val="nil"/>
            </w:tcBorders>
            <w:vAlign w:val="bottom"/>
          </w:tcPr>
          <w:p w14:paraId="2F69ED1E" w14:textId="77777777" w:rsidR="00C24E82" w:rsidRPr="00222975" w:rsidRDefault="00C24E82" w:rsidP="00721796">
            <w:pPr>
              <w:jc w:val="center"/>
              <w:rPr>
                <w:rFonts w:ascii="Calibri" w:hAnsi="Calibri"/>
                <w:color w:val="000000" w:themeColor="text1"/>
                <w:sz w:val="16"/>
                <w:szCs w:val="16"/>
              </w:rPr>
            </w:pPr>
          </w:p>
        </w:tc>
        <w:tc>
          <w:tcPr>
            <w:tcW w:w="992" w:type="dxa"/>
            <w:tcBorders>
              <w:top w:val="single" w:sz="4" w:space="0" w:color="auto"/>
              <w:left w:val="nil"/>
              <w:bottom w:val="nil"/>
              <w:right w:val="nil"/>
            </w:tcBorders>
            <w:vAlign w:val="bottom"/>
          </w:tcPr>
          <w:p w14:paraId="0DBA62AE"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258E4480" w14:textId="77777777" w:rsidTr="00721796">
        <w:tc>
          <w:tcPr>
            <w:tcW w:w="1101" w:type="dxa"/>
            <w:vMerge/>
            <w:tcBorders>
              <w:top w:val="nil"/>
              <w:left w:val="nil"/>
              <w:bottom w:val="nil"/>
              <w:right w:val="nil"/>
            </w:tcBorders>
          </w:tcPr>
          <w:p w14:paraId="3AEA3F3F"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47892389"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73251BD4"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Liberia</w:t>
            </w:r>
          </w:p>
        </w:tc>
        <w:tc>
          <w:tcPr>
            <w:tcW w:w="1134" w:type="dxa"/>
            <w:tcBorders>
              <w:top w:val="nil"/>
              <w:left w:val="nil"/>
              <w:bottom w:val="nil"/>
              <w:right w:val="nil"/>
            </w:tcBorders>
            <w:vAlign w:val="bottom"/>
          </w:tcPr>
          <w:p w14:paraId="71A984C8"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52.1</w:t>
            </w:r>
          </w:p>
        </w:tc>
        <w:tc>
          <w:tcPr>
            <w:tcW w:w="1276" w:type="dxa"/>
            <w:tcBorders>
              <w:top w:val="nil"/>
              <w:left w:val="nil"/>
              <w:bottom w:val="nil"/>
              <w:right w:val="nil"/>
            </w:tcBorders>
            <w:vAlign w:val="bottom"/>
          </w:tcPr>
          <w:p w14:paraId="0F57D4BC"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3788EF50"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nil"/>
              <w:right w:val="nil"/>
            </w:tcBorders>
            <w:vAlign w:val="bottom"/>
          </w:tcPr>
          <w:p w14:paraId="1B51A0B0"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6203EE16" w14:textId="77777777" w:rsidTr="00721796">
        <w:tc>
          <w:tcPr>
            <w:tcW w:w="1101" w:type="dxa"/>
            <w:vMerge/>
            <w:tcBorders>
              <w:top w:val="nil"/>
              <w:left w:val="nil"/>
              <w:bottom w:val="nil"/>
              <w:right w:val="nil"/>
            </w:tcBorders>
          </w:tcPr>
          <w:p w14:paraId="5DE69DB1"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733C7C2B"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72747AE6"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Niger</w:t>
            </w:r>
          </w:p>
        </w:tc>
        <w:tc>
          <w:tcPr>
            <w:tcW w:w="1134" w:type="dxa"/>
            <w:tcBorders>
              <w:top w:val="nil"/>
              <w:left w:val="nil"/>
              <w:bottom w:val="nil"/>
              <w:right w:val="nil"/>
            </w:tcBorders>
            <w:vAlign w:val="bottom"/>
          </w:tcPr>
          <w:p w14:paraId="799BBE5D"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37.7</w:t>
            </w:r>
          </w:p>
        </w:tc>
        <w:tc>
          <w:tcPr>
            <w:tcW w:w="1276" w:type="dxa"/>
            <w:tcBorders>
              <w:top w:val="nil"/>
              <w:left w:val="nil"/>
              <w:bottom w:val="nil"/>
              <w:right w:val="nil"/>
            </w:tcBorders>
            <w:vAlign w:val="bottom"/>
          </w:tcPr>
          <w:p w14:paraId="66E2FCE1"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2D0C30C3"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nil"/>
              <w:right w:val="nil"/>
            </w:tcBorders>
            <w:vAlign w:val="bottom"/>
          </w:tcPr>
          <w:p w14:paraId="47B76754"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65E7EA1C" w14:textId="77777777" w:rsidTr="00721796">
        <w:tc>
          <w:tcPr>
            <w:tcW w:w="1101" w:type="dxa"/>
            <w:vMerge/>
            <w:tcBorders>
              <w:top w:val="nil"/>
              <w:left w:val="nil"/>
              <w:bottom w:val="nil"/>
              <w:right w:val="nil"/>
            </w:tcBorders>
          </w:tcPr>
          <w:p w14:paraId="4BD1A366"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44765EFD"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0C26EF13"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Mauritania</w:t>
            </w:r>
          </w:p>
        </w:tc>
        <w:tc>
          <w:tcPr>
            <w:tcW w:w="1134" w:type="dxa"/>
            <w:tcBorders>
              <w:top w:val="nil"/>
              <w:left w:val="nil"/>
              <w:bottom w:val="nil"/>
              <w:right w:val="nil"/>
            </w:tcBorders>
            <w:vAlign w:val="bottom"/>
          </w:tcPr>
          <w:p w14:paraId="4CAE533D"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33.1</w:t>
            </w:r>
          </w:p>
        </w:tc>
        <w:tc>
          <w:tcPr>
            <w:tcW w:w="1276" w:type="dxa"/>
            <w:tcBorders>
              <w:top w:val="nil"/>
              <w:left w:val="nil"/>
              <w:bottom w:val="nil"/>
              <w:right w:val="nil"/>
            </w:tcBorders>
            <w:vAlign w:val="bottom"/>
          </w:tcPr>
          <w:p w14:paraId="56BC32DC"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0CF80AC0"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nil"/>
              <w:right w:val="nil"/>
            </w:tcBorders>
            <w:vAlign w:val="bottom"/>
          </w:tcPr>
          <w:p w14:paraId="22C11FA6"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13393033" w14:textId="77777777" w:rsidTr="00721796">
        <w:tc>
          <w:tcPr>
            <w:tcW w:w="1101" w:type="dxa"/>
            <w:vMerge/>
            <w:tcBorders>
              <w:top w:val="nil"/>
              <w:left w:val="nil"/>
              <w:bottom w:val="nil"/>
              <w:right w:val="nil"/>
            </w:tcBorders>
          </w:tcPr>
          <w:p w14:paraId="0D0D26F7"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4C9C8FB2"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2D4181D2"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Senegal</w:t>
            </w:r>
          </w:p>
        </w:tc>
        <w:tc>
          <w:tcPr>
            <w:tcW w:w="1134" w:type="dxa"/>
            <w:tcBorders>
              <w:top w:val="nil"/>
              <w:left w:val="nil"/>
              <w:bottom w:val="nil"/>
              <w:right w:val="nil"/>
            </w:tcBorders>
            <w:vAlign w:val="bottom"/>
          </w:tcPr>
          <w:p w14:paraId="451E2D2E"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18.1</w:t>
            </w:r>
          </w:p>
        </w:tc>
        <w:tc>
          <w:tcPr>
            <w:tcW w:w="1276" w:type="dxa"/>
            <w:tcBorders>
              <w:top w:val="nil"/>
              <w:left w:val="nil"/>
              <w:bottom w:val="nil"/>
              <w:right w:val="nil"/>
            </w:tcBorders>
            <w:vAlign w:val="bottom"/>
          </w:tcPr>
          <w:p w14:paraId="31B81A06"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7ECB29A0"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nil"/>
              <w:right w:val="nil"/>
            </w:tcBorders>
            <w:vAlign w:val="bottom"/>
          </w:tcPr>
          <w:p w14:paraId="5308C9F9"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0EB348AB" w14:textId="77777777" w:rsidTr="00721796">
        <w:tc>
          <w:tcPr>
            <w:tcW w:w="1101" w:type="dxa"/>
            <w:vMerge/>
            <w:tcBorders>
              <w:top w:val="nil"/>
              <w:left w:val="nil"/>
              <w:bottom w:val="nil"/>
              <w:right w:val="nil"/>
            </w:tcBorders>
          </w:tcPr>
          <w:p w14:paraId="13FAC6BB"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16A6C23D"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16764A85"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Gambia</w:t>
            </w:r>
          </w:p>
        </w:tc>
        <w:tc>
          <w:tcPr>
            <w:tcW w:w="1134" w:type="dxa"/>
            <w:tcBorders>
              <w:top w:val="nil"/>
              <w:left w:val="nil"/>
              <w:bottom w:val="nil"/>
              <w:right w:val="nil"/>
            </w:tcBorders>
            <w:vAlign w:val="bottom"/>
          </w:tcPr>
          <w:p w14:paraId="5315982C"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16.8</w:t>
            </w:r>
          </w:p>
        </w:tc>
        <w:tc>
          <w:tcPr>
            <w:tcW w:w="1276" w:type="dxa"/>
            <w:tcBorders>
              <w:top w:val="nil"/>
              <w:left w:val="nil"/>
              <w:bottom w:val="nil"/>
              <w:right w:val="nil"/>
            </w:tcBorders>
            <w:vAlign w:val="bottom"/>
          </w:tcPr>
          <w:p w14:paraId="7E7BB13D"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6A4B6885"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nil"/>
              <w:right w:val="nil"/>
            </w:tcBorders>
            <w:vAlign w:val="bottom"/>
          </w:tcPr>
          <w:p w14:paraId="69F59DCA"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6E98D6BB" w14:textId="77777777" w:rsidTr="00721796">
        <w:tc>
          <w:tcPr>
            <w:tcW w:w="1101" w:type="dxa"/>
            <w:vMerge/>
            <w:tcBorders>
              <w:top w:val="nil"/>
              <w:left w:val="nil"/>
              <w:bottom w:val="nil"/>
              <w:right w:val="nil"/>
            </w:tcBorders>
          </w:tcPr>
          <w:p w14:paraId="0EF78C62"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49D15149"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7E283482"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Togo</w:t>
            </w:r>
          </w:p>
        </w:tc>
        <w:tc>
          <w:tcPr>
            <w:tcW w:w="1134" w:type="dxa"/>
            <w:tcBorders>
              <w:top w:val="nil"/>
              <w:left w:val="nil"/>
              <w:bottom w:val="nil"/>
              <w:right w:val="nil"/>
            </w:tcBorders>
            <w:vAlign w:val="bottom"/>
          </w:tcPr>
          <w:p w14:paraId="67735B02"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11.1</w:t>
            </w:r>
          </w:p>
        </w:tc>
        <w:tc>
          <w:tcPr>
            <w:tcW w:w="1276" w:type="dxa"/>
            <w:tcBorders>
              <w:top w:val="nil"/>
              <w:left w:val="nil"/>
              <w:bottom w:val="nil"/>
              <w:right w:val="nil"/>
            </w:tcBorders>
            <w:vAlign w:val="bottom"/>
          </w:tcPr>
          <w:p w14:paraId="4F773843"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2BB648B2"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nil"/>
              <w:right w:val="nil"/>
            </w:tcBorders>
            <w:vAlign w:val="bottom"/>
          </w:tcPr>
          <w:p w14:paraId="0B0F8CCA"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3F645732" w14:textId="77777777" w:rsidTr="00721796">
        <w:tc>
          <w:tcPr>
            <w:tcW w:w="1101" w:type="dxa"/>
            <w:vMerge/>
            <w:tcBorders>
              <w:top w:val="nil"/>
              <w:left w:val="nil"/>
              <w:bottom w:val="nil"/>
              <w:right w:val="nil"/>
            </w:tcBorders>
          </w:tcPr>
          <w:p w14:paraId="7872AA5C"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61FE70F3"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793FF8E9"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Burkina Faso</w:t>
            </w:r>
          </w:p>
        </w:tc>
        <w:tc>
          <w:tcPr>
            <w:tcW w:w="1134" w:type="dxa"/>
            <w:tcBorders>
              <w:top w:val="nil"/>
              <w:left w:val="nil"/>
              <w:bottom w:val="nil"/>
              <w:right w:val="nil"/>
            </w:tcBorders>
            <w:vAlign w:val="bottom"/>
          </w:tcPr>
          <w:p w14:paraId="263CEC4C"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9.5</w:t>
            </w:r>
          </w:p>
        </w:tc>
        <w:tc>
          <w:tcPr>
            <w:tcW w:w="1276" w:type="dxa"/>
            <w:tcBorders>
              <w:top w:val="nil"/>
              <w:left w:val="nil"/>
              <w:bottom w:val="nil"/>
              <w:right w:val="nil"/>
            </w:tcBorders>
            <w:vAlign w:val="bottom"/>
          </w:tcPr>
          <w:p w14:paraId="0A41D796"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1AF83CE8"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nil"/>
              <w:right w:val="nil"/>
            </w:tcBorders>
            <w:vAlign w:val="bottom"/>
          </w:tcPr>
          <w:p w14:paraId="40455896"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0DB1A6A5" w14:textId="77777777" w:rsidTr="00721796">
        <w:tc>
          <w:tcPr>
            <w:tcW w:w="1101" w:type="dxa"/>
            <w:vMerge/>
            <w:tcBorders>
              <w:top w:val="nil"/>
              <w:left w:val="nil"/>
              <w:bottom w:val="nil"/>
              <w:right w:val="nil"/>
            </w:tcBorders>
          </w:tcPr>
          <w:p w14:paraId="0771F7CD"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3A3C36C2"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330D8EAA"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Benin</w:t>
            </w:r>
          </w:p>
        </w:tc>
        <w:tc>
          <w:tcPr>
            <w:tcW w:w="1134" w:type="dxa"/>
            <w:tcBorders>
              <w:top w:val="nil"/>
              <w:left w:val="nil"/>
              <w:bottom w:val="nil"/>
              <w:right w:val="nil"/>
            </w:tcBorders>
            <w:vAlign w:val="bottom"/>
          </w:tcPr>
          <w:p w14:paraId="2A26CF99"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9.2</w:t>
            </w:r>
          </w:p>
        </w:tc>
        <w:tc>
          <w:tcPr>
            <w:tcW w:w="1276" w:type="dxa"/>
            <w:tcBorders>
              <w:top w:val="nil"/>
              <w:left w:val="nil"/>
              <w:bottom w:val="nil"/>
              <w:right w:val="nil"/>
            </w:tcBorders>
            <w:vAlign w:val="bottom"/>
          </w:tcPr>
          <w:p w14:paraId="2DF6F122"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758D62F1"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nil"/>
              <w:right w:val="nil"/>
            </w:tcBorders>
            <w:vAlign w:val="bottom"/>
          </w:tcPr>
          <w:p w14:paraId="4C199D3A"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15A50E53" w14:textId="77777777" w:rsidTr="00721796">
        <w:tc>
          <w:tcPr>
            <w:tcW w:w="1101" w:type="dxa"/>
            <w:vMerge/>
            <w:tcBorders>
              <w:top w:val="nil"/>
              <w:left w:val="nil"/>
              <w:bottom w:val="nil"/>
              <w:right w:val="nil"/>
            </w:tcBorders>
          </w:tcPr>
          <w:p w14:paraId="7352C2FB"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490F1C7B"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63C479EA"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Mali</w:t>
            </w:r>
          </w:p>
        </w:tc>
        <w:tc>
          <w:tcPr>
            <w:tcW w:w="1134" w:type="dxa"/>
            <w:tcBorders>
              <w:top w:val="nil"/>
              <w:left w:val="nil"/>
              <w:bottom w:val="nil"/>
              <w:right w:val="nil"/>
            </w:tcBorders>
            <w:vAlign w:val="bottom"/>
          </w:tcPr>
          <w:p w14:paraId="0386010B"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5.2</w:t>
            </w:r>
          </w:p>
        </w:tc>
        <w:tc>
          <w:tcPr>
            <w:tcW w:w="1276" w:type="dxa"/>
            <w:tcBorders>
              <w:top w:val="nil"/>
              <w:left w:val="nil"/>
              <w:bottom w:val="nil"/>
              <w:right w:val="nil"/>
            </w:tcBorders>
            <w:vAlign w:val="bottom"/>
          </w:tcPr>
          <w:p w14:paraId="46E2C036"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03F4C0D2"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nil"/>
              <w:right w:val="nil"/>
            </w:tcBorders>
            <w:vAlign w:val="bottom"/>
          </w:tcPr>
          <w:p w14:paraId="5F95ECAA"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2BA94074" w14:textId="77777777" w:rsidTr="00721796">
        <w:tc>
          <w:tcPr>
            <w:tcW w:w="1101" w:type="dxa"/>
            <w:vMerge/>
            <w:tcBorders>
              <w:top w:val="nil"/>
              <w:left w:val="nil"/>
              <w:bottom w:val="nil"/>
              <w:right w:val="nil"/>
            </w:tcBorders>
          </w:tcPr>
          <w:p w14:paraId="78235473"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7E6BB8DC"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059FBE25"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Sierra Leone (g)</w:t>
            </w:r>
          </w:p>
        </w:tc>
        <w:tc>
          <w:tcPr>
            <w:tcW w:w="1134" w:type="dxa"/>
            <w:tcBorders>
              <w:top w:val="nil"/>
              <w:left w:val="nil"/>
              <w:bottom w:val="nil"/>
              <w:right w:val="nil"/>
            </w:tcBorders>
            <w:vAlign w:val="bottom"/>
          </w:tcPr>
          <w:p w14:paraId="5C4E4C69"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4.5</w:t>
            </w:r>
          </w:p>
        </w:tc>
        <w:tc>
          <w:tcPr>
            <w:tcW w:w="1276" w:type="dxa"/>
            <w:tcBorders>
              <w:top w:val="nil"/>
              <w:left w:val="nil"/>
              <w:bottom w:val="nil"/>
              <w:right w:val="nil"/>
            </w:tcBorders>
            <w:vAlign w:val="bottom"/>
          </w:tcPr>
          <w:p w14:paraId="42D6301C"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2E008574"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nil"/>
              <w:right w:val="nil"/>
            </w:tcBorders>
            <w:vAlign w:val="bottom"/>
          </w:tcPr>
          <w:p w14:paraId="650C8077"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342D89EF" w14:textId="77777777" w:rsidTr="00721796">
        <w:tc>
          <w:tcPr>
            <w:tcW w:w="1101" w:type="dxa"/>
            <w:vMerge/>
            <w:tcBorders>
              <w:top w:val="nil"/>
              <w:left w:val="nil"/>
              <w:bottom w:val="single" w:sz="24" w:space="0" w:color="auto"/>
              <w:right w:val="nil"/>
            </w:tcBorders>
          </w:tcPr>
          <w:p w14:paraId="171A7936"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single" w:sz="24" w:space="0" w:color="auto"/>
              <w:right w:val="nil"/>
            </w:tcBorders>
          </w:tcPr>
          <w:p w14:paraId="6DA8C2A3"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single" w:sz="24" w:space="0" w:color="auto"/>
              <w:right w:val="nil"/>
            </w:tcBorders>
            <w:vAlign w:val="bottom"/>
          </w:tcPr>
          <w:p w14:paraId="7E3FE5FD"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Guinea-Bissau (f)</w:t>
            </w:r>
          </w:p>
        </w:tc>
        <w:tc>
          <w:tcPr>
            <w:tcW w:w="1134" w:type="dxa"/>
            <w:tcBorders>
              <w:top w:val="nil"/>
              <w:left w:val="nil"/>
              <w:bottom w:val="single" w:sz="24" w:space="0" w:color="auto"/>
              <w:right w:val="nil"/>
            </w:tcBorders>
            <w:vAlign w:val="bottom"/>
          </w:tcPr>
          <w:p w14:paraId="746727FF"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0.5</w:t>
            </w:r>
          </w:p>
        </w:tc>
        <w:tc>
          <w:tcPr>
            <w:tcW w:w="1276" w:type="dxa"/>
            <w:tcBorders>
              <w:top w:val="nil"/>
              <w:left w:val="nil"/>
              <w:bottom w:val="single" w:sz="24" w:space="0" w:color="auto"/>
              <w:right w:val="nil"/>
            </w:tcBorders>
            <w:vAlign w:val="bottom"/>
          </w:tcPr>
          <w:p w14:paraId="3476630A"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single" w:sz="24" w:space="0" w:color="auto"/>
              <w:right w:val="nil"/>
            </w:tcBorders>
            <w:vAlign w:val="bottom"/>
          </w:tcPr>
          <w:p w14:paraId="3CC244C9"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single" w:sz="24" w:space="0" w:color="auto"/>
              <w:right w:val="nil"/>
            </w:tcBorders>
            <w:vAlign w:val="bottom"/>
          </w:tcPr>
          <w:p w14:paraId="03D597CF"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12CB18C2" w14:textId="77777777" w:rsidTr="00721796">
        <w:tc>
          <w:tcPr>
            <w:tcW w:w="1101" w:type="dxa"/>
            <w:vMerge w:val="restart"/>
            <w:tcBorders>
              <w:top w:val="single" w:sz="24" w:space="0" w:color="auto"/>
              <w:left w:val="nil"/>
              <w:bottom w:val="nil"/>
              <w:right w:val="nil"/>
            </w:tcBorders>
          </w:tcPr>
          <w:p w14:paraId="52117655" w14:textId="77777777" w:rsidR="00C24E82" w:rsidRPr="00F15481" w:rsidRDefault="00C24E82" w:rsidP="00721796">
            <w:pPr>
              <w:rPr>
                <w:rFonts w:ascii="Calibri" w:hAnsi="Calibri"/>
                <w:b/>
                <w:color w:val="000000" w:themeColor="text1"/>
                <w:sz w:val="16"/>
                <w:szCs w:val="16"/>
              </w:rPr>
            </w:pPr>
            <w:r w:rsidRPr="00F15481">
              <w:rPr>
                <w:rFonts w:ascii="Calibri" w:hAnsi="Calibri"/>
                <w:b/>
                <w:color w:val="000000" w:themeColor="text1"/>
                <w:sz w:val="16"/>
                <w:szCs w:val="16"/>
              </w:rPr>
              <w:t>EAC</w:t>
            </w:r>
          </w:p>
        </w:tc>
        <w:tc>
          <w:tcPr>
            <w:tcW w:w="992" w:type="dxa"/>
            <w:tcBorders>
              <w:top w:val="single" w:sz="24" w:space="0" w:color="auto"/>
              <w:left w:val="nil"/>
              <w:bottom w:val="single" w:sz="4" w:space="0" w:color="auto"/>
              <w:right w:val="nil"/>
            </w:tcBorders>
          </w:tcPr>
          <w:p w14:paraId="02F572EC" w14:textId="77777777" w:rsidR="00C24E82" w:rsidRPr="00222975" w:rsidRDefault="00C24E82" w:rsidP="00721796">
            <w:pPr>
              <w:rPr>
                <w:rFonts w:ascii="Calibri" w:hAnsi="Calibri"/>
                <w:color w:val="000000" w:themeColor="text1"/>
                <w:sz w:val="16"/>
                <w:szCs w:val="16"/>
              </w:rPr>
            </w:pPr>
            <w:r w:rsidRPr="00222975">
              <w:rPr>
                <w:rFonts w:ascii="Calibri" w:hAnsi="Calibri"/>
                <w:color w:val="000000" w:themeColor="text1"/>
                <w:sz w:val="16"/>
                <w:szCs w:val="16"/>
              </w:rPr>
              <w:t>Non-LDCs</w:t>
            </w:r>
          </w:p>
        </w:tc>
        <w:tc>
          <w:tcPr>
            <w:tcW w:w="1701" w:type="dxa"/>
            <w:tcBorders>
              <w:top w:val="single" w:sz="24" w:space="0" w:color="auto"/>
              <w:left w:val="nil"/>
              <w:bottom w:val="single" w:sz="4" w:space="0" w:color="auto"/>
              <w:right w:val="nil"/>
            </w:tcBorders>
            <w:vAlign w:val="bottom"/>
          </w:tcPr>
          <w:p w14:paraId="1D468B9F"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Kenya</w:t>
            </w:r>
          </w:p>
        </w:tc>
        <w:tc>
          <w:tcPr>
            <w:tcW w:w="1134" w:type="dxa"/>
            <w:tcBorders>
              <w:top w:val="single" w:sz="24" w:space="0" w:color="auto"/>
              <w:left w:val="nil"/>
              <w:bottom w:val="single" w:sz="4" w:space="0" w:color="auto"/>
              <w:right w:val="nil"/>
            </w:tcBorders>
            <w:vAlign w:val="bottom"/>
          </w:tcPr>
          <w:p w14:paraId="36671BF8"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24.8</w:t>
            </w:r>
          </w:p>
        </w:tc>
        <w:tc>
          <w:tcPr>
            <w:tcW w:w="1276" w:type="dxa"/>
            <w:tcBorders>
              <w:top w:val="single" w:sz="24" w:space="0" w:color="auto"/>
              <w:left w:val="nil"/>
              <w:bottom w:val="single" w:sz="4" w:space="0" w:color="auto"/>
              <w:right w:val="nil"/>
            </w:tcBorders>
            <w:vAlign w:val="bottom"/>
          </w:tcPr>
          <w:p w14:paraId="2CA8D555"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56.5</w:t>
            </w:r>
          </w:p>
        </w:tc>
        <w:tc>
          <w:tcPr>
            <w:tcW w:w="992" w:type="dxa"/>
            <w:tcBorders>
              <w:top w:val="single" w:sz="24" w:space="0" w:color="auto"/>
              <w:left w:val="nil"/>
              <w:bottom w:val="single" w:sz="4" w:space="0" w:color="auto"/>
              <w:right w:val="nil"/>
            </w:tcBorders>
            <w:vAlign w:val="bottom"/>
          </w:tcPr>
          <w:p w14:paraId="640CE85B"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single" w:sz="24" w:space="0" w:color="auto"/>
              <w:left w:val="nil"/>
              <w:bottom w:val="single" w:sz="4" w:space="0" w:color="auto"/>
              <w:right w:val="nil"/>
            </w:tcBorders>
            <w:vAlign w:val="bottom"/>
          </w:tcPr>
          <w:p w14:paraId="5E3ADA07"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6E3A470B" w14:textId="77777777" w:rsidTr="00721796">
        <w:tc>
          <w:tcPr>
            <w:tcW w:w="1101" w:type="dxa"/>
            <w:vMerge/>
            <w:tcBorders>
              <w:top w:val="nil"/>
              <w:left w:val="nil"/>
              <w:bottom w:val="nil"/>
              <w:right w:val="nil"/>
            </w:tcBorders>
          </w:tcPr>
          <w:p w14:paraId="148198A1" w14:textId="77777777" w:rsidR="00C24E82" w:rsidRPr="00F15481" w:rsidRDefault="00C24E82" w:rsidP="00721796">
            <w:pPr>
              <w:rPr>
                <w:rFonts w:ascii="Calibri" w:hAnsi="Calibri"/>
                <w:b/>
                <w:color w:val="000000" w:themeColor="text1"/>
                <w:sz w:val="16"/>
                <w:szCs w:val="16"/>
              </w:rPr>
            </w:pPr>
          </w:p>
        </w:tc>
        <w:tc>
          <w:tcPr>
            <w:tcW w:w="992" w:type="dxa"/>
            <w:vMerge w:val="restart"/>
            <w:tcBorders>
              <w:top w:val="single" w:sz="4" w:space="0" w:color="auto"/>
              <w:left w:val="nil"/>
              <w:bottom w:val="nil"/>
              <w:right w:val="nil"/>
            </w:tcBorders>
          </w:tcPr>
          <w:p w14:paraId="4AC91D46" w14:textId="77777777" w:rsidR="00C24E82" w:rsidRPr="00222975" w:rsidRDefault="00C24E82" w:rsidP="00721796">
            <w:pPr>
              <w:rPr>
                <w:rFonts w:ascii="Calibri" w:hAnsi="Calibri"/>
                <w:color w:val="000000" w:themeColor="text1"/>
                <w:sz w:val="16"/>
                <w:szCs w:val="16"/>
              </w:rPr>
            </w:pPr>
            <w:r w:rsidRPr="00222975">
              <w:rPr>
                <w:rFonts w:ascii="Calibri" w:hAnsi="Calibri"/>
                <w:color w:val="000000" w:themeColor="text1"/>
                <w:sz w:val="16"/>
                <w:szCs w:val="16"/>
              </w:rPr>
              <w:t>LDCs</w:t>
            </w:r>
          </w:p>
        </w:tc>
        <w:tc>
          <w:tcPr>
            <w:tcW w:w="1701" w:type="dxa"/>
            <w:tcBorders>
              <w:top w:val="single" w:sz="4" w:space="0" w:color="auto"/>
              <w:left w:val="nil"/>
              <w:bottom w:val="nil"/>
              <w:right w:val="nil"/>
            </w:tcBorders>
            <w:vAlign w:val="bottom"/>
          </w:tcPr>
          <w:p w14:paraId="2074D688"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Uganda</w:t>
            </w:r>
          </w:p>
        </w:tc>
        <w:tc>
          <w:tcPr>
            <w:tcW w:w="1134" w:type="dxa"/>
            <w:tcBorders>
              <w:top w:val="single" w:sz="4" w:space="0" w:color="auto"/>
              <w:left w:val="nil"/>
              <w:bottom w:val="nil"/>
              <w:right w:val="nil"/>
            </w:tcBorders>
            <w:vAlign w:val="bottom"/>
          </w:tcPr>
          <w:p w14:paraId="3D56D98D"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22.4</w:t>
            </w:r>
          </w:p>
        </w:tc>
        <w:tc>
          <w:tcPr>
            <w:tcW w:w="1276" w:type="dxa"/>
            <w:tcBorders>
              <w:top w:val="single" w:sz="4" w:space="0" w:color="auto"/>
              <w:left w:val="nil"/>
              <w:bottom w:val="nil"/>
              <w:right w:val="nil"/>
            </w:tcBorders>
            <w:vAlign w:val="bottom"/>
          </w:tcPr>
          <w:p w14:paraId="47E4CE43"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single" w:sz="4" w:space="0" w:color="auto"/>
              <w:left w:val="nil"/>
              <w:bottom w:val="nil"/>
              <w:right w:val="nil"/>
            </w:tcBorders>
            <w:vAlign w:val="bottom"/>
          </w:tcPr>
          <w:p w14:paraId="2FC9CA97"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single" w:sz="4" w:space="0" w:color="auto"/>
              <w:left w:val="nil"/>
              <w:bottom w:val="nil"/>
              <w:right w:val="nil"/>
            </w:tcBorders>
            <w:vAlign w:val="bottom"/>
          </w:tcPr>
          <w:p w14:paraId="6B6DCC0F"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636C3634" w14:textId="77777777" w:rsidTr="00721796">
        <w:tc>
          <w:tcPr>
            <w:tcW w:w="1101" w:type="dxa"/>
            <w:vMerge/>
            <w:tcBorders>
              <w:top w:val="nil"/>
              <w:left w:val="nil"/>
              <w:bottom w:val="nil"/>
              <w:right w:val="nil"/>
            </w:tcBorders>
          </w:tcPr>
          <w:p w14:paraId="4CC46AE7"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26460E24"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689935F8"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Rwanda</w:t>
            </w:r>
          </w:p>
        </w:tc>
        <w:tc>
          <w:tcPr>
            <w:tcW w:w="1134" w:type="dxa"/>
            <w:tcBorders>
              <w:top w:val="nil"/>
              <w:left w:val="nil"/>
              <w:bottom w:val="nil"/>
              <w:right w:val="nil"/>
            </w:tcBorders>
            <w:vAlign w:val="bottom"/>
          </w:tcPr>
          <w:p w14:paraId="58B86274"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16.0</w:t>
            </w:r>
          </w:p>
        </w:tc>
        <w:tc>
          <w:tcPr>
            <w:tcW w:w="1276" w:type="dxa"/>
            <w:tcBorders>
              <w:top w:val="nil"/>
              <w:left w:val="nil"/>
              <w:bottom w:val="nil"/>
              <w:right w:val="nil"/>
            </w:tcBorders>
            <w:vAlign w:val="bottom"/>
          </w:tcPr>
          <w:p w14:paraId="34A5E38B"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5B171872"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2011BC29"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00254FEE" w14:textId="77777777" w:rsidTr="00721796">
        <w:tc>
          <w:tcPr>
            <w:tcW w:w="1101" w:type="dxa"/>
            <w:vMerge/>
            <w:tcBorders>
              <w:top w:val="nil"/>
              <w:left w:val="nil"/>
              <w:bottom w:val="nil"/>
              <w:right w:val="nil"/>
            </w:tcBorders>
          </w:tcPr>
          <w:p w14:paraId="49684367"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3FEEB071"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42F3B9B7"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Tanzania</w:t>
            </w:r>
          </w:p>
        </w:tc>
        <w:tc>
          <w:tcPr>
            <w:tcW w:w="1134" w:type="dxa"/>
            <w:tcBorders>
              <w:top w:val="nil"/>
              <w:left w:val="nil"/>
              <w:bottom w:val="nil"/>
              <w:right w:val="nil"/>
            </w:tcBorders>
            <w:vAlign w:val="bottom"/>
          </w:tcPr>
          <w:p w14:paraId="1B287314"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15.7</w:t>
            </w:r>
          </w:p>
        </w:tc>
        <w:tc>
          <w:tcPr>
            <w:tcW w:w="1276" w:type="dxa"/>
            <w:tcBorders>
              <w:top w:val="nil"/>
              <w:left w:val="nil"/>
              <w:bottom w:val="nil"/>
              <w:right w:val="nil"/>
            </w:tcBorders>
            <w:vAlign w:val="bottom"/>
          </w:tcPr>
          <w:p w14:paraId="79D398AF"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45956A49"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101B3DFA"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3196105B" w14:textId="77777777" w:rsidTr="00721796">
        <w:tc>
          <w:tcPr>
            <w:tcW w:w="1101" w:type="dxa"/>
            <w:vMerge/>
            <w:tcBorders>
              <w:top w:val="nil"/>
              <w:left w:val="nil"/>
              <w:bottom w:val="single" w:sz="24" w:space="0" w:color="auto"/>
              <w:right w:val="nil"/>
            </w:tcBorders>
          </w:tcPr>
          <w:p w14:paraId="3278021A"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single" w:sz="24" w:space="0" w:color="auto"/>
              <w:right w:val="nil"/>
            </w:tcBorders>
          </w:tcPr>
          <w:p w14:paraId="40F57278"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single" w:sz="24" w:space="0" w:color="auto"/>
              <w:right w:val="nil"/>
            </w:tcBorders>
            <w:vAlign w:val="bottom"/>
          </w:tcPr>
          <w:p w14:paraId="23353159"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Burundi</w:t>
            </w:r>
          </w:p>
        </w:tc>
        <w:tc>
          <w:tcPr>
            <w:tcW w:w="1134" w:type="dxa"/>
            <w:tcBorders>
              <w:top w:val="nil"/>
              <w:left w:val="nil"/>
              <w:bottom w:val="single" w:sz="24" w:space="0" w:color="auto"/>
              <w:right w:val="nil"/>
            </w:tcBorders>
            <w:vAlign w:val="bottom"/>
          </w:tcPr>
          <w:p w14:paraId="4AB2EF4F"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14.3</w:t>
            </w:r>
          </w:p>
        </w:tc>
        <w:tc>
          <w:tcPr>
            <w:tcW w:w="1276" w:type="dxa"/>
            <w:tcBorders>
              <w:top w:val="nil"/>
              <w:left w:val="nil"/>
              <w:bottom w:val="single" w:sz="24" w:space="0" w:color="auto"/>
              <w:right w:val="nil"/>
            </w:tcBorders>
            <w:vAlign w:val="bottom"/>
          </w:tcPr>
          <w:p w14:paraId="4D938A95"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single" w:sz="24" w:space="0" w:color="auto"/>
              <w:right w:val="nil"/>
            </w:tcBorders>
            <w:vAlign w:val="bottom"/>
          </w:tcPr>
          <w:p w14:paraId="30384AA6"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single" w:sz="24" w:space="0" w:color="auto"/>
              <w:right w:val="nil"/>
            </w:tcBorders>
            <w:vAlign w:val="bottom"/>
          </w:tcPr>
          <w:p w14:paraId="7A9497F2"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11C629F8" w14:textId="77777777" w:rsidTr="00721796">
        <w:tc>
          <w:tcPr>
            <w:tcW w:w="1101" w:type="dxa"/>
            <w:vMerge w:val="restart"/>
            <w:tcBorders>
              <w:top w:val="single" w:sz="24" w:space="0" w:color="auto"/>
              <w:left w:val="nil"/>
              <w:bottom w:val="nil"/>
              <w:right w:val="nil"/>
            </w:tcBorders>
          </w:tcPr>
          <w:p w14:paraId="64FE4D32" w14:textId="77777777" w:rsidR="00C24E82" w:rsidRPr="00F15481" w:rsidRDefault="00C24E82" w:rsidP="00721796">
            <w:pPr>
              <w:rPr>
                <w:rFonts w:ascii="Calibri" w:hAnsi="Calibri"/>
                <w:b/>
                <w:color w:val="000000" w:themeColor="text1"/>
                <w:sz w:val="16"/>
                <w:szCs w:val="16"/>
              </w:rPr>
            </w:pPr>
            <w:r w:rsidRPr="00F15481">
              <w:rPr>
                <w:rFonts w:ascii="Calibri" w:hAnsi="Calibri"/>
                <w:b/>
                <w:color w:val="000000" w:themeColor="text1"/>
                <w:sz w:val="16"/>
                <w:szCs w:val="16"/>
              </w:rPr>
              <w:t>SADC EPA Group</w:t>
            </w:r>
          </w:p>
        </w:tc>
        <w:tc>
          <w:tcPr>
            <w:tcW w:w="992" w:type="dxa"/>
            <w:vMerge w:val="restart"/>
            <w:tcBorders>
              <w:top w:val="single" w:sz="24" w:space="0" w:color="auto"/>
              <w:left w:val="nil"/>
              <w:bottom w:val="nil"/>
              <w:right w:val="nil"/>
            </w:tcBorders>
          </w:tcPr>
          <w:p w14:paraId="0AE464B6" w14:textId="77777777" w:rsidR="00C24E82" w:rsidRPr="00222975" w:rsidRDefault="00C24E82" w:rsidP="00721796">
            <w:pPr>
              <w:rPr>
                <w:rFonts w:ascii="Calibri" w:hAnsi="Calibri"/>
                <w:color w:val="000000" w:themeColor="text1"/>
                <w:sz w:val="16"/>
                <w:szCs w:val="16"/>
              </w:rPr>
            </w:pPr>
            <w:r w:rsidRPr="00222975">
              <w:rPr>
                <w:rFonts w:ascii="Calibri" w:hAnsi="Calibri"/>
                <w:color w:val="000000" w:themeColor="text1"/>
                <w:sz w:val="16"/>
                <w:szCs w:val="16"/>
              </w:rPr>
              <w:t>Non-LDCs</w:t>
            </w:r>
          </w:p>
        </w:tc>
        <w:tc>
          <w:tcPr>
            <w:tcW w:w="1701" w:type="dxa"/>
            <w:tcBorders>
              <w:top w:val="single" w:sz="24" w:space="0" w:color="auto"/>
              <w:left w:val="nil"/>
              <w:bottom w:val="nil"/>
              <w:right w:val="nil"/>
            </w:tcBorders>
            <w:vAlign w:val="bottom"/>
          </w:tcPr>
          <w:p w14:paraId="76F86305"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Botswana</w:t>
            </w:r>
          </w:p>
        </w:tc>
        <w:tc>
          <w:tcPr>
            <w:tcW w:w="1134" w:type="dxa"/>
            <w:tcBorders>
              <w:top w:val="single" w:sz="24" w:space="0" w:color="auto"/>
              <w:left w:val="nil"/>
              <w:bottom w:val="nil"/>
              <w:right w:val="nil"/>
            </w:tcBorders>
            <w:vAlign w:val="bottom"/>
          </w:tcPr>
          <w:p w14:paraId="31FBACE8"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60.9</w:t>
            </w:r>
          </w:p>
        </w:tc>
        <w:tc>
          <w:tcPr>
            <w:tcW w:w="1276" w:type="dxa"/>
            <w:tcBorders>
              <w:top w:val="single" w:sz="24" w:space="0" w:color="auto"/>
              <w:left w:val="nil"/>
              <w:bottom w:val="nil"/>
              <w:right w:val="nil"/>
            </w:tcBorders>
            <w:vAlign w:val="bottom"/>
          </w:tcPr>
          <w:p w14:paraId="1F24FDF3"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1.5</w:t>
            </w:r>
          </w:p>
        </w:tc>
        <w:tc>
          <w:tcPr>
            <w:tcW w:w="992" w:type="dxa"/>
            <w:tcBorders>
              <w:top w:val="single" w:sz="24" w:space="0" w:color="auto"/>
              <w:left w:val="nil"/>
              <w:bottom w:val="nil"/>
              <w:right w:val="nil"/>
            </w:tcBorders>
            <w:vAlign w:val="bottom"/>
          </w:tcPr>
          <w:p w14:paraId="692F198F"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single" w:sz="24" w:space="0" w:color="auto"/>
              <w:left w:val="nil"/>
              <w:bottom w:val="nil"/>
              <w:right w:val="nil"/>
            </w:tcBorders>
            <w:vAlign w:val="bottom"/>
          </w:tcPr>
          <w:p w14:paraId="4EF46B53"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1E130D5B" w14:textId="77777777" w:rsidTr="00721796">
        <w:tc>
          <w:tcPr>
            <w:tcW w:w="1101" w:type="dxa"/>
            <w:vMerge/>
            <w:tcBorders>
              <w:top w:val="nil"/>
              <w:left w:val="nil"/>
              <w:bottom w:val="nil"/>
              <w:right w:val="nil"/>
            </w:tcBorders>
          </w:tcPr>
          <w:p w14:paraId="7A44C843"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3BC3A2E2"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5B4C8B58"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Namibia</w:t>
            </w:r>
          </w:p>
        </w:tc>
        <w:tc>
          <w:tcPr>
            <w:tcW w:w="1134" w:type="dxa"/>
            <w:tcBorders>
              <w:top w:val="nil"/>
              <w:left w:val="nil"/>
              <w:bottom w:val="nil"/>
              <w:right w:val="nil"/>
            </w:tcBorders>
            <w:vAlign w:val="bottom"/>
          </w:tcPr>
          <w:p w14:paraId="228AA79B"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30.9</w:t>
            </w:r>
          </w:p>
        </w:tc>
        <w:tc>
          <w:tcPr>
            <w:tcW w:w="1276" w:type="dxa"/>
            <w:tcBorders>
              <w:top w:val="nil"/>
              <w:left w:val="nil"/>
              <w:bottom w:val="nil"/>
              <w:right w:val="nil"/>
            </w:tcBorders>
            <w:vAlign w:val="bottom"/>
          </w:tcPr>
          <w:p w14:paraId="3C4CA9B8"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30.5</w:t>
            </w:r>
          </w:p>
        </w:tc>
        <w:tc>
          <w:tcPr>
            <w:tcW w:w="992" w:type="dxa"/>
            <w:tcBorders>
              <w:top w:val="nil"/>
              <w:left w:val="nil"/>
              <w:bottom w:val="nil"/>
              <w:right w:val="nil"/>
            </w:tcBorders>
            <w:vAlign w:val="bottom"/>
          </w:tcPr>
          <w:p w14:paraId="6417CB76"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7FE562FA"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7FD8A6B0" w14:textId="77777777" w:rsidTr="00721796">
        <w:tc>
          <w:tcPr>
            <w:tcW w:w="1101" w:type="dxa"/>
            <w:vMerge/>
            <w:tcBorders>
              <w:top w:val="nil"/>
              <w:left w:val="nil"/>
              <w:bottom w:val="nil"/>
              <w:right w:val="nil"/>
            </w:tcBorders>
          </w:tcPr>
          <w:p w14:paraId="5BF40B56"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3C63D3AF"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5CBCBA90"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South Africa</w:t>
            </w:r>
          </w:p>
        </w:tc>
        <w:tc>
          <w:tcPr>
            <w:tcW w:w="1134" w:type="dxa"/>
            <w:tcBorders>
              <w:top w:val="nil"/>
              <w:left w:val="nil"/>
              <w:bottom w:val="nil"/>
              <w:right w:val="nil"/>
            </w:tcBorders>
            <w:vAlign w:val="bottom"/>
          </w:tcPr>
          <w:p w14:paraId="4F4E05EC"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24.8</w:t>
            </w:r>
          </w:p>
        </w:tc>
        <w:tc>
          <w:tcPr>
            <w:tcW w:w="1276" w:type="dxa"/>
            <w:tcBorders>
              <w:top w:val="nil"/>
              <w:left w:val="nil"/>
              <w:bottom w:val="nil"/>
              <w:right w:val="nil"/>
            </w:tcBorders>
            <w:vAlign w:val="bottom"/>
          </w:tcPr>
          <w:p w14:paraId="7F45FFE1"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3B765014"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nil"/>
              <w:right w:val="nil"/>
            </w:tcBorders>
            <w:vAlign w:val="bottom"/>
          </w:tcPr>
          <w:p w14:paraId="44EAD420"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6D5049E6" w14:textId="77777777" w:rsidTr="00721796">
        <w:tc>
          <w:tcPr>
            <w:tcW w:w="1101" w:type="dxa"/>
            <w:vMerge/>
            <w:tcBorders>
              <w:top w:val="nil"/>
              <w:left w:val="nil"/>
              <w:bottom w:val="nil"/>
              <w:right w:val="nil"/>
            </w:tcBorders>
          </w:tcPr>
          <w:p w14:paraId="357FB0B0"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single" w:sz="4" w:space="0" w:color="auto"/>
              <w:right w:val="nil"/>
            </w:tcBorders>
          </w:tcPr>
          <w:p w14:paraId="7EAA286D"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single" w:sz="4" w:space="0" w:color="auto"/>
              <w:right w:val="nil"/>
            </w:tcBorders>
            <w:vAlign w:val="bottom"/>
          </w:tcPr>
          <w:p w14:paraId="60DDCB4A"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Swaziland</w:t>
            </w:r>
          </w:p>
        </w:tc>
        <w:tc>
          <w:tcPr>
            <w:tcW w:w="1134" w:type="dxa"/>
            <w:tcBorders>
              <w:top w:val="nil"/>
              <w:left w:val="nil"/>
              <w:bottom w:val="single" w:sz="4" w:space="0" w:color="auto"/>
              <w:right w:val="nil"/>
            </w:tcBorders>
            <w:vAlign w:val="bottom"/>
          </w:tcPr>
          <w:p w14:paraId="37CCD317"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8.7</w:t>
            </w:r>
          </w:p>
        </w:tc>
        <w:tc>
          <w:tcPr>
            <w:tcW w:w="1276" w:type="dxa"/>
            <w:tcBorders>
              <w:top w:val="nil"/>
              <w:left w:val="nil"/>
              <w:bottom w:val="single" w:sz="4" w:space="0" w:color="auto"/>
              <w:right w:val="nil"/>
            </w:tcBorders>
            <w:vAlign w:val="bottom"/>
          </w:tcPr>
          <w:p w14:paraId="47CAE0D6"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86.6</w:t>
            </w:r>
          </w:p>
        </w:tc>
        <w:tc>
          <w:tcPr>
            <w:tcW w:w="992" w:type="dxa"/>
            <w:tcBorders>
              <w:top w:val="nil"/>
              <w:left w:val="nil"/>
              <w:bottom w:val="single" w:sz="4" w:space="0" w:color="auto"/>
              <w:right w:val="nil"/>
            </w:tcBorders>
            <w:vAlign w:val="bottom"/>
          </w:tcPr>
          <w:p w14:paraId="4D205685"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single" w:sz="4" w:space="0" w:color="auto"/>
              <w:right w:val="nil"/>
            </w:tcBorders>
            <w:vAlign w:val="bottom"/>
          </w:tcPr>
          <w:p w14:paraId="6CA411EB"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2B85E9ED" w14:textId="77777777" w:rsidTr="00721796">
        <w:tc>
          <w:tcPr>
            <w:tcW w:w="1101" w:type="dxa"/>
            <w:vMerge/>
            <w:tcBorders>
              <w:top w:val="nil"/>
              <w:left w:val="nil"/>
              <w:bottom w:val="nil"/>
              <w:right w:val="nil"/>
            </w:tcBorders>
          </w:tcPr>
          <w:p w14:paraId="3C2FDB31" w14:textId="77777777" w:rsidR="00C24E82" w:rsidRPr="00F15481" w:rsidRDefault="00C24E82" w:rsidP="00721796">
            <w:pPr>
              <w:rPr>
                <w:rFonts w:ascii="Calibri" w:hAnsi="Calibri"/>
                <w:b/>
                <w:color w:val="000000" w:themeColor="text1"/>
                <w:sz w:val="16"/>
                <w:szCs w:val="16"/>
              </w:rPr>
            </w:pPr>
          </w:p>
        </w:tc>
        <w:tc>
          <w:tcPr>
            <w:tcW w:w="992" w:type="dxa"/>
            <w:vMerge w:val="restart"/>
            <w:tcBorders>
              <w:top w:val="single" w:sz="4" w:space="0" w:color="auto"/>
              <w:left w:val="nil"/>
              <w:bottom w:val="nil"/>
              <w:right w:val="nil"/>
            </w:tcBorders>
          </w:tcPr>
          <w:p w14:paraId="12F8AA2A" w14:textId="77777777" w:rsidR="00C24E82" w:rsidRPr="00222975" w:rsidRDefault="00C24E82" w:rsidP="00721796">
            <w:pPr>
              <w:rPr>
                <w:rFonts w:ascii="Calibri" w:hAnsi="Calibri"/>
                <w:color w:val="000000" w:themeColor="text1"/>
                <w:sz w:val="16"/>
                <w:szCs w:val="16"/>
              </w:rPr>
            </w:pPr>
            <w:r w:rsidRPr="00222975">
              <w:rPr>
                <w:rFonts w:ascii="Calibri" w:hAnsi="Calibri"/>
                <w:color w:val="000000" w:themeColor="text1"/>
                <w:sz w:val="16"/>
                <w:szCs w:val="16"/>
              </w:rPr>
              <w:t>LDCs</w:t>
            </w:r>
          </w:p>
        </w:tc>
        <w:tc>
          <w:tcPr>
            <w:tcW w:w="1701" w:type="dxa"/>
            <w:tcBorders>
              <w:top w:val="single" w:sz="4" w:space="0" w:color="auto"/>
              <w:left w:val="nil"/>
              <w:bottom w:val="nil"/>
              <w:right w:val="nil"/>
            </w:tcBorders>
            <w:vAlign w:val="bottom"/>
          </w:tcPr>
          <w:p w14:paraId="68A4CC0C"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Mozambique</w:t>
            </w:r>
          </w:p>
        </w:tc>
        <w:tc>
          <w:tcPr>
            <w:tcW w:w="1134" w:type="dxa"/>
            <w:tcBorders>
              <w:top w:val="single" w:sz="4" w:space="0" w:color="auto"/>
              <w:left w:val="nil"/>
              <w:bottom w:val="nil"/>
              <w:right w:val="nil"/>
            </w:tcBorders>
            <w:vAlign w:val="bottom"/>
          </w:tcPr>
          <w:p w14:paraId="1534CA72"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42.9</w:t>
            </w:r>
          </w:p>
        </w:tc>
        <w:tc>
          <w:tcPr>
            <w:tcW w:w="1276" w:type="dxa"/>
            <w:tcBorders>
              <w:top w:val="single" w:sz="4" w:space="0" w:color="auto"/>
              <w:left w:val="nil"/>
              <w:bottom w:val="nil"/>
              <w:right w:val="nil"/>
            </w:tcBorders>
            <w:vAlign w:val="bottom"/>
          </w:tcPr>
          <w:p w14:paraId="254721FA"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single" w:sz="4" w:space="0" w:color="auto"/>
              <w:left w:val="nil"/>
              <w:bottom w:val="nil"/>
              <w:right w:val="nil"/>
            </w:tcBorders>
            <w:vAlign w:val="bottom"/>
          </w:tcPr>
          <w:p w14:paraId="34EF2DE4"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single" w:sz="4" w:space="0" w:color="auto"/>
              <w:left w:val="nil"/>
              <w:bottom w:val="nil"/>
              <w:right w:val="nil"/>
            </w:tcBorders>
            <w:vAlign w:val="bottom"/>
          </w:tcPr>
          <w:p w14:paraId="56C054E6"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37CE258D" w14:textId="77777777" w:rsidTr="00721796">
        <w:tc>
          <w:tcPr>
            <w:tcW w:w="1101" w:type="dxa"/>
            <w:vMerge/>
            <w:tcBorders>
              <w:top w:val="nil"/>
              <w:left w:val="nil"/>
              <w:bottom w:val="nil"/>
              <w:right w:val="nil"/>
            </w:tcBorders>
          </w:tcPr>
          <w:p w14:paraId="4B6BF1ED"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072D0038"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646E2621"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Angola (e)</w:t>
            </w:r>
          </w:p>
        </w:tc>
        <w:tc>
          <w:tcPr>
            <w:tcW w:w="1134" w:type="dxa"/>
            <w:tcBorders>
              <w:top w:val="nil"/>
              <w:left w:val="nil"/>
              <w:bottom w:val="nil"/>
              <w:right w:val="nil"/>
            </w:tcBorders>
            <w:vAlign w:val="bottom"/>
          </w:tcPr>
          <w:p w14:paraId="70B9AC42"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25.1</w:t>
            </w:r>
          </w:p>
        </w:tc>
        <w:tc>
          <w:tcPr>
            <w:tcW w:w="1276" w:type="dxa"/>
            <w:tcBorders>
              <w:top w:val="nil"/>
              <w:left w:val="nil"/>
              <w:bottom w:val="nil"/>
              <w:right w:val="nil"/>
            </w:tcBorders>
            <w:vAlign w:val="bottom"/>
          </w:tcPr>
          <w:p w14:paraId="1E124BE0"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3EF5996E"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nil"/>
              <w:right w:val="nil"/>
            </w:tcBorders>
            <w:vAlign w:val="bottom"/>
          </w:tcPr>
          <w:p w14:paraId="6F0BEE9E" w14:textId="77777777" w:rsidR="00C24E82" w:rsidRPr="00222975" w:rsidRDefault="00C24E82" w:rsidP="00721796">
            <w:pPr>
              <w:jc w:val="center"/>
              <w:rPr>
                <w:rFonts w:ascii="Calibri" w:hAnsi="Calibri"/>
                <w:color w:val="000000" w:themeColor="text1"/>
                <w:sz w:val="16"/>
                <w:szCs w:val="16"/>
              </w:rPr>
            </w:pPr>
          </w:p>
        </w:tc>
      </w:tr>
      <w:tr w:rsidR="00C24E82" w:rsidRPr="00222975" w14:paraId="2E0885D6" w14:textId="77777777" w:rsidTr="00721796">
        <w:tc>
          <w:tcPr>
            <w:tcW w:w="1101" w:type="dxa"/>
            <w:vMerge/>
            <w:tcBorders>
              <w:top w:val="nil"/>
              <w:left w:val="nil"/>
              <w:bottom w:val="single" w:sz="24" w:space="0" w:color="auto"/>
              <w:right w:val="nil"/>
            </w:tcBorders>
          </w:tcPr>
          <w:p w14:paraId="7A835954"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single" w:sz="24" w:space="0" w:color="auto"/>
              <w:right w:val="nil"/>
            </w:tcBorders>
          </w:tcPr>
          <w:p w14:paraId="1C06D3D1"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single" w:sz="24" w:space="0" w:color="auto"/>
              <w:right w:val="nil"/>
            </w:tcBorders>
            <w:vAlign w:val="bottom"/>
          </w:tcPr>
          <w:p w14:paraId="4CF8CCC5"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Lesotho</w:t>
            </w:r>
          </w:p>
        </w:tc>
        <w:tc>
          <w:tcPr>
            <w:tcW w:w="1134" w:type="dxa"/>
            <w:tcBorders>
              <w:top w:val="nil"/>
              <w:left w:val="nil"/>
              <w:bottom w:val="single" w:sz="24" w:space="0" w:color="auto"/>
              <w:right w:val="nil"/>
            </w:tcBorders>
            <w:vAlign w:val="bottom"/>
          </w:tcPr>
          <w:p w14:paraId="7FD48538"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2.7</w:t>
            </w:r>
          </w:p>
        </w:tc>
        <w:tc>
          <w:tcPr>
            <w:tcW w:w="1276" w:type="dxa"/>
            <w:tcBorders>
              <w:top w:val="nil"/>
              <w:left w:val="nil"/>
              <w:bottom w:val="single" w:sz="24" w:space="0" w:color="auto"/>
              <w:right w:val="nil"/>
            </w:tcBorders>
            <w:vAlign w:val="bottom"/>
          </w:tcPr>
          <w:p w14:paraId="1707A584"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single" w:sz="24" w:space="0" w:color="auto"/>
              <w:right w:val="nil"/>
            </w:tcBorders>
            <w:vAlign w:val="bottom"/>
          </w:tcPr>
          <w:p w14:paraId="1B656949"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single" w:sz="24" w:space="0" w:color="auto"/>
              <w:right w:val="nil"/>
            </w:tcBorders>
            <w:vAlign w:val="bottom"/>
          </w:tcPr>
          <w:p w14:paraId="1C84CF11"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7758E3E5" w14:textId="77777777" w:rsidTr="00721796">
        <w:tc>
          <w:tcPr>
            <w:tcW w:w="1101" w:type="dxa"/>
            <w:vMerge w:val="restart"/>
            <w:tcBorders>
              <w:top w:val="single" w:sz="24" w:space="0" w:color="auto"/>
              <w:left w:val="nil"/>
              <w:bottom w:val="nil"/>
              <w:right w:val="nil"/>
            </w:tcBorders>
          </w:tcPr>
          <w:p w14:paraId="1803213C" w14:textId="77777777" w:rsidR="00C24E82" w:rsidRPr="00F15481" w:rsidRDefault="00C24E82" w:rsidP="00721796">
            <w:pPr>
              <w:rPr>
                <w:rFonts w:ascii="Calibri" w:hAnsi="Calibri"/>
                <w:b/>
                <w:color w:val="000000" w:themeColor="text1"/>
                <w:sz w:val="16"/>
                <w:szCs w:val="16"/>
              </w:rPr>
            </w:pPr>
            <w:r w:rsidRPr="00F15481">
              <w:rPr>
                <w:rFonts w:ascii="Calibri" w:hAnsi="Calibri"/>
                <w:b/>
                <w:color w:val="000000" w:themeColor="text1"/>
                <w:sz w:val="16"/>
                <w:szCs w:val="16"/>
              </w:rPr>
              <w:t>Central Africa</w:t>
            </w:r>
          </w:p>
        </w:tc>
        <w:tc>
          <w:tcPr>
            <w:tcW w:w="992" w:type="dxa"/>
            <w:vMerge w:val="restart"/>
            <w:tcBorders>
              <w:top w:val="single" w:sz="24" w:space="0" w:color="auto"/>
              <w:left w:val="nil"/>
              <w:bottom w:val="nil"/>
              <w:right w:val="nil"/>
            </w:tcBorders>
          </w:tcPr>
          <w:p w14:paraId="4B1EC101" w14:textId="77777777" w:rsidR="00C24E82" w:rsidRPr="00222975" w:rsidRDefault="00C24E82" w:rsidP="00721796">
            <w:pPr>
              <w:rPr>
                <w:rFonts w:ascii="Calibri" w:hAnsi="Calibri"/>
                <w:color w:val="000000" w:themeColor="text1"/>
                <w:sz w:val="16"/>
                <w:szCs w:val="16"/>
              </w:rPr>
            </w:pPr>
            <w:r w:rsidRPr="00222975">
              <w:rPr>
                <w:rFonts w:ascii="Calibri" w:hAnsi="Calibri"/>
                <w:color w:val="000000" w:themeColor="text1"/>
                <w:sz w:val="16"/>
                <w:szCs w:val="16"/>
              </w:rPr>
              <w:t>Non-LDCs</w:t>
            </w:r>
          </w:p>
        </w:tc>
        <w:tc>
          <w:tcPr>
            <w:tcW w:w="1701" w:type="dxa"/>
            <w:tcBorders>
              <w:top w:val="single" w:sz="24" w:space="0" w:color="auto"/>
              <w:left w:val="nil"/>
              <w:bottom w:val="nil"/>
              <w:right w:val="nil"/>
            </w:tcBorders>
            <w:vAlign w:val="bottom"/>
          </w:tcPr>
          <w:p w14:paraId="75DF24C4"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Cameroon</w:t>
            </w:r>
          </w:p>
        </w:tc>
        <w:tc>
          <w:tcPr>
            <w:tcW w:w="1134" w:type="dxa"/>
            <w:tcBorders>
              <w:top w:val="single" w:sz="24" w:space="0" w:color="auto"/>
              <w:left w:val="nil"/>
              <w:bottom w:val="nil"/>
              <w:right w:val="nil"/>
            </w:tcBorders>
            <w:vAlign w:val="bottom"/>
          </w:tcPr>
          <w:p w14:paraId="0C927881"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59.0</w:t>
            </w:r>
          </w:p>
        </w:tc>
        <w:tc>
          <w:tcPr>
            <w:tcW w:w="1276" w:type="dxa"/>
            <w:tcBorders>
              <w:top w:val="single" w:sz="24" w:space="0" w:color="auto"/>
              <w:left w:val="nil"/>
              <w:bottom w:val="nil"/>
              <w:right w:val="nil"/>
            </w:tcBorders>
            <w:vAlign w:val="bottom"/>
          </w:tcPr>
          <w:p w14:paraId="6A25A5BB"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14.0</w:t>
            </w:r>
          </w:p>
        </w:tc>
        <w:tc>
          <w:tcPr>
            <w:tcW w:w="992" w:type="dxa"/>
            <w:tcBorders>
              <w:top w:val="single" w:sz="24" w:space="0" w:color="auto"/>
              <w:left w:val="nil"/>
              <w:bottom w:val="nil"/>
              <w:right w:val="nil"/>
            </w:tcBorders>
            <w:vAlign w:val="bottom"/>
          </w:tcPr>
          <w:p w14:paraId="4153F1F7"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single" w:sz="24" w:space="0" w:color="auto"/>
              <w:left w:val="nil"/>
              <w:bottom w:val="nil"/>
              <w:right w:val="nil"/>
            </w:tcBorders>
            <w:vAlign w:val="bottom"/>
          </w:tcPr>
          <w:p w14:paraId="4C76744F"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07AFA414" w14:textId="77777777" w:rsidTr="00721796">
        <w:tc>
          <w:tcPr>
            <w:tcW w:w="1101" w:type="dxa"/>
            <w:vMerge/>
            <w:tcBorders>
              <w:top w:val="nil"/>
              <w:left w:val="nil"/>
              <w:bottom w:val="nil"/>
              <w:right w:val="nil"/>
            </w:tcBorders>
          </w:tcPr>
          <w:p w14:paraId="282BC94B"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32D61AE3"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5AD24BBB"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Congo (a)</w:t>
            </w:r>
          </w:p>
        </w:tc>
        <w:tc>
          <w:tcPr>
            <w:tcW w:w="1134" w:type="dxa"/>
            <w:tcBorders>
              <w:top w:val="nil"/>
              <w:left w:val="nil"/>
              <w:bottom w:val="nil"/>
              <w:right w:val="nil"/>
            </w:tcBorders>
            <w:vAlign w:val="bottom"/>
          </w:tcPr>
          <w:p w14:paraId="50B039E5"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21.0</w:t>
            </w:r>
          </w:p>
        </w:tc>
        <w:tc>
          <w:tcPr>
            <w:tcW w:w="1276" w:type="dxa"/>
            <w:tcBorders>
              <w:top w:val="nil"/>
              <w:left w:val="nil"/>
              <w:bottom w:val="nil"/>
              <w:right w:val="nil"/>
            </w:tcBorders>
            <w:vAlign w:val="bottom"/>
          </w:tcPr>
          <w:p w14:paraId="13A9F4CA"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3.3</w:t>
            </w:r>
          </w:p>
        </w:tc>
        <w:tc>
          <w:tcPr>
            <w:tcW w:w="992" w:type="dxa"/>
            <w:tcBorders>
              <w:top w:val="nil"/>
              <w:left w:val="nil"/>
              <w:bottom w:val="nil"/>
              <w:right w:val="nil"/>
            </w:tcBorders>
            <w:vAlign w:val="bottom"/>
          </w:tcPr>
          <w:p w14:paraId="7A20A0C0"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 </w:t>
            </w:r>
          </w:p>
        </w:tc>
        <w:tc>
          <w:tcPr>
            <w:tcW w:w="992" w:type="dxa"/>
            <w:tcBorders>
              <w:top w:val="nil"/>
              <w:left w:val="nil"/>
              <w:bottom w:val="nil"/>
              <w:right w:val="nil"/>
            </w:tcBorders>
            <w:vAlign w:val="bottom"/>
          </w:tcPr>
          <w:p w14:paraId="50C3EEDE"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 </w:t>
            </w:r>
          </w:p>
        </w:tc>
      </w:tr>
      <w:tr w:rsidR="00C24E82" w:rsidRPr="00222975" w14:paraId="2D5D01C9" w14:textId="77777777" w:rsidTr="00721796">
        <w:tc>
          <w:tcPr>
            <w:tcW w:w="1101" w:type="dxa"/>
            <w:vMerge/>
            <w:tcBorders>
              <w:top w:val="nil"/>
              <w:left w:val="nil"/>
              <w:bottom w:val="nil"/>
              <w:right w:val="nil"/>
            </w:tcBorders>
          </w:tcPr>
          <w:p w14:paraId="7836362E"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single" w:sz="4" w:space="0" w:color="auto"/>
              <w:right w:val="nil"/>
            </w:tcBorders>
          </w:tcPr>
          <w:p w14:paraId="52C97547"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single" w:sz="4" w:space="0" w:color="auto"/>
              <w:right w:val="nil"/>
            </w:tcBorders>
            <w:vAlign w:val="bottom"/>
          </w:tcPr>
          <w:p w14:paraId="15A4F44B"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Gabon (b)</w:t>
            </w:r>
          </w:p>
        </w:tc>
        <w:tc>
          <w:tcPr>
            <w:tcW w:w="1134" w:type="dxa"/>
            <w:tcBorders>
              <w:top w:val="nil"/>
              <w:left w:val="nil"/>
              <w:bottom w:val="single" w:sz="4" w:space="0" w:color="auto"/>
              <w:right w:val="nil"/>
            </w:tcBorders>
            <w:vAlign w:val="bottom"/>
          </w:tcPr>
          <w:p w14:paraId="743CB05E"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14.8</w:t>
            </w:r>
          </w:p>
        </w:tc>
        <w:tc>
          <w:tcPr>
            <w:tcW w:w="1276" w:type="dxa"/>
            <w:tcBorders>
              <w:top w:val="nil"/>
              <w:left w:val="nil"/>
              <w:bottom w:val="single" w:sz="4" w:space="0" w:color="auto"/>
              <w:right w:val="nil"/>
            </w:tcBorders>
            <w:vAlign w:val="bottom"/>
          </w:tcPr>
          <w:p w14:paraId="5746FF28"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4.1</w:t>
            </w:r>
          </w:p>
        </w:tc>
        <w:tc>
          <w:tcPr>
            <w:tcW w:w="992" w:type="dxa"/>
            <w:tcBorders>
              <w:top w:val="nil"/>
              <w:left w:val="nil"/>
              <w:bottom w:val="single" w:sz="4" w:space="0" w:color="auto"/>
              <w:right w:val="nil"/>
            </w:tcBorders>
            <w:vAlign w:val="bottom"/>
          </w:tcPr>
          <w:p w14:paraId="59B788DB"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 </w:t>
            </w:r>
          </w:p>
        </w:tc>
        <w:tc>
          <w:tcPr>
            <w:tcW w:w="992" w:type="dxa"/>
            <w:tcBorders>
              <w:top w:val="nil"/>
              <w:left w:val="nil"/>
              <w:bottom w:val="single" w:sz="4" w:space="0" w:color="auto"/>
              <w:right w:val="nil"/>
            </w:tcBorders>
            <w:vAlign w:val="bottom"/>
          </w:tcPr>
          <w:p w14:paraId="710A25E7"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 </w:t>
            </w:r>
          </w:p>
        </w:tc>
      </w:tr>
      <w:tr w:rsidR="00C24E82" w:rsidRPr="00222975" w14:paraId="5E2AF44F" w14:textId="77777777" w:rsidTr="00721796">
        <w:tc>
          <w:tcPr>
            <w:tcW w:w="1101" w:type="dxa"/>
            <w:vMerge/>
            <w:tcBorders>
              <w:top w:val="nil"/>
              <w:left w:val="nil"/>
              <w:bottom w:val="nil"/>
              <w:right w:val="nil"/>
            </w:tcBorders>
          </w:tcPr>
          <w:p w14:paraId="641A4107" w14:textId="77777777" w:rsidR="00C24E82" w:rsidRPr="00F15481" w:rsidRDefault="00C24E82" w:rsidP="00721796">
            <w:pPr>
              <w:rPr>
                <w:rFonts w:ascii="Calibri" w:hAnsi="Calibri"/>
                <w:b/>
                <w:color w:val="000000" w:themeColor="text1"/>
                <w:sz w:val="16"/>
                <w:szCs w:val="16"/>
              </w:rPr>
            </w:pPr>
          </w:p>
        </w:tc>
        <w:tc>
          <w:tcPr>
            <w:tcW w:w="992" w:type="dxa"/>
            <w:vMerge w:val="restart"/>
            <w:tcBorders>
              <w:top w:val="single" w:sz="4" w:space="0" w:color="auto"/>
              <w:left w:val="nil"/>
              <w:bottom w:val="nil"/>
              <w:right w:val="nil"/>
            </w:tcBorders>
          </w:tcPr>
          <w:p w14:paraId="5E3D8E8B" w14:textId="77777777" w:rsidR="00C24E82" w:rsidRPr="00222975" w:rsidRDefault="00C24E82" w:rsidP="00721796">
            <w:pPr>
              <w:rPr>
                <w:rFonts w:ascii="Calibri" w:hAnsi="Calibri"/>
                <w:color w:val="000000" w:themeColor="text1"/>
                <w:sz w:val="16"/>
                <w:szCs w:val="16"/>
              </w:rPr>
            </w:pPr>
            <w:r w:rsidRPr="00222975">
              <w:rPr>
                <w:rFonts w:ascii="Calibri" w:hAnsi="Calibri"/>
                <w:color w:val="000000" w:themeColor="text1"/>
                <w:sz w:val="16"/>
                <w:szCs w:val="16"/>
              </w:rPr>
              <w:t>LDCs</w:t>
            </w:r>
          </w:p>
        </w:tc>
        <w:tc>
          <w:tcPr>
            <w:tcW w:w="1701" w:type="dxa"/>
            <w:tcBorders>
              <w:top w:val="single" w:sz="4" w:space="0" w:color="auto"/>
              <w:left w:val="nil"/>
              <w:bottom w:val="nil"/>
              <w:right w:val="nil"/>
            </w:tcBorders>
            <w:vAlign w:val="bottom"/>
          </w:tcPr>
          <w:p w14:paraId="7A926500"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Sao Tome &amp; Principe</w:t>
            </w:r>
          </w:p>
        </w:tc>
        <w:tc>
          <w:tcPr>
            <w:tcW w:w="1134" w:type="dxa"/>
            <w:tcBorders>
              <w:top w:val="single" w:sz="4" w:space="0" w:color="auto"/>
              <w:left w:val="nil"/>
              <w:bottom w:val="nil"/>
              <w:right w:val="nil"/>
            </w:tcBorders>
            <w:vAlign w:val="bottom"/>
          </w:tcPr>
          <w:p w14:paraId="5D39B087"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71.1</w:t>
            </w:r>
          </w:p>
        </w:tc>
        <w:tc>
          <w:tcPr>
            <w:tcW w:w="1276" w:type="dxa"/>
            <w:tcBorders>
              <w:top w:val="single" w:sz="4" w:space="0" w:color="auto"/>
              <w:left w:val="nil"/>
              <w:bottom w:val="nil"/>
              <w:right w:val="nil"/>
            </w:tcBorders>
            <w:vAlign w:val="bottom"/>
          </w:tcPr>
          <w:p w14:paraId="09360AE1"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single" w:sz="4" w:space="0" w:color="auto"/>
              <w:left w:val="nil"/>
              <w:bottom w:val="nil"/>
              <w:right w:val="nil"/>
            </w:tcBorders>
            <w:vAlign w:val="bottom"/>
          </w:tcPr>
          <w:p w14:paraId="794C196D"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 </w:t>
            </w:r>
          </w:p>
        </w:tc>
        <w:tc>
          <w:tcPr>
            <w:tcW w:w="992" w:type="dxa"/>
            <w:tcBorders>
              <w:top w:val="single" w:sz="4" w:space="0" w:color="auto"/>
              <w:left w:val="nil"/>
              <w:bottom w:val="nil"/>
              <w:right w:val="nil"/>
            </w:tcBorders>
            <w:vAlign w:val="bottom"/>
          </w:tcPr>
          <w:p w14:paraId="77785392"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 </w:t>
            </w:r>
          </w:p>
        </w:tc>
      </w:tr>
      <w:tr w:rsidR="00C24E82" w:rsidRPr="00222975" w14:paraId="56BECA86" w14:textId="77777777" w:rsidTr="00721796">
        <w:tc>
          <w:tcPr>
            <w:tcW w:w="1101" w:type="dxa"/>
            <w:vMerge/>
            <w:tcBorders>
              <w:top w:val="nil"/>
              <w:left w:val="nil"/>
              <w:bottom w:val="nil"/>
              <w:right w:val="nil"/>
            </w:tcBorders>
          </w:tcPr>
          <w:p w14:paraId="30EB66AC"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51CEA482"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7F89E8C3"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Central African Rep</w:t>
            </w:r>
          </w:p>
        </w:tc>
        <w:tc>
          <w:tcPr>
            <w:tcW w:w="1134" w:type="dxa"/>
            <w:tcBorders>
              <w:top w:val="nil"/>
              <w:left w:val="nil"/>
              <w:bottom w:val="nil"/>
              <w:right w:val="nil"/>
            </w:tcBorders>
            <w:vAlign w:val="bottom"/>
          </w:tcPr>
          <w:p w14:paraId="68B3835D"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56.0</w:t>
            </w:r>
          </w:p>
        </w:tc>
        <w:tc>
          <w:tcPr>
            <w:tcW w:w="1276" w:type="dxa"/>
            <w:tcBorders>
              <w:top w:val="nil"/>
              <w:left w:val="nil"/>
              <w:bottom w:val="nil"/>
              <w:right w:val="nil"/>
            </w:tcBorders>
            <w:vAlign w:val="bottom"/>
          </w:tcPr>
          <w:p w14:paraId="49C370CF"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69CB8FDC"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 </w:t>
            </w:r>
          </w:p>
        </w:tc>
        <w:tc>
          <w:tcPr>
            <w:tcW w:w="992" w:type="dxa"/>
            <w:tcBorders>
              <w:top w:val="nil"/>
              <w:left w:val="nil"/>
              <w:bottom w:val="nil"/>
              <w:right w:val="nil"/>
            </w:tcBorders>
            <w:vAlign w:val="bottom"/>
          </w:tcPr>
          <w:p w14:paraId="415AE2E2"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 </w:t>
            </w:r>
          </w:p>
        </w:tc>
      </w:tr>
      <w:tr w:rsidR="00C24E82" w:rsidRPr="00222975" w14:paraId="3C1F36B6" w14:textId="77777777" w:rsidTr="00721796">
        <w:tc>
          <w:tcPr>
            <w:tcW w:w="1101" w:type="dxa"/>
            <w:vMerge/>
            <w:tcBorders>
              <w:top w:val="nil"/>
              <w:left w:val="nil"/>
              <w:bottom w:val="nil"/>
              <w:right w:val="nil"/>
            </w:tcBorders>
          </w:tcPr>
          <w:p w14:paraId="706C4906"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053A5CED"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2B0B9962"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Equatorial Guinea</w:t>
            </w:r>
          </w:p>
        </w:tc>
        <w:tc>
          <w:tcPr>
            <w:tcW w:w="1134" w:type="dxa"/>
            <w:tcBorders>
              <w:top w:val="nil"/>
              <w:left w:val="nil"/>
              <w:bottom w:val="nil"/>
              <w:right w:val="nil"/>
            </w:tcBorders>
            <w:vAlign w:val="bottom"/>
          </w:tcPr>
          <w:p w14:paraId="770821A9"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34.9</w:t>
            </w:r>
          </w:p>
        </w:tc>
        <w:tc>
          <w:tcPr>
            <w:tcW w:w="1276" w:type="dxa"/>
            <w:tcBorders>
              <w:top w:val="nil"/>
              <w:left w:val="nil"/>
              <w:bottom w:val="nil"/>
              <w:right w:val="nil"/>
            </w:tcBorders>
            <w:vAlign w:val="bottom"/>
          </w:tcPr>
          <w:p w14:paraId="0E00412A"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3AD0A9F8"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 </w:t>
            </w:r>
          </w:p>
        </w:tc>
        <w:tc>
          <w:tcPr>
            <w:tcW w:w="992" w:type="dxa"/>
            <w:tcBorders>
              <w:top w:val="nil"/>
              <w:left w:val="nil"/>
              <w:bottom w:val="nil"/>
              <w:right w:val="nil"/>
            </w:tcBorders>
            <w:vAlign w:val="bottom"/>
          </w:tcPr>
          <w:p w14:paraId="72157465"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 </w:t>
            </w:r>
          </w:p>
        </w:tc>
      </w:tr>
      <w:tr w:rsidR="00C24E82" w:rsidRPr="00222975" w14:paraId="45733268" w14:textId="77777777" w:rsidTr="00721796">
        <w:tc>
          <w:tcPr>
            <w:tcW w:w="1101" w:type="dxa"/>
            <w:vMerge/>
            <w:tcBorders>
              <w:top w:val="nil"/>
              <w:left w:val="nil"/>
              <w:bottom w:val="nil"/>
              <w:right w:val="nil"/>
            </w:tcBorders>
          </w:tcPr>
          <w:p w14:paraId="1482ACE0"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742ECF29"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42CE442B"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DR Congo</w:t>
            </w:r>
          </w:p>
        </w:tc>
        <w:tc>
          <w:tcPr>
            <w:tcW w:w="1134" w:type="dxa"/>
            <w:tcBorders>
              <w:top w:val="nil"/>
              <w:left w:val="nil"/>
              <w:bottom w:val="nil"/>
              <w:right w:val="nil"/>
            </w:tcBorders>
            <w:vAlign w:val="bottom"/>
          </w:tcPr>
          <w:p w14:paraId="7E19EB3A"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21.8</w:t>
            </w:r>
          </w:p>
        </w:tc>
        <w:tc>
          <w:tcPr>
            <w:tcW w:w="1276" w:type="dxa"/>
            <w:tcBorders>
              <w:top w:val="nil"/>
              <w:left w:val="nil"/>
              <w:bottom w:val="nil"/>
              <w:right w:val="nil"/>
            </w:tcBorders>
            <w:vAlign w:val="bottom"/>
          </w:tcPr>
          <w:p w14:paraId="43620675"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229E900C"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b/>
                <w:bCs/>
                <w:color w:val="000000" w:themeColor="text1"/>
                <w:sz w:val="16"/>
                <w:szCs w:val="16"/>
              </w:rPr>
              <w:t> </w:t>
            </w:r>
          </w:p>
        </w:tc>
        <w:tc>
          <w:tcPr>
            <w:tcW w:w="992" w:type="dxa"/>
            <w:tcBorders>
              <w:top w:val="nil"/>
              <w:left w:val="nil"/>
              <w:bottom w:val="nil"/>
              <w:right w:val="nil"/>
            </w:tcBorders>
            <w:vAlign w:val="bottom"/>
          </w:tcPr>
          <w:p w14:paraId="3808D229"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b/>
                <w:bCs/>
                <w:color w:val="000000" w:themeColor="text1"/>
                <w:sz w:val="16"/>
                <w:szCs w:val="16"/>
              </w:rPr>
              <w:t> </w:t>
            </w:r>
          </w:p>
        </w:tc>
      </w:tr>
      <w:tr w:rsidR="00C24E82" w:rsidRPr="00222975" w14:paraId="5A88E5E3" w14:textId="77777777" w:rsidTr="00721796">
        <w:tc>
          <w:tcPr>
            <w:tcW w:w="1101" w:type="dxa"/>
            <w:vMerge/>
            <w:tcBorders>
              <w:top w:val="nil"/>
              <w:left w:val="nil"/>
              <w:bottom w:val="single" w:sz="24" w:space="0" w:color="auto"/>
              <w:right w:val="nil"/>
            </w:tcBorders>
          </w:tcPr>
          <w:p w14:paraId="6F618C81"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single" w:sz="24" w:space="0" w:color="auto"/>
              <w:right w:val="nil"/>
            </w:tcBorders>
          </w:tcPr>
          <w:p w14:paraId="0C583112"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single" w:sz="24" w:space="0" w:color="auto"/>
              <w:right w:val="nil"/>
            </w:tcBorders>
            <w:vAlign w:val="bottom"/>
          </w:tcPr>
          <w:p w14:paraId="2E5F2AED"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Chad</w:t>
            </w:r>
          </w:p>
        </w:tc>
        <w:tc>
          <w:tcPr>
            <w:tcW w:w="1134" w:type="dxa"/>
            <w:tcBorders>
              <w:top w:val="nil"/>
              <w:left w:val="nil"/>
              <w:bottom w:val="single" w:sz="24" w:space="0" w:color="auto"/>
              <w:right w:val="nil"/>
            </w:tcBorders>
            <w:vAlign w:val="bottom"/>
          </w:tcPr>
          <w:p w14:paraId="13FE8018"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4.4</w:t>
            </w:r>
          </w:p>
        </w:tc>
        <w:tc>
          <w:tcPr>
            <w:tcW w:w="1276" w:type="dxa"/>
            <w:tcBorders>
              <w:top w:val="nil"/>
              <w:left w:val="nil"/>
              <w:bottom w:val="single" w:sz="24" w:space="0" w:color="auto"/>
              <w:right w:val="nil"/>
            </w:tcBorders>
            <w:vAlign w:val="bottom"/>
          </w:tcPr>
          <w:p w14:paraId="2584E2D3"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single" w:sz="24" w:space="0" w:color="auto"/>
              <w:right w:val="nil"/>
            </w:tcBorders>
            <w:vAlign w:val="bottom"/>
          </w:tcPr>
          <w:p w14:paraId="75FE84C7"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 </w:t>
            </w:r>
          </w:p>
        </w:tc>
        <w:tc>
          <w:tcPr>
            <w:tcW w:w="992" w:type="dxa"/>
            <w:tcBorders>
              <w:top w:val="nil"/>
              <w:left w:val="nil"/>
              <w:bottom w:val="single" w:sz="24" w:space="0" w:color="auto"/>
              <w:right w:val="nil"/>
            </w:tcBorders>
            <w:vAlign w:val="bottom"/>
          </w:tcPr>
          <w:p w14:paraId="4038B51D"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 </w:t>
            </w:r>
          </w:p>
        </w:tc>
      </w:tr>
    </w:tbl>
    <w:p w14:paraId="085CB819" w14:textId="27701E63" w:rsidR="00C24E82" w:rsidRDefault="00C24E82" w:rsidP="009D4BBD">
      <w:pPr>
        <w:rPr>
          <w:rFonts w:ascii="Calibri" w:hAnsi="Calibri"/>
          <w:color w:val="000000" w:themeColor="text1"/>
          <w:sz w:val="20"/>
          <w:szCs w:val="20"/>
        </w:rPr>
      </w:pPr>
      <w:r w:rsidRPr="00F15481">
        <w:rPr>
          <w:rFonts w:ascii="Calibri" w:hAnsi="Calibri"/>
          <w:b/>
          <w:color w:val="000000" w:themeColor="text1"/>
          <w:sz w:val="20"/>
          <w:szCs w:val="20"/>
        </w:rPr>
        <w:t>Table 1</w:t>
      </w:r>
      <w:r>
        <w:rPr>
          <w:rFonts w:ascii="Calibri" w:hAnsi="Calibri"/>
          <w:b/>
          <w:color w:val="000000" w:themeColor="text1"/>
          <w:sz w:val="20"/>
          <w:szCs w:val="20"/>
        </w:rPr>
        <w:t>.</w:t>
      </w:r>
      <w:r>
        <w:rPr>
          <w:rFonts w:ascii="Calibri" w:hAnsi="Calibri"/>
          <w:color w:val="000000" w:themeColor="text1"/>
          <w:sz w:val="20"/>
          <w:szCs w:val="20"/>
        </w:rPr>
        <w:t xml:space="preserve"> </w:t>
      </w:r>
      <w:proofErr w:type="gramStart"/>
      <w:r>
        <w:rPr>
          <w:rFonts w:ascii="Calibri" w:hAnsi="Calibri"/>
          <w:color w:val="000000" w:themeColor="text1"/>
          <w:sz w:val="20"/>
          <w:szCs w:val="20"/>
        </w:rPr>
        <w:t>ACP preference dependence and EPA signatories by region.</w:t>
      </w:r>
      <w:proofErr w:type="gramEnd"/>
    </w:p>
    <w:p w14:paraId="680F3A25" w14:textId="77777777" w:rsidR="00C24E82" w:rsidRDefault="00C24E82" w:rsidP="009D4BBD">
      <w:pPr>
        <w:rPr>
          <w:rFonts w:ascii="Calibri" w:hAnsi="Calibri"/>
          <w:color w:val="000000" w:themeColor="text1"/>
          <w:sz w:val="20"/>
          <w:szCs w:val="20"/>
        </w:rPr>
      </w:pPr>
      <w:r>
        <w:rPr>
          <w:rFonts w:ascii="Calibri" w:hAnsi="Calibri"/>
          <w:color w:val="000000" w:themeColor="text1"/>
          <w:sz w:val="20"/>
          <w:szCs w:val="20"/>
        </w:rPr>
        <w:t xml:space="preserve">*In some cases, data is only available for a limited part of the 2004-14 </w:t>
      </w:r>
      <w:proofErr w:type="gramStart"/>
      <w:r>
        <w:rPr>
          <w:rFonts w:ascii="Calibri" w:hAnsi="Calibri"/>
          <w:color w:val="000000" w:themeColor="text1"/>
          <w:sz w:val="20"/>
          <w:szCs w:val="20"/>
        </w:rPr>
        <w:t>period</w:t>
      </w:r>
      <w:proofErr w:type="gramEnd"/>
      <w:r>
        <w:rPr>
          <w:rFonts w:ascii="Calibri" w:hAnsi="Calibri"/>
          <w:color w:val="000000" w:themeColor="text1"/>
          <w:sz w:val="20"/>
          <w:szCs w:val="20"/>
        </w:rPr>
        <w:t>.</w:t>
      </w:r>
    </w:p>
    <w:p w14:paraId="2B369DF2" w14:textId="77777777" w:rsidR="00C24E82" w:rsidRPr="004824DC" w:rsidRDefault="00C24E82" w:rsidP="009D4BBD">
      <w:pPr>
        <w:rPr>
          <w:rFonts w:ascii="Calibri" w:hAnsi="Calibri"/>
          <w:color w:val="000000" w:themeColor="text1"/>
          <w:sz w:val="20"/>
          <w:szCs w:val="20"/>
        </w:rPr>
      </w:pPr>
      <w:r>
        <w:rPr>
          <w:rFonts w:ascii="Calibri" w:hAnsi="Calibri"/>
          <w:color w:val="000000" w:themeColor="text1"/>
          <w:sz w:val="20"/>
          <w:szCs w:val="20"/>
        </w:rPr>
        <w:t xml:space="preserve">Sources: International Trade Centre, </w:t>
      </w:r>
      <w:r w:rsidRPr="004824DC">
        <w:rPr>
          <w:rFonts w:ascii="Calibri" w:hAnsi="Calibri"/>
          <w:i/>
          <w:color w:val="000000" w:themeColor="text1"/>
          <w:sz w:val="20"/>
          <w:szCs w:val="20"/>
        </w:rPr>
        <w:t>Trade Map</w:t>
      </w:r>
      <w:r>
        <w:rPr>
          <w:rFonts w:ascii="Calibri" w:hAnsi="Calibri"/>
          <w:color w:val="000000" w:themeColor="text1"/>
          <w:sz w:val="20"/>
          <w:szCs w:val="20"/>
        </w:rPr>
        <w:t xml:space="preserve">; Overseas Development Institute, </w:t>
      </w:r>
      <w:r>
        <w:rPr>
          <w:rFonts w:ascii="Calibri" w:hAnsi="Calibri"/>
          <w:i/>
          <w:color w:val="000000" w:themeColor="text1"/>
          <w:sz w:val="20"/>
          <w:szCs w:val="20"/>
        </w:rPr>
        <w:t>The Costs to the ACP</w:t>
      </w:r>
      <w:r>
        <w:rPr>
          <w:rFonts w:ascii="Calibri" w:hAnsi="Calibri"/>
          <w:color w:val="000000" w:themeColor="text1"/>
          <w:sz w:val="20"/>
          <w:szCs w:val="20"/>
        </w:rPr>
        <w:t>.</w:t>
      </w:r>
    </w:p>
    <w:p w14:paraId="2B9BBB38" w14:textId="77777777" w:rsidR="00C24E82" w:rsidRDefault="00C24E82"/>
    <w:p w14:paraId="106A2B9D" w14:textId="77777777" w:rsidR="00C24E82" w:rsidRDefault="00C24E82"/>
    <w:p w14:paraId="5417D876" w14:textId="77777777" w:rsidR="00C24E82" w:rsidRDefault="00C24E82"/>
    <w:p w14:paraId="31D80A13" w14:textId="77777777" w:rsidR="00C24E82" w:rsidRDefault="00C24E82"/>
    <w:tbl>
      <w:tblPr>
        <w:tblStyle w:val="TableGrid"/>
        <w:tblW w:w="8188" w:type="dxa"/>
        <w:tblLayout w:type="fixed"/>
        <w:tblLook w:val="04A0" w:firstRow="1" w:lastRow="0" w:firstColumn="1" w:lastColumn="0" w:noHBand="0" w:noVBand="1"/>
      </w:tblPr>
      <w:tblGrid>
        <w:gridCol w:w="1101"/>
        <w:gridCol w:w="992"/>
        <w:gridCol w:w="1701"/>
        <w:gridCol w:w="1134"/>
        <w:gridCol w:w="1276"/>
        <w:gridCol w:w="992"/>
        <w:gridCol w:w="992"/>
      </w:tblGrid>
      <w:tr w:rsidR="00C24E82" w:rsidRPr="00222975" w14:paraId="06934032" w14:textId="77777777" w:rsidTr="00721796">
        <w:tc>
          <w:tcPr>
            <w:tcW w:w="1101" w:type="dxa"/>
            <w:vMerge w:val="restart"/>
            <w:tcBorders>
              <w:top w:val="single" w:sz="24" w:space="0" w:color="auto"/>
              <w:left w:val="nil"/>
              <w:bottom w:val="nil"/>
              <w:right w:val="nil"/>
            </w:tcBorders>
          </w:tcPr>
          <w:p w14:paraId="50E812D3" w14:textId="77777777" w:rsidR="00C24E82" w:rsidRPr="00F15481" w:rsidRDefault="00C24E82" w:rsidP="00721796">
            <w:pPr>
              <w:rPr>
                <w:rFonts w:ascii="Calibri" w:hAnsi="Calibri"/>
                <w:b/>
                <w:color w:val="000000" w:themeColor="text1"/>
                <w:sz w:val="16"/>
                <w:szCs w:val="16"/>
              </w:rPr>
            </w:pPr>
            <w:r w:rsidRPr="00F15481">
              <w:rPr>
                <w:rFonts w:ascii="Calibri" w:hAnsi="Calibri"/>
                <w:b/>
                <w:color w:val="000000" w:themeColor="text1"/>
                <w:sz w:val="16"/>
                <w:szCs w:val="16"/>
              </w:rPr>
              <w:t>ESA</w:t>
            </w:r>
          </w:p>
        </w:tc>
        <w:tc>
          <w:tcPr>
            <w:tcW w:w="992" w:type="dxa"/>
            <w:vMerge w:val="restart"/>
            <w:tcBorders>
              <w:top w:val="single" w:sz="24" w:space="0" w:color="auto"/>
              <w:left w:val="nil"/>
              <w:bottom w:val="nil"/>
              <w:right w:val="nil"/>
            </w:tcBorders>
          </w:tcPr>
          <w:p w14:paraId="72270EED" w14:textId="77777777" w:rsidR="00C24E82" w:rsidRPr="00222975" w:rsidRDefault="00C24E82" w:rsidP="00721796">
            <w:pPr>
              <w:rPr>
                <w:rFonts w:ascii="Calibri" w:hAnsi="Calibri"/>
                <w:color w:val="000000" w:themeColor="text1"/>
                <w:sz w:val="16"/>
                <w:szCs w:val="16"/>
              </w:rPr>
            </w:pPr>
            <w:r w:rsidRPr="00222975">
              <w:rPr>
                <w:rFonts w:ascii="Calibri" w:hAnsi="Calibri"/>
                <w:color w:val="000000" w:themeColor="text1"/>
                <w:sz w:val="16"/>
                <w:szCs w:val="16"/>
              </w:rPr>
              <w:t>Non-LDCs</w:t>
            </w:r>
          </w:p>
        </w:tc>
        <w:tc>
          <w:tcPr>
            <w:tcW w:w="1701" w:type="dxa"/>
            <w:tcBorders>
              <w:top w:val="single" w:sz="24" w:space="0" w:color="auto"/>
              <w:left w:val="nil"/>
              <w:bottom w:val="nil"/>
              <w:right w:val="nil"/>
            </w:tcBorders>
            <w:vAlign w:val="bottom"/>
          </w:tcPr>
          <w:p w14:paraId="5F7497FA"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Mauritius</w:t>
            </w:r>
          </w:p>
        </w:tc>
        <w:tc>
          <w:tcPr>
            <w:tcW w:w="1134" w:type="dxa"/>
            <w:tcBorders>
              <w:top w:val="single" w:sz="24" w:space="0" w:color="auto"/>
              <w:left w:val="nil"/>
              <w:bottom w:val="nil"/>
              <w:right w:val="nil"/>
            </w:tcBorders>
            <w:vAlign w:val="bottom"/>
          </w:tcPr>
          <w:p w14:paraId="16F731A8"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60.5</w:t>
            </w:r>
          </w:p>
        </w:tc>
        <w:tc>
          <w:tcPr>
            <w:tcW w:w="1276" w:type="dxa"/>
            <w:tcBorders>
              <w:top w:val="single" w:sz="24" w:space="0" w:color="auto"/>
              <w:left w:val="nil"/>
              <w:bottom w:val="nil"/>
              <w:right w:val="nil"/>
            </w:tcBorders>
            <w:vAlign w:val="bottom"/>
          </w:tcPr>
          <w:p w14:paraId="2438B9B9"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61.5</w:t>
            </w:r>
          </w:p>
        </w:tc>
        <w:tc>
          <w:tcPr>
            <w:tcW w:w="992" w:type="dxa"/>
            <w:tcBorders>
              <w:top w:val="single" w:sz="24" w:space="0" w:color="auto"/>
              <w:left w:val="nil"/>
              <w:bottom w:val="nil"/>
              <w:right w:val="nil"/>
            </w:tcBorders>
            <w:vAlign w:val="bottom"/>
          </w:tcPr>
          <w:p w14:paraId="2F39B0D2"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single" w:sz="24" w:space="0" w:color="auto"/>
              <w:left w:val="nil"/>
              <w:bottom w:val="nil"/>
              <w:right w:val="nil"/>
            </w:tcBorders>
            <w:vAlign w:val="bottom"/>
          </w:tcPr>
          <w:p w14:paraId="53412E1F"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772BF3DA" w14:textId="77777777" w:rsidTr="00721796">
        <w:tc>
          <w:tcPr>
            <w:tcW w:w="1101" w:type="dxa"/>
            <w:vMerge/>
            <w:tcBorders>
              <w:top w:val="nil"/>
              <w:left w:val="nil"/>
              <w:bottom w:val="nil"/>
              <w:right w:val="nil"/>
            </w:tcBorders>
          </w:tcPr>
          <w:p w14:paraId="5A1264FA"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0EB8A81C"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5D15F31E"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Seychelles*</w:t>
            </w:r>
          </w:p>
        </w:tc>
        <w:tc>
          <w:tcPr>
            <w:tcW w:w="1134" w:type="dxa"/>
            <w:tcBorders>
              <w:top w:val="nil"/>
              <w:left w:val="nil"/>
              <w:bottom w:val="nil"/>
              <w:right w:val="nil"/>
            </w:tcBorders>
            <w:vAlign w:val="bottom"/>
          </w:tcPr>
          <w:p w14:paraId="2E1CA18A"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58.1</w:t>
            </w:r>
          </w:p>
        </w:tc>
        <w:tc>
          <w:tcPr>
            <w:tcW w:w="1276" w:type="dxa"/>
            <w:tcBorders>
              <w:top w:val="nil"/>
              <w:left w:val="nil"/>
              <w:bottom w:val="nil"/>
              <w:right w:val="nil"/>
            </w:tcBorders>
            <w:vAlign w:val="bottom"/>
          </w:tcPr>
          <w:p w14:paraId="1B6DE43B"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69.1</w:t>
            </w:r>
          </w:p>
        </w:tc>
        <w:tc>
          <w:tcPr>
            <w:tcW w:w="992" w:type="dxa"/>
            <w:tcBorders>
              <w:top w:val="nil"/>
              <w:left w:val="nil"/>
              <w:bottom w:val="nil"/>
              <w:right w:val="nil"/>
            </w:tcBorders>
            <w:vAlign w:val="bottom"/>
          </w:tcPr>
          <w:p w14:paraId="61D96EA4"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6D768728"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73E416AD" w14:textId="77777777" w:rsidTr="00721796">
        <w:tc>
          <w:tcPr>
            <w:tcW w:w="1101" w:type="dxa"/>
            <w:vMerge/>
            <w:tcBorders>
              <w:top w:val="nil"/>
              <w:left w:val="nil"/>
              <w:bottom w:val="nil"/>
              <w:right w:val="nil"/>
            </w:tcBorders>
          </w:tcPr>
          <w:p w14:paraId="6C36E8CE"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single" w:sz="4" w:space="0" w:color="auto"/>
              <w:right w:val="nil"/>
            </w:tcBorders>
          </w:tcPr>
          <w:p w14:paraId="118E155C"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single" w:sz="4" w:space="0" w:color="auto"/>
              <w:right w:val="nil"/>
            </w:tcBorders>
            <w:vAlign w:val="bottom"/>
          </w:tcPr>
          <w:p w14:paraId="12D61AE7"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Zimbabwe</w:t>
            </w:r>
          </w:p>
        </w:tc>
        <w:tc>
          <w:tcPr>
            <w:tcW w:w="1134" w:type="dxa"/>
            <w:tcBorders>
              <w:top w:val="nil"/>
              <w:left w:val="nil"/>
              <w:bottom w:val="single" w:sz="4" w:space="0" w:color="auto"/>
              <w:right w:val="nil"/>
            </w:tcBorders>
            <w:vAlign w:val="bottom"/>
          </w:tcPr>
          <w:p w14:paraId="3AD2D766"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12.8</w:t>
            </w:r>
          </w:p>
        </w:tc>
        <w:tc>
          <w:tcPr>
            <w:tcW w:w="1276" w:type="dxa"/>
            <w:tcBorders>
              <w:top w:val="nil"/>
              <w:left w:val="nil"/>
              <w:bottom w:val="single" w:sz="4" w:space="0" w:color="auto"/>
              <w:right w:val="nil"/>
            </w:tcBorders>
            <w:vAlign w:val="bottom"/>
          </w:tcPr>
          <w:p w14:paraId="459E48D5"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35.6</w:t>
            </w:r>
          </w:p>
        </w:tc>
        <w:tc>
          <w:tcPr>
            <w:tcW w:w="992" w:type="dxa"/>
            <w:tcBorders>
              <w:top w:val="nil"/>
              <w:left w:val="nil"/>
              <w:bottom w:val="single" w:sz="4" w:space="0" w:color="auto"/>
              <w:right w:val="nil"/>
            </w:tcBorders>
            <w:vAlign w:val="bottom"/>
          </w:tcPr>
          <w:p w14:paraId="645CF8FB"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single" w:sz="4" w:space="0" w:color="auto"/>
              <w:right w:val="nil"/>
            </w:tcBorders>
            <w:vAlign w:val="bottom"/>
          </w:tcPr>
          <w:p w14:paraId="5DC89AB6"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22BF14ED" w14:textId="77777777" w:rsidTr="00721796">
        <w:tc>
          <w:tcPr>
            <w:tcW w:w="1101" w:type="dxa"/>
            <w:vMerge/>
            <w:tcBorders>
              <w:top w:val="nil"/>
              <w:left w:val="nil"/>
              <w:bottom w:val="nil"/>
              <w:right w:val="nil"/>
            </w:tcBorders>
          </w:tcPr>
          <w:p w14:paraId="1046CD88" w14:textId="77777777" w:rsidR="00C24E82" w:rsidRPr="00F15481" w:rsidRDefault="00C24E82" w:rsidP="00721796">
            <w:pPr>
              <w:rPr>
                <w:rFonts w:ascii="Calibri" w:hAnsi="Calibri"/>
                <w:b/>
                <w:color w:val="000000" w:themeColor="text1"/>
                <w:sz w:val="16"/>
                <w:szCs w:val="16"/>
              </w:rPr>
            </w:pPr>
          </w:p>
        </w:tc>
        <w:tc>
          <w:tcPr>
            <w:tcW w:w="992" w:type="dxa"/>
            <w:vMerge w:val="restart"/>
            <w:tcBorders>
              <w:top w:val="single" w:sz="4" w:space="0" w:color="auto"/>
              <w:left w:val="nil"/>
              <w:bottom w:val="nil"/>
              <w:right w:val="nil"/>
            </w:tcBorders>
          </w:tcPr>
          <w:p w14:paraId="0747966D" w14:textId="77777777" w:rsidR="00C24E82" w:rsidRPr="00222975" w:rsidRDefault="00C24E82" w:rsidP="00721796">
            <w:pPr>
              <w:rPr>
                <w:rFonts w:ascii="Calibri" w:hAnsi="Calibri"/>
                <w:color w:val="000000" w:themeColor="text1"/>
                <w:sz w:val="16"/>
                <w:szCs w:val="16"/>
              </w:rPr>
            </w:pPr>
            <w:r w:rsidRPr="00222975">
              <w:rPr>
                <w:rFonts w:ascii="Calibri" w:hAnsi="Calibri"/>
                <w:color w:val="000000" w:themeColor="text1"/>
                <w:sz w:val="16"/>
                <w:szCs w:val="16"/>
              </w:rPr>
              <w:t>LDCs</w:t>
            </w:r>
          </w:p>
        </w:tc>
        <w:tc>
          <w:tcPr>
            <w:tcW w:w="1701" w:type="dxa"/>
            <w:tcBorders>
              <w:top w:val="single" w:sz="4" w:space="0" w:color="auto"/>
              <w:left w:val="nil"/>
              <w:bottom w:val="nil"/>
              <w:right w:val="nil"/>
            </w:tcBorders>
            <w:vAlign w:val="bottom"/>
          </w:tcPr>
          <w:p w14:paraId="60629A07"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Madagascar</w:t>
            </w:r>
          </w:p>
        </w:tc>
        <w:tc>
          <w:tcPr>
            <w:tcW w:w="1134" w:type="dxa"/>
            <w:tcBorders>
              <w:top w:val="single" w:sz="4" w:space="0" w:color="auto"/>
              <w:left w:val="nil"/>
              <w:bottom w:val="nil"/>
              <w:right w:val="nil"/>
            </w:tcBorders>
            <w:vAlign w:val="bottom"/>
          </w:tcPr>
          <w:p w14:paraId="41BBF4DB"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53.6</w:t>
            </w:r>
          </w:p>
        </w:tc>
        <w:tc>
          <w:tcPr>
            <w:tcW w:w="1276" w:type="dxa"/>
            <w:tcBorders>
              <w:top w:val="single" w:sz="4" w:space="0" w:color="auto"/>
              <w:left w:val="nil"/>
              <w:bottom w:val="nil"/>
              <w:right w:val="nil"/>
            </w:tcBorders>
            <w:vAlign w:val="bottom"/>
          </w:tcPr>
          <w:p w14:paraId="62AD4821"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single" w:sz="4" w:space="0" w:color="auto"/>
              <w:left w:val="nil"/>
              <w:bottom w:val="nil"/>
              <w:right w:val="nil"/>
            </w:tcBorders>
            <w:vAlign w:val="bottom"/>
          </w:tcPr>
          <w:p w14:paraId="2CB4FA46"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single" w:sz="4" w:space="0" w:color="auto"/>
              <w:left w:val="nil"/>
              <w:bottom w:val="nil"/>
              <w:right w:val="nil"/>
            </w:tcBorders>
            <w:vAlign w:val="bottom"/>
          </w:tcPr>
          <w:p w14:paraId="35F21291"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73704F30" w14:textId="77777777" w:rsidTr="00721796">
        <w:tc>
          <w:tcPr>
            <w:tcW w:w="1101" w:type="dxa"/>
            <w:vMerge/>
            <w:tcBorders>
              <w:top w:val="nil"/>
              <w:left w:val="nil"/>
              <w:bottom w:val="nil"/>
              <w:right w:val="nil"/>
            </w:tcBorders>
          </w:tcPr>
          <w:p w14:paraId="1792902E"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6CB20482"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0463DA3A"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Comoros</w:t>
            </w:r>
          </w:p>
        </w:tc>
        <w:tc>
          <w:tcPr>
            <w:tcW w:w="1134" w:type="dxa"/>
            <w:tcBorders>
              <w:top w:val="nil"/>
              <w:left w:val="nil"/>
              <w:bottom w:val="nil"/>
              <w:right w:val="nil"/>
            </w:tcBorders>
            <w:vAlign w:val="bottom"/>
          </w:tcPr>
          <w:p w14:paraId="05B7A53C"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37.9</w:t>
            </w:r>
          </w:p>
        </w:tc>
        <w:tc>
          <w:tcPr>
            <w:tcW w:w="1276" w:type="dxa"/>
            <w:tcBorders>
              <w:top w:val="nil"/>
              <w:left w:val="nil"/>
              <w:bottom w:val="nil"/>
              <w:right w:val="nil"/>
            </w:tcBorders>
            <w:vAlign w:val="bottom"/>
          </w:tcPr>
          <w:p w14:paraId="714AB12E"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597C2F5D"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0C31F428" w14:textId="77777777" w:rsidR="00C24E82" w:rsidRPr="00222975" w:rsidRDefault="00C24E82" w:rsidP="00721796">
            <w:pPr>
              <w:jc w:val="center"/>
              <w:rPr>
                <w:rFonts w:ascii="Calibri" w:hAnsi="Calibri"/>
                <w:color w:val="000000" w:themeColor="text1"/>
                <w:sz w:val="16"/>
                <w:szCs w:val="16"/>
              </w:rPr>
            </w:pPr>
          </w:p>
        </w:tc>
      </w:tr>
      <w:tr w:rsidR="00C24E82" w:rsidRPr="00222975" w14:paraId="54482AD8" w14:textId="77777777" w:rsidTr="00721796">
        <w:tc>
          <w:tcPr>
            <w:tcW w:w="1101" w:type="dxa"/>
            <w:vMerge/>
            <w:tcBorders>
              <w:top w:val="nil"/>
              <w:left w:val="nil"/>
              <w:bottom w:val="nil"/>
              <w:right w:val="nil"/>
            </w:tcBorders>
          </w:tcPr>
          <w:p w14:paraId="369AC82B"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6AFDEA77"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2A18D70F"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Malawi</w:t>
            </w:r>
          </w:p>
        </w:tc>
        <w:tc>
          <w:tcPr>
            <w:tcW w:w="1134" w:type="dxa"/>
            <w:tcBorders>
              <w:top w:val="nil"/>
              <w:left w:val="nil"/>
              <w:bottom w:val="nil"/>
              <w:right w:val="nil"/>
            </w:tcBorders>
            <w:vAlign w:val="bottom"/>
          </w:tcPr>
          <w:p w14:paraId="15FF2FCC"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34.9</w:t>
            </w:r>
          </w:p>
        </w:tc>
        <w:tc>
          <w:tcPr>
            <w:tcW w:w="1276" w:type="dxa"/>
            <w:tcBorders>
              <w:top w:val="nil"/>
              <w:left w:val="nil"/>
              <w:bottom w:val="nil"/>
              <w:right w:val="nil"/>
            </w:tcBorders>
            <w:vAlign w:val="bottom"/>
          </w:tcPr>
          <w:p w14:paraId="79D95450"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21846B8A"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nil"/>
              <w:right w:val="nil"/>
            </w:tcBorders>
            <w:vAlign w:val="bottom"/>
          </w:tcPr>
          <w:p w14:paraId="701E44F4" w14:textId="77777777" w:rsidR="00C24E82" w:rsidRPr="00222975" w:rsidRDefault="00C24E82" w:rsidP="00721796">
            <w:pPr>
              <w:jc w:val="center"/>
              <w:rPr>
                <w:rFonts w:ascii="Calibri" w:hAnsi="Calibri"/>
                <w:color w:val="000000" w:themeColor="text1"/>
                <w:sz w:val="16"/>
                <w:szCs w:val="16"/>
              </w:rPr>
            </w:pPr>
          </w:p>
        </w:tc>
      </w:tr>
      <w:tr w:rsidR="00C24E82" w:rsidRPr="00222975" w14:paraId="122E319B" w14:textId="77777777" w:rsidTr="00721796">
        <w:tc>
          <w:tcPr>
            <w:tcW w:w="1101" w:type="dxa"/>
            <w:vMerge/>
            <w:tcBorders>
              <w:top w:val="nil"/>
              <w:left w:val="nil"/>
              <w:bottom w:val="nil"/>
              <w:right w:val="nil"/>
            </w:tcBorders>
          </w:tcPr>
          <w:p w14:paraId="6FA07104"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791C8A68"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56F69D9C"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Ethiopia</w:t>
            </w:r>
          </w:p>
        </w:tc>
        <w:tc>
          <w:tcPr>
            <w:tcW w:w="1134" w:type="dxa"/>
            <w:tcBorders>
              <w:top w:val="nil"/>
              <w:left w:val="nil"/>
              <w:bottom w:val="nil"/>
              <w:right w:val="nil"/>
            </w:tcBorders>
            <w:vAlign w:val="bottom"/>
          </w:tcPr>
          <w:p w14:paraId="4E093DD1"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28.6</w:t>
            </w:r>
          </w:p>
        </w:tc>
        <w:tc>
          <w:tcPr>
            <w:tcW w:w="1276" w:type="dxa"/>
            <w:tcBorders>
              <w:top w:val="nil"/>
              <w:left w:val="nil"/>
              <w:bottom w:val="nil"/>
              <w:right w:val="nil"/>
            </w:tcBorders>
            <w:vAlign w:val="bottom"/>
          </w:tcPr>
          <w:p w14:paraId="53955417"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22C7D60A"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nil"/>
              <w:right w:val="nil"/>
            </w:tcBorders>
            <w:vAlign w:val="bottom"/>
          </w:tcPr>
          <w:p w14:paraId="676B15BF" w14:textId="77777777" w:rsidR="00C24E82" w:rsidRPr="00222975" w:rsidRDefault="00C24E82" w:rsidP="00721796">
            <w:pPr>
              <w:jc w:val="center"/>
              <w:rPr>
                <w:rFonts w:ascii="Calibri" w:hAnsi="Calibri"/>
                <w:color w:val="000000" w:themeColor="text1"/>
                <w:sz w:val="16"/>
                <w:szCs w:val="16"/>
              </w:rPr>
            </w:pPr>
          </w:p>
        </w:tc>
      </w:tr>
      <w:tr w:rsidR="00C24E82" w:rsidRPr="00222975" w14:paraId="7519179A" w14:textId="77777777" w:rsidTr="00721796">
        <w:tc>
          <w:tcPr>
            <w:tcW w:w="1101" w:type="dxa"/>
            <w:vMerge/>
            <w:tcBorders>
              <w:top w:val="nil"/>
              <w:left w:val="nil"/>
              <w:bottom w:val="nil"/>
              <w:right w:val="nil"/>
            </w:tcBorders>
          </w:tcPr>
          <w:p w14:paraId="1131CC65"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3E7B044D"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1060CE00"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Djibouti (d)</w:t>
            </w:r>
          </w:p>
        </w:tc>
        <w:tc>
          <w:tcPr>
            <w:tcW w:w="1134" w:type="dxa"/>
            <w:tcBorders>
              <w:top w:val="nil"/>
              <w:left w:val="nil"/>
              <w:bottom w:val="nil"/>
              <w:right w:val="nil"/>
            </w:tcBorders>
            <w:vAlign w:val="bottom"/>
          </w:tcPr>
          <w:p w14:paraId="6CCB892C"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20.6</w:t>
            </w:r>
          </w:p>
        </w:tc>
        <w:tc>
          <w:tcPr>
            <w:tcW w:w="1276" w:type="dxa"/>
            <w:tcBorders>
              <w:top w:val="nil"/>
              <w:left w:val="nil"/>
              <w:bottom w:val="nil"/>
              <w:right w:val="nil"/>
            </w:tcBorders>
            <w:vAlign w:val="bottom"/>
          </w:tcPr>
          <w:p w14:paraId="575A5F82"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410EE840"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nil"/>
              <w:right w:val="nil"/>
            </w:tcBorders>
            <w:vAlign w:val="bottom"/>
          </w:tcPr>
          <w:p w14:paraId="73F0B9E9" w14:textId="77777777" w:rsidR="00C24E82" w:rsidRPr="00222975" w:rsidRDefault="00C24E82" w:rsidP="00721796">
            <w:pPr>
              <w:jc w:val="center"/>
              <w:rPr>
                <w:rFonts w:ascii="Calibri" w:hAnsi="Calibri"/>
                <w:color w:val="000000" w:themeColor="text1"/>
                <w:sz w:val="16"/>
                <w:szCs w:val="16"/>
              </w:rPr>
            </w:pPr>
          </w:p>
        </w:tc>
      </w:tr>
      <w:tr w:rsidR="00C24E82" w:rsidRPr="00222975" w14:paraId="6D619336" w14:textId="77777777" w:rsidTr="00721796">
        <w:tc>
          <w:tcPr>
            <w:tcW w:w="1101" w:type="dxa"/>
            <w:vMerge/>
            <w:tcBorders>
              <w:top w:val="nil"/>
              <w:left w:val="nil"/>
              <w:bottom w:val="nil"/>
              <w:right w:val="nil"/>
            </w:tcBorders>
          </w:tcPr>
          <w:p w14:paraId="5EAB67CE"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70BA2339"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2FE6364C"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Zambia</w:t>
            </w:r>
          </w:p>
        </w:tc>
        <w:tc>
          <w:tcPr>
            <w:tcW w:w="1134" w:type="dxa"/>
            <w:tcBorders>
              <w:top w:val="nil"/>
              <w:left w:val="nil"/>
              <w:bottom w:val="nil"/>
              <w:right w:val="nil"/>
            </w:tcBorders>
            <w:vAlign w:val="bottom"/>
          </w:tcPr>
          <w:p w14:paraId="2DBDCD5D"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5.6</w:t>
            </w:r>
          </w:p>
        </w:tc>
        <w:tc>
          <w:tcPr>
            <w:tcW w:w="1276" w:type="dxa"/>
            <w:tcBorders>
              <w:top w:val="nil"/>
              <w:left w:val="nil"/>
              <w:bottom w:val="nil"/>
              <w:right w:val="nil"/>
            </w:tcBorders>
            <w:vAlign w:val="bottom"/>
          </w:tcPr>
          <w:p w14:paraId="657C34C3"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6900FDB8"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661276B9" w14:textId="77777777" w:rsidR="00C24E82" w:rsidRPr="00222975" w:rsidRDefault="00C24E82" w:rsidP="00721796">
            <w:pPr>
              <w:jc w:val="center"/>
              <w:rPr>
                <w:rFonts w:ascii="Calibri" w:hAnsi="Calibri"/>
                <w:color w:val="000000" w:themeColor="text1"/>
                <w:sz w:val="16"/>
                <w:szCs w:val="16"/>
              </w:rPr>
            </w:pPr>
          </w:p>
        </w:tc>
      </w:tr>
      <w:tr w:rsidR="00C24E82" w:rsidRPr="00222975" w14:paraId="0C83D118" w14:textId="77777777" w:rsidTr="00721796">
        <w:tc>
          <w:tcPr>
            <w:tcW w:w="1101" w:type="dxa"/>
            <w:vMerge/>
            <w:tcBorders>
              <w:top w:val="nil"/>
              <w:left w:val="nil"/>
              <w:bottom w:val="nil"/>
              <w:right w:val="nil"/>
            </w:tcBorders>
          </w:tcPr>
          <w:p w14:paraId="5359700F"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292CC997"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363E6D0A"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Sudan (N+S)</w:t>
            </w:r>
          </w:p>
        </w:tc>
        <w:tc>
          <w:tcPr>
            <w:tcW w:w="1134" w:type="dxa"/>
            <w:tcBorders>
              <w:top w:val="nil"/>
              <w:left w:val="nil"/>
              <w:bottom w:val="nil"/>
              <w:right w:val="nil"/>
            </w:tcBorders>
            <w:vAlign w:val="bottom"/>
          </w:tcPr>
          <w:p w14:paraId="13E9E18B"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1.9</w:t>
            </w:r>
          </w:p>
        </w:tc>
        <w:tc>
          <w:tcPr>
            <w:tcW w:w="1276" w:type="dxa"/>
            <w:tcBorders>
              <w:top w:val="nil"/>
              <w:left w:val="nil"/>
              <w:bottom w:val="nil"/>
              <w:right w:val="nil"/>
            </w:tcBorders>
            <w:vAlign w:val="bottom"/>
          </w:tcPr>
          <w:p w14:paraId="0E7E3ADC"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1BA4C797"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 </w:t>
            </w:r>
          </w:p>
        </w:tc>
        <w:tc>
          <w:tcPr>
            <w:tcW w:w="992" w:type="dxa"/>
            <w:tcBorders>
              <w:top w:val="nil"/>
              <w:left w:val="nil"/>
              <w:bottom w:val="nil"/>
              <w:right w:val="nil"/>
            </w:tcBorders>
            <w:vAlign w:val="bottom"/>
          </w:tcPr>
          <w:p w14:paraId="1B89B224"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 </w:t>
            </w:r>
          </w:p>
        </w:tc>
      </w:tr>
      <w:tr w:rsidR="00C24E82" w:rsidRPr="00222975" w14:paraId="5215C33F" w14:textId="77777777" w:rsidTr="00721796">
        <w:tc>
          <w:tcPr>
            <w:tcW w:w="1101" w:type="dxa"/>
            <w:vMerge/>
            <w:tcBorders>
              <w:top w:val="nil"/>
              <w:left w:val="nil"/>
              <w:bottom w:val="nil"/>
              <w:right w:val="nil"/>
            </w:tcBorders>
          </w:tcPr>
          <w:p w14:paraId="37F93A2B"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nil"/>
              <w:right w:val="nil"/>
            </w:tcBorders>
          </w:tcPr>
          <w:p w14:paraId="6F396327"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079DBFB7"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Somalia</w:t>
            </w:r>
          </w:p>
        </w:tc>
        <w:tc>
          <w:tcPr>
            <w:tcW w:w="1134" w:type="dxa"/>
            <w:tcBorders>
              <w:top w:val="nil"/>
              <w:left w:val="nil"/>
              <w:bottom w:val="nil"/>
              <w:right w:val="nil"/>
            </w:tcBorders>
            <w:vAlign w:val="bottom"/>
          </w:tcPr>
          <w:p w14:paraId="49D07C5D"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1.3</w:t>
            </w:r>
          </w:p>
        </w:tc>
        <w:tc>
          <w:tcPr>
            <w:tcW w:w="1276" w:type="dxa"/>
            <w:tcBorders>
              <w:top w:val="nil"/>
              <w:left w:val="nil"/>
              <w:bottom w:val="nil"/>
              <w:right w:val="nil"/>
            </w:tcBorders>
            <w:vAlign w:val="bottom"/>
          </w:tcPr>
          <w:p w14:paraId="5E3FCE0E"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w:t>
            </w:r>
          </w:p>
        </w:tc>
        <w:tc>
          <w:tcPr>
            <w:tcW w:w="992" w:type="dxa"/>
            <w:tcBorders>
              <w:top w:val="nil"/>
              <w:left w:val="nil"/>
              <w:bottom w:val="nil"/>
              <w:right w:val="nil"/>
            </w:tcBorders>
            <w:vAlign w:val="bottom"/>
          </w:tcPr>
          <w:p w14:paraId="50D0D9DC"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b/>
                <w:bCs/>
                <w:color w:val="000000" w:themeColor="text1"/>
                <w:sz w:val="16"/>
                <w:szCs w:val="16"/>
              </w:rPr>
              <w:t> </w:t>
            </w:r>
          </w:p>
        </w:tc>
        <w:tc>
          <w:tcPr>
            <w:tcW w:w="992" w:type="dxa"/>
            <w:tcBorders>
              <w:top w:val="nil"/>
              <w:left w:val="nil"/>
              <w:bottom w:val="nil"/>
              <w:right w:val="nil"/>
            </w:tcBorders>
            <w:vAlign w:val="bottom"/>
          </w:tcPr>
          <w:p w14:paraId="7742A08A"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b/>
                <w:bCs/>
                <w:color w:val="000000" w:themeColor="text1"/>
                <w:sz w:val="16"/>
                <w:szCs w:val="16"/>
              </w:rPr>
              <w:t> </w:t>
            </w:r>
          </w:p>
        </w:tc>
      </w:tr>
      <w:tr w:rsidR="00C24E82" w:rsidRPr="00222975" w14:paraId="50F3FDD5" w14:textId="77777777" w:rsidTr="00721796">
        <w:tc>
          <w:tcPr>
            <w:tcW w:w="1101" w:type="dxa"/>
            <w:vMerge/>
            <w:tcBorders>
              <w:top w:val="nil"/>
              <w:left w:val="nil"/>
              <w:bottom w:val="single" w:sz="24" w:space="0" w:color="auto"/>
              <w:right w:val="nil"/>
            </w:tcBorders>
          </w:tcPr>
          <w:p w14:paraId="27F01E22" w14:textId="77777777" w:rsidR="00C24E82" w:rsidRPr="00F15481" w:rsidRDefault="00C24E82" w:rsidP="00721796">
            <w:pPr>
              <w:rPr>
                <w:rFonts w:ascii="Calibri" w:hAnsi="Calibri"/>
                <w:b/>
                <w:color w:val="000000" w:themeColor="text1"/>
                <w:sz w:val="16"/>
                <w:szCs w:val="16"/>
              </w:rPr>
            </w:pPr>
          </w:p>
        </w:tc>
        <w:tc>
          <w:tcPr>
            <w:tcW w:w="992" w:type="dxa"/>
            <w:vMerge/>
            <w:tcBorders>
              <w:top w:val="nil"/>
              <w:left w:val="nil"/>
              <w:bottom w:val="single" w:sz="24" w:space="0" w:color="auto"/>
              <w:right w:val="nil"/>
            </w:tcBorders>
          </w:tcPr>
          <w:p w14:paraId="41C0B473"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single" w:sz="24" w:space="0" w:color="auto"/>
              <w:right w:val="nil"/>
            </w:tcBorders>
            <w:vAlign w:val="bottom"/>
          </w:tcPr>
          <w:p w14:paraId="18D77F2A" w14:textId="77777777" w:rsidR="00C24E82" w:rsidRDefault="00C24E82" w:rsidP="00721796">
            <w:pPr>
              <w:rPr>
                <w:rFonts w:ascii="Calibri" w:eastAsia="Times New Roman" w:hAnsi="Calibri" w:cs="Times New Roman"/>
                <w:color w:val="000000" w:themeColor="text1"/>
                <w:sz w:val="16"/>
                <w:szCs w:val="16"/>
              </w:rPr>
            </w:pPr>
            <w:r w:rsidRPr="00222975">
              <w:rPr>
                <w:rFonts w:ascii="Calibri" w:eastAsia="Times New Roman" w:hAnsi="Calibri" w:cs="Times New Roman"/>
                <w:color w:val="000000" w:themeColor="text1"/>
                <w:sz w:val="16"/>
                <w:szCs w:val="16"/>
              </w:rPr>
              <w:t>Eritrea</w:t>
            </w:r>
          </w:p>
          <w:p w14:paraId="1E362A81" w14:textId="77777777" w:rsidR="00C24E82" w:rsidRPr="00493238" w:rsidRDefault="00C24E82" w:rsidP="00721796">
            <w:pPr>
              <w:rPr>
                <w:rFonts w:ascii="Calibri" w:eastAsia="Times New Roman" w:hAnsi="Calibri" w:cs="Times New Roman"/>
                <w:color w:val="000000" w:themeColor="text1"/>
                <w:sz w:val="16"/>
                <w:szCs w:val="16"/>
              </w:rPr>
            </w:pPr>
          </w:p>
        </w:tc>
        <w:tc>
          <w:tcPr>
            <w:tcW w:w="1134" w:type="dxa"/>
            <w:tcBorders>
              <w:top w:val="nil"/>
              <w:left w:val="nil"/>
              <w:bottom w:val="single" w:sz="24" w:space="0" w:color="auto"/>
              <w:right w:val="nil"/>
            </w:tcBorders>
            <w:vAlign w:val="bottom"/>
          </w:tcPr>
          <w:p w14:paraId="1F094BD7" w14:textId="77777777" w:rsidR="00C24E82" w:rsidRDefault="00C24E82" w:rsidP="00721796">
            <w:pPr>
              <w:jc w:val="center"/>
              <w:rPr>
                <w:rFonts w:ascii="Calibri" w:eastAsia="Times New Roman" w:hAnsi="Calibri" w:cs="Times New Roman"/>
                <w:color w:val="000000" w:themeColor="text1"/>
                <w:sz w:val="16"/>
                <w:szCs w:val="16"/>
              </w:rPr>
            </w:pPr>
            <w:proofErr w:type="gramStart"/>
            <w:r w:rsidRPr="00222975">
              <w:rPr>
                <w:rFonts w:ascii="Calibri" w:eastAsia="Times New Roman" w:hAnsi="Calibri" w:cs="Times New Roman"/>
                <w:color w:val="000000" w:themeColor="text1"/>
                <w:sz w:val="16"/>
                <w:szCs w:val="16"/>
              </w:rPr>
              <w:t>no</w:t>
            </w:r>
            <w:proofErr w:type="gramEnd"/>
            <w:r w:rsidRPr="00222975">
              <w:rPr>
                <w:rFonts w:ascii="Calibri" w:eastAsia="Times New Roman" w:hAnsi="Calibri" w:cs="Times New Roman"/>
                <w:color w:val="000000" w:themeColor="text1"/>
                <w:sz w:val="16"/>
                <w:szCs w:val="16"/>
              </w:rPr>
              <w:t xml:space="preserve"> data</w:t>
            </w:r>
          </w:p>
          <w:p w14:paraId="42AF3AB1" w14:textId="77777777" w:rsidR="00C24E82" w:rsidRPr="00222975" w:rsidRDefault="00C24E82" w:rsidP="00721796">
            <w:pPr>
              <w:jc w:val="center"/>
              <w:rPr>
                <w:rFonts w:ascii="Calibri" w:hAnsi="Calibri"/>
                <w:color w:val="000000" w:themeColor="text1"/>
                <w:sz w:val="16"/>
                <w:szCs w:val="16"/>
              </w:rPr>
            </w:pPr>
          </w:p>
        </w:tc>
        <w:tc>
          <w:tcPr>
            <w:tcW w:w="1276" w:type="dxa"/>
            <w:tcBorders>
              <w:top w:val="nil"/>
              <w:left w:val="nil"/>
              <w:bottom w:val="single" w:sz="24" w:space="0" w:color="auto"/>
              <w:right w:val="nil"/>
            </w:tcBorders>
            <w:vAlign w:val="bottom"/>
          </w:tcPr>
          <w:p w14:paraId="576B6BFF" w14:textId="77777777" w:rsidR="00C24E82" w:rsidRDefault="00C24E82" w:rsidP="00721796">
            <w:pPr>
              <w:jc w:val="center"/>
              <w:rPr>
                <w:rFonts w:ascii="Calibri" w:eastAsia="Times New Roman" w:hAnsi="Calibri" w:cs="Times New Roman"/>
                <w:color w:val="000000" w:themeColor="text1"/>
                <w:sz w:val="16"/>
                <w:szCs w:val="16"/>
              </w:rPr>
            </w:pPr>
            <w:r w:rsidRPr="00222975">
              <w:rPr>
                <w:rFonts w:ascii="Calibri" w:eastAsia="Times New Roman" w:hAnsi="Calibri" w:cs="Times New Roman"/>
                <w:color w:val="000000" w:themeColor="text1"/>
                <w:sz w:val="16"/>
                <w:szCs w:val="16"/>
              </w:rPr>
              <w:t>-</w:t>
            </w:r>
          </w:p>
          <w:p w14:paraId="4F1AEB5B"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single" w:sz="24" w:space="0" w:color="auto"/>
              <w:right w:val="nil"/>
            </w:tcBorders>
            <w:vAlign w:val="bottom"/>
          </w:tcPr>
          <w:p w14:paraId="56C3D41B"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 </w:t>
            </w:r>
          </w:p>
        </w:tc>
        <w:tc>
          <w:tcPr>
            <w:tcW w:w="992" w:type="dxa"/>
            <w:tcBorders>
              <w:top w:val="nil"/>
              <w:left w:val="nil"/>
              <w:bottom w:val="single" w:sz="24" w:space="0" w:color="auto"/>
              <w:right w:val="nil"/>
            </w:tcBorders>
            <w:vAlign w:val="bottom"/>
          </w:tcPr>
          <w:p w14:paraId="31ACE5AD"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 </w:t>
            </w:r>
          </w:p>
        </w:tc>
      </w:tr>
      <w:tr w:rsidR="00C24E82" w:rsidRPr="00222975" w14:paraId="6DB3F5BC" w14:textId="77777777" w:rsidTr="00721796">
        <w:tc>
          <w:tcPr>
            <w:tcW w:w="1101" w:type="dxa"/>
            <w:vMerge w:val="restart"/>
            <w:tcBorders>
              <w:top w:val="single" w:sz="24" w:space="0" w:color="auto"/>
              <w:left w:val="nil"/>
              <w:bottom w:val="nil"/>
              <w:right w:val="nil"/>
            </w:tcBorders>
          </w:tcPr>
          <w:p w14:paraId="3B5DA201" w14:textId="77777777" w:rsidR="00C24E82" w:rsidRPr="00F15481" w:rsidRDefault="00C24E82" w:rsidP="00721796">
            <w:pPr>
              <w:rPr>
                <w:rFonts w:ascii="Calibri" w:hAnsi="Calibri"/>
                <w:b/>
                <w:color w:val="000000" w:themeColor="text1"/>
                <w:sz w:val="16"/>
                <w:szCs w:val="16"/>
              </w:rPr>
            </w:pPr>
            <w:r w:rsidRPr="00F15481">
              <w:rPr>
                <w:rFonts w:ascii="Calibri" w:hAnsi="Calibri"/>
                <w:b/>
                <w:color w:val="000000" w:themeColor="text1"/>
                <w:sz w:val="16"/>
                <w:szCs w:val="16"/>
              </w:rPr>
              <w:t>Pacific</w:t>
            </w:r>
          </w:p>
        </w:tc>
        <w:tc>
          <w:tcPr>
            <w:tcW w:w="992" w:type="dxa"/>
            <w:vMerge w:val="restart"/>
            <w:tcBorders>
              <w:top w:val="single" w:sz="24" w:space="0" w:color="auto"/>
              <w:left w:val="nil"/>
              <w:bottom w:val="nil"/>
              <w:right w:val="nil"/>
            </w:tcBorders>
          </w:tcPr>
          <w:p w14:paraId="121CE119" w14:textId="77777777" w:rsidR="00C24E82" w:rsidRPr="00222975" w:rsidRDefault="00C24E82" w:rsidP="00721796">
            <w:pPr>
              <w:rPr>
                <w:rFonts w:ascii="Calibri" w:hAnsi="Calibri"/>
                <w:color w:val="000000" w:themeColor="text1"/>
                <w:sz w:val="16"/>
                <w:szCs w:val="16"/>
              </w:rPr>
            </w:pPr>
            <w:r w:rsidRPr="00222975">
              <w:rPr>
                <w:rFonts w:ascii="Calibri" w:hAnsi="Calibri"/>
                <w:color w:val="000000" w:themeColor="text1"/>
                <w:sz w:val="16"/>
                <w:szCs w:val="16"/>
              </w:rPr>
              <w:t>Non-LDCs</w:t>
            </w:r>
          </w:p>
        </w:tc>
        <w:tc>
          <w:tcPr>
            <w:tcW w:w="1701" w:type="dxa"/>
            <w:tcBorders>
              <w:top w:val="single" w:sz="24" w:space="0" w:color="auto"/>
              <w:left w:val="nil"/>
              <w:bottom w:val="nil"/>
              <w:right w:val="nil"/>
            </w:tcBorders>
            <w:vAlign w:val="bottom"/>
          </w:tcPr>
          <w:p w14:paraId="78F442A9"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Marshall Islands</w:t>
            </w:r>
          </w:p>
        </w:tc>
        <w:tc>
          <w:tcPr>
            <w:tcW w:w="1134" w:type="dxa"/>
            <w:tcBorders>
              <w:top w:val="single" w:sz="24" w:space="0" w:color="auto"/>
              <w:left w:val="nil"/>
              <w:bottom w:val="nil"/>
              <w:right w:val="nil"/>
            </w:tcBorders>
            <w:vAlign w:val="bottom"/>
          </w:tcPr>
          <w:p w14:paraId="4DAE51A4"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60.9</w:t>
            </w:r>
          </w:p>
        </w:tc>
        <w:tc>
          <w:tcPr>
            <w:tcW w:w="1276" w:type="dxa"/>
            <w:tcBorders>
              <w:top w:val="single" w:sz="24" w:space="0" w:color="auto"/>
              <w:left w:val="nil"/>
              <w:bottom w:val="nil"/>
              <w:right w:val="nil"/>
            </w:tcBorders>
            <w:vAlign w:val="bottom"/>
          </w:tcPr>
          <w:p w14:paraId="337EF159"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0.01</w:t>
            </w:r>
          </w:p>
        </w:tc>
        <w:tc>
          <w:tcPr>
            <w:tcW w:w="992" w:type="dxa"/>
            <w:tcBorders>
              <w:top w:val="single" w:sz="24" w:space="0" w:color="auto"/>
              <w:left w:val="nil"/>
              <w:bottom w:val="nil"/>
              <w:right w:val="nil"/>
            </w:tcBorders>
            <w:vAlign w:val="bottom"/>
          </w:tcPr>
          <w:p w14:paraId="27FDA4F9" w14:textId="77777777" w:rsidR="00C24E82" w:rsidRPr="00222975" w:rsidRDefault="00C24E82" w:rsidP="00721796">
            <w:pPr>
              <w:jc w:val="center"/>
              <w:rPr>
                <w:rFonts w:ascii="Calibri" w:hAnsi="Calibri"/>
                <w:color w:val="000000" w:themeColor="text1"/>
                <w:sz w:val="16"/>
                <w:szCs w:val="16"/>
              </w:rPr>
            </w:pPr>
          </w:p>
        </w:tc>
        <w:tc>
          <w:tcPr>
            <w:tcW w:w="992" w:type="dxa"/>
            <w:tcBorders>
              <w:top w:val="single" w:sz="24" w:space="0" w:color="auto"/>
              <w:left w:val="nil"/>
              <w:bottom w:val="nil"/>
              <w:right w:val="nil"/>
            </w:tcBorders>
            <w:vAlign w:val="bottom"/>
          </w:tcPr>
          <w:p w14:paraId="48AE9C6E" w14:textId="77777777" w:rsidR="00C24E82" w:rsidRPr="00222975" w:rsidRDefault="00C24E82" w:rsidP="00721796">
            <w:pPr>
              <w:jc w:val="center"/>
              <w:rPr>
                <w:rFonts w:ascii="Calibri" w:hAnsi="Calibri"/>
                <w:color w:val="000000" w:themeColor="text1"/>
                <w:sz w:val="16"/>
                <w:szCs w:val="16"/>
              </w:rPr>
            </w:pPr>
          </w:p>
        </w:tc>
      </w:tr>
      <w:tr w:rsidR="00C24E82" w:rsidRPr="00222975" w14:paraId="69B2190D" w14:textId="77777777" w:rsidTr="00721796">
        <w:tc>
          <w:tcPr>
            <w:tcW w:w="1101" w:type="dxa"/>
            <w:vMerge/>
            <w:tcBorders>
              <w:top w:val="nil"/>
              <w:left w:val="nil"/>
              <w:bottom w:val="nil"/>
              <w:right w:val="nil"/>
            </w:tcBorders>
          </w:tcPr>
          <w:p w14:paraId="2BE71BF8" w14:textId="77777777" w:rsidR="00C24E82" w:rsidRPr="00222975" w:rsidRDefault="00C24E82" w:rsidP="00721796">
            <w:pPr>
              <w:rPr>
                <w:rFonts w:ascii="Calibri" w:hAnsi="Calibri"/>
                <w:color w:val="000000" w:themeColor="text1"/>
                <w:sz w:val="16"/>
                <w:szCs w:val="16"/>
              </w:rPr>
            </w:pPr>
          </w:p>
        </w:tc>
        <w:tc>
          <w:tcPr>
            <w:tcW w:w="992" w:type="dxa"/>
            <w:vMerge/>
            <w:tcBorders>
              <w:top w:val="nil"/>
              <w:left w:val="nil"/>
              <w:bottom w:val="nil"/>
              <w:right w:val="nil"/>
            </w:tcBorders>
          </w:tcPr>
          <w:p w14:paraId="5C28B782"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2114DBD5"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Papua New Guinea</w:t>
            </w:r>
          </w:p>
        </w:tc>
        <w:tc>
          <w:tcPr>
            <w:tcW w:w="1134" w:type="dxa"/>
            <w:tcBorders>
              <w:top w:val="nil"/>
              <w:left w:val="nil"/>
              <w:bottom w:val="nil"/>
              <w:right w:val="nil"/>
            </w:tcBorders>
            <w:vAlign w:val="bottom"/>
          </w:tcPr>
          <w:p w14:paraId="3842398B"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17.4</w:t>
            </w:r>
          </w:p>
        </w:tc>
        <w:tc>
          <w:tcPr>
            <w:tcW w:w="1276" w:type="dxa"/>
            <w:tcBorders>
              <w:top w:val="nil"/>
              <w:left w:val="nil"/>
              <w:bottom w:val="nil"/>
              <w:right w:val="nil"/>
            </w:tcBorders>
            <w:vAlign w:val="bottom"/>
          </w:tcPr>
          <w:p w14:paraId="5FA6680E"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28.1</w:t>
            </w:r>
          </w:p>
        </w:tc>
        <w:tc>
          <w:tcPr>
            <w:tcW w:w="992" w:type="dxa"/>
            <w:tcBorders>
              <w:top w:val="nil"/>
              <w:left w:val="nil"/>
              <w:bottom w:val="nil"/>
              <w:right w:val="nil"/>
            </w:tcBorders>
            <w:vAlign w:val="bottom"/>
          </w:tcPr>
          <w:p w14:paraId="0DF2C3C5"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354D1883"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2CB0A0B7" w14:textId="77777777" w:rsidTr="00721796">
        <w:tc>
          <w:tcPr>
            <w:tcW w:w="1101" w:type="dxa"/>
            <w:vMerge/>
            <w:tcBorders>
              <w:top w:val="nil"/>
              <w:left w:val="nil"/>
              <w:bottom w:val="nil"/>
              <w:right w:val="nil"/>
            </w:tcBorders>
          </w:tcPr>
          <w:p w14:paraId="70780227" w14:textId="77777777" w:rsidR="00C24E82" w:rsidRPr="00222975" w:rsidRDefault="00C24E82" w:rsidP="00721796">
            <w:pPr>
              <w:rPr>
                <w:rFonts w:ascii="Calibri" w:hAnsi="Calibri"/>
                <w:color w:val="000000" w:themeColor="text1"/>
                <w:sz w:val="16"/>
                <w:szCs w:val="16"/>
              </w:rPr>
            </w:pPr>
          </w:p>
        </w:tc>
        <w:tc>
          <w:tcPr>
            <w:tcW w:w="992" w:type="dxa"/>
            <w:vMerge/>
            <w:tcBorders>
              <w:top w:val="nil"/>
              <w:left w:val="nil"/>
              <w:bottom w:val="nil"/>
              <w:right w:val="nil"/>
            </w:tcBorders>
          </w:tcPr>
          <w:p w14:paraId="46F78ABA"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2191E574"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 xml:space="preserve">Timor </w:t>
            </w:r>
            <w:proofErr w:type="spellStart"/>
            <w:r w:rsidRPr="00222975">
              <w:rPr>
                <w:rFonts w:ascii="Calibri" w:eastAsia="Times New Roman" w:hAnsi="Calibri" w:cs="Times New Roman"/>
                <w:color w:val="000000" w:themeColor="text1"/>
                <w:sz w:val="16"/>
                <w:szCs w:val="16"/>
              </w:rPr>
              <w:t>Leste</w:t>
            </w:r>
            <w:proofErr w:type="spellEnd"/>
          </w:p>
        </w:tc>
        <w:tc>
          <w:tcPr>
            <w:tcW w:w="1134" w:type="dxa"/>
            <w:tcBorders>
              <w:top w:val="nil"/>
              <w:left w:val="nil"/>
              <w:bottom w:val="nil"/>
              <w:right w:val="nil"/>
            </w:tcBorders>
            <w:vAlign w:val="bottom"/>
          </w:tcPr>
          <w:p w14:paraId="751C4B7C"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15.6</w:t>
            </w:r>
          </w:p>
        </w:tc>
        <w:tc>
          <w:tcPr>
            <w:tcW w:w="1276" w:type="dxa"/>
            <w:tcBorders>
              <w:top w:val="nil"/>
              <w:left w:val="nil"/>
              <w:bottom w:val="nil"/>
              <w:right w:val="nil"/>
            </w:tcBorders>
            <w:vAlign w:val="bottom"/>
          </w:tcPr>
          <w:p w14:paraId="5988C4AA"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6.8</w:t>
            </w:r>
          </w:p>
        </w:tc>
        <w:tc>
          <w:tcPr>
            <w:tcW w:w="992" w:type="dxa"/>
            <w:tcBorders>
              <w:top w:val="nil"/>
              <w:left w:val="nil"/>
              <w:bottom w:val="nil"/>
              <w:right w:val="nil"/>
            </w:tcBorders>
            <w:vAlign w:val="bottom"/>
          </w:tcPr>
          <w:p w14:paraId="6EED87E5"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nil"/>
              <w:right w:val="nil"/>
            </w:tcBorders>
            <w:vAlign w:val="bottom"/>
          </w:tcPr>
          <w:p w14:paraId="298349BD" w14:textId="77777777" w:rsidR="00C24E82" w:rsidRPr="00222975" w:rsidRDefault="00C24E82" w:rsidP="00721796">
            <w:pPr>
              <w:jc w:val="center"/>
              <w:rPr>
                <w:rFonts w:ascii="Calibri" w:hAnsi="Calibri"/>
                <w:color w:val="000000" w:themeColor="text1"/>
                <w:sz w:val="16"/>
                <w:szCs w:val="16"/>
              </w:rPr>
            </w:pPr>
          </w:p>
        </w:tc>
      </w:tr>
      <w:tr w:rsidR="00C24E82" w:rsidRPr="00222975" w14:paraId="03255337" w14:textId="77777777" w:rsidTr="00721796">
        <w:tc>
          <w:tcPr>
            <w:tcW w:w="1101" w:type="dxa"/>
            <w:vMerge/>
            <w:tcBorders>
              <w:top w:val="nil"/>
              <w:left w:val="nil"/>
              <w:bottom w:val="nil"/>
              <w:right w:val="nil"/>
            </w:tcBorders>
          </w:tcPr>
          <w:p w14:paraId="0F126A25" w14:textId="77777777" w:rsidR="00C24E82" w:rsidRPr="00222975" w:rsidRDefault="00C24E82" w:rsidP="00721796">
            <w:pPr>
              <w:rPr>
                <w:rFonts w:ascii="Calibri" w:hAnsi="Calibri"/>
                <w:color w:val="000000" w:themeColor="text1"/>
                <w:sz w:val="16"/>
                <w:szCs w:val="16"/>
              </w:rPr>
            </w:pPr>
          </w:p>
        </w:tc>
        <w:tc>
          <w:tcPr>
            <w:tcW w:w="992" w:type="dxa"/>
            <w:vMerge/>
            <w:tcBorders>
              <w:top w:val="nil"/>
              <w:left w:val="nil"/>
              <w:bottom w:val="nil"/>
              <w:right w:val="nil"/>
            </w:tcBorders>
          </w:tcPr>
          <w:p w14:paraId="507EC2DD"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2A0685AF"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Fiji</w:t>
            </w:r>
          </w:p>
        </w:tc>
        <w:tc>
          <w:tcPr>
            <w:tcW w:w="1134" w:type="dxa"/>
            <w:tcBorders>
              <w:top w:val="nil"/>
              <w:left w:val="nil"/>
              <w:bottom w:val="nil"/>
              <w:right w:val="nil"/>
            </w:tcBorders>
            <w:vAlign w:val="bottom"/>
          </w:tcPr>
          <w:p w14:paraId="5743458B"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11.1</w:t>
            </w:r>
          </w:p>
        </w:tc>
        <w:tc>
          <w:tcPr>
            <w:tcW w:w="1276" w:type="dxa"/>
            <w:tcBorders>
              <w:top w:val="nil"/>
              <w:left w:val="nil"/>
              <w:bottom w:val="nil"/>
              <w:right w:val="nil"/>
            </w:tcBorders>
            <w:vAlign w:val="bottom"/>
          </w:tcPr>
          <w:p w14:paraId="4ACFBD76"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92.6</w:t>
            </w:r>
          </w:p>
        </w:tc>
        <w:tc>
          <w:tcPr>
            <w:tcW w:w="992" w:type="dxa"/>
            <w:tcBorders>
              <w:top w:val="nil"/>
              <w:left w:val="nil"/>
              <w:bottom w:val="nil"/>
              <w:right w:val="nil"/>
            </w:tcBorders>
            <w:vAlign w:val="bottom"/>
          </w:tcPr>
          <w:p w14:paraId="1EA43B26"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c>
          <w:tcPr>
            <w:tcW w:w="992" w:type="dxa"/>
            <w:tcBorders>
              <w:top w:val="nil"/>
              <w:left w:val="nil"/>
              <w:bottom w:val="nil"/>
              <w:right w:val="nil"/>
            </w:tcBorders>
            <w:vAlign w:val="bottom"/>
          </w:tcPr>
          <w:p w14:paraId="1D7DEE22" w14:textId="77777777" w:rsidR="00C24E82" w:rsidRPr="00222975" w:rsidRDefault="00C24E82" w:rsidP="00721796">
            <w:pPr>
              <w:jc w:val="center"/>
              <w:rPr>
                <w:rFonts w:ascii="Calibri" w:hAnsi="Calibri"/>
                <w:color w:val="000000" w:themeColor="text1"/>
                <w:sz w:val="16"/>
                <w:szCs w:val="16"/>
              </w:rPr>
            </w:pPr>
            <w:r w:rsidRPr="00222975">
              <w:rPr>
                <w:rFonts w:ascii="Lucida Grande" w:eastAsia="Times New Roman" w:hAnsi="Lucida Grande" w:cs="Lucida Grande"/>
                <w:color w:val="000000" w:themeColor="text1"/>
                <w:sz w:val="16"/>
                <w:szCs w:val="16"/>
              </w:rPr>
              <w:t>✓</w:t>
            </w:r>
          </w:p>
        </w:tc>
      </w:tr>
      <w:tr w:rsidR="00C24E82" w:rsidRPr="00222975" w14:paraId="3EEFD432" w14:textId="77777777" w:rsidTr="00721796">
        <w:tc>
          <w:tcPr>
            <w:tcW w:w="1101" w:type="dxa"/>
            <w:vMerge/>
            <w:tcBorders>
              <w:top w:val="nil"/>
              <w:left w:val="nil"/>
              <w:bottom w:val="nil"/>
              <w:right w:val="nil"/>
            </w:tcBorders>
          </w:tcPr>
          <w:p w14:paraId="49F615AF" w14:textId="77777777" w:rsidR="00C24E82" w:rsidRPr="00222975" w:rsidRDefault="00C24E82" w:rsidP="00721796">
            <w:pPr>
              <w:rPr>
                <w:rFonts w:ascii="Calibri" w:hAnsi="Calibri"/>
                <w:color w:val="000000" w:themeColor="text1"/>
                <w:sz w:val="16"/>
                <w:szCs w:val="16"/>
              </w:rPr>
            </w:pPr>
          </w:p>
        </w:tc>
        <w:tc>
          <w:tcPr>
            <w:tcW w:w="992" w:type="dxa"/>
            <w:vMerge/>
            <w:tcBorders>
              <w:top w:val="nil"/>
              <w:left w:val="nil"/>
              <w:bottom w:val="nil"/>
              <w:right w:val="nil"/>
            </w:tcBorders>
          </w:tcPr>
          <w:p w14:paraId="00AAB6F8"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3039EAC9"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Cook Islands</w:t>
            </w:r>
          </w:p>
        </w:tc>
        <w:tc>
          <w:tcPr>
            <w:tcW w:w="1134" w:type="dxa"/>
            <w:tcBorders>
              <w:top w:val="nil"/>
              <w:left w:val="nil"/>
              <w:bottom w:val="nil"/>
              <w:right w:val="nil"/>
            </w:tcBorders>
            <w:vAlign w:val="bottom"/>
          </w:tcPr>
          <w:p w14:paraId="38F0FEAF"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6.2</w:t>
            </w:r>
          </w:p>
        </w:tc>
        <w:tc>
          <w:tcPr>
            <w:tcW w:w="1276" w:type="dxa"/>
            <w:tcBorders>
              <w:top w:val="nil"/>
              <w:left w:val="nil"/>
              <w:bottom w:val="nil"/>
              <w:right w:val="nil"/>
            </w:tcBorders>
            <w:vAlign w:val="bottom"/>
          </w:tcPr>
          <w:p w14:paraId="10674081"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28</w:t>
            </w:r>
          </w:p>
        </w:tc>
        <w:tc>
          <w:tcPr>
            <w:tcW w:w="992" w:type="dxa"/>
            <w:tcBorders>
              <w:top w:val="nil"/>
              <w:left w:val="nil"/>
              <w:bottom w:val="nil"/>
              <w:right w:val="nil"/>
            </w:tcBorders>
            <w:vAlign w:val="bottom"/>
          </w:tcPr>
          <w:p w14:paraId="64224437" w14:textId="77777777" w:rsidR="00C24E82" w:rsidRPr="00222975" w:rsidRDefault="00C24E82" w:rsidP="00721796">
            <w:pPr>
              <w:jc w:val="center"/>
              <w:rPr>
                <w:rFonts w:ascii="Calibri" w:hAnsi="Calibri"/>
                <w:color w:val="000000" w:themeColor="text1"/>
                <w:sz w:val="16"/>
                <w:szCs w:val="16"/>
              </w:rPr>
            </w:pPr>
          </w:p>
        </w:tc>
        <w:tc>
          <w:tcPr>
            <w:tcW w:w="992" w:type="dxa"/>
            <w:tcBorders>
              <w:top w:val="nil"/>
              <w:left w:val="nil"/>
              <w:bottom w:val="nil"/>
              <w:right w:val="nil"/>
            </w:tcBorders>
            <w:vAlign w:val="bottom"/>
          </w:tcPr>
          <w:p w14:paraId="119FEA65" w14:textId="77777777" w:rsidR="00C24E82" w:rsidRPr="00222975" w:rsidRDefault="00C24E82" w:rsidP="00721796">
            <w:pPr>
              <w:jc w:val="center"/>
              <w:rPr>
                <w:rFonts w:ascii="Calibri" w:hAnsi="Calibri"/>
                <w:color w:val="000000" w:themeColor="text1"/>
                <w:sz w:val="16"/>
                <w:szCs w:val="16"/>
              </w:rPr>
            </w:pPr>
          </w:p>
        </w:tc>
      </w:tr>
      <w:tr w:rsidR="00C24E82" w:rsidRPr="00222975" w14:paraId="38960C97" w14:textId="77777777" w:rsidTr="00721796">
        <w:tc>
          <w:tcPr>
            <w:tcW w:w="1101" w:type="dxa"/>
            <w:vMerge/>
            <w:tcBorders>
              <w:top w:val="nil"/>
              <w:left w:val="nil"/>
              <w:bottom w:val="nil"/>
              <w:right w:val="nil"/>
            </w:tcBorders>
          </w:tcPr>
          <w:p w14:paraId="11AC6226" w14:textId="77777777" w:rsidR="00C24E82" w:rsidRPr="00222975" w:rsidRDefault="00C24E82" w:rsidP="00721796">
            <w:pPr>
              <w:rPr>
                <w:rFonts w:ascii="Calibri" w:hAnsi="Calibri"/>
                <w:color w:val="000000" w:themeColor="text1"/>
                <w:sz w:val="16"/>
                <w:szCs w:val="16"/>
              </w:rPr>
            </w:pPr>
          </w:p>
        </w:tc>
        <w:tc>
          <w:tcPr>
            <w:tcW w:w="992" w:type="dxa"/>
            <w:vMerge/>
            <w:tcBorders>
              <w:top w:val="nil"/>
              <w:left w:val="nil"/>
              <w:bottom w:val="nil"/>
              <w:right w:val="nil"/>
            </w:tcBorders>
          </w:tcPr>
          <w:p w14:paraId="1D3E196F"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726271B1"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Nauru</w:t>
            </w:r>
          </w:p>
        </w:tc>
        <w:tc>
          <w:tcPr>
            <w:tcW w:w="1134" w:type="dxa"/>
            <w:tcBorders>
              <w:top w:val="nil"/>
              <w:left w:val="nil"/>
              <w:bottom w:val="nil"/>
              <w:right w:val="nil"/>
            </w:tcBorders>
            <w:vAlign w:val="bottom"/>
          </w:tcPr>
          <w:p w14:paraId="45B0803F"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5.3</w:t>
            </w:r>
          </w:p>
        </w:tc>
        <w:tc>
          <w:tcPr>
            <w:tcW w:w="1276" w:type="dxa"/>
            <w:tcBorders>
              <w:top w:val="nil"/>
              <w:left w:val="nil"/>
              <w:bottom w:val="nil"/>
              <w:right w:val="nil"/>
            </w:tcBorders>
            <w:vAlign w:val="bottom"/>
          </w:tcPr>
          <w:p w14:paraId="1F34CEED"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52.2</w:t>
            </w:r>
          </w:p>
        </w:tc>
        <w:tc>
          <w:tcPr>
            <w:tcW w:w="992" w:type="dxa"/>
            <w:tcBorders>
              <w:top w:val="nil"/>
              <w:left w:val="nil"/>
              <w:bottom w:val="nil"/>
              <w:right w:val="nil"/>
            </w:tcBorders>
            <w:vAlign w:val="bottom"/>
          </w:tcPr>
          <w:p w14:paraId="47F30C00" w14:textId="77777777" w:rsidR="00C24E82" w:rsidRPr="00222975" w:rsidRDefault="00C24E82" w:rsidP="00721796">
            <w:pPr>
              <w:rPr>
                <w:rFonts w:ascii="Calibri" w:hAnsi="Calibri"/>
                <w:color w:val="000000" w:themeColor="text1"/>
                <w:sz w:val="16"/>
                <w:szCs w:val="16"/>
              </w:rPr>
            </w:pPr>
          </w:p>
        </w:tc>
        <w:tc>
          <w:tcPr>
            <w:tcW w:w="992" w:type="dxa"/>
            <w:tcBorders>
              <w:top w:val="nil"/>
              <w:left w:val="nil"/>
              <w:bottom w:val="nil"/>
              <w:right w:val="nil"/>
            </w:tcBorders>
            <w:vAlign w:val="bottom"/>
          </w:tcPr>
          <w:p w14:paraId="522034CA" w14:textId="77777777" w:rsidR="00C24E82" w:rsidRPr="00222975" w:rsidRDefault="00C24E82" w:rsidP="00721796">
            <w:pPr>
              <w:rPr>
                <w:rFonts w:ascii="Calibri" w:hAnsi="Calibri"/>
                <w:color w:val="000000" w:themeColor="text1"/>
                <w:sz w:val="16"/>
                <w:szCs w:val="16"/>
              </w:rPr>
            </w:pPr>
          </w:p>
        </w:tc>
      </w:tr>
      <w:tr w:rsidR="00C24E82" w:rsidRPr="00222975" w14:paraId="13149DD1" w14:textId="77777777" w:rsidTr="00721796">
        <w:tc>
          <w:tcPr>
            <w:tcW w:w="1101" w:type="dxa"/>
            <w:vMerge/>
            <w:tcBorders>
              <w:top w:val="nil"/>
              <w:left w:val="nil"/>
              <w:bottom w:val="nil"/>
              <w:right w:val="nil"/>
            </w:tcBorders>
          </w:tcPr>
          <w:p w14:paraId="6F6DC336" w14:textId="77777777" w:rsidR="00C24E82" w:rsidRPr="00222975" w:rsidRDefault="00C24E82" w:rsidP="00721796">
            <w:pPr>
              <w:rPr>
                <w:rFonts w:ascii="Calibri" w:hAnsi="Calibri"/>
                <w:color w:val="000000" w:themeColor="text1"/>
                <w:sz w:val="16"/>
                <w:szCs w:val="16"/>
              </w:rPr>
            </w:pPr>
          </w:p>
        </w:tc>
        <w:tc>
          <w:tcPr>
            <w:tcW w:w="992" w:type="dxa"/>
            <w:vMerge/>
            <w:tcBorders>
              <w:top w:val="nil"/>
              <w:left w:val="nil"/>
              <w:bottom w:val="nil"/>
              <w:right w:val="nil"/>
            </w:tcBorders>
          </w:tcPr>
          <w:p w14:paraId="60E6DDF5"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13DDFD36"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Niue</w:t>
            </w:r>
          </w:p>
        </w:tc>
        <w:tc>
          <w:tcPr>
            <w:tcW w:w="1134" w:type="dxa"/>
            <w:tcBorders>
              <w:top w:val="nil"/>
              <w:left w:val="nil"/>
              <w:bottom w:val="nil"/>
              <w:right w:val="nil"/>
            </w:tcBorders>
            <w:vAlign w:val="bottom"/>
          </w:tcPr>
          <w:p w14:paraId="4647C819"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1.7</w:t>
            </w:r>
          </w:p>
        </w:tc>
        <w:tc>
          <w:tcPr>
            <w:tcW w:w="1276" w:type="dxa"/>
            <w:tcBorders>
              <w:top w:val="nil"/>
              <w:left w:val="nil"/>
              <w:bottom w:val="nil"/>
              <w:right w:val="nil"/>
            </w:tcBorders>
            <w:vAlign w:val="bottom"/>
          </w:tcPr>
          <w:p w14:paraId="4AD44BDC"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8.1</w:t>
            </w:r>
          </w:p>
        </w:tc>
        <w:tc>
          <w:tcPr>
            <w:tcW w:w="992" w:type="dxa"/>
            <w:tcBorders>
              <w:top w:val="nil"/>
              <w:left w:val="nil"/>
              <w:bottom w:val="nil"/>
              <w:right w:val="nil"/>
            </w:tcBorders>
            <w:vAlign w:val="bottom"/>
          </w:tcPr>
          <w:p w14:paraId="4D6F1C86" w14:textId="77777777" w:rsidR="00C24E82" w:rsidRPr="00222975" w:rsidRDefault="00C24E82" w:rsidP="00721796">
            <w:pPr>
              <w:rPr>
                <w:rFonts w:ascii="Calibri" w:hAnsi="Calibri"/>
                <w:color w:val="000000" w:themeColor="text1"/>
                <w:sz w:val="16"/>
                <w:szCs w:val="16"/>
              </w:rPr>
            </w:pPr>
          </w:p>
        </w:tc>
        <w:tc>
          <w:tcPr>
            <w:tcW w:w="992" w:type="dxa"/>
            <w:tcBorders>
              <w:top w:val="nil"/>
              <w:left w:val="nil"/>
              <w:bottom w:val="nil"/>
              <w:right w:val="nil"/>
            </w:tcBorders>
            <w:vAlign w:val="bottom"/>
          </w:tcPr>
          <w:p w14:paraId="3AA62635" w14:textId="77777777" w:rsidR="00C24E82" w:rsidRPr="00222975" w:rsidRDefault="00C24E82" w:rsidP="00721796">
            <w:pPr>
              <w:rPr>
                <w:rFonts w:ascii="Calibri" w:hAnsi="Calibri"/>
                <w:color w:val="000000" w:themeColor="text1"/>
                <w:sz w:val="16"/>
                <w:szCs w:val="16"/>
              </w:rPr>
            </w:pPr>
          </w:p>
        </w:tc>
      </w:tr>
      <w:tr w:rsidR="00C24E82" w:rsidRPr="00222975" w14:paraId="75F87A2F" w14:textId="77777777" w:rsidTr="00721796">
        <w:tc>
          <w:tcPr>
            <w:tcW w:w="1101" w:type="dxa"/>
            <w:vMerge/>
            <w:tcBorders>
              <w:top w:val="nil"/>
              <w:left w:val="nil"/>
              <w:bottom w:val="nil"/>
              <w:right w:val="nil"/>
            </w:tcBorders>
          </w:tcPr>
          <w:p w14:paraId="18F7173F" w14:textId="77777777" w:rsidR="00C24E82" w:rsidRPr="00222975" w:rsidRDefault="00C24E82" w:rsidP="00721796">
            <w:pPr>
              <w:rPr>
                <w:rFonts w:ascii="Calibri" w:hAnsi="Calibri"/>
                <w:color w:val="000000" w:themeColor="text1"/>
                <w:sz w:val="16"/>
                <w:szCs w:val="16"/>
              </w:rPr>
            </w:pPr>
          </w:p>
        </w:tc>
        <w:tc>
          <w:tcPr>
            <w:tcW w:w="992" w:type="dxa"/>
            <w:vMerge/>
            <w:tcBorders>
              <w:top w:val="nil"/>
              <w:left w:val="nil"/>
              <w:bottom w:val="nil"/>
              <w:right w:val="nil"/>
            </w:tcBorders>
          </w:tcPr>
          <w:p w14:paraId="5A4387D4"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6BBEB5D7"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Palau</w:t>
            </w:r>
          </w:p>
        </w:tc>
        <w:tc>
          <w:tcPr>
            <w:tcW w:w="1134" w:type="dxa"/>
            <w:tcBorders>
              <w:top w:val="nil"/>
              <w:left w:val="nil"/>
              <w:bottom w:val="nil"/>
              <w:right w:val="nil"/>
            </w:tcBorders>
            <w:vAlign w:val="bottom"/>
          </w:tcPr>
          <w:p w14:paraId="0E52F38B"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0.3</w:t>
            </w:r>
          </w:p>
        </w:tc>
        <w:tc>
          <w:tcPr>
            <w:tcW w:w="1276" w:type="dxa"/>
            <w:tcBorders>
              <w:top w:val="nil"/>
              <w:left w:val="nil"/>
              <w:bottom w:val="nil"/>
              <w:right w:val="nil"/>
            </w:tcBorders>
            <w:vAlign w:val="bottom"/>
          </w:tcPr>
          <w:p w14:paraId="1F55C77B"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36</w:t>
            </w:r>
          </w:p>
        </w:tc>
        <w:tc>
          <w:tcPr>
            <w:tcW w:w="992" w:type="dxa"/>
            <w:tcBorders>
              <w:top w:val="nil"/>
              <w:left w:val="nil"/>
              <w:bottom w:val="nil"/>
              <w:right w:val="nil"/>
            </w:tcBorders>
            <w:vAlign w:val="bottom"/>
          </w:tcPr>
          <w:p w14:paraId="38D28510" w14:textId="77777777" w:rsidR="00C24E82" w:rsidRPr="00222975" w:rsidRDefault="00C24E82" w:rsidP="00721796">
            <w:pPr>
              <w:rPr>
                <w:rFonts w:ascii="Calibri" w:hAnsi="Calibri"/>
                <w:color w:val="000000" w:themeColor="text1"/>
                <w:sz w:val="16"/>
                <w:szCs w:val="16"/>
              </w:rPr>
            </w:pPr>
          </w:p>
        </w:tc>
        <w:tc>
          <w:tcPr>
            <w:tcW w:w="992" w:type="dxa"/>
            <w:tcBorders>
              <w:top w:val="nil"/>
              <w:left w:val="nil"/>
              <w:bottom w:val="nil"/>
              <w:right w:val="nil"/>
            </w:tcBorders>
            <w:vAlign w:val="bottom"/>
          </w:tcPr>
          <w:p w14:paraId="7F47864F" w14:textId="77777777" w:rsidR="00C24E82" w:rsidRPr="00222975" w:rsidRDefault="00C24E82" w:rsidP="00721796">
            <w:pPr>
              <w:rPr>
                <w:rFonts w:ascii="Calibri" w:hAnsi="Calibri"/>
                <w:color w:val="000000" w:themeColor="text1"/>
                <w:sz w:val="16"/>
                <w:szCs w:val="16"/>
              </w:rPr>
            </w:pPr>
          </w:p>
        </w:tc>
      </w:tr>
      <w:tr w:rsidR="00C24E82" w:rsidRPr="00222975" w14:paraId="507CD304" w14:textId="77777777" w:rsidTr="00721796">
        <w:tc>
          <w:tcPr>
            <w:tcW w:w="1101" w:type="dxa"/>
            <w:vMerge/>
            <w:tcBorders>
              <w:top w:val="nil"/>
              <w:left w:val="nil"/>
              <w:bottom w:val="nil"/>
              <w:right w:val="nil"/>
            </w:tcBorders>
          </w:tcPr>
          <w:p w14:paraId="58745615" w14:textId="77777777" w:rsidR="00C24E82" w:rsidRPr="00222975" w:rsidRDefault="00C24E82" w:rsidP="00721796">
            <w:pPr>
              <w:rPr>
                <w:rFonts w:ascii="Calibri" w:hAnsi="Calibri"/>
                <w:color w:val="000000" w:themeColor="text1"/>
                <w:sz w:val="16"/>
                <w:szCs w:val="16"/>
              </w:rPr>
            </w:pPr>
          </w:p>
        </w:tc>
        <w:tc>
          <w:tcPr>
            <w:tcW w:w="992" w:type="dxa"/>
            <w:vMerge/>
            <w:tcBorders>
              <w:top w:val="nil"/>
              <w:left w:val="nil"/>
              <w:bottom w:val="nil"/>
              <w:right w:val="nil"/>
            </w:tcBorders>
          </w:tcPr>
          <w:p w14:paraId="02174AF6"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52A35EFC"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Tonga</w:t>
            </w:r>
          </w:p>
        </w:tc>
        <w:tc>
          <w:tcPr>
            <w:tcW w:w="1134" w:type="dxa"/>
            <w:tcBorders>
              <w:top w:val="nil"/>
              <w:left w:val="nil"/>
              <w:bottom w:val="nil"/>
              <w:right w:val="nil"/>
            </w:tcBorders>
            <w:vAlign w:val="bottom"/>
          </w:tcPr>
          <w:p w14:paraId="607FDC6A"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0.3</w:t>
            </w:r>
          </w:p>
        </w:tc>
        <w:tc>
          <w:tcPr>
            <w:tcW w:w="1276" w:type="dxa"/>
            <w:tcBorders>
              <w:top w:val="nil"/>
              <w:left w:val="nil"/>
              <w:bottom w:val="nil"/>
              <w:right w:val="nil"/>
            </w:tcBorders>
            <w:vAlign w:val="bottom"/>
          </w:tcPr>
          <w:p w14:paraId="2437AA72"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52.7</w:t>
            </w:r>
          </w:p>
        </w:tc>
        <w:tc>
          <w:tcPr>
            <w:tcW w:w="992" w:type="dxa"/>
            <w:tcBorders>
              <w:top w:val="nil"/>
              <w:left w:val="nil"/>
              <w:bottom w:val="nil"/>
              <w:right w:val="nil"/>
            </w:tcBorders>
            <w:vAlign w:val="bottom"/>
          </w:tcPr>
          <w:p w14:paraId="0692AC63" w14:textId="77777777" w:rsidR="00C24E82" w:rsidRPr="00222975" w:rsidRDefault="00C24E82" w:rsidP="00721796">
            <w:pPr>
              <w:rPr>
                <w:rFonts w:ascii="Calibri" w:hAnsi="Calibri"/>
                <w:color w:val="000000" w:themeColor="text1"/>
                <w:sz w:val="16"/>
                <w:szCs w:val="16"/>
              </w:rPr>
            </w:pPr>
          </w:p>
        </w:tc>
        <w:tc>
          <w:tcPr>
            <w:tcW w:w="992" w:type="dxa"/>
            <w:tcBorders>
              <w:top w:val="nil"/>
              <w:left w:val="nil"/>
              <w:bottom w:val="nil"/>
              <w:right w:val="nil"/>
            </w:tcBorders>
            <w:vAlign w:val="bottom"/>
          </w:tcPr>
          <w:p w14:paraId="43EC04B1" w14:textId="77777777" w:rsidR="00C24E82" w:rsidRPr="00222975" w:rsidRDefault="00C24E82" w:rsidP="00721796">
            <w:pPr>
              <w:rPr>
                <w:rFonts w:ascii="Calibri" w:hAnsi="Calibri"/>
                <w:color w:val="000000" w:themeColor="text1"/>
                <w:sz w:val="16"/>
                <w:szCs w:val="16"/>
              </w:rPr>
            </w:pPr>
          </w:p>
        </w:tc>
      </w:tr>
      <w:tr w:rsidR="00C24E82" w:rsidRPr="00222975" w14:paraId="0E9D181A" w14:textId="77777777" w:rsidTr="00721796">
        <w:tc>
          <w:tcPr>
            <w:tcW w:w="1101" w:type="dxa"/>
            <w:vMerge/>
            <w:tcBorders>
              <w:top w:val="nil"/>
              <w:left w:val="nil"/>
              <w:bottom w:val="nil"/>
              <w:right w:val="nil"/>
            </w:tcBorders>
          </w:tcPr>
          <w:p w14:paraId="5FB81CB0" w14:textId="77777777" w:rsidR="00C24E82" w:rsidRPr="00222975" w:rsidRDefault="00C24E82" w:rsidP="00721796">
            <w:pPr>
              <w:rPr>
                <w:rFonts w:ascii="Calibri" w:hAnsi="Calibri"/>
                <w:color w:val="000000" w:themeColor="text1"/>
                <w:sz w:val="16"/>
                <w:szCs w:val="16"/>
              </w:rPr>
            </w:pPr>
          </w:p>
        </w:tc>
        <w:tc>
          <w:tcPr>
            <w:tcW w:w="992" w:type="dxa"/>
            <w:vMerge/>
            <w:tcBorders>
              <w:top w:val="nil"/>
              <w:left w:val="nil"/>
              <w:bottom w:val="single" w:sz="4" w:space="0" w:color="auto"/>
              <w:right w:val="nil"/>
            </w:tcBorders>
          </w:tcPr>
          <w:p w14:paraId="35317CC8"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single" w:sz="4" w:space="0" w:color="auto"/>
              <w:right w:val="nil"/>
            </w:tcBorders>
            <w:vAlign w:val="bottom"/>
          </w:tcPr>
          <w:p w14:paraId="468CCD43"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Micronesia</w:t>
            </w:r>
          </w:p>
        </w:tc>
        <w:tc>
          <w:tcPr>
            <w:tcW w:w="1134" w:type="dxa"/>
            <w:tcBorders>
              <w:top w:val="nil"/>
              <w:left w:val="nil"/>
              <w:bottom w:val="single" w:sz="4" w:space="0" w:color="auto"/>
              <w:right w:val="nil"/>
            </w:tcBorders>
            <w:vAlign w:val="bottom"/>
          </w:tcPr>
          <w:p w14:paraId="22AB5D8E"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0</w:t>
            </w:r>
          </w:p>
        </w:tc>
        <w:tc>
          <w:tcPr>
            <w:tcW w:w="1276" w:type="dxa"/>
            <w:tcBorders>
              <w:top w:val="nil"/>
              <w:left w:val="nil"/>
              <w:bottom w:val="single" w:sz="4" w:space="0" w:color="auto"/>
              <w:right w:val="nil"/>
            </w:tcBorders>
            <w:vAlign w:val="bottom"/>
          </w:tcPr>
          <w:p w14:paraId="2330DEBD"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29.5</w:t>
            </w:r>
          </w:p>
        </w:tc>
        <w:tc>
          <w:tcPr>
            <w:tcW w:w="992" w:type="dxa"/>
            <w:tcBorders>
              <w:top w:val="nil"/>
              <w:left w:val="nil"/>
              <w:bottom w:val="single" w:sz="4" w:space="0" w:color="auto"/>
              <w:right w:val="nil"/>
            </w:tcBorders>
            <w:vAlign w:val="bottom"/>
          </w:tcPr>
          <w:p w14:paraId="24DDBD72" w14:textId="77777777" w:rsidR="00C24E82" w:rsidRPr="00222975" w:rsidRDefault="00C24E82" w:rsidP="00721796">
            <w:pPr>
              <w:rPr>
                <w:rFonts w:ascii="Calibri" w:hAnsi="Calibri"/>
                <w:color w:val="000000" w:themeColor="text1"/>
                <w:sz w:val="16"/>
                <w:szCs w:val="16"/>
              </w:rPr>
            </w:pPr>
          </w:p>
        </w:tc>
        <w:tc>
          <w:tcPr>
            <w:tcW w:w="992" w:type="dxa"/>
            <w:tcBorders>
              <w:top w:val="nil"/>
              <w:left w:val="nil"/>
              <w:bottom w:val="single" w:sz="4" w:space="0" w:color="auto"/>
              <w:right w:val="nil"/>
            </w:tcBorders>
            <w:vAlign w:val="bottom"/>
          </w:tcPr>
          <w:p w14:paraId="69B98E83" w14:textId="77777777" w:rsidR="00C24E82" w:rsidRPr="00222975" w:rsidRDefault="00C24E82" w:rsidP="00721796">
            <w:pPr>
              <w:rPr>
                <w:rFonts w:ascii="Calibri" w:hAnsi="Calibri"/>
                <w:color w:val="000000" w:themeColor="text1"/>
                <w:sz w:val="16"/>
                <w:szCs w:val="16"/>
              </w:rPr>
            </w:pPr>
          </w:p>
        </w:tc>
      </w:tr>
      <w:tr w:rsidR="00C24E82" w:rsidRPr="00222975" w14:paraId="6520B6B6" w14:textId="77777777" w:rsidTr="00721796">
        <w:tc>
          <w:tcPr>
            <w:tcW w:w="1101" w:type="dxa"/>
            <w:vMerge/>
            <w:tcBorders>
              <w:top w:val="nil"/>
              <w:left w:val="nil"/>
              <w:bottom w:val="nil"/>
              <w:right w:val="nil"/>
            </w:tcBorders>
          </w:tcPr>
          <w:p w14:paraId="3BB24F20" w14:textId="77777777" w:rsidR="00C24E82" w:rsidRPr="00222975" w:rsidRDefault="00C24E82" w:rsidP="00721796">
            <w:pPr>
              <w:rPr>
                <w:rFonts w:ascii="Calibri" w:hAnsi="Calibri"/>
                <w:color w:val="000000" w:themeColor="text1"/>
                <w:sz w:val="16"/>
                <w:szCs w:val="16"/>
              </w:rPr>
            </w:pPr>
          </w:p>
        </w:tc>
        <w:tc>
          <w:tcPr>
            <w:tcW w:w="992" w:type="dxa"/>
            <w:vMerge w:val="restart"/>
            <w:tcBorders>
              <w:top w:val="single" w:sz="4" w:space="0" w:color="auto"/>
              <w:left w:val="nil"/>
              <w:bottom w:val="nil"/>
              <w:right w:val="nil"/>
            </w:tcBorders>
          </w:tcPr>
          <w:p w14:paraId="42924283" w14:textId="77777777" w:rsidR="00C24E82" w:rsidRPr="00222975" w:rsidRDefault="00C24E82" w:rsidP="00721796">
            <w:pPr>
              <w:rPr>
                <w:rFonts w:ascii="Calibri" w:hAnsi="Calibri"/>
                <w:color w:val="000000" w:themeColor="text1"/>
                <w:sz w:val="16"/>
                <w:szCs w:val="16"/>
              </w:rPr>
            </w:pPr>
            <w:r w:rsidRPr="00222975">
              <w:rPr>
                <w:rFonts w:ascii="Calibri" w:hAnsi="Calibri"/>
                <w:color w:val="000000" w:themeColor="text1"/>
                <w:sz w:val="16"/>
                <w:szCs w:val="16"/>
              </w:rPr>
              <w:t>LDCs</w:t>
            </w:r>
          </w:p>
        </w:tc>
        <w:tc>
          <w:tcPr>
            <w:tcW w:w="1701" w:type="dxa"/>
            <w:tcBorders>
              <w:top w:val="single" w:sz="4" w:space="0" w:color="auto"/>
              <w:left w:val="nil"/>
              <w:bottom w:val="nil"/>
              <w:right w:val="nil"/>
            </w:tcBorders>
            <w:vAlign w:val="bottom"/>
          </w:tcPr>
          <w:p w14:paraId="000E64CD"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Solomon Islands</w:t>
            </w:r>
          </w:p>
        </w:tc>
        <w:tc>
          <w:tcPr>
            <w:tcW w:w="1134" w:type="dxa"/>
            <w:tcBorders>
              <w:top w:val="single" w:sz="4" w:space="0" w:color="auto"/>
              <w:left w:val="nil"/>
              <w:bottom w:val="nil"/>
              <w:right w:val="nil"/>
            </w:tcBorders>
            <w:vAlign w:val="bottom"/>
          </w:tcPr>
          <w:p w14:paraId="433DAB58"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13.6</w:t>
            </w:r>
          </w:p>
        </w:tc>
        <w:tc>
          <w:tcPr>
            <w:tcW w:w="1276" w:type="dxa"/>
            <w:tcBorders>
              <w:top w:val="single" w:sz="4" w:space="0" w:color="auto"/>
              <w:left w:val="nil"/>
              <w:bottom w:val="nil"/>
              <w:right w:val="nil"/>
            </w:tcBorders>
          </w:tcPr>
          <w:p w14:paraId="2FE32284"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w:t>
            </w:r>
          </w:p>
        </w:tc>
        <w:tc>
          <w:tcPr>
            <w:tcW w:w="992" w:type="dxa"/>
            <w:tcBorders>
              <w:top w:val="single" w:sz="4" w:space="0" w:color="auto"/>
              <w:left w:val="nil"/>
              <w:bottom w:val="nil"/>
              <w:right w:val="nil"/>
            </w:tcBorders>
            <w:vAlign w:val="bottom"/>
          </w:tcPr>
          <w:p w14:paraId="37AFF75F" w14:textId="77777777" w:rsidR="00C24E82" w:rsidRPr="00222975" w:rsidRDefault="00C24E82" w:rsidP="00721796">
            <w:pPr>
              <w:rPr>
                <w:rFonts w:ascii="Calibri" w:hAnsi="Calibri"/>
                <w:color w:val="000000" w:themeColor="text1"/>
                <w:sz w:val="16"/>
                <w:szCs w:val="16"/>
              </w:rPr>
            </w:pPr>
          </w:p>
        </w:tc>
        <w:tc>
          <w:tcPr>
            <w:tcW w:w="992" w:type="dxa"/>
            <w:tcBorders>
              <w:top w:val="single" w:sz="4" w:space="0" w:color="auto"/>
              <w:left w:val="nil"/>
              <w:bottom w:val="nil"/>
              <w:right w:val="nil"/>
            </w:tcBorders>
            <w:vAlign w:val="bottom"/>
          </w:tcPr>
          <w:p w14:paraId="74B1D40C" w14:textId="77777777" w:rsidR="00C24E82" w:rsidRPr="00222975" w:rsidRDefault="00C24E82" w:rsidP="00721796">
            <w:pPr>
              <w:rPr>
                <w:rFonts w:ascii="Calibri" w:hAnsi="Calibri"/>
                <w:color w:val="000000" w:themeColor="text1"/>
                <w:sz w:val="16"/>
                <w:szCs w:val="16"/>
              </w:rPr>
            </w:pPr>
          </w:p>
        </w:tc>
      </w:tr>
      <w:tr w:rsidR="00C24E82" w:rsidRPr="00222975" w14:paraId="6AA51895" w14:textId="77777777" w:rsidTr="00721796">
        <w:tc>
          <w:tcPr>
            <w:tcW w:w="1101" w:type="dxa"/>
            <w:vMerge/>
            <w:tcBorders>
              <w:top w:val="nil"/>
              <w:left w:val="nil"/>
              <w:bottom w:val="nil"/>
              <w:right w:val="nil"/>
            </w:tcBorders>
          </w:tcPr>
          <w:p w14:paraId="330E42C1" w14:textId="77777777" w:rsidR="00C24E82" w:rsidRPr="00222975" w:rsidRDefault="00C24E82" w:rsidP="00721796">
            <w:pPr>
              <w:rPr>
                <w:rFonts w:ascii="Calibri" w:hAnsi="Calibri"/>
                <w:color w:val="000000" w:themeColor="text1"/>
                <w:sz w:val="16"/>
                <w:szCs w:val="16"/>
              </w:rPr>
            </w:pPr>
          </w:p>
        </w:tc>
        <w:tc>
          <w:tcPr>
            <w:tcW w:w="992" w:type="dxa"/>
            <w:vMerge/>
            <w:tcBorders>
              <w:top w:val="nil"/>
              <w:left w:val="nil"/>
              <w:bottom w:val="nil"/>
              <w:right w:val="nil"/>
            </w:tcBorders>
          </w:tcPr>
          <w:p w14:paraId="4523A966"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04268C3E"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Vanuatu</w:t>
            </w:r>
          </w:p>
        </w:tc>
        <w:tc>
          <w:tcPr>
            <w:tcW w:w="1134" w:type="dxa"/>
            <w:tcBorders>
              <w:top w:val="nil"/>
              <w:left w:val="nil"/>
              <w:bottom w:val="nil"/>
              <w:right w:val="nil"/>
            </w:tcBorders>
            <w:vAlign w:val="bottom"/>
          </w:tcPr>
          <w:p w14:paraId="55DEE65D"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9.3</w:t>
            </w:r>
          </w:p>
        </w:tc>
        <w:tc>
          <w:tcPr>
            <w:tcW w:w="1276" w:type="dxa"/>
            <w:tcBorders>
              <w:top w:val="nil"/>
              <w:left w:val="nil"/>
              <w:bottom w:val="nil"/>
              <w:right w:val="nil"/>
            </w:tcBorders>
          </w:tcPr>
          <w:p w14:paraId="63384E55"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w:t>
            </w:r>
          </w:p>
        </w:tc>
        <w:tc>
          <w:tcPr>
            <w:tcW w:w="992" w:type="dxa"/>
            <w:tcBorders>
              <w:top w:val="nil"/>
              <w:left w:val="nil"/>
              <w:bottom w:val="nil"/>
              <w:right w:val="nil"/>
            </w:tcBorders>
            <w:vAlign w:val="bottom"/>
          </w:tcPr>
          <w:p w14:paraId="0221F6D6" w14:textId="77777777" w:rsidR="00C24E82" w:rsidRPr="00222975" w:rsidRDefault="00C24E82" w:rsidP="00721796">
            <w:pPr>
              <w:rPr>
                <w:rFonts w:ascii="Calibri" w:hAnsi="Calibri"/>
                <w:color w:val="000000" w:themeColor="text1"/>
                <w:sz w:val="16"/>
                <w:szCs w:val="16"/>
              </w:rPr>
            </w:pPr>
          </w:p>
        </w:tc>
        <w:tc>
          <w:tcPr>
            <w:tcW w:w="992" w:type="dxa"/>
            <w:tcBorders>
              <w:top w:val="nil"/>
              <w:left w:val="nil"/>
              <w:bottom w:val="nil"/>
              <w:right w:val="nil"/>
            </w:tcBorders>
            <w:vAlign w:val="bottom"/>
          </w:tcPr>
          <w:p w14:paraId="6C072F0E" w14:textId="77777777" w:rsidR="00C24E82" w:rsidRPr="00222975" w:rsidRDefault="00C24E82" w:rsidP="00721796">
            <w:pPr>
              <w:rPr>
                <w:rFonts w:ascii="Calibri" w:hAnsi="Calibri"/>
                <w:color w:val="000000" w:themeColor="text1"/>
                <w:sz w:val="16"/>
                <w:szCs w:val="16"/>
              </w:rPr>
            </w:pPr>
          </w:p>
        </w:tc>
      </w:tr>
      <w:tr w:rsidR="00C24E82" w:rsidRPr="00222975" w14:paraId="6EB6707D" w14:textId="77777777" w:rsidTr="00721796">
        <w:tc>
          <w:tcPr>
            <w:tcW w:w="1101" w:type="dxa"/>
            <w:vMerge/>
            <w:tcBorders>
              <w:top w:val="nil"/>
              <w:left w:val="nil"/>
              <w:bottom w:val="nil"/>
              <w:right w:val="nil"/>
            </w:tcBorders>
          </w:tcPr>
          <w:p w14:paraId="5AACFDA5" w14:textId="77777777" w:rsidR="00C24E82" w:rsidRPr="00222975" w:rsidRDefault="00C24E82" w:rsidP="00721796">
            <w:pPr>
              <w:rPr>
                <w:rFonts w:ascii="Calibri" w:hAnsi="Calibri"/>
                <w:color w:val="000000" w:themeColor="text1"/>
                <w:sz w:val="16"/>
                <w:szCs w:val="16"/>
              </w:rPr>
            </w:pPr>
          </w:p>
        </w:tc>
        <w:tc>
          <w:tcPr>
            <w:tcW w:w="992" w:type="dxa"/>
            <w:vMerge/>
            <w:tcBorders>
              <w:top w:val="nil"/>
              <w:left w:val="nil"/>
              <w:bottom w:val="nil"/>
              <w:right w:val="nil"/>
            </w:tcBorders>
          </w:tcPr>
          <w:p w14:paraId="398B83E6"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384FEA0B"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Kiribati</w:t>
            </w:r>
          </w:p>
        </w:tc>
        <w:tc>
          <w:tcPr>
            <w:tcW w:w="1134" w:type="dxa"/>
            <w:tcBorders>
              <w:top w:val="nil"/>
              <w:left w:val="nil"/>
              <w:bottom w:val="nil"/>
              <w:right w:val="nil"/>
            </w:tcBorders>
            <w:vAlign w:val="bottom"/>
          </w:tcPr>
          <w:p w14:paraId="6CD27984"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0.3</w:t>
            </w:r>
          </w:p>
        </w:tc>
        <w:tc>
          <w:tcPr>
            <w:tcW w:w="1276" w:type="dxa"/>
            <w:tcBorders>
              <w:top w:val="nil"/>
              <w:left w:val="nil"/>
              <w:bottom w:val="nil"/>
              <w:right w:val="nil"/>
            </w:tcBorders>
          </w:tcPr>
          <w:p w14:paraId="618CAEC4"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w:t>
            </w:r>
          </w:p>
        </w:tc>
        <w:tc>
          <w:tcPr>
            <w:tcW w:w="992" w:type="dxa"/>
            <w:tcBorders>
              <w:top w:val="nil"/>
              <w:left w:val="nil"/>
              <w:bottom w:val="nil"/>
              <w:right w:val="nil"/>
            </w:tcBorders>
            <w:vAlign w:val="bottom"/>
          </w:tcPr>
          <w:p w14:paraId="6D19921B" w14:textId="77777777" w:rsidR="00C24E82" w:rsidRPr="00222975" w:rsidRDefault="00C24E82" w:rsidP="00721796">
            <w:pPr>
              <w:rPr>
                <w:rFonts w:ascii="Calibri" w:hAnsi="Calibri"/>
                <w:color w:val="000000" w:themeColor="text1"/>
                <w:sz w:val="16"/>
                <w:szCs w:val="16"/>
              </w:rPr>
            </w:pPr>
          </w:p>
        </w:tc>
        <w:tc>
          <w:tcPr>
            <w:tcW w:w="992" w:type="dxa"/>
            <w:tcBorders>
              <w:top w:val="nil"/>
              <w:left w:val="nil"/>
              <w:bottom w:val="nil"/>
              <w:right w:val="nil"/>
            </w:tcBorders>
            <w:vAlign w:val="bottom"/>
          </w:tcPr>
          <w:p w14:paraId="09070E26" w14:textId="77777777" w:rsidR="00C24E82" w:rsidRPr="00222975" w:rsidRDefault="00C24E82" w:rsidP="00721796">
            <w:pPr>
              <w:rPr>
                <w:rFonts w:ascii="Calibri" w:hAnsi="Calibri"/>
                <w:color w:val="000000" w:themeColor="text1"/>
                <w:sz w:val="16"/>
                <w:szCs w:val="16"/>
              </w:rPr>
            </w:pPr>
          </w:p>
        </w:tc>
      </w:tr>
      <w:tr w:rsidR="00C24E82" w:rsidRPr="00222975" w14:paraId="5CC34A47" w14:textId="77777777" w:rsidTr="00721796">
        <w:tc>
          <w:tcPr>
            <w:tcW w:w="1101" w:type="dxa"/>
            <w:vMerge/>
            <w:tcBorders>
              <w:top w:val="nil"/>
              <w:left w:val="nil"/>
              <w:bottom w:val="nil"/>
              <w:right w:val="nil"/>
            </w:tcBorders>
          </w:tcPr>
          <w:p w14:paraId="68065D73" w14:textId="77777777" w:rsidR="00C24E82" w:rsidRPr="00222975" w:rsidRDefault="00C24E82" w:rsidP="00721796">
            <w:pPr>
              <w:rPr>
                <w:rFonts w:ascii="Calibri" w:hAnsi="Calibri"/>
                <w:color w:val="000000" w:themeColor="text1"/>
                <w:sz w:val="16"/>
                <w:szCs w:val="16"/>
              </w:rPr>
            </w:pPr>
          </w:p>
        </w:tc>
        <w:tc>
          <w:tcPr>
            <w:tcW w:w="992" w:type="dxa"/>
            <w:vMerge/>
            <w:tcBorders>
              <w:top w:val="nil"/>
              <w:left w:val="nil"/>
              <w:bottom w:val="nil"/>
              <w:right w:val="nil"/>
            </w:tcBorders>
          </w:tcPr>
          <w:p w14:paraId="573BF04C"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nil"/>
              <w:right w:val="nil"/>
            </w:tcBorders>
            <w:vAlign w:val="bottom"/>
          </w:tcPr>
          <w:p w14:paraId="317E868D"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Samoa</w:t>
            </w:r>
          </w:p>
        </w:tc>
        <w:tc>
          <w:tcPr>
            <w:tcW w:w="1134" w:type="dxa"/>
            <w:tcBorders>
              <w:top w:val="nil"/>
              <w:left w:val="nil"/>
              <w:bottom w:val="nil"/>
              <w:right w:val="nil"/>
            </w:tcBorders>
            <w:vAlign w:val="bottom"/>
          </w:tcPr>
          <w:p w14:paraId="5DFC9B20"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0.3</w:t>
            </w:r>
          </w:p>
        </w:tc>
        <w:tc>
          <w:tcPr>
            <w:tcW w:w="1276" w:type="dxa"/>
            <w:tcBorders>
              <w:top w:val="nil"/>
              <w:left w:val="nil"/>
              <w:bottom w:val="nil"/>
              <w:right w:val="nil"/>
            </w:tcBorders>
          </w:tcPr>
          <w:p w14:paraId="3ED7F48A"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w:t>
            </w:r>
          </w:p>
        </w:tc>
        <w:tc>
          <w:tcPr>
            <w:tcW w:w="992" w:type="dxa"/>
            <w:tcBorders>
              <w:top w:val="nil"/>
              <w:left w:val="nil"/>
              <w:bottom w:val="nil"/>
              <w:right w:val="nil"/>
            </w:tcBorders>
            <w:vAlign w:val="bottom"/>
          </w:tcPr>
          <w:p w14:paraId="7DCD2AC5" w14:textId="77777777" w:rsidR="00C24E82" w:rsidRPr="00222975" w:rsidRDefault="00C24E82" w:rsidP="00721796">
            <w:pPr>
              <w:rPr>
                <w:rFonts w:ascii="Calibri" w:hAnsi="Calibri"/>
                <w:color w:val="000000" w:themeColor="text1"/>
                <w:sz w:val="16"/>
                <w:szCs w:val="16"/>
              </w:rPr>
            </w:pPr>
          </w:p>
        </w:tc>
        <w:tc>
          <w:tcPr>
            <w:tcW w:w="992" w:type="dxa"/>
            <w:tcBorders>
              <w:top w:val="nil"/>
              <w:left w:val="nil"/>
              <w:bottom w:val="nil"/>
              <w:right w:val="nil"/>
            </w:tcBorders>
            <w:vAlign w:val="bottom"/>
          </w:tcPr>
          <w:p w14:paraId="42EEC333" w14:textId="77777777" w:rsidR="00C24E82" w:rsidRPr="00222975" w:rsidRDefault="00C24E82" w:rsidP="00721796">
            <w:pPr>
              <w:rPr>
                <w:rFonts w:ascii="Calibri" w:hAnsi="Calibri"/>
                <w:color w:val="000000" w:themeColor="text1"/>
                <w:sz w:val="16"/>
                <w:szCs w:val="16"/>
              </w:rPr>
            </w:pPr>
          </w:p>
        </w:tc>
      </w:tr>
      <w:tr w:rsidR="00C24E82" w:rsidRPr="00222975" w14:paraId="0EE3EA77" w14:textId="77777777" w:rsidTr="00721796">
        <w:tc>
          <w:tcPr>
            <w:tcW w:w="1101" w:type="dxa"/>
            <w:vMerge/>
            <w:tcBorders>
              <w:top w:val="nil"/>
              <w:left w:val="nil"/>
              <w:bottom w:val="single" w:sz="24" w:space="0" w:color="auto"/>
              <w:right w:val="nil"/>
            </w:tcBorders>
          </w:tcPr>
          <w:p w14:paraId="4B055BF6" w14:textId="77777777" w:rsidR="00C24E82" w:rsidRPr="00222975" w:rsidRDefault="00C24E82" w:rsidP="00721796">
            <w:pPr>
              <w:rPr>
                <w:rFonts w:ascii="Calibri" w:hAnsi="Calibri"/>
                <w:color w:val="000000" w:themeColor="text1"/>
                <w:sz w:val="16"/>
                <w:szCs w:val="16"/>
              </w:rPr>
            </w:pPr>
          </w:p>
        </w:tc>
        <w:tc>
          <w:tcPr>
            <w:tcW w:w="992" w:type="dxa"/>
            <w:vMerge/>
            <w:tcBorders>
              <w:top w:val="nil"/>
              <w:left w:val="nil"/>
              <w:bottom w:val="single" w:sz="24" w:space="0" w:color="auto"/>
              <w:right w:val="nil"/>
            </w:tcBorders>
          </w:tcPr>
          <w:p w14:paraId="27A5C1DD" w14:textId="77777777" w:rsidR="00C24E82" w:rsidRPr="00222975" w:rsidRDefault="00C24E82" w:rsidP="00721796">
            <w:pPr>
              <w:rPr>
                <w:rFonts w:ascii="Calibri" w:hAnsi="Calibri"/>
                <w:color w:val="000000" w:themeColor="text1"/>
                <w:sz w:val="16"/>
                <w:szCs w:val="16"/>
              </w:rPr>
            </w:pPr>
          </w:p>
        </w:tc>
        <w:tc>
          <w:tcPr>
            <w:tcW w:w="1701" w:type="dxa"/>
            <w:tcBorders>
              <w:top w:val="nil"/>
              <w:left w:val="nil"/>
              <w:bottom w:val="single" w:sz="24" w:space="0" w:color="auto"/>
              <w:right w:val="nil"/>
            </w:tcBorders>
            <w:vAlign w:val="bottom"/>
          </w:tcPr>
          <w:p w14:paraId="1D0AF86E" w14:textId="77777777" w:rsidR="00C24E82" w:rsidRPr="00222975" w:rsidRDefault="00C24E82" w:rsidP="00721796">
            <w:pP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Tuvalu</w:t>
            </w:r>
          </w:p>
        </w:tc>
        <w:tc>
          <w:tcPr>
            <w:tcW w:w="1134" w:type="dxa"/>
            <w:tcBorders>
              <w:top w:val="nil"/>
              <w:left w:val="nil"/>
              <w:bottom w:val="single" w:sz="24" w:space="0" w:color="auto"/>
              <w:right w:val="nil"/>
            </w:tcBorders>
            <w:vAlign w:val="bottom"/>
          </w:tcPr>
          <w:p w14:paraId="48E94FD4"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color w:val="000000" w:themeColor="text1"/>
                <w:sz w:val="16"/>
                <w:szCs w:val="16"/>
              </w:rPr>
              <w:t>No Data</w:t>
            </w:r>
          </w:p>
        </w:tc>
        <w:tc>
          <w:tcPr>
            <w:tcW w:w="1276" w:type="dxa"/>
            <w:tcBorders>
              <w:top w:val="nil"/>
              <w:left w:val="nil"/>
              <w:bottom w:val="single" w:sz="24" w:space="0" w:color="auto"/>
              <w:right w:val="nil"/>
            </w:tcBorders>
          </w:tcPr>
          <w:p w14:paraId="39A856E0" w14:textId="77777777" w:rsidR="00C24E82" w:rsidRPr="00222975" w:rsidRDefault="00C24E82" w:rsidP="00721796">
            <w:pPr>
              <w:jc w:val="center"/>
              <w:rPr>
                <w:rFonts w:ascii="Calibri" w:hAnsi="Calibri"/>
                <w:color w:val="000000" w:themeColor="text1"/>
                <w:sz w:val="16"/>
                <w:szCs w:val="16"/>
              </w:rPr>
            </w:pPr>
            <w:r w:rsidRPr="00222975">
              <w:rPr>
                <w:rFonts w:ascii="Calibri" w:eastAsia="Times New Roman" w:hAnsi="Calibri" w:cs="Times New Roman"/>
                <w:bCs/>
                <w:color w:val="000000" w:themeColor="text1"/>
                <w:sz w:val="16"/>
                <w:szCs w:val="16"/>
              </w:rPr>
              <w:t>-</w:t>
            </w:r>
          </w:p>
        </w:tc>
        <w:tc>
          <w:tcPr>
            <w:tcW w:w="992" w:type="dxa"/>
            <w:tcBorders>
              <w:top w:val="nil"/>
              <w:left w:val="nil"/>
              <w:bottom w:val="single" w:sz="24" w:space="0" w:color="auto"/>
              <w:right w:val="nil"/>
            </w:tcBorders>
            <w:vAlign w:val="bottom"/>
          </w:tcPr>
          <w:p w14:paraId="0A19A792" w14:textId="77777777" w:rsidR="00C24E82" w:rsidRPr="00222975" w:rsidRDefault="00C24E82" w:rsidP="00721796">
            <w:pPr>
              <w:rPr>
                <w:rFonts w:ascii="Calibri" w:hAnsi="Calibri"/>
                <w:color w:val="000000" w:themeColor="text1"/>
                <w:sz w:val="16"/>
                <w:szCs w:val="16"/>
              </w:rPr>
            </w:pPr>
          </w:p>
        </w:tc>
        <w:tc>
          <w:tcPr>
            <w:tcW w:w="992" w:type="dxa"/>
            <w:tcBorders>
              <w:top w:val="nil"/>
              <w:left w:val="nil"/>
              <w:bottom w:val="single" w:sz="24" w:space="0" w:color="auto"/>
              <w:right w:val="nil"/>
            </w:tcBorders>
            <w:vAlign w:val="bottom"/>
          </w:tcPr>
          <w:p w14:paraId="153E3780" w14:textId="77777777" w:rsidR="00C24E82" w:rsidRPr="00222975" w:rsidRDefault="00C24E82" w:rsidP="00721796">
            <w:pPr>
              <w:rPr>
                <w:rFonts w:ascii="Calibri" w:hAnsi="Calibri"/>
                <w:color w:val="000000" w:themeColor="text1"/>
                <w:sz w:val="16"/>
                <w:szCs w:val="16"/>
              </w:rPr>
            </w:pPr>
          </w:p>
        </w:tc>
      </w:tr>
    </w:tbl>
    <w:p w14:paraId="58A69D36" w14:textId="0068D044" w:rsidR="00C24E82" w:rsidRDefault="00C24E82" w:rsidP="009D4BBD">
      <w:pPr>
        <w:rPr>
          <w:rFonts w:ascii="Calibri" w:hAnsi="Calibri"/>
          <w:color w:val="000000" w:themeColor="text1"/>
          <w:sz w:val="20"/>
          <w:szCs w:val="20"/>
        </w:rPr>
      </w:pPr>
      <w:proofErr w:type="gramStart"/>
      <w:r w:rsidRPr="00F15481">
        <w:rPr>
          <w:rFonts w:ascii="Calibri" w:hAnsi="Calibri"/>
          <w:b/>
          <w:color w:val="000000" w:themeColor="text1"/>
          <w:sz w:val="20"/>
          <w:szCs w:val="20"/>
        </w:rPr>
        <w:t>Table 1</w:t>
      </w:r>
      <w:r>
        <w:rPr>
          <w:rFonts w:ascii="Calibri" w:hAnsi="Calibri"/>
          <w:b/>
          <w:color w:val="000000" w:themeColor="text1"/>
          <w:sz w:val="20"/>
          <w:szCs w:val="20"/>
        </w:rPr>
        <w:t xml:space="preserve"> (continued).</w:t>
      </w:r>
      <w:proofErr w:type="gramEnd"/>
      <w:r>
        <w:rPr>
          <w:rFonts w:ascii="Calibri" w:hAnsi="Calibri"/>
          <w:color w:val="000000" w:themeColor="text1"/>
          <w:sz w:val="20"/>
          <w:szCs w:val="20"/>
        </w:rPr>
        <w:t xml:space="preserve"> </w:t>
      </w:r>
      <w:proofErr w:type="gramStart"/>
      <w:r>
        <w:rPr>
          <w:rFonts w:ascii="Calibri" w:hAnsi="Calibri"/>
          <w:color w:val="000000" w:themeColor="text1"/>
          <w:sz w:val="20"/>
          <w:szCs w:val="20"/>
        </w:rPr>
        <w:t>ACP preference dependence and EPA signatories by region.</w:t>
      </w:r>
      <w:proofErr w:type="gramEnd"/>
    </w:p>
    <w:p w14:paraId="0AEA137C" w14:textId="77777777" w:rsidR="00C24E82" w:rsidRDefault="00C24E82" w:rsidP="009D4BBD">
      <w:pPr>
        <w:rPr>
          <w:rFonts w:ascii="Calibri" w:hAnsi="Calibri"/>
          <w:color w:val="000000" w:themeColor="text1"/>
          <w:sz w:val="20"/>
          <w:szCs w:val="20"/>
        </w:rPr>
      </w:pPr>
      <w:r>
        <w:rPr>
          <w:rFonts w:ascii="Calibri" w:hAnsi="Calibri"/>
          <w:color w:val="000000" w:themeColor="text1"/>
          <w:sz w:val="20"/>
          <w:szCs w:val="20"/>
        </w:rPr>
        <w:t xml:space="preserve">*In some cases, data is only available for a limited part of the 2004-14 </w:t>
      </w:r>
      <w:proofErr w:type="gramStart"/>
      <w:r>
        <w:rPr>
          <w:rFonts w:ascii="Calibri" w:hAnsi="Calibri"/>
          <w:color w:val="000000" w:themeColor="text1"/>
          <w:sz w:val="20"/>
          <w:szCs w:val="20"/>
        </w:rPr>
        <w:t>period</w:t>
      </w:r>
      <w:proofErr w:type="gramEnd"/>
      <w:r>
        <w:rPr>
          <w:rFonts w:ascii="Calibri" w:hAnsi="Calibri"/>
          <w:color w:val="000000" w:themeColor="text1"/>
          <w:sz w:val="20"/>
          <w:szCs w:val="20"/>
        </w:rPr>
        <w:t>.</w:t>
      </w:r>
    </w:p>
    <w:p w14:paraId="50FA40FB" w14:textId="77777777" w:rsidR="00C24E82" w:rsidRPr="004824DC" w:rsidRDefault="00C24E82" w:rsidP="009D4BBD">
      <w:pPr>
        <w:rPr>
          <w:rFonts w:ascii="Calibri" w:hAnsi="Calibri"/>
          <w:color w:val="000000" w:themeColor="text1"/>
          <w:sz w:val="20"/>
          <w:szCs w:val="20"/>
        </w:rPr>
      </w:pPr>
      <w:r>
        <w:rPr>
          <w:rFonts w:ascii="Calibri" w:hAnsi="Calibri"/>
          <w:color w:val="000000" w:themeColor="text1"/>
          <w:sz w:val="20"/>
          <w:szCs w:val="20"/>
        </w:rPr>
        <w:t xml:space="preserve">Sources: International Trade Centre, </w:t>
      </w:r>
      <w:r w:rsidRPr="004824DC">
        <w:rPr>
          <w:rFonts w:ascii="Calibri" w:hAnsi="Calibri"/>
          <w:i/>
          <w:color w:val="000000" w:themeColor="text1"/>
          <w:sz w:val="20"/>
          <w:szCs w:val="20"/>
        </w:rPr>
        <w:t>Trade Map</w:t>
      </w:r>
      <w:r>
        <w:rPr>
          <w:rFonts w:ascii="Calibri" w:hAnsi="Calibri"/>
          <w:color w:val="000000" w:themeColor="text1"/>
          <w:sz w:val="20"/>
          <w:szCs w:val="20"/>
        </w:rPr>
        <w:t xml:space="preserve">; Overseas Development Institute, </w:t>
      </w:r>
      <w:r>
        <w:rPr>
          <w:rFonts w:ascii="Calibri" w:hAnsi="Calibri"/>
          <w:i/>
          <w:color w:val="000000" w:themeColor="text1"/>
          <w:sz w:val="20"/>
          <w:szCs w:val="20"/>
        </w:rPr>
        <w:t>The Costs to the ACP</w:t>
      </w:r>
      <w:r>
        <w:rPr>
          <w:rFonts w:ascii="Calibri" w:hAnsi="Calibri"/>
          <w:color w:val="000000" w:themeColor="text1"/>
          <w:sz w:val="20"/>
          <w:szCs w:val="20"/>
        </w:rPr>
        <w:t>.</w:t>
      </w:r>
    </w:p>
    <w:p w14:paraId="773764CF" w14:textId="77777777" w:rsidR="00C24E82" w:rsidRDefault="00C24E82">
      <w:pPr>
        <w:pStyle w:val="EndnoteText"/>
        <w:rPr>
          <w:rFonts w:ascii="Times New Roman" w:hAnsi="Times New Roman" w:cs="Times New Roman"/>
          <w:lang w:val="en-US"/>
        </w:rPr>
      </w:pPr>
    </w:p>
    <w:p w14:paraId="600D5BF6" w14:textId="77777777" w:rsidR="00C24E82" w:rsidRDefault="00C24E82">
      <w:pPr>
        <w:pStyle w:val="EndnoteText"/>
        <w:rPr>
          <w:rFonts w:ascii="Times New Roman" w:hAnsi="Times New Roman" w:cs="Times New Roman"/>
          <w:lang w:val="en-US"/>
        </w:rPr>
      </w:pPr>
    </w:p>
    <w:p w14:paraId="7B8DD62A" w14:textId="77777777" w:rsidR="00C24E82" w:rsidRDefault="00C24E82">
      <w:pPr>
        <w:pStyle w:val="EndnoteText"/>
        <w:rPr>
          <w:rFonts w:ascii="Times New Roman" w:hAnsi="Times New Roman" w:cs="Times New Roman"/>
          <w:lang w:val="en-US"/>
        </w:rPr>
      </w:pPr>
    </w:p>
    <w:p w14:paraId="0B5DF562" w14:textId="77777777" w:rsidR="00C24E82" w:rsidRDefault="00C24E82">
      <w:pPr>
        <w:pStyle w:val="EndnoteText"/>
        <w:rPr>
          <w:rFonts w:ascii="Times New Roman" w:hAnsi="Times New Roman" w:cs="Times New Roman"/>
          <w:lang w:val="en-US"/>
        </w:rPr>
      </w:pPr>
    </w:p>
    <w:p w14:paraId="2E9B6846" w14:textId="77777777" w:rsidR="00C24E82" w:rsidRDefault="00C24E82">
      <w:pPr>
        <w:pStyle w:val="EndnoteText"/>
        <w:rPr>
          <w:rFonts w:ascii="Times New Roman" w:hAnsi="Times New Roman" w:cs="Times New Roman"/>
          <w:lang w:val="en-US"/>
        </w:rPr>
      </w:pPr>
    </w:p>
    <w:p w14:paraId="1AFC1DB3" w14:textId="77777777" w:rsidR="00C24E82" w:rsidRDefault="00C24E82">
      <w:pPr>
        <w:pStyle w:val="EndnoteText"/>
        <w:rPr>
          <w:rFonts w:ascii="Times New Roman" w:hAnsi="Times New Roman" w:cs="Times New Roman"/>
          <w:lang w:val="en-US"/>
        </w:rPr>
      </w:pPr>
    </w:p>
    <w:p w14:paraId="550C0E74" w14:textId="77777777" w:rsidR="00C24E82" w:rsidRDefault="00C24E82">
      <w:pPr>
        <w:pStyle w:val="EndnoteText"/>
        <w:rPr>
          <w:rFonts w:ascii="Times New Roman" w:hAnsi="Times New Roman" w:cs="Times New Roman"/>
          <w:lang w:val="en-US"/>
        </w:rPr>
      </w:pPr>
    </w:p>
    <w:p w14:paraId="4A935B58" w14:textId="77777777" w:rsidR="00C24E82" w:rsidRDefault="00C24E82">
      <w:pPr>
        <w:pStyle w:val="EndnoteText"/>
        <w:rPr>
          <w:rFonts w:ascii="Times New Roman" w:hAnsi="Times New Roman" w:cs="Times New Roman"/>
          <w:lang w:val="en-US"/>
        </w:rPr>
      </w:pPr>
    </w:p>
    <w:p w14:paraId="12242BB1" w14:textId="77777777" w:rsidR="00C24E82" w:rsidRDefault="00C24E82">
      <w:pPr>
        <w:pStyle w:val="EndnoteText"/>
        <w:rPr>
          <w:rFonts w:ascii="Times New Roman" w:hAnsi="Times New Roman" w:cs="Times New Roman"/>
          <w:lang w:val="en-US"/>
        </w:rPr>
      </w:pPr>
    </w:p>
    <w:p w14:paraId="10ACEE49" w14:textId="77777777" w:rsidR="00C24E82" w:rsidRDefault="00C24E82">
      <w:pPr>
        <w:pStyle w:val="EndnoteText"/>
        <w:rPr>
          <w:rFonts w:ascii="Times New Roman" w:hAnsi="Times New Roman" w:cs="Times New Roman"/>
          <w:lang w:val="en-US"/>
        </w:rPr>
      </w:pPr>
    </w:p>
    <w:p w14:paraId="553E16D9" w14:textId="77777777" w:rsidR="00C24E82" w:rsidRDefault="00C24E82">
      <w:pPr>
        <w:pStyle w:val="EndnoteText"/>
        <w:rPr>
          <w:rFonts w:ascii="Times New Roman" w:hAnsi="Times New Roman" w:cs="Times New Roman"/>
          <w:lang w:val="en-US"/>
        </w:rPr>
      </w:pPr>
    </w:p>
    <w:p w14:paraId="49FF62BD" w14:textId="77777777" w:rsidR="00C24E82" w:rsidRDefault="00C24E82">
      <w:pPr>
        <w:pStyle w:val="EndnoteText"/>
        <w:rPr>
          <w:rFonts w:ascii="Times New Roman" w:hAnsi="Times New Roman" w:cs="Times New Roman"/>
          <w:lang w:val="en-US"/>
        </w:rPr>
      </w:pPr>
    </w:p>
    <w:p w14:paraId="657BD9AE" w14:textId="77777777" w:rsidR="00C24E82" w:rsidRDefault="00C24E82">
      <w:pPr>
        <w:pStyle w:val="EndnoteText"/>
        <w:rPr>
          <w:rFonts w:ascii="Times New Roman" w:hAnsi="Times New Roman" w:cs="Times New Roman"/>
          <w:lang w:val="en-US"/>
        </w:rPr>
      </w:pPr>
    </w:p>
    <w:p w14:paraId="5B5ACD10" w14:textId="77777777" w:rsidR="00C24E82" w:rsidRDefault="00C24E82">
      <w:pPr>
        <w:pStyle w:val="EndnoteText"/>
        <w:rPr>
          <w:rFonts w:ascii="Times New Roman" w:hAnsi="Times New Roman" w:cs="Times New Roman"/>
          <w:lang w:val="en-US"/>
        </w:rPr>
      </w:pPr>
    </w:p>
    <w:p w14:paraId="4579CB62" w14:textId="77777777" w:rsidR="00C24E82" w:rsidRDefault="00C24E82">
      <w:pPr>
        <w:pStyle w:val="EndnoteText"/>
        <w:rPr>
          <w:rFonts w:ascii="Times New Roman" w:hAnsi="Times New Roman" w:cs="Times New Roman"/>
          <w:lang w:val="en-US"/>
        </w:rPr>
      </w:pPr>
    </w:p>
    <w:p w14:paraId="6C7C5002" w14:textId="77777777" w:rsidR="00C24E82" w:rsidRDefault="00C24E82">
      <w:pPr>
        <w:pStyle w:val="EndnoteText"/>
        <w:rPr>
          <w:rFonts w:ascii="Times New Roman" w:hAnsi="Times New Roman" w:cs="Times New Roman"/>
          <w:lang w:val="en-US"/>
        </w:rPr>
      </w:pPr>
    </w:p>
    <w:p w14:paraId="78163BA8" w14:textId="77777777" w:rsidR="00C24E82" w:rsidRDefault="00C24E82">
      <w:pPr>
        <w:pStyle w:val="EndnoteText"/>
        <w:rPr>
          <w:rFonts w:ascii="Times New Roman" w:hAnsi="Times New Roman" w:cs="Times New Roman"/>
          <w:lang w:val="en-US"/>
        </w:rPr>
      </w:pPr>
    </w:p>
    <w:p w14:paraId="07FBA1A2" w14:textId="77777777" w:rsidR="00C24E82" w:rsidRDefault="00C24E82">
      <w:pPr>
        <w:pStyle w:val="EndnoteText"/>
        <w:rPr>
          <w:rFonts w:ascii="Times New Roman" w:hAnsi="Times New Roman" w:cs="Times New Roman"/>
          <w:lang w:val="en-US"/>
        </w:rPr>
      </w:pPr>
    </w:p>
    <w:p w14:paraId="5B74723B" w14:textId="77777777" w:rsidR="00C24E82" w:rsidRDefault="00C24E82">
      <w:pPr>
        <w:pStyle w:val="EndnoteText"/>
        <w:rPr>
          <w:rFonts w:ascii="Times New Roman" w:hAnsi="Times New Roman" w:cs="Times New Roman"/>
          <w:lang w:val="en-US"/>
        </w:rPr>
      </w:pPr>
    </w:p>
    <w:tbl>
      <w:tblPr>
        <w:tblStyle w:val="TableGrid"/>
        <w:tblW w:w="0" w:type="auto"/>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1400"/>
        <w:gridCol w:w="1586"/>
        <w:gridCol w:w="1991"/>
        <w:gridCol w:w="2058"/>
        <w:gridCol w:w="1258"/>
      </w:tblGrid>
      <w:tr w:rsidR="00C24E82" w:rsidRPr="008A67C9" w14:paraId="5B02F95A" w14:textId="77777777" w:rsidTr="00721796">
        <w:tc>
          <w:tcPr>
            <w:tcW w:w="0" w:type="auto"/>
            <w:tcBorders>
              <w:bottom w:val="single" w:sz="24" w:space="0" w:color="auto"/>
            </w:tcBorders>
          </w:tcPr>
          <w:p w14:paraId="01572144" w14:textId="77777777" w:rsidR="00C24E82" w:rsidRPr="008A67C9" w:rsidRDefault="00C24E82" w:rsidP="00721796">
            <w:pPr>
              <w:rPr>
                <w:rFonts w:ascii="Calibri" w:hAnsi="Calibri"/>
                <w:b/>
                <w:sz w:val="20"/>
                <w:szCs w:val="20"/>
              </w:rPr>
            </w:pPr>
          </w:p>
        </w:tc>
        <w:tc>
          <w:tcPr>
            <w:tcW w:w="0" w:type="auto"/>
            <w:tcBorders>
              <w:bottom w:val="single" w:sz="24" w:space="0" w:color="auto"/>
            </w:tcBorders>
          </w:tcPr>
          <w:p w14:paraId="06A3E275" w14:textId="77777777" w:rsidR="00C24E82" w:rsidRPr="008A67C9" w:rsidRDefault="00C24E82" w:rsidP="00721796">
            <w:pPr>
              <w:rPr>
                <w:rFonts w:ascii="Calibri" w:hAnsi="Calibri"/>
                <w:b/>
                <w:sz w:val="20"/>
                <w:szCs w:val="20"/>
              </w:rPr>
            </w:pPr>
          </w:p>
        </w:tc>
        <w:tc>
          <w:tcPr>
            <w:tcW w:w="0" w:type="auto"/>
            <w:tcBorders>
              <w:bottom w:val="single" w:sz="24" w:space="0" w:color="auto"/>
            </w:tcBorders>
          </w:tcPr>
          <w:p w14:paraId="5833512F" w14:textId="77777777" w:rsidR="00C24E82" w:rsidRPr="008A67C9" w:rsidRDefault="00C24E82" w:rsidP="00721796">
            <w:pPr>
              <w:rPr>
                <w:rFonts w:ascii="Calibri" w:hAnsi="Calibri"/>
                <w:b/>
                <w:sz w:val="20"/>
                <w:szCs w:val="20"/>
              </w:rPr>
            </w:pPr>
            <w:r>
              <w:rPr>
                <w:rFonts w:ascii="Calibri" w:hAnsi="Calibri"/>
                <w:b/>
                <w:sz w:val="20"/>
                <w:szCs w:val="20"/>
              </w:rPr>
              <w:t>(</w:t>
            </w:r>
            <w:proofErr w:type="spellStart"/>
            <w:r>
              <w:rPr>
                <w:rFonts w:ascii="Calibri" w:hAnsi="Calibri"/>
                <w:b/>
                <w:sz w:val="20"/>
                <w:szCs w:val="20"/>
              </w:rPr>
              <w:t>i</w:t>
            </w:r>
            <w:proofErr w:type="spellEnd"/>
            <w:r>
              <w:rPr>
                <w:rFonts w:ascii="Calibri" w:hAnsi="Calibri"/>
                <w:b/>
                <w:sz w:val="20"/>
                <w:szCs w:val="20"/>
              </w:rPr>
              <w:t xml:space="preserve">) </w:t>
            </w:r>
            <w:proofErr w:type="gramStart"/>
            <w:r>
              <w:rPr>
                <w:rFonts w:ascii="Calibri" w:hAnsi="Calibri"/>
                <w:b/>
                <w:sz w:val="20"/>
                <w:szCs w:val="20"/>
              </w:rPr>
              <w:t>c</w:t>
            </w:r>
            <w:r w:rsidRPr="008A67C9">
              <w:rPr>
                <w:rFonts w:ascii="Calibri" w:hAnsi="Calibri"/>
                <w:b/>
                <w:sz w:val="20"/>
                <w:szCs w:val="20"/>
              </w:rPr>
              <w:t>oherence</w:t>
            </w:r>
            <w:proofErr w:type="gramEnd"/>
            <w:r w:rsidRPr="008A67C9">
              <w:rPr>
                <w:rFonts w:ascii="Calibri" w:hAnsi="Calibri"/>
                <w:b/>
                <w:sz w:val="20"/>
                <w:szCs w:val="20"/>
              </w:rPr>
              <w:t xml:space="preserve"> </w:t>
            </w:r>
            <w:r>
              <w:rPr>
                <w:rFonts w:ascii="Calibri" w:hAnsi="Calibri"/>
                <w:b/>
                <w:sz w:val="20"/>
                <w:szCs w:val="20"/>
              </w:rPr>
              <w:t xml:space="preserve"> of EPA group </w:t>
            </w:r>
            <w:r w:rsidRPr="008A67C9">
              <w:rPr>
                <w:rFonts w:ascii="Calibri" w:hAnsi="Calibri"/>
                <w:b/>
                <w:sz w:val="20"/>
                <w:szCs w:val="20"/>
              </w:rPr>
              <w:t xml:space="preserve">with </w:t>
            </w:r>
            <w:r>
              <w:rPr>
                <w:rFonts w:ascii="Calibri" w:hAnsi="Calibri"/>
                <w:b/>
                <w:sz w:val="20"/>
                <w:szCs w:val="20"/>
              </w:rPr>
              <w:t>existing regional institution</w:t>
            </w:r>
          </w:p>
        </w:tc>
        <w:tc>
          <w:tcPr>
            <w:tcW w:w="0" w:type="auto"/>
            <w:tcBorders>
              <w:bottom w:val="single" w:sz="24" w:space="0" w:color="auto"/>
            </w:tcBorders>
          </w:tcPr>
          <w:p w14:paraId="43BE63A1" w14:textId="77777777" w:rsidR="00C24E82" w:rsidRPr="008A67C9" w:rsidRDefault="00C24E82" w:rsidP="00721796">
            <w:pPr>
              <w:rPr>
                <w:rFonts w:ascii="Calibri" w:hAnsi="Calibri"/>
                <w:b/>
                <w:sz w:val="20"/>
                <w:szCs w:val="20"/>
              </w:rPr>
            </w:pPr>
            <w:r>
              <w:rPr>
                <w:rFonts w:ascii="Calibri" w:hAnsi="Calibri"/>
                <w:b/>
                <w:sz w:val="20"/>
                <w:szCs w:val="20"/>
              </w:rPr>
              <w:t xml:space="preserve">(ii) </w:t>
            </w:r>
            <w:proofErr w:type="gramStart"/>
            <w:r>
              <w:rPr>
                <w:rFonts w:ascii="Calibri" w:hAnsi="Calibri"/>
                <w:b/>
                <w:sz w:val="20"/>
                <w:szCs w:val="20"/>
              </w:rPr>
              <w:t>compatibility</w:t>
            </w:r>
            <w:proofErr w:type="gramEnd"/>
            <w:r>
              <w:rPr>
                <w:rFonts w:ascii="Calibri" w:hAnsi="Calibri"/>
                <w:b/>
                <w:sz w:val="20"/>
                <w:szCs w:val="20"/>
              </w:rPr>
              <w:t xml:space="preserve"> of EPA group with existing customs union obligations</w:t>
            </w:r>
          </w:p>
        </w:tc>
        <w:tc>
          <w:tcPr>
            <w:tcW w:w="0" w:type="auto"/>
            <w:tcBorders>
              <w:bottom w:val="single" w:sz="24" w:space="0" w:color="auto"/>
            </w:tcBorders>
          </w:tcPr>
          <w:p w14:paraId="7A00F31F" w14:textId="77777777" w:rsidR="00C24E82" w:rsidRPr="008A67C9" w:rsidRDefault="00C24E82" w:rsidP="00721796">
            <w:pPr>
              <w:rPr>
                <w:rFonts w:ascii="Calibri" w:hAnsi="Calibri"/>
                <w:b/>
                <w:sz w:val="20"/>
                <w:szCs w:val="20"/>
              </w:rPr>
            </w:pPr>
            <w:r>
              <w:rPr>
                <w:rFonts w:ascii="Calibri" w:hAnsi="Calibri"/>
                <w:b/>
                <w:sz w:val="20"/>
                <w:szCs w:val="20"/>
              </w:rPr>
              <w:t xml:space="preserve">(iii) </w:t>
            </w:r>
            <w:proofErr w:type="gramStart"/>
            <w:r>
              <w:rPr>
                <w:rFonts w:ascii="Calibri" w:hAnsi="Calibri"/>
                <w:b/>
                <w:sz w:val="20"/>
                <w:szCs w:val="20"/>
              </w:rPr>
              <w:t>delegation</w:t>
            </w:r>
            <w:proofErr w:type="gramEnd"/>
            <w:r>
              <w:rPr>
                <w:rFonts w:ascii="Calibri" w:hAnsi="Calibri"/>
                <w:b/>
                <w:sz w:val="20"/>
                <w:szCs w:val="20"/>
              </w:rPr>
              <w:t xml:space="preserve"> of supranational negotiating authority</w:t>
            </w:r>
          </w:p>
        </w:tc>
        <w:tc>
          <w:tcPr>
            <w:tcW w:w="0" w:type="auto"/>
            <w:tcBorders>
              <w:bottom w:val="single" w:sz="24" w:space="0" w:color="auto"/>
            </w:tcBorders>
          </w:tcPr>
          <w:p w14:paraId="117BF216" w14:textId="161B5B34" w:rsidR="00C24E82" w:rsidRPr="008A67C9" w:rsidRDefault="00C24E82" w:rsidP="00721796">
            <w:pPr>
              <w:rPr>
                <w:rFonts w:ascii="Calibri" w:hAnsi="Calibri"/>
                <w:b/>
                <w:sz w:val="20"/>
                <w:szCs w:val="20"/>
              </w:rPr>
            </w:pPr>
            <w:r>
              <w:rPr>
                <w:rFonts w:ascii="Calibri" w:hAnsi="Calibri"/>
                <w:b/>
                <w:sz w:val="20"/>
                <w:szCs w:val="20"/>
              </w:rPr>
              <w:t xml:space="preserve">(iv) </w:t>
            </w:r>
            <w:proofErr w:type="gramStart"/>
            <w:r>
              <w:rPr>
                <w:rFonts w:ascii="Calibri" w:hAnsi="Calibri"/>
                <w:b/>
                <w:sz w:val="20"/>
                <w:szCs w:val="20"/>
              </w:rPr>
              <w:t>presence</w:t>
            </w:r>
            <w:proofErr w:type="gramEnd"/>
            <w:r>
              <w:rPr>
                <w:rFonts w:ascii="Calibri" w:hAnsi="Calibri"/>
                <w:b/>
                <w:sz w:val="20"/>
                <w:szCs w:val="20"/>
              </w:rPr>
              <w:t xml:space="preserve"> of dominant regional actor</w:t>
            </w:r>
          </w:p>
        </w:tc>
      </w:tr>
      <w:tr w:rsidR="00C24E82" w:rsidRPr="008A67C9" w14:paraId="54348FF2" w14:textId="77777777" w:rsidTr="00721796">
        <w:tc>
          <w:tcPr>
            <w:tcW w:w="0" w:type="auto"/>
            <w:tcBorders>
              <w:top w:val="single" w:sz="24" w:space="0" w:color="auto"/>
              <w:bottom w:val="single" w:sz="24" w:space="0" w:color="auto"/>
            </w:tcBorders>
            <w:vAlign w:val="center"/>
          </w:tcPr>
          <w:p w14:paraId="1C24D6DA" w14:textId="77777777" w:rsidR="00C24E82" w:rsidRPr="008A67C9" w:rsidRDefault="00C24E82" w:rsidP="00721796">
            <w:pPr>
              <w:rPr>
                <w:rFonts w:ascii="Calibri" w:hAnsi="Calibri"/>
                <w:b/>
                <w:sz w:val="20"/>
                <w:szCs w:val="20"/>
              </w:rPr>
            </w:pPr>
            <w:r>
              <w:rPr>
                <w:rFonts w:ascii="Calibri" w:hAnsi="Calibri"/>
                <w:b/>
                <w:sz w:val="20"/>
                <w:szCs w:val="20"/>
              </w:rPr>
              <w:t>‘High’ Congruence</w:t>
            </w:r>
          </w:p>
        </w:tc>
        <w:tc>
          <w:tcPr>
            <w:tcW w:w="0" w:type="auto"/>
            <w:tcBorders>
              <w:top w:val="single" w:sz="24" w:space="0" w:color="auto"/>
              <w:bottom w:val="single" w:sz="24" w:space="0" w:color="auto"/>
            </w:tcBorders>
          </w:tcPr>
          <w:p w14:paraId="4C5324EA" w14:textId="77777777" w:rsidR="00C24E82" w:rsidRPr="008A67C9" w:rsidRDefault="00C24E82" w:rsidP="00721796">
            <w:pPr>
              <w:rPr>
                <w:rFonts w:ascii="Calibri" w:hAnsi="Calibri"/>
                <w:b/>
                <w:sz w:val="20"/>
                <w:szCs w:val="20"/>
              </w:rPr>
            </w:pPr>
            <w:r w:rsidRPr="008A67C9">
              <w:rPr>
                <w:rFonts w:ascii="Calibri" w:hAnsi="Calibri"/>
                <w:b/>
                <w:sz w:val="20"/>
                <w:szCs w:val="20"/>
              </w:rPr>
              <w:t>CARIFORUM</w:t>
            </w:r>
          </w:p>
        </w:tc>
        <w:tc>
          <w:tcPr>
            <w:tcW w:w="0" w:type="auto"/>
            <w:tcBorders>
              <w:top w:val="single" w:sz="24" w:space="0" w:color="auto"/>
              <w:bottom w:val="single" w:sz="24" w:space="0" w:color="auto"/>
            </w:tcBorders>
          </w:tcPr>
          <w:p w14:paraId="2CBBF5EF" w14:textId="77777777" w:rsidR="00C24E82" w:rsidRPr="008A67C9" w:rsidRDefault="00C24E82" w:rsidP="00721796">
            <w:pPr>
              <w:rPr>
                <w:rFonts w:ascii="Calibri" w:hAnsi="Calibri"/>
                <w:sz w:val="20"/>
                <w:szCs w:val="20"/>
              </w:rPr>
            </w:pPr>
            <w:r w:rsidRPr="008A67C9">
              <w:rPr>
                <w:rFonts w:ascii="Calibri" w:hAnsi="Calibri"/>
                <w:b/>
                <w:color w:val="008000"/>
                <w:sz w:val="20"/>
                <w:szCs w:val="20"/>
              </w:rPr>
              <w:t>High.</w:t>
            </w:r>
            <w:r>
              <w:rPr>
                <w:rFonts w:ascii="Calibri" w:hAnsi="Calibri"/>
                <w:sz w:val="20"/>
                <w:szCs w:val="20"/>
              </w:rPr>
              <w:t xml:space="preserve"> </w:t>
            </w:r>
            <w:proofErr w:type="gramStart"/>
            <w:r>
              <w:rPr>
                <w:rFonts w:ascii="Calibri" w:hAnsi="Calibri"/>
                <w:sz w:val="20"/>
                <w:szCs w:val="20"/>
              </w:rPr>
              <w:t xml:space="preserve">CARIFORUM </w:t>
            </w:r>
            <w:r w:rsidRPr="008A67C9">
              <w:rPr>
                <w:rFonts w:ascii="Calibri" w:hAnsi="Calibri"/>
                <w:sz w:val="20"/>
                <w:szCs w:val="20"/>
              </w:rPr>
              <w:t xml:space="preserve"> existed</w:t>
            </w:r>
            <w:proofErr w:type="gramEnd"/>
            <w:r w:rsidRPr="008A67C9">
              <w:rPr>
                <w:rFonts w:ascii="Calibri" w:hAnsi="Calibri"/>
                <w:sz w:val="20"/>
                <w:szCs w:val="20"/>
              </w:rPr>
              <w:t xml:space="preserve"> since 1992 and had an FTA since 2001.</w:t>
            </w:r>
          </w:p>
        </w:tc>
        <w:tc>
          <w:tcPr>
            <w:tcW w:w="0" w:type="auto"/>
            <w:tcBorders>
              <w:top w:val="single" w:sz="24" w:space="0" w:color="auto"/>
              <w:bottom w:val="single" w:sz="24" w:space="0" w:color="auto"/>
            </w:tcBorders>
          </w:tcPr>
          <w:p w14:paraId="41D68BE5" w14:textId="77777777" w:rsidR="00C24E82" w:rsidRPr="008A67C9" w:rsidRDefault="00C24E82" w:rsidP="00721796">
            <w:pPr>
              <w:rPr>
                <w:rFonts w:ascii="Calibri" w:hAnsi="Calibri"/>
                <w:sz w:val="20"/>
                <w:szCs w:val="20"/>
              </w:rPr>
            </w:pPr>
            <w:r w:rsidRPr="008A67C9">
              <w:rPr>
                <w:rFonts w:ascii="Calibri" w:hAnsi="Calibri"/>
                <w:b/>
                <w:color w:val="008000"/>
                <w:sz w:val="20"/>
                <w:szCs w:val="20"/>
              </w:rPr>
              <w:t>High.</w:t>
            </w:r>
            <w:r w:rsidRPr="008A67C9">
              <w:rPr>
                <w:rFonts w:ascii="Calibri" w:hAnsi="Calibri"/>
                <w:sz w:val="20"/>
                <w:szCs w:val="20"/>
              </w:rPr>
              <w:t xml:space="preserve"> CARICOM CET applied from 2001; CARIFORUM CET implemented alongside EPA negotiation.</w:t>
            </w:r>
          </w:p>
        </w:tc>
        <w:tc>
          <w:tcPr>
            <w:tcW w:w="0" w:type="auto"/>
            <w:tcBorders>
              <w:top w:val="single" w:sz="24" w:space="0" w:color="auto"/>
              <w:bottom w:val="single" w:sz="24" w:space="0" w:color="auto"/>
            </w:tcBorders>
          </w:tcPr>
          <w:p w14:paraId="5EC1A143" w14:textId="77777777" w:rsidR="00C24E82" w:rsidRPr="008A67C9" w:rsidRDefault="00C24E82" w:rsidP="00721796">
            <w:pPr>
              <w:rPr>
                <w:rFonts w:ascii="Calibri" w:hAnsi="Calibri"/>
                <w:sz w:val="20"/>
                <w:szCs w:val="20"/>
              </w:rPr>
            </w:pPr>
            <w:r w:rsidRPr="008A67C9">
              <w:rPr>
                <w:rFonts w:ascii="Calibri" w:hAnsi="Calibri"/>
                <w:b/>
                <w:color w:val="008000"/>
                <w:sz w:val="20"/>
                <w:szCs w:val="20"/>
              </w:rPr>
              <w:t>High.</w:t>
            </w:r>
            <w:r w:rsidRPr="008A67C9">
              <w:rPr>
                <w:rFonts w:ascii="Calibri" w:hAnsi="Calibri"/>
                <w:sz w:val="20"/>
                <w:szCs w:val="20"/>
              </w:rPr>
              <w:t xml:space="preserve"> </w:t>
            </w:r>
            <w:r>
              <w:rPr>
                <w:rFonts w:ascii="Calibri" w:hAnsi="Calibri"/>
                <w:sz w:val="20"/>
                <w:szCs w:val="20"/>
              </w:rPr>
              <w:t>CRNM led negotiations.</w:t>
            </w:r>
          </w:p>
        </w:tc>
        <w:tc>
          <w:tcPr>
            <w:tcW w:w="0" w:type="auto"/>
            <w:tcBorders>
              <w:top w:val="single" w:sz="24" w:space="0" w:color="auto"/>
              <w:bottom w:val="single" w:sz="24" w:space="0" w:color="auto"/>
            </w:tcBorders>
          </w:tcPr>
          <w:p w14:paraId="455475B6" w14:textId="77777777" w:rsidR="00C24E82" w:rsidRPr="008A67C9" w:rsidRDefault="00C24E82" w:rsidP="00721796">
            <w:pPr>
              <w:rPr>
                <w:rFonts w:ascii="Calibri" w:hAnsi="Calibri"/>
                <w:b/>
                <w:color w:val="FF0000"/>
                <w:sz w:val="20"/>
                <w:szCs w:val="20"/>
              </w:rPr>
            </w:pPr>
            <w:r w:rsidRPr="008A67C9">
              <w:rPr>
                <w:rFonts w:ascii="Calibri" w:hAnsi="Calibri"/>
                <w:b/>
                <w:color w:val="FF0000"/>
                <w:sz w:val="20"/>
                <w:szCs w:val="20"/>
              </w:rPr>
              <w:t>No.</w:t>
            </w:r>
          </w:p>
        </w:tc>
      </w:tr>
      <w:tr w:rsidR="00C24E82" w:rsidRPr="008A67C9" w14:paraId="35C855B3" w14:textId="77777777" w:rsidTr="00721796">
        <w:tc>
          <w:tcPr>
            <w:tcW w:w="0" w:type="auto"/>
            <w:vMerge w:val="restart"/>
            <w:tcBorders>
              <w:top w:val="single" w:sz="24" w:space="0" w:color="auto"/>
            </w:tcBorders>
            <w:vAlign w:val="center"/>
          </w:tcPr>
          <w:p w14:paraId="7F832607" w14:textId="77777777" w:rsidR="00C24E82" w:rsidRPr="008A67C9" w:rsidRDefault="00C24E82" w:rsidP="00721796">
            <w:pPr>
              <w:rPr>
                <w:rFonts w:ascii="Calibri" w:hAnsi="Calibri"/>
                <w:b/>
                <w:sz w:val="20"/>
                <w:szCs w:val="20"/>
              </w:rPr>
            </w:pPr>
            <w:r>
              <w:rPr>
                <w:rFonts w:ascii="Calibri" w:hAnsi="Calibri"/>
                <w:b/>
                <w:sz w:val="20"/>
                <w:szCs w:val="20"/>
              </w:rPr>
              <w:t>‘Moderate’ Congruence</w:t>
            </w:r>
          </w:p>
        </w:tc>
        <w:tc>
          <w:tcPr>
            <w:tcW w:w="0" w:type="auto"/>
            <w:tcBorders>
              <w:top w:val="single" w:sz="24" w:space="0" w:color="auto"/>
              <w:bottom w:val="single" w:sz="4" w:space="0" w:color="auto"/>
            </w:tcBorders>
          </w:tcPr>
          <w:p w14:paraId="6556E90E" w14:textId="77777777" w:rsidR="00C24E82" w:rsidRPr="008A67C9" w:rsidRDefault="00C24E82" w:rsidP="00721796">
            <w:pPr>
              <w:rPr>
                <w:rFonts w:ascii="Calibri" w:hAnsi="Calibri"/>
                <w:b/>
                <w:sz w:val="20"/>
                <w:szCs w:val="20"/>
              </w:rPr>
            </w:pPr>
            <w:r w:rsidRPr="008A67C9">
              <w:rPr>
                <w:rFonts w:ascii="Calibri" w:hAnsi="Calibri"/>
                <w:b/>
                <w:sz w:val="20"/>
                <w:szCs w:val="20"/>
              </w:rPr>
              <w:t>West Africa</w:t>
            </w:r>
          </w:p>
        </w:tc>
        <w:tc>
          <w:tcPr>
            <w:tcW w:w="0" w:type="auto"/>
            <w:tcBorders>
              <w:top w:val="single" w:sz="24" w:space="0" w:color="auto"/>
              <w:bottom w:val="single" w:sz="4" w:space="0" w:color="auto"/>
            </w:tcBorders>
          </w:tcPr>
          <w:p w14:paraId="5237AA82" w14:textId="77777777" w:rsidR="00C24E82" w:rsidRPr="008A67C9" w:rsidRDefault="00C24E82" w:rsidP="00721796">
            <w:pPr>
              <w:rPr>
                <w:rFonts w:ascii="Calibri" w:hAnsi="Calibri"/>
                <w:sz w:val="20"/>
                <w:szCs w:val="20"/>
              </w:rPr>
            </w:pPr>
            <w:r w:rsidRPr="008A67C9">
              <w:rPr>
                <w:rFonts w:ascii="Calibri" w:hAnsi="Calibri"/>
                <w:b/>
                <w:color w:val="FF6600"/>
                <w:sz w:val="20"/>
                <w:szCs w:val="20"/>
              </w:rPr>
              <w:t>Moderate.</w:t>
            </w:r>
            <w:r>
              <w:rPr>
                <w:rFonts w:ascii="Calibri" w:hAnsi="Calibri"/>
                <w:sz w:val="20"/>
                <w:szCs w:val="20"/>
              </w:rPr>
              <w:t xml:space="preserve"> ECOWAS plus 1</w:t>
            </w:r>
            <w:r w:rsidRPr="008A67C9">
              <w:rPr>
                <w:rFonts w:ascii="Calibri" w:hAnsi="Calibri"/>
                <w:sz w:val="20"/>
                <w:szCs w:val="20"/>
              </w:rPr>
              <w:t>.</w:t>
            </w:r>
          </w:p>
        </w:tc>
        <w:tc>
          <w:tcPr>
            <w:tcW w:w="0" w:type="auto"/>
            <w:tcBorders>
              <w:top w:val="single" w:sz="24" w:space="0" w:color="auto"/>
              <w:bottom w:val="single" w:sz="4" w:space="0" w:color="auto"/>
            </w:tcBorders>
          </w:tcPr>
          <w:p w14:paraId="3C9510B2" w14:textId="77777777" w:rsidR="00C24E82" w:rsidRPr="008A67C9" w:rsidRDefault="00C24E82" w:rsidP="00721796">
            <w:pPr>
              <w:rPr>
                <w:rFonts w:ascii="Calibri" w:hAnsi="Calibri"/>
                <w:sz w:val="20"/>
                <w:szCs w:val="20"/>
              </w:rPr>
            </w:pPr>
            <w:r w:rsidRPr="008A67C9">
              <w:rPr>
                <w:rFonts w:ascii="Calibri" w:hAnsi="Calibri"/>
                <w:b/>
                <w:color w:val="FF6600"/>
                <w:sz w:val="20"/>
                <w:szCs w:val="20"/>
              </w:rPr>
              <w:t>Moderate.</w:t>
            </w:r>
            <w:r w:rsidRPr="008A67C9">
              <w:rPr>
                <w:rFonts w:ascii="Calibri" w:hAnsi="Calibri"/>
                <w:sz w:val="20"/>
                <w:szCs w:val="20"/>
              </w:rPr>
              <w:t xml:space="preserve"> West African Economic and Monetary Union has a CET that includes 8 of 16 </w:t>
            </w:r>
            <w:r>
              <w:rPr>
                <w:rFonts w:ascii="Calibri" w:hAnsi="Calibri"/>
                <w:sz w:val="20"/>
                <w:szCs w:val="20"/>
              </w:rPr>
              <w:t xml:space="preserve">EPA group </w:t>
            </w:r>
            <w:r w:rsidRPr="008A67C9">
              <w:rPr>
                <w:rFonts w:ascii="Calibri" w:hAnsi="Calibri"/>
                <w:sz w:val="20"/>
                <w:szCs w:val="20"/>
              </w:rPr>
              <w:t>members.</w:t>
            </w:r>
          </w:p>
        </w:tc>
        <w:tc>
          <w:tcPr>
            <w:tcW w:w="0" w:type="auto"/>
            <w:tcBorders>
              <w:top w:val="single" w:sz="24" w:space="0" w:color="auto"/>
              <w:bottom w:val="single" w:sz="4" w:space="0" w:color="auto"/>
            </w:tcBorders>
          </w:tcPr>
          <w:p w14:paraId="3DAE63D7" w14:textId="77777777" w:rsidR="00C24E82" w:rsidRPr="008A67C9" w:rsidRDefault="00C24E82" w:rsidP="00721796">
            <w:pPr>
              <w:rPr>
                <w:rFonts w:ascii="Calibri" w:hAnsi="Calibri"/>
                <w:sz w:val="20"/>
                <w:szCs w:val="20"/>
              </w:rPr>
            </w:pPr>
            <w:r w:rsidRPr="008A67C9">
              <w:rPr>
                <w:rFonts w:ascii="Calibri" w:hAnsi="Calibri"/>
                <w:b/>
                <w:color w:val="FF6600"/>
                <w:sz w:val="20"/>
                <w:szCs w:val="20"/>
              </w:rPr>
              <w:t>Moderate.</w:t>
            </w:r>
            <w:r w:rsidRPr="008A67C9">
              <w:rPr>
                <w:rFonts w:ascii="Calibri" w:hAnsi="Calibri"/>
                <w:sz w:val="20"/>
                <w:szCs w:val="20"/>
              </w:rPr>
              <w:t xml:space="preserve"> ECOWAS Commission at apex of three-tiered negotiating structure.</w:t>
            </w:r>
          </w:p>
        </w:tc>
        <w:tc>
          <w:tcPr>
            <w:tcW w:w="0" w:type="auto"/>
            <w:tcBorders>
              <w:top w:val="single" w:sz="24" w:space="0" w:color="auto"/>
              <w:bottom w:val="single" w:sz="4" w:space="0" w:color="auto"/>
            </w:tcBorders>
          </w:tcPr>
          <w:p w14:paraId="66390D83" w14:textId="77777777" w:rsidR="00C24E82" w:rsidRPr="008A67C9" w:rsidRDefault="00C24E82" w:rsidP="00721796">
            <w:pPr>
              <w:rPr>
                <w:rFonts w:ascii="Calibri" w:hAnsi="Calibri"/>
                <w:sz w:val="20"/>
                <w:szCs w:val="20"/>
              </w:rPr>
            </w:pPr>
            <w:r w:rsidRPr="008A67C9">
              <w:rPr>
                <w:rFonts w:ascii="Calibri" w:hAnsi="Calibri"/>
                <w:b/>
                <w:color w:val="008000"/>
                <w:sz w:val="20"/>
                <w:szCs w:val="20"/>
              </w:rPr>
              <w:t>Yes.</w:t>
            </w:r>
            <w:r w:rsidRPr="008A67C9">
              <w:rPr>
                <w:rFonts w:ascii="Calibri" w:hAnsi="Calibri"/>
                <w:sz w:val="20"/>
                <w:szCs w:val="20"/>
              </w:rPr>
              <w:t xml:space="preserve"> Nigeria (77% of group GDP)</w:t>
            </w:r>
            <w:r>
              <w:rPr>
                <w:rFonts w:ascii="Calibri" w:hAnsi="Calibri"/>
                <w:sz w:val="20"/>
                <w:szCs w:val="20"/>
              </w:rPr>
              <w:t>.</w:t>
            </w:r>
          </w:p>
        </w:tc>
      </w:tr>
      <w:tr w:rsidR="00C24E82" w:rsidRPr="008A67C9" w14:paraId="0FBA564A" w14:textId="77777777" w:rsidTr="00721796">
        <w:tc>
          <w:tcPr>
            <w:tcW w:w="0" w:type="auto"/>
            <w:vMerge/>
          </w:tcPr>
          <w:p w14:paraId="618C7836" w14:textId="77777777" w:rsidR="00C24E82" w:rsidRPr="008A67C9" w:rsidRDefault="00C24E82" w:rsidP="00721796">
            <w:pPr>
              <w:rPr>
                <w:rFonts w:ascii="Calibri" w:hAnsi="Calibri"/>
                <w:b/>
                <w:sz w:val="20"/>
                <w:szCs w:val="20"/>
              </w:rPr>
            </w:pPr>
          </w:p>
        </w:tc>
        <w:tc>
          <w:tcPr>
            <w:tcW w:w="0" w:type="auto"/>
            <w:tcBorders>
              <w:top w:val="single" w:sz="4" w:space="0" w:color="auto"/>
              <w:bottom w:val="single" w:sz="4" w:space="0" w:color="auto"/>
            </w:tcBorders>
          </w:tcPr>
          <w:p w14:paraId="64EC94B2" w14:textId="77777777" w:rsidR="00C24E82" w:rsidRPr="008A67C9" w:rsidRDefault="00C24E82" w:rsidP="00721796">
            <w:pPr>
              <w:rPr>
                <w:rFonts w:ascii="Calibri" w:hAnsi="Calibri"/>
                <w:b/>
                <w:sz w:val="20"/>
                <w:szCs w:val="20"/>
              </w:rPr>
            </w:pPr>
            <w:r>
              <w:rPr>
                <w:rFonts w:ascii="Calibri" w:hAnsi="Calibri"/>
                <w:b/>
                <w:sz w:val="20"/>
                <w:szCs w:val="20"/>
              </w:rPr>
              <w:t>East African Community (EAC)</w:t>
            </w:r>
          </w:p>
        </w:tc>
        <w:tc>
          <w:tcPr>
            <w:tcW w:w="0" w:type="auto"/>
            <w:tcBorders>
              <w:top w:val="single" w:sz="4" w:space="0" w:color="auto"/>
              <w:bottom w:val="single" w:sz="4" w:space="0" w:color="auto"/>
            </w:tcBorders>
          </w:tcPr>
          <w:p w14:paraId="63114BC6" w14:textId="77777777" w:rsidR="00C24E82" w:rsidRPr="008A67C9" w:rsidRDefault="00C24E82" w:rsidP="00721796">
            <w:pPr>
              <w:rPr>
                <w:rFonts w:ascii="Calibri" w:hAnsi="Calibri"/>
                <w:sz w:val="20"/>
                <w:szCs w:val="20"/>
              </w:rPr>
            </w:pPr>
            <w:r w:rsidRPr="008A67C9">
              <w:rPr>
                <w:rFonts w:ascii="Calibri" w:hAnsi="Calibri"/>
                <w:b/>
                <w:color w:val="008000"/>
                <w:sz w:val="20"/>
                <w:szCs w:val="20"/>
              </w:rPr>
              <w:t>High.</w:t>
            </w:r>
            <w:r w:rsidRPr="008A67C9">
              <w:rPr>
                <w:rFonts w:ascii="Calibri" w:hAnsi="Calibri"/>
                <w:sz w:val="20"/>
                <w:szCs w:val="20"/>
              </w:rPr>
              <w:t xml:space="preserve"> EAC.</w:t>
            </w:r>
          </w:p>
        </w:tc>
        <w:tc>
          <w:tcPr>
            <w:tcW w:w="0" w:type="auto"/>
            <w:tcBorders>
              <w:top w:val="single" w:sz="4" w:space="0" w:color="auto"/>
              <w:bottom w:val="single" w:sz="4" w:space="0" w:color="auto"/>
            </w:tcBorders>
          </w:tcPr>
          <w:p w14:paraId="2994E657" w14:textId="77777777" w:rsidR="00C24E82" w:rsidRPr="008A67C9" w:rsidRDefault="00C24E82" w:rsidP="00721796">
            <w:pPr>
              <w:rPr>
                <w:rFonts w:ascii="Calibri" w:hAnsi="Calibri"/>
                <w:sz w:val="20"/>
                <w:szCs w:val="20"/>
              </w:rPr>
            </w:pPr>
            <w:r w:rsidRPr="008A67C9">
              <w:rPr>
                <w:rFonts w:ascii="Calibri" w:hAnsi="Calibri"/>
                <w:b/>
                <w:color w:val="008000"/>
                <w:sz w:val="20"/>
                <w:szCs w:val="20"/>
              </w:rPr>
              <w:t>High.</w:t>
            </w:r>
            <w:r w:rsidRPr="008A67C9">
              <w:rPr>
                <w:rFonts w:ascii="Calibri" w:hAnsi="Calibri"/>
                <w:b/>
                <w:color w:val="FF0000"/>
                <w:sz w:val="20"/>
                <w:szCs w:val="20"/>
              </w:rPr>
              <w:t xml:space="preserve"> </w:t>
            </w:r>
            <w:r w:rsidRPr="008A67C9">
              <w:rPr>
                <w:rFonts w:ascii="Calibri" w:hAnsi="Calibri"/>
                <w:sz w:val="20"/>
                <w:szCs w:val="20"/>
              </w:rPr>
              <w:t>EAC CET launched 2004</w:t>
            </w:r>
            <w:r>
              <w:rPr>
                <w:rFonts w:ascii="Calibri" w:hAnsi="Calibri"/>
                <w:sz w:val="20"/>
                <w:szCs w:val="20"/>
              </w:rPr>
              <w:t>.</w:t>
            </w:r>
          </w:p>
        </w:tc>
        <w:tc>
          <w:tcPr>
            <w:tcW w:w="0" w:type="auto"/>
            <w:tcBorders>
              <w:top w:val="single" w:sz="4" w:space="0" w:color="auto"/>
              <w:bottom w:val="single" w:sz="4" w:space="0" w:color="auto"/>
            </w:tcBorders>
          </w:tcPr>
          <w:p w14:paraId="5055514D" w14:textId="77777777" w:rsidR="00C24E82" w:rsidRPr="008A67C9" w:rsidRDefault="00C24E82" w:rsidP="00721796">
            <w:pPr>
              <w:rPr>
                <w:rFonts w:ascii="Calibri" w:hAnsi="Calibri"/>
                <w:sz w:val="20"/>
                <w:szCs w:val="20"/>
              </w:rPr>
            </w:pPr>
            <w:r w:rsidRPr="008A67C9">
              <w:rPr>
                <w:rFonts w:ascii="Calibri" w:hAnsi="Calibri"/>
                <w:b/>
                <w:color w:val="FF0000"/>
                <w:sz w:val="20"/>
                <w:szCs w:val="20"/>
              </w:rPr>
              <w:t>Low.</w:t>
            </w:r>
            <w:r w:rsidRPr="008A67C9">
              <w:rPr>
                <w:rFonts w:ascii="Calibri" w:hAnsi="Calibri"/>
                <w:sz w:val="20"/>
                <w:szCs w:val="20"/>
              </w:rPr>
              <w:t xml:space="preserve"> Regional technical working groups establish regional positions but subject to approval by national ministries.</w:t>
            </w:r>
          </w:p>
        </w:tc>
        <w:tc>
          <w:tcPr>
            <w:tcW w:w="0" w:type="auto"/>
            <w:tcBorders>
              <w:top w:val="single" w:sz="4" w:space="0" w:color="auto"/>
              <w:bottom w:val="single" w:sz="4" w:space="0" w:color="auto"/>
            </w:tcBorders>
          </w:tcPr>
          <w:p w14:paraId="741CCB90" w14:textId="77777777" w:rsidR="00C24E82" w:rsidRPr="008A67C9" w:rsidRDefault="00C24E82" w:rsidP="00721796">
            <w:pPr>
              <w:rPr>
                <w:rFonts w:ascii="Calibri" w:hAnsi="Calibri"/>
                <w:sz w:val="20"/>
                <w:szCs w:val="20"/>
              </w:rPr>
            </w:pPr>
            <w:r w:rsidRPr="008A67C9">
              <w:rPr>
                <w:rFonts w:ascii="Calibri" w:hAnsi="Calibri"/>
                <w:b/>
                <w:color w:val="008000"/>
                <w:sz w:val="20"/>
                <w:szCs w:val="20"/>
              </w:rPr>
              <w:t>Yes.</w:t>
            </w:r>
            <w:r w:rsidRPr="008A67C9">
              <w:rPr>
                <w:rFonts w:ascii="Calibri" w:hAnsi="Calibri"/>
                <w:sz w:val="20"/>
                <w:szCs w:val="20"/>
              </w:rPr>
              <w:t xml:space="preserve"> Kenya (43.5% of group GDP)</w:t>
            </w:r>
            <w:r>
              <w:rPr>
                <w:rFonts w:ascii="Calibri" w:hAnsi="Calibri"/>
                <w:sz w:val="20"/>
                <w:szCs w:val="20"/>
              </w:rPr>
              <w:t>.</w:t>
            </w:r>
          </w:p>
        </w:tc>
      </w:tr>
      <w:tr w:rsidR="00C24E82" w:rsidRPr="008A67C9" w14:paraId="70874FFF" w14:textId="77777777" w:rsidTr="00721796">
        <w:tc>
          <w:tcPr>
            <w:tcW w:w="0" w:type="auto"/>
            <w:vMerge/>
            <w:tcBorders>
              <w:bottom w:val="single" w:sz="24" w:space="0" w:color="auto"/>
            </w:tcBorders>
          </w:tcPr>
          <w:p w14:paraId="7A8D1BD6" w14:textId="77777777" w:rsidR="00C24E82" w:rsidRPr="008A67C9" w:rsidRDefault="00C24E82" w:rsidP="00721796">
            <w:pPr>
              <w:rPr>
                <w:rFonts w:ascii="Calibri" w:hAnsi="Calibri"/>
                <w:b/>
                <w:sz w:val="20"/>
                <w:szCs w:val="20"/>
              </w:rPr>
            </w:pPr>
          </w:p>
        </w:tc>
        <w:tc>
          <w:tcPr>
            <w:tcW w:w="0" w:type="auto"/>
            <w:tcBorders>
              <w:top w:val="single" w:sz="4" w:space="0" w:color="auto"/>
              <w:bottom w:val="single" w:sz="24" w:space="0" w:color="auto"/>
            </w:tcBorders>
          </w:tcPr>
          <w:p w14:paraId="1271E179" w14:textId="77777777" w:rsidR="00C24E82" w:rsidRPr="008A67C9" w:rsidRDefault="00C24E82" w:rsidP="00721796">
            <w:pPr>
              <w:rPr>
                <w:rFonts w:ascii="Calibri" w:hAnsi="Calibri"/>
                <w:b/>
                <w:sz w:val="20"/>
                <w:szCs w:val="20"/>
              </w:rPr>
            </w:pPr>
            <w:r w:rsidRPr="008A67C9">
              <w:rPr>
                <w:rFonts w:ascii="Calibri" w:hAnsi="Calibri"/>
                <w:b/>
                <w:sz w:val="20"/>
                <w:szCs w:val="20"/>
              </w:rPr>
              <w:t>SADC</w:t>
            </w:r>
            <w:r>
              <w:rPr>
                <w:rFonts w:ascii="Calibri" w:hAnsi="Calibri"/>
                <w:b/>
                <w:sz w:val="20"/>
                <w:szCs w:val="20"/>
              </w:rPr>
              <w:t xml:space="preserve"> EPA Group</w:t>
            </w:r>
          </w:p>
        </w:tc>
        <w:tc>
          <w:tcPr>
            <w:tcW w:w="0" w:type="auto"/>
            <w:tcBorders>
              <w:top w:val="single" w:sz="4" w:space="0" w:color="auto"/>
              <w:bottom w:val="single" w:sz="24" w:space="0" w:color="auto"/>
            </w:tcBorders>
          </w:tcPr>
          <w:p w14:paraId="35E394D5" w14:textId="77777777" w:rsidR="00C24E82" w:rsidRPr="008A67C9" w:rsidRDefault="00C24E82" w:rsidP="00721796">
            <w:pPr>
              <w:rPr>
                <w:rFonts w:ascii="Calibri" w:hAnsi="Calibri"/>
                <w:sz w:val="20"/>
                <w:szCs w:val="20"/>
              </w:rPr>
            </w:pPr>
            <w:r w:rsidRPr="008A67C9">
              <w:rPr>
                <w:rFonts w:ascii="Calibri" w:hAnsi="Calibri"/>
                <w:b/>
                <w:color w:val="FF0000"/>
                <w:sz w:val="20"/>
                <w:szCs w:val="20"/>
              </w:rPr>
              <w:t>Low.</w:t>
            </w:r>
            <w:r w:rsidRPr="008A67C9">
              <w:rPr>
                <w:rFonts w:ascii="Calibri" w:hAnsi="Calibri"/>
                <w:sz w:val="20"/>
                <w:szCs w:val="20"/>
              </w:rPr>
              <w:t xml:space="preserve"> SADC </w:t>
            </w:r>
            <w:r>
              <w:rPr>
                <w:rFonts w:ascii="Calibri" w:hAnsi="Calibri"/>
                <w:sz w:val="20"/>
                <w:szCs w:val="20"/>
              </w:rPr>
              <w:t>minus 8 /SACU plus</w:t>
            </w:r>
            <w:r w:rsidRPr="008A67C9">
              <w:rPr>
                <w:rFonts w:ascii="Calibri" w:hAnsi="Calibri"/>
                <w:sz w:val="20"/>
                <w:szCs w:val="20"/>
              </w:rPr>
              <w:t xml:space="preserve"> two.</w:t>
            </w:r>
          </w:p>
        </w:tc>
        <w:tc>
          <w:tcPr>
            <w:tcW w:w="0" w:type="auto"/>
            <w:tcBorders>
              <w:top w:val="single" w:sz="4" w:space="0" w:color="auto"/>
              <w:bottom w:val="single" w:sz="24" w:space="0" w:color="auto"/>
            </w:tcBorders>
          </w:tcPr>
          <w:p w14:paraId="76D179DB" w14:textId="77777777" w:rsidR="00C24E82" w:rsidRPr="008A67C9" w:rsidRDefault="00C24E82" w:rsidP="00721796">
            <w:pPr>
              <w:rPr>
                <w:rFonts w:ascii="Calibri" w:hAnsi="Calibri"/>
                <w:sz w:val="20"/>
                <w:szCs w:val="20"/>
              </w:rPr>
            </w:pPr>
            <w:r w:rsidRPr="008A67C9">
              <w:rPr>
                <w:rFonts w:ascii="Calibri" w:hAnsi="Calibri"/>
                <w:b/>
                <w:color w:val="FF6600"/>
                <w:sz w:val="20"/>
                <w:szCs w:val="20"/>
              </w:rPr>
              <w:t>Moderate.</w:t>
            </w:r>
            <w:r w:rsidRPr="008A67C9">
              <w:rPr>
                <w:rFonts w:ascii="Calibri" w:hAnsi="Calibri"/>
                <w:sz w:val="20"/>
                <w:szCs w:val="20"/>
              </w:rPr>
              <w:t xml:space="preserve"> SACU CET includes 5 of 7 members.</w:t>
            </w:r>
          </w:p>
        </w:tc>
        <w:tc>
          <w:tcPr>
            <w:tcW w:w="0" w:type="auto"/>
            <w:tcBorders>
              <w:top w:val="single" w:sz="4" w:space="0" w:color="auto"/>
              <w:bottom w:val="single" w:sz="24" w:space="0" w:color="auto"/>
            </w:tcBorders>
          </w:tcPr>
          <w:p w14:paraId="5D3CB587" w14:textId="77777777" w:rsidR="00C24E82" w:rsidRPr="008A67C9" w:rsidRDefault="00C24E82" w:rsidP="00721796">
            <w:pPr>
              <w:rPr>
                <w:rFonts w:ascii="Calibri" w:hAnsi="Calibri"/>
                <w:sz w:val="20"/>
                <w:szCs w:val="20"/>
              </w:rPr>
            </w:pPr>
            <w:r w:rsidRPr="008A67C9">
              <w:rPr>
                <w:rFonts w:ascii="Calibri" w:hAnsi="Calibri"/>
                <w:b/>
                <w:color w:val="FF0000"/>
                <w:sz w:val="20"/>
                <w:szCs w:val="20"/>
              </w:rPr>
              <w:t>Low.</w:t>
            </w:r>
            <w:r w:rsidRPr="008A67C9">
              <w:rPr>
                <w:rFonts w:ascii="Calibri" w:hAnsi="Calibri"/>
                <w:sz w:val="20"/>
                <w:szCs w:val="20"/>
              </w:rPr>
              <w:t xml:space="preserve"> Negotiations conducted by national ministries of trade, led by Botswana.</w:t>
            </w:r>
          </w:p>
        </w:tc>
        <w:tc>
          <w:tcPr>
            <w:tcW w:w="0" w:type="auto"/>
            <w:tcBorders>
              <w:top w:val="single" w:sz="4" w:space="0" w:color="auto"/>
              <w:bottom w:val="single" w:sz="24" w:space="0" w:color="auto"/>
            </w:tcBorders>
          </w:tcPr>
          <w:p w14:paraId="7D0CD654" w14:textId="77777777" w:rsidR="00C24E82" w:rsidRPr="008A67C9" w:rsidRDefault="00C24E82" w:rsidP="00721796">
            <w:pPr>
              <w:rPr>
                <w:rFonts w:ascii="Calibri" w:hAnsi="Calibri"/>
                <w:sz w:val="20"/>
                <w:szCs w:val="20"/>
              </w:rPr>
            </w:pPr>
            <w:r w:rsidRPr="008A67C9">
              <w:rPr>
                <w:rFonts w:ascii="Calibri" w:hAnsi="Calibri"/>
                <w:b/>
                <w:color w:val="008000"/>
                <w:sz w:val="20"/>
                <w:szCs w:val="20"/>
              </w:rPr>
              <w:t>Yes.</w:t>
            </w:r>
            <w:r w:rsidRPr="008A67C9">
              <w:rPr>
                <w:rFonts w:ascii="Calibri" w:hAnsi="Calibri"/>
                <w:sz w:val="20"/>
                <w:szCs w:val="20"/>
              </w:rPr>
              <w:t xml:space="preserve"> South Africa (67.7% of group GDP)</w:t>
            </w:r>
            <w:r>
              <w:rPr>
                <w:rFonts w:ascii="Calibri" w:hAnsi="Calibri"/>
                <w:sz w:val="20"/>
                <w:szCs w:val="20"/>
              </w:rPr>
              <w:t>.</w:t>
            </w:r>
          </w:p>
        </w:tc>
      </w:tr>
      <w:tr w:rsidR="00C24E82" w:rsidRPr="008A67C9" w14:paraId="7BB99D52" w14:textId="77777777" w:rsidTr="00721796">
        <w:tc>
          <w:tcPr>
            <w:tcW w:w="0" w:type="auto"/>
            <w:vMerge w:val="restart"/>
            <w:tcBorders>
              <w:top w:val="single" w:sz="24" w:space="0" w:color="auto"/>
            </w:tcBorders>
            <w:vAlign w:val="center"/>
          </w:tcPr>
          <w:p w14:paraId="1214D0AB" w14:textId="77777777" w:rsidR="00C24E82" w:rsidRPr="008A67C9" w:rsidRDefault="00C24E82" w:rsidP="00721796">
            <w:pPr>
              <w:rPr>
                <w:rFonts w:ascii="Calibri" w:hAnsi="Calibri"/>
                <w:b/>
                <w:sz w:val="20"/>
                <w:szCs w:val="20"/>
              </w:rPr>
            </w:pPr>
            <w:r>
              <w:rPr>
                <w:rFonts w:ascii="Calibri" w:hAnsi="Calibri"/>
                <w:b/>
                <w:sz w:val="20"/>
                <w:szCs w:val="20"/>
              </w:rPr>
              <w:t>‘Low’ Congruence</w:t>
            </w:r>
          </w:p>
        </w:tc>
        <w:tc>
          <w:tcPr>
            <w:tcW w:w="0" w:type="auto"/>
            <w:tcBorders>
              <w:top w:val="single" w:sz="24" w:space="0" w:color="auto"/>
              <w:bottom w:val="single" w:sz="4" w:space="0" w:color="auto"/>
            </w:tcBorders>
          </w:tcPr>
          <w:p w14:paraId="4395DA4E" w14:textId="77777777" w:rsidR="00C24E82" w:rsidRPr="008A67C9" w:rsidRDefault="00C24E82" w:rsidP="00721796">
            <w:pPr>
              <w:rPr>
                <w:rFonts w:ascii="Calibri" w:hAnsi="Calibri"/>
                <w:b/>
                <w:sz w:val="20"/>
                <w:szCs w:val="20"/>
              </w:rPr>
            </w:pPr>
            <w:r w:rsidRPr="008A67C9">
              <w:rPr>
                <w:rFonts w:ascii="Calibri" w:hAnsi="Calibri"/>
                <w:b/>
                <w:sz w:val="20"/>
                <w:szCs w:val="20"/>
              </w:rPr>
              <w:t>Central Africa</w:t>
            </w:r>
          </w:p>
        </w:tc>
        <w:tc>
          <w:tcPr>
            <w:tcW w:w="0" w:type="auto"/>
            <w:tcBorders>
              <w:top w:val="single" w:sz="24" w:space="0" w:color="auto"/>
              <w:bottom w:val="single" w:sz="4" w:space="0" w:color="auto"/>
            </w:tcBorders>
          </w:tcPr>
          <w:p w14:paraId="66E4C64A" w14:textId="77777777" w:rsidR="00C24E82" w:rsidRPr="008A67C9" w:rsidRDefault="00C24E82" w:rsidP="00721796">
            <w:pPr>
              <w:rPr>
                <w:rFonts w:ascii="Calibri" w:hAnsi="Calibri"/>
                <w:sz w:val="20"/>
                <w:szCs w:val="20"/>
              </w:rPr>
            </w:pPr>
            <w:r w:rsidRPr="008A67C9">
              <w:rPr>
                <w:rFonts w:ascii="Calibri" w:hAnsi="Calibri"/>
                <w:b/>
                <w:color w:val="FF0000"/>
                <w:sz w:val="20"/>
                <w:szCs w:val="20"/>
              </w:rPr>
              <w:t>Low.</w:t>
            </w:r>
            <w:r>
              <w:rPr>
                <w:rFonts w:ascii="Calibri" w:hAnsi="Calibri"/>
                <w:sz w:val="20"/>
                <w:szCs w:val="20"/>
              </w:rPr>
              <w:t xml:space="preserve"> CEMAC plus 2</w:t>
            </w:r>
            <w:r w:rsidRPr="008A67C9">
              <w:rPr>
                <w:rFonts w:ascii="Calibri" w:hAnsi="Calibri"/>
                <w:sz w:val="20"/>
                <w:szCs w:val="20"/>
              </w:rPr>
              <w:t>.</w:t>
            </w:r>
          </w:p>
        </w:tc>
        <w:tc>
          <w:tcPr>
            <w:tcW w:w="0" w:type="auto"/>
            <w:tcBorders>
              <w:top w:val="single" w:sz="24" w:space="0" w:color="auto"/>
              <w:bottom w:val="single" w:sz="4" w:space="0" w:color="auto"/>
            </w:tcBorders>
          </w:tcPr>
          <w:p w14:paraId="7197EA8F" w14:textId="77777777" w:rsidR="00C24E82" w:rsidRPr="008A67C9" w:rsidRDefault="00C24E82" w:rsidP="00721796">
            <w:pPr>
              <w:rPr>
                <w:rFonts w:ascii="Calibri" w:hAnsi="Calibri"/>
                <w:sz w:val="20"/>
                <w:szCs w:val="20"/>
              </w:rPr>
            </w:pPr>
            <w:r w:rsidRPr="008A67C9">
              <w:rPr>
                <w:rFonts w:ascii="Calibri" w:hAnsi="Calibri"/>
                <w:b/>
                <w:color w:val="FF0000"/>
                <w:sz w:val="20"/>
                <w:szCs w:val="20"/>
              </w:rPr>
              <w:t>Low.</w:t>
            </w:r>
            <w:r w:rsidRPr="008A67C9">
              <w:rPr>
                <w:rFonts w:ascii="Calibri" w:hAnsi="Calibri"/>
                <w:sz w:val="20"/>
                <w:szCs w:val="20"/>
              </w:rPr>
              <w:t xml:space="preserve"> Plans to introduce a CEMAC CET not yet implemented.</w:t>
            </w:r>
          </w:p>
        </w:tc>
        <w:tc>
          <w:tcPr>
            <w:tcW w:w="0" w:type="auto"/>
            <w:tcBorders>
              <w:top w:val="single" w:sz="24" w:space="0" w:color="auto"/>
              <w:bottom w:val="single" w:sz="4" w:space="0" w:color="auto"/>
            </w:tcBorders>
          </w:tcPr>
          <w:p w14:paraId="6C0E5C71" w14:textId="77777777" w:rsidR="00C24E82" w:rsidRPr="008A67C9" w:rsidRDefault="00C24E82" w:rsidP="00721796">
            <w:pPr>
              <w:rPr>
                <w:rFonts w:ascii="Calibri" w:hAnsi="Calibri"/>
                <w:sz w:val="20"/>
                <w:szCs w:val="20"/>
              </w:rPr>
            </w:pPr>
            <w:r w:rsidRPr="008A67C9">
              <w:rPr>
                <w:rFonts w:ascii="Calibri" w:hAnsi="Calibri"/>
                <w:b/>
                <w:color w:val="FF6600"/>
                <w:sz w:val="20"/>
                <w:szCs w:val="20"/>
              </w:rPr>
              <w:t>Moderate.</w:t>
            </w:r>
            <w:r w:rsidRPr="008A67C9">
              <w:rPr>
                <w:rFonts w:ascii="Calibri" w:hAnsi="Calibri"/>
                <w:sz w:val="20"/>
                <w:szCs w:val="20"/>
              </w:rPr>
              <w:t xml:space="preserve"> Three tier negotiating structure with negotiations led by CEMAC Executive Secretary.</w:t>
            </w:r>
          </w:p>
        </w:tc>
        <w:tc>
          <w:tcPr>
            <w:tcW w:w="0" w:type="auto"/>
            <w:tcBorders>
              <w:top w:val="single" w:sz="24" w:space="0" w:color="auto"/>
              <w:bottom w:val="single" w:sz="4" w:space="0" w:color="auto"/>
            </w:tcBorders>
          </w:tcPr>
          <w:p w14:paraId="7DFD5BD9" w14:textId="77777777" w:rsidR="00C24E82" w:rsidRPr="008A67C9" w:rsidRDefault="00C24E82" w:rsidP="00721796">
            <w:pPr>
              <w:rPr>
                <w:rFonts w:ascii="Calibri" w:hAnsi="Calibri"/>
                <w:b/>
                <w:color w:val="FF0000"/>
                <w:sz w:val="20"/>
                <w:szCs w:val="20"/>
              </w:rPr>
            </w:pPr>
            <w:r w:rsidRPr="008A67C9">
              <w:rPr>
                <w:rFonts w:ascii="Calibri" w:hAnsi="Calibri"/>
                <w:b/>
                <w:color w:val="FF0000"/>
                <w:sz w:val="20"/>
                <w:szCs w:val="20"/>
              </w:rPr>
              <w:t>No.</w:t>
            </w:r>
          </w:p>
        </w:tc>
      </w:tr>
      <w:tr w:rsidR="00C24E82" w:rsidRPr="008A67C9" w14:paraId="596ADEAB" w14:textId="77777777" w:rsidTr="00721796">
        <w:tc>
          <w:tcPr>
            <w:tcW w:w="0" w:type="auto"/>
            <w:vMerge/>
          </w:tcPr>
          <w:p w14:paraId="1AD55EFC" w14:textId="77777777" w:rsidR="00C24E82" w:rsidRPr="008A67C9" w:rsidRDefault="00C24E82" w:rsidP="00721796">
            <w:pPr>
              <w:rPr>
                <w:rFonts w:ascii="Calibri" w:hAnsi="Calibri"/>
                <w:b/>
                <w:sz w:val="20"/>
                <w:szCs w:val="20"/>
              </w:rPr>
            </w:pPr>
          </w:p>
        </w:tc>
        <w:tc>
          <w:tcPr>
            <w:tcW w:w="0" w:type="auto"/>
            <w:tcBorders>
              <w:top w:val="single" w:sz="4" w:space="0" w:color="auto"/>
              <w:bottom w:val="single" w:sz="4" w:space="0" w:color="auto"/>
            </w:tcBorders>
          </w:tcPr>
          <w:p w14:paraId="06A99755" w14:textId="77777777" w:rsidR="00C24E82" w:rsidRPr="008A67C9" w:rsidRDefault="00C24E82" w:rsidP="00721796">
            <w:pPr>
              <w:rPr>
                <w:rFonts w:ascii="Calibri" w:hAnsi="Calibri"/>
                <w:b/>
                <w:sz w:val="20"/>
                <w:szCs w:val="20"/>
              </w:rPr>
            </w:pPr>
            <w:r w:rsidRPr="008A67C9">
              <w:rPr>
                <w:rFonts w:ascii="Calibri" w:hAnsi="Calibri"/>
                <w:b/>
                <w:sz w:val="20"/>
                <w:szCs w:val="20"/>
              </w:rPr>
              <w:t>Eastern and Southern Africa</w:t>
            </w:r>
            <w:r>
              <w:rPr>
                <w:rFonts w:ascii="Calibri" w:hAnsi="Calibri"/>
                <w:b/>
                <w:sz w:val="20"/>
                <w:szCs w:val="20"/>
              </w:rPr>
              <w:t xml:space="preserve"> (ESA)</w:t>
            </w:r>
          </w:p>
        </w:tc>
        <w:tc>
          <w:tcPr>
            <w:tcW w:w="0" w:type="auto"/>
            <w:tcBorders>
              <w:top w:val="single" w:sz="4" w:space="0" w:color="auto"/>
              <w:bottom w:val="single" w:sz="4" w:space="0" w:color="auto"/>
            </w:tcBorders>
          </w:tcPr>
          <w:p w14:paraId="331F4AAE" w14:textId="77777777" w:rsidR="00C24E82" w:rsidRPr="008A67C9" w:rsidRDefault="00C24E82" w:rsidP="00721796">
            <w:pPr>
              <w:rPr>
                <w:rFonts w:ascii="Calibri" w:hAnsi="Calibri"/>
                <w:sz w:val="20"/>
                <w:szCs w:val="20"/>
              </w:rPr>
            </w:pPr>
            <w:r w:rsidRPr="008A67C9">
              <w:rPr>
                <w:rFonts w:ascii="Calibri" w:hAnsi="Calibri"/>
                <w:b/>
                <w:color w:val="FF0000"/>
                <w:sz w:val="20"/>
                <w:szCs w:val="20"/>
              </w:rPr>
              <w:t>Low.</w:t>
            </w:r>
            <w:r>
              <w:rPr>
                <w:rFonts w:ascii="Calibri" w:hAnsi="Calibri"/>
                <w:sz w:val="20"/>
                <w:szCs w:val="20"/>
              </w:rPr>
              <w:t xml:space="preserve"> COMESA minus 8</w:t>
            </w:r>
            <w:r w:rsidRPr="008A67C9">
              <w:rPr>
                <w:rFonts w:ascii="Calibri" w:hAnsi="Calibri"/>
                <w:sz w:val="20"/>
                <w:szCs w:val="20"/>
              </w:rPr>
              <w:t>.</w:t>
            </w:r>
          </w:p>
        </w:tc>
        <w:tc>
          <w:tcPr>
            <w:tcW w:w="0" w:type="auto"/>
            <w:tcBorders>
              <w:top w:val="single" w:sz="4" w:space="0" w:color="auto"/>
              <w:bottom w:val="single" w:sz="4" w:space="0" w:color="auto"/>
            </w:tcBorders>
          </w:tcPr>
          <w:p w14:paraId="5280D4E5" w14:textId="77777777" w:rsidR="00C24E82" w:rsidRPr="008A67C9" w:rsidRDefault="00C24E82" w:rsidP="00721796">
            <w:pPr>
              <w:rPr>
                <w:rFonts w:ascii="Calibri" w:hAnsi="Calibri"/>
                <w:sz w:val="20"/>
                <w:szCs w:val="20"/>
              </w:rPr>
            </w:pPr>
            <w:r w:rsidRPr="008A67C9">
              <w:rPr>
                <w:rFonts w:ascii="Calibri" w:hAnsi="Calibri"/>
                <w:b/>
                <w:color w:val="FF0000"/>
                <w:sz w:val="20"/>
                <w:szCs w:val="20"/>
              </w:rPr>
              <w:t>Low.</w:t>
            </w:r>
            <w:r w:rsidRPr="008A67C9">
              <w:rPr>
                <w:rFonts w:ascii="Calibri" w:hAnsi="Calibri"/>
                <w:sz w:val="20"/>
                <w:szCs w:val="20"/>
              </w:rPr>
              <w:t xml:space="preserve"> COMESA customs union launched 2009 but not yet implemented.</w:t>
            </w:r>
          </w:p>
        </w:tc>
        <w:tc>
          <w:tcPr>
            <w:tcW w:w="0" w:type="auto"/>
            <w:tcBorders>
              <w:top w:val="single" w:sz="4" w:space="0" w:color="auto"/>
              <w:bottom w:val="single" w:sz="4" w:space="0" w:color="auto"/>
            </w:tcBorders>
          </w:tcPr>
          <w:p w14:paraId="33742D4F" w14:textId="77777777" w:rsidR="00C24E82" w:rsidRPr="008A67C9" w:rsidRDefault="00C24E82" w:rsidP="00721796">
            <w:pPr>
              <w:rPr>
                <w:rFonts w:ascii="Calibri" w:hAnsi="Calibri"/>
                <w:sz w:val="20"/>
                <w:szCs w:val="20"/>
              </w:rPr>
            </w:pPr>
            <w:r w:rsidRPr="008A67C9">
              <w:rPr>
                <w:rFonts w:ascii="Calibri" w:hAnsi="Calibri"/>
                <w:b/>
                <w:color w:val="FF6600"/>
                <w:sz w:val="20"/>
                <w:szCs w:val="20"/>
              </w:rPr>
              <w:t>Moderate.</w:t>
            </w:r>
            <w:r w:rsidRPr="008A67C9">
              <w:rPr>
                <w:rFonts w:ascii="Calibri" w:hAnsi="Calibri"/>
                <w:sz w:val="20"/>
                <w:szCs w:val="20"/>
              </w:rPr>
              <w:t xml:space="preserve"> Regional Negotiating Forum shares competence with ministerial and ambassadorial staff.</w:t>
            </w:r>
          </w:p>
        </w:tc>
        <w:tc>
          <w:tcPr>
            <w:tcW w:w="0" w:type="auto"/>
            <w:tcBorders>
              <w:top w:val="single" w:sz="4" w:space="0" w:color="auto"/>
              <w:bottom w:val="single" w:sz="4" w:space="0" w:color="auto"/>
            </w:tcBorders>
          </w:tcPr>
          <w:p w14:paraId="0AFAFA8E" w14:textId="77777777" w:rsidR="00C24E82" w:rsidRPr="008A67C9" w:rsidRDefault="00C24E82" w:rsidP="00721796">
            <w:pPr>
              <w:rPr>
                <w:rFonts w:ascii="Calibri" w:hAnsi="Calibri"/>
                <w:b/>
                <w:color w:val="FF0000"/>
                <w:sz w:val="20"/>
                <w:szCs w:val="20"/>
              </w:rPr>
            </w:pPr>
            <w:r w:rsidRPr="008A67C9">
              <w:rPr>
                <w:rFonts w:ascii="Calibri" w:hAnsi="Calibri"/>
                <w:b/>
                <w:color w:val="FF0000"/>
                <w:sz w:val="20"/>
                <w:szCs w:val="20"/>
              </w:rPr>
              <w:t>No.</w:t>
            </w:r>
          </w:p>
        </w:tc>
      </w:tr>
      <w:tr w:rsidR="00C24E82" w:rsidRPr="008A67C9" w14:paraId="27AAFCED" w14:textId="77777777" w:rsidTr="00721796">
        <w:tc>
          <w:tcPr>
            <w:tcW w:w="0" w:type="auto"/>
            <w:vMerge/>
          </w:tcPr>
          <w:p w14:paraId="73ED3217" w14:textId="77777777" w:rsidR="00C24E82" w:rsidRPr="008A67C9" w:rsidRDefault="00C24E82" w:rsidP="00721796">
            <w:pPr>
              <w:rPr>
                <w:rFonts w:ascii="Calibri" w:hAnsi="Calibri"/>
                <w:b/>
                <w:sz w:val="20"/>
                <w:szCs w:val="20"/>
              </w:rPr>
            </w:pPr>
          </w:p>
        </w:tc>
        <w:tc>
          <w:tcPr>
            <w:tcW w:w="0" w:type="auto"/>
            <w:tcBorders>
              <w:top w:val="single" w:sz="4" w:space="0" w:color="auto"/>
            </w:tcBorders>
          </w:tcPr>
          <w:p w14:paraId="6DA792BD" w14:textId="77777777" w:rsidR="00C24E82" w:rsidRPr="008A67C9" w:rsidRDefault="00C24E82" w:rsidP="00721796">
            <w:pPr>
              <w:rPr>
                <w:rFonts w:ascii="Calibri" w:hAnsi="Calibri"/>
                <w:b/>
                <w:sz w:val="20"/>
                <w:szCs w:val="20"/>
              </w:rPr>
            </w:pPr>
            <w:r w:rsidRPr="008A67C9">
              <w:rPr>
                <w:rFonts w:ascii="Calibri" w:hAnsi="Calibri"/>
                <w:b/>
                <w:sz w:val="20"/>
                <w:szCs w:val="20"/>
              </w:rPr>
              <w:t>Pacific</w:t>
            </w:r>
          </w:p>
        </w:tc>
        <w:tc>
          <w:tcPr>
            <w:tcW w:w="0" w:type="auto"/>
            <w:tcBorders>
              <w:top w:val="single" w:sz="4" w:space="0" w:color="auto"/>
            </w:tcBorders>
          </w:tcPr>
          <w:p w14:paraId="50B55C90" w14:textId="77777777" w:rsidR="00C24E82" w:rsidRPr="008A67C9" w:rsidRDefault="00C24E82" w:rsidP="00721796">
            <w:pPr>
              <w:rPr>
                <w:rFonts w:ascii="Calibri" w:hAnsi="Calibri"/>
                <w:sz w:val="20"/>
                <w:szCs w:val="20"/>
              </w:rPr>
            </w:pPr>
            <w:r w:rsidRPr="008A67C9">
              <w:rPr>
                <w:rFonts w:ascii="Calibri" w:hAnsi="Calibri"/>
                <w:b/>
                <w:color w:val="FF0000"/>
                <w:sz w:val="20"/>
                <w:szCs w:val="20"/>
              </w:rPr>
              <w:t>Low.</w:t>
            </w:r>
            <w:r w:rsidRPr="008A67C9">
              <w:rPr>
                <w:rFonts w:ascii="Calibri" w:hAnsi="Calibri"/>
                <w:sz w:val="20"/>
                <w:szCs w:val="20"/>
              </w:rPr>
              <w:t xml:space="preserve"> Pacific Islands Forum </w:t>
            </w:r>
            <w:r>
              <w:rPr>
                <w:rFonts w:ascii="Calibri" w:hAnsi="Calibri"/>
                <w:sz w:val="20"/>
                <w:szCs w:val="20"/>
              </w:rPr>
              <w:t>minus 2, plus 1</w:t>
            </w:r>
            <w:r w:rsidRPr="008A67C9">
              <w:rPr>
                <w:rFonts w:ascii="Calibri" w:hAnsi="Calibri"/>
                <w:sz w:val="20"/>
                <w:szCs w:val="20"/>
              </w:rPr>
              <w:t>.</w:t>
            </w:r>
          </w:p>
        </w:tc>
        <w:tc>
          <w:tcPr>
            <w:tcW w:w="0" w:type="auto"/>
            <w:tcBorders>
              <w:top w:val="single" w:sz="4" w:space="0" w:color="auto"/>
            </w:tcBorders>
          </w:tcPr>
          <w:p w14:paraId="58ACDC8C" w14:textId="77777777" w:rsidR="00C24E82" w:rsidRPr="008A67C9" w:rsidRDefault="00C24E82" w:rsidP="00721796">
            <w:pPr>
              <w:rPr>
                <w:rFonts w:ascii="Calibri" w:hAnsi="Calibri"/>
                <w:sz w:val="20"/>
                <w:szCs w:val="20"/>
              </w:rPr>
            </w:pPr>
            <w:r w:rsidRPr="008A67C9">
              <w:rPr>
                <w:rFonts w:ascii="Calibri" w:hAnsi="Calibri"/>
                <w:b/>
                <w:color w:val="FF0000"/>
                <w:sz w:val="20"/>
                <w:szCs w:val="20"/>
              </w:rPr>
              <w:t>Low.</w:t>
            </w:r>
            <w:r w:rsidRPr="008A67C9">
              <w:rPr>
                <w:rFonts w:ascii="Calibri" w:hAnsi="Calibri"/>
                <w:sz w:val="20"/>
                <w:szCs w:val="20"/>
              </w:rPr>
              <w:t xml:space="preserve"> </w:t>
            </w:r>
            <w:r>
              <w:rPr>
                <w:rFonts w:ascii="Calibri" w:hAnsi="Calibri"/>
                <w:sz w:val="20"/>
                <w:szCs w:val="20"/>
              </w:rPr>
              <w:t>N</w:t>
            </w:r>
            <w:r w:rsidRPr="008A67C9">
              <w:rPr>
                <w:rFonts w:ascii="Calibri" w:hAnsi="Calibri"/>
                <w:sz w:val="20"/>
                <w:szCs w:val="20"/>
              </w:rPr>
              <w:t>o CET</w:t>
            </w:r>
            <w:r>
              <w:rPr>
                <w:rFonts w:ascii="Calibri" w:hAnsi="Calibri"/>
                <w:sz w:val="20"/>
                <w:szCs w:val="20"/>
              </w:rPr>
              <w:t>.</w:t>
            </w:r>
          </w:p>
        </w:tc>
        <w:tc>
          <w:tcPr>
            <w:tcW w:w="0" w:type="auto"/>
            <w:tcBorders>
              <w:top w:val="single" w:sz="4" w:space="0" w:color="auto"/>
            </w:tcBorders>
          </w:tcPr>
          <w:p w14:paraId="7A95D7B3" w14:textId="77777777" w:rsidR="00C24E82" w:rsidRPr="008A67C9" w:rsidRDefault="00C24E82" w:rsidP="00721796">
            <w:pPr>
              <w:rPr>
                <w:rFonts w:ascii="Calibri" w:hAnsi="Calibri"/>
                <w:sz w:val="20"/>
                <w:szCs w:val="20"/>
              </w:rPr>
            </w:pPr>
            <w:r w:rsidRPr="008A67C9">
              <w:rPr>
                <w:rFonts w:ascii="Calibri" w:hAnsi="Calibri"/>
                <w:b/>
                <w:color w:val="FF0000"/>
                <w:sz w:val="20"/>
                <w:szCs w:val="20"/>
              </w:rPr>
              <w:t>Low.</w:t>
            </w:r>
            <w:r w:rsidRPr="008A67C9">
              <w:rPr>
                <w:rFonts w:ascii="Calibri" w:hAnsi="Calibri"/>
                <w:sz w:val="20"/>
                <w:szCs w:val="20"/>
              </w:rPr>
              <w:t xml:space="preserve"> Regional Negotiating Team led by national ministers; PIF provides administrative support.</w:t>
            </w:r>
          </w:p>
        </w:tc>
        <w:tc>
          <w:tcPr>
            <w:tcW w:w="0" w:type="auto"/>
            <w:tcBorders>
              <w:top w:val="single" w:sz="4" w:space="0" w:color="auto"/>
            </w:tcBorders>
          </w:tcPr>
          <w:p w14:paraId="6180DCFF" w14:textId="77777777" w:rsidR="00C24E82" w:rsidRPr="008A67C9" w:rsidRDefault="00C24E82" w:rsidP="00721796">
            <w:pPr>
              <w:rPr>
                <w:rFonts w:ascii="Calibri" w:hAnsi="Calibri"/>
                <w:sz w:val="20"/>
                <w:szCs w:val="20"/>
              </w:rPr>
            </w:pPr>
            <w:r w:rsidRPr="008A67C9">
              <w:rPr>
                <w:rFonts w:ascii="Calibri" w:hAnsi="Calibri"/>
                <w:b/>
                <w:color w:val="008000"/>
                <w:sz w:val="20"/>
                <w:szCs w:val="20"/>
              </w:rPr>
              <w:t>Yes.</w:t>
            </w:r>
            <w:r w:rsidRPr="008A67C9">
              <w:rPr>
                <w:rFonts w:ascii="Calibri" w:hAnsi="Calibri"/>
                <w:sz w:val="20"/>
                <w:szCs w:val="20"/>
              </w:rPr>
              <w:t xml:space="preserve"> Papua New Guinea (52% of group GDP)</w:t>
            </w:r>
            <w:r>
              <w:rPr>
                <w:rFonts w:ascii="Calibri" w:hAnsi="Calibri"/>
                <w:sz w:val="20"/>
                <w:szCs w:val="20"/>
              </w:rPr>
              <w:t>.</w:t>
            </w:r>
          </w:p>
        </w:tc>
      </w:tr>
    </w:tbl>
    <w:p w14:paraId="65B5E537" w14:textId="7C5D0D1D" w:rsidR="00C24E82" w:rsidRPr="003B30EF" w:rsidRDefault="00C24E82" w:rsidP="00721796">
      <w:pPr>
        <w:rPr>
          <w:rFonts w:ascii="Calibri" w:hAnsi="Calibri" w:cs="Times New Roman"/>
          <w:sz w:val="20"/>
          <w:szCs w:val="20"/>
        </w:rPr>
      </w:pPr>
      <w:r w:rsidRPr="003B30EF">
        <w:rPr>
          <w:rFonts w:ascii="Calibri" w:hAnsi="Calibri" w:cs="Times New Roman"/>
          <w:b/>
          <w:sz w:val="20"/>
          <w:szCs w:val="20"/>
        </w:rPr>
        <w:t>Table 2.</w:t>
      </w:r>
      <w:r w:rsidRPr="003B30EF">
        <w:rPr>
          <w:rFonts w:ascii="Calibri" w:hAnsi="Calibri" w:cs="Times New Roman"/>
          <w:sz w:val="20"/>
          <w:szCs w:val="20"/>
        </w:rPr>
        <w:t xml:space="preserve"> </w:t>
      </w:r>
      <w:proofErr w:type="gramStart"/>
      <w:r w:rsidRPr="003B30EF">
        <w:rPr>
          <w:rFonts w:ascii="Calibri" w:hAnsi="Calibri" w:cs="Times New Roman"/>
          <w:sz w:val="20"/>
          <w:szCs w:val="20"/>
        </w:rPr>
        <w:t xml:space="preserve">Congruence between ACP groups and </w:t>
      </w:r>
      <w:r>
        <w:rPr>
          <w:rFonts w:ascii="Calibri" w:hAnsi="Calibri" w:cs="Times New Roman"/>
          <w:sz w:val="20"/>
          <w:szCs w:val="20"/>
        </w:rPr>
        <w:t xml:space="preserve">institutional prerequisites for </w:t>
      </w:r>
      <w:r w:rsidRPr="003B30EF">
        <w:rPr>
          <w:rFonts w:ascii="Calibri" w:hAnsi="Calibri" w:cs="Times New Roman"/>
          <w:sz w:val="20"/>
          <w:szCs w:val="20"/>
        </w:rPr>
        <w:t xml:space="preserve">EPA </w:t>
      </w:r>
      <w:r>
        <w:rPr>
          <w:rFonts w:ascii="Calibri" w:hAnsi="Calibri" w:cs="Times New Roman"/>
          <w:sz w:val="20"/>
          <w:szCs w:val="20"/>
        </w:rPr>
        <w:t>negotiations</w:t>
      </w:r>
      <w:r w:rsidRPr="003B30EF">
        <w:rPr>
          <w:rFonts w:ascii="Calibri" w:hAnsi="Calibri" w:cs="Times New Roman"/>
          <w:sz w:val="20"/>
          <w:szCs w:val="20"/>
        </w:rPr>
        <w:t>.</w:t>
      </w:r>
      <w:proofErr w:type="gramEnd"/>
    </w:p>
    <w:p w14:paraId="1D4F2BFC" w14:textId="77777777" w:rsidR="00C24E82" w:rsidRPr="006A123C" w:rsidRDefault="00C24E82">
      <w:pPr>
        <w:pStyle w:val="EndnoteText"/>
        <w:rPr>
          <w:rFonts w:ascii="Times New Roman" w:hAnsi="Times New Roman" w:cs="Times New Roman"/>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D1D23" w14:textId="77777777" w:rsidR="00C24E82" w:rsidRDefault="00C24E82" w:rsidP="00DE60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EE0F49" w14:textId="77777777" w:rsidR="00C24E82" w:rsidRDefault="00C24E82" w:rsidP="00B660A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49735" w14:textId="77777777" w:rsidR="00C24E82" w:rsidRDefault="00C24E82" w:rsidP="00DE60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0522">
      <w:rPr>
        <w:rStyle w:val="PageNumber"/>
        <w:noProof/>
      </w:rPr>
      <w:t>25</w:t>
    </w:r>
    <w:r>
      <w:rPr>
        <w:rStyle w:val="PageNumber"/>
      </w:rPr>
      <w:fldChar w:fldCharType="end"/>
    </w:r>
  </w:p>
  <w:p w14:paraId="49A4C91F" w14:textId="77777777" w:rsidR="00C24E82" w:rsidRDefault="00C24E82" w:rsidP="00B660A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6BDB5" w14:textId="77777777" w:rsidR="00C24E82" w:rsidRDefault="00C24E82" w:rsidP="005066B9">
      <w:pPr>
        <w:spacing w:line="240" w:lineRule="auto"/>
      </w:pPr>
      <w:r>
        <w:separator/>
      </w:r>
    </w:p>
  </w:footnote>
  <w:footnote w:type="continuationSeparator" w:id="0">
    <w:p w14:paraId="6CF6BD7E" w14:textId="77777777" w:rsidR="00C24E82" w:rsidRDefault="00C24E82" w:rsidP="005066B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
  <w:docVars>
    <w:docVar w:name="EN.InstantFormat" w:val="&lt;ENInstantFormat&gt;&lt;Enabled&gt;1&lt;/Enabled&gt;&lt;ScanUnformatted&gt;1&lt;/ScanUnformatted&gt;&lt;ScanChanges&gt;1&lt;/ScanChanges&gt;&lt;Suspended&gt;0&lt;/Suspended&gt;&lt;/ENInstantFormat&gt;"/>
    <w:docVar w:name="EN.Layout" w:val="&lt;ENLayout&gt;&lt;Style&gt;Footnote Peg New&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ttar5f9zrxda9qe2fxjvxs5ppw5fexrdz5v2&quot;&gt;Peg&amp;apos;s references-Saved&lt;record-ids&gt;&lt;item&gt;207&lt;/item&gt;&lt;item&gt;454&lt;/item&gt;&lt;item&gt;495&lt;/item&gt;&lt;item&gt;496&lt;/item&gt;&lt;item&gt;542&lt;/item&gt;&lt;item&gt;645&lt;/item&gt;&lt;item&gt;769&lt;/item&gt;&lt;item&gt;770&lt;/item&gt;&lt;item&gt;974&lt;/item&gt;&lt;item&gt;1117&lt;/item&gt;&lt;item&gt;1147&lt;/item&gt;&lt;item&gt;1237&lt;/item&gt;&lt;item&gt;1338&lt;/item&gt;&lt;item&gt;1339&lt;/item&gt;&lt;item&gt;1340&lt;/item&gt;&lt;item&gt;1341&lt;/item&gt;&lt;item&gt;1343&lt;/item&gt;&lt;item&gt;1344&lt;/item&gt;&lt;item&gt;1349&lt;/item&gt;&lt;item&gt;1353&lt;/item&gt;&lt;item&gt;1462&lt;/item&gt;&lt;item&gt;1464&lt;/item&gt;&lt;item&gt;1574&lt;/item&gt;&lt;item&gt;1618&lt;/item&gt;&lt;item&gt;1900&lt;/item&gt;&lt;item&gt;1901&lt;/item&gt;&lt;item&gt;2101&lt;/item&gt;&lt;item&gt;2421&lt;/item&gt;&lt;item&gt;2430&lt;/item&gt;&lt;item&gt;2433&lt;/item&gt;&lt;item&gt;2434&lt;/item&gt;&lt;item&gt;2436&lt;/item&gt;&lt;item&gt;2438&lt;/item&gt;&lt;item&gt;2445&lt;/item&gt;&lt;item&gt;2447&lt;/item&gt;&lt;item&gt;2452&lt;/item&gt;&lt;/record-ids&gt;&lt;/item&gt;&lt;/Libraries&gt;"/>
  </w:docVars>
  <w:rsids>
    <w:rsidRoot w:val="00E36302"/>
    <w:rsid w:val="000330F9"/>
    <w:rsid w:val="00042371"/>
    <w:rsid w:val="00057558"/>
    <w:rsid w:val="00080D66"/>
    <w:rsid w:val="00080D8C"/>
    <w:rsid w:val="000836F2"/>
    <w:rsid w:val="00090F10"/>
    <w:rsid w:val="000A4968"/>
    <w:rsid w:val="000B06D5"/>
    <w:rsid w:val="000C4B5F"/>
    <w:rsid w:val="000C5A30"/>
    <w:rsid w:val="000D006A"/>
    <w:rsid w:val="000D34BA"/>
    <w:rsid w:val="000E4FD7"/>
    <w:rsid w:val="000F7654"/>
    <w:rsid w:val="00100334"/>
    <w:rsid w:val="001042F2"/>
    <w:rsid w:val="0010437A"/>
    <w:rsid w:val="00127326"/>
    <w:rsid w:val="00137160"/>
    <w:rsid w:val="00137F69"/>
    <w:rsid w:val="001450DD"/>
    <w:rsid w:val="00160826"/>
    <w:rsid w:val="001630E6"/>
    <w:rsid w:val="001776B4"/>
    <w:rsid w:val="00181ED1"/>
    <w:rsid w:val="001831F2"/>
    <w:rsid w:val="00192955"/>
    <w:rsid w:val="001939B3"/>
    <w:rsid w:val="001C2BFB"/>
    <w:rsid w:val="001E7805"/>
    <w:rsid w:val="00217F52"/>
    <w:rsid w:val="002208A8"/>
    <w:rsid w:val="00227D6C"/>
    <w:rsid w:val="00231CDD"/>
    <w:rsid w:val="00284752"/>
    <w:rsid w:val="0029680D"/>
    <w:rsid w:val="002A7CB4"/>
    <w:rsid w:val="002B2444"/>
    <w:rsid w:val="002C7E96"/>
    <w:rsid w:val="00311624"/>
    <w:rsid w:val="00322A4B"/>
    <w:rsid w:val="00346490"/>
    <w:rsid w:val="0035000A"/>
    <w:rsid w:val="0036427F"/>
    <w:rsid w:val="00393687"/>
    <w:rsid w:val="00396403"/>
    <w:rsid w:val="003B5778"/>
    <w:rsid w:val="003D11A9"/>
    <w:rsid w:val="003D187E"/>
    <w:rsid w:val="003D2DF5"/>
    <w:rsid w:val="003D4650"/>
    <w:rsid w:val="003E29B7"/>
    <w:rsid w:val="003E417E"/>
    <w:rsid w:val="004128FF"/>
    <w:rsid w:val="00421BD6"/>
    <w:rsid w:val="00433D39"/>
    <w:rsid w:val="00437F3E"/>
    <w:rsid w:val="00443605"/>
    <w:rsid w:val="0045256E"/>
    <w:rsid w:val="004716FF"/>
    <w:rsid w:val="004852BC"/>
    <w:rsid w:val="00486D00"/>
    <w:rsid w:val="00492227"/>
    <w:rsid w:val="004E3106"/>
    <w:rsid w:val="004F247D"/>
    <w:rsid w:val="004F5D05"/>
    <w:rsid w:val="005066B9"/>
    <w:rsid w:val="005115AC"/>
    <w:rsid w:val="00547D8B"/>
    <w:rsid w:val="00557B4C"/>
    <w:rsid w:val="00557FD9"/>
    <w:rsid w:val="00566310"/>
    <w:rsid w:val="00593DEA"/>
    <w:rsid w:val="00595430"/>
    <w:rsid w:val="005A2459"/>
    <w:rsid w:val="006217B9"/>
    <w:rsid w:val="00624707"/>
    <w:rsid w:val="006323B2"/>
    <w:rsid w:val="00684DCF"/>
    <w:rsid w:val="0069192B"/>
    <w:rsid w:val="00695BAC"/>
    <w:rsid w:val="006A123C"/>
    <w:rsid w:val="006A2CF6"/>
    <w:rsid w:val="006D35C3"/>
    <w:rsid w:val="007003F6"/>
    <w:rsid w:val="00700AEA"/>
    <w:rsid w:val="007034CF"/>
    <w:rsid w:val="00721796"/>
    <w:rsid w:val="0073304F"/>
    <w:rsid w:val="00742F8B"/>
    <w:rsid w:val="00745153"/>
    <w:rsid w:val="00756AED"/>
    <w:rsid w:val="00791659"/>
    <w:rsid w:val="00823301"/>
    <w:rsid w:val="00832F9D"/>
    <w:rsid w:val="008350B8"/>
    <w:rsid w:val="00851CA5"/>
    <w:rsid w:val="00872329"/>
    <w:rsid w:val="00875FA0"/>
    <w:rsid w:val="00880522"/>
    <w:rsid w:val="00883423"/>
    <w:rsid w:val="008B5D7B"/>
    <w:rsid w:val="008C5347"/>
    <w:rsid w:val="008E0879"/>
    <w:rsid w:val="008E20B9"/>
    <w:rsid w:val="008F6E3D"/>
    <w:rsid w:val="009107BC"/>
    <w:rsid w:val="009253CF"/>
    <w:rsid w:val="009508AC"/>
    <w:rsid w:val="009563B3"/>
    <w:rsid w:val="00956ABF"/>
    <w:rsid w:val="00966AC2"/>
    <w:rsid w:val="009739B5"/>
    <w:rsid w:val="009B018C"/>
    <w:rsid w:val="009D4BBD"/>
    <w:rsid w:val="009E6EF1"/>
    <w:rsid w:val="009F1CAD"/>
    <w:rsid w:val="009F3776"/>
    <w:rsid w:val="009F748C"/>
    <w:rsid w:val="00A560EF"/>
    <w:rsid w:val="00A574E5"/>
    <w:rsid w:val="00A9795E"/>
    <w:rsid w:val="00AA703F"/>
    <w:rsid w:val="00AB2ACF"/>
    <w:rsid w:val="00AB2D2B"/>
    <w:rsid w:val="00AB3A9D"/>
    <w:rsid w:val="00AC7426"/>
    <w:rsid w:val="00AE50FA"/>
    <w:rsid w:val="00AF4059"/>
    <w:rsid w:val="00B54362"/>
    <w:rsid w:val="00B5463F"/>
    <w:rsid w:val="00B60684"/>
    <w:rsid w:val="00B65EAD"/>
    <w:rsid w:val="00B660A9"/>
    <w:rsid w:val="00B77C79"/>
    <w:rsid w:val="00B91C55"/>
    <w:rsid w:val="00BA240B"/>
    <w:rsid w:val="00BA26E7"/>
    <w:rsid w:val="00BA42D5"/>
    <w:rsid w:val="00C027C0"/>
    <w:rsid w:val="00C24E82"/>
    <w:rsid w:val="00C40A42"/>
    <w:rsid w:val="00C460CC"/>
    <w:rsid w:val="00C62B1A"/>
    <w:rsid w:val="00C65792"/>
    <w:rsid w:val="00C7144B"/>
    <w:rsid w:val="00C8048F"/>
    <w:rsid w:val="00C87454"/>
    <w:rsid w:val="00CA11EB"/>
    <w:rsid w:val="00CA6014"/>
    <w:rsid w:val="00CB4430"/>
    <w:rsid w:val="00CD6014"/>
    <w:rsid w:val="00CE7CED"/>
    <w:rsid w:val="00D0575F"/>
    <w:rsid w:val="00D063F4"/>
    <w:rsid w:val="00D07928"/>
    <w:rsid w:val="00D42225"/>
    <w:rsid w:val="00D62484"/>
    <w:rsid w:val="00D96859"/>
    <w:rsid w:val="00DB262E"/>
    <w:rsid w:val="00DE4FD1"/>
    <w:rsid w:val="00DE6081"/>
    <w:rsid w:val="00DF1E7C"/>
    <w:rsid w:val="00DF3941"/>
    <w:rsid w:val="00DF46BA"/>
    <w:rsid w:val="00E36302"/>
    <w:rsid w:val="00E526CD"/>
    <w:rsid w:val="00E665AD"/>
    <w:rsid w:val="00E70C6E"/>
    <w:rsid w:val="00E77EA5"/>
    <w:rsid w:val="00E85BAB"/>
    <w:rsid w:val="00EA086F"/>
    <w:rsid w:val="00EE74C8"/>
    <w:rsid w:val="00F15FD3"/>
    <w:rsid w:val="00F27828"/>
    <w:rsid w:val="00F415EE"/>
    <w:rsid w:val="00F6638F"/>
    <w:rsid w:val="00FA4551"/>
    <w:rsid w:val="00FA49AB"/>
    <w:rsid w:val="00FC2E08"/>
    <w:rsid w:val="00FE04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61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E6E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EF1"/>
    <w:rPr>
      <w:rFonts w:ascii="Tahoma" w:hAnsi="Tahoma" w:cs="Tahoma"/>
      <w:sz w:val="16"/>
      <w:szCs w:val="16"/>
    </w:rPr>
  </w:style>
  <w:style w:type="paragraph" w:styleId="EndnoteText">
    <w:name w:val="endnote text"/>
    <w:basedOn w:val="Normal"/>
    <w:link w:val="EndnoteTextChar"/>
    <w:uiPriority w:val="99"/>
    <w:unhideWhenUsed/>
    <w:rsid w:val="005066B9"/>
    <w:pPr>
      <w:spacing w:line="240" w:lineRule="auto"/>
    </w:pPr>
    <w:rPr>
      <w:sz w:val="24"/>
      <w:szCs w:val="24"/>
    </w:rPr>
  </w:style>
  <w:style w:type="character" w:customStyle="1" w:styleId="EndnoteTextChar">
    <w:name w:val="Endnote Text Char"/>
    <w:basedOn w:val="DefaultParagraphFont"/>
    <w:link w:val="EndnoteText"/>
    <w:uiPriority w:val="99"/>
    <w:rsid w:val="005066B9"/>
    <w:rPr>
      <w:sz w:val="24"/>
      <w:szCs w:val="24"/>
    </w:rPr>
  </w:style>
  <w:style w:type="character" w:styleId="EndnoteReference">
    <w:name w:val="endnote reference"/>
    <w:basedOn w:val="DefaultParagraphFont"/>
    <w:uiPriority w:val="99"/>
    <w:unhideWhenUsed/>
    <w:rsid w:val="005066B9"/>
    <w:rPr>
      <w:vertAlign w:val="superscript"/>
    </w:rPr>
  </w:style>
  <w:style w:type="paragraph" w:customStyle="1" w:styleId="EndNoteBibliographyTitle">
    <w:name w:val="EndNote Bibliography Title"/>
    <w:basedOn w:val="Normal"/>
    <w:rsid w:val="009B018C"/>
    <w:pPr>
      <w:jc w:val="center"/>
    </w:pPr>
  </w:style>
  <w:style w:type="paragraph" w:customStyle="1" w:styleId="EndNoteBibliography">
    <w:name w:val="EndNote Bibliography"/>
    <w:basedOn w:val="Normal"/>
    <w:rsid w:val="009B018C"/>
    <w:pPr>
      <w:spacing w:line="240" w:lineRule="auto"/>
      <w:jc w:val="center"/>
    </w:pPr>
  </w:style>
  <w:style w:type="paragraph" w:styleId="Footer">
    <w:name w:val="footer"/>
    <w:basedOn w:val="Normal"/>
    <w:link w:val="FooterChar"/>
    <w:uiPriority w:val="99"/>
    <w:unhideWhenUsed/>
    <w:rsid w:val="00B660A9"/>
    <w:pPr>
      <w:tabs>
        <w:tab w:val="center" w:pos="4320"/>
        <w:tab w:val="right" w:pos="8640"/>
      </w:tabs>
      <w:spacing w:line="240" w:lineRule="auto"/>
    </w:pPr>
  </w:style>
  <w:style w:type="character" w:customStyle="1" w:styleId="FooterChar">
    <w:name w:val="Footer Char"/>
    <w:basedOn w:val="DefaultParagraphFont"/>
    <w:link w:val="Footer"/>
    <w:uiPriority w:val="99"/>
    <w:rsid w:val="00B660A9"/>
  </w:style>
  <w:style w:type="character" w:styleId="PageNumber">
    <w:name w:val="page number"/>
    <w:basedOn w:val="DefaultParagraphFont"/>
    <w:uiPriority w:val="99"/>
    <w:semiHidden/>
    <w:unhideWhenUsed/>
    <w:rsid w:val="00B660A9"/>
  </w:style>
  <w:style w:type="paragraph" w:styleId="FootnoteText">
    <w:name w:val="footnote text"/>
    <w:basedOn w:val="Normal"/>
    <w:link w:val="FootnoteTextChar"/>
    <w:uiPriority w:val="99"/>
    <w:unhideWhenUsed/>
    <w:rsid w:val="00433D39"/>
    <w:pPr>
      <w:spacing w:line="240" w:lineRule="auto"/>
    </w:pPr>
    <w:rPr>
      <w:sz w:val="20"/>
      <w:szCs w:val="20"/>
    </w:rPr>
  </w:style>
  <w:style w:type="character" w:customStyle="1" w:styleId="FootnoteTextChar">
    <w:name w:val="Footnote Text Char"/>
    <w:basedOn w:val="DefaultParagraphFont"/>
    <w:link w:val="FootnoteText"/>
    <w:uiPriority w:val="99"/>
    <w:rsid w:val="00433D39"/>
    <w:rPr>
      <w:sz w:val="20"/>
      <w:szCs w:val="20"/>
    </w:rPr>
  </w:style>
  <w:style w:type="character" w:styleId="FootnoteReference">
    <w:name w:val="footnote reference"/>
    <w:basedOn w:val="DefaultParagraphFont"/>
    <w:uiPriority w:val="99"/>
    <w:unhideWhenUsed/>
    <w:rsid w:val="00433D39"/>
    <w:rPr>
      <w:vertAlign w:val="superscript"/>
    </w:rPr>
  </w:style>
  <w:style w:type="character" w:styleId="Hyperlink">
    <w:name w:val="Hyperlink"/>
    <w:basedOn w:val="DefaultParagraphFont"/>
    <w:uiPriority w:val="99"/>
    <w:unhideWhenUsed/>
    <w:rsid w:val="00042371"/>
    <w:rPr>
      <w:color w:val="0000FF" w:themeColor="hyperlink"/>
      <w:u w:val="single"/>
    </w:rPr>
  </w:style>
  <w:style w:type="table" w:styleId="TableGrid">
    <w:name w:val="Table Grid"/>
    <w:basedOn w:val="TableNormal"/>
    <w:uiPriority w:val="59"/>
    <w:rsid w:val="009D4BBD"/>
    <w:pPr>
      <w:spacing w:line="240" w:lineRule="auto"/>
    </w:pPr>
    <w:rPr>
      <w:rFonts w:asciiTheme="minorHAnsi" w:eastAsiaTheme="minorEastAsia" w:hAnsiTheme="minorHAnsi" w:cstheme="minorBidi"/>
      <w:color w:val="auto"/>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7003F6"/>
    <w:rPr>
      <w:b/>
      <w:bCs/>
    </w:rPr>
  </w:style>
  <w:style w:type="character" w:customStyle="1" w:styleId="CommentSubjectChar">
    <w:name w:val="Comment Subject Char"/>
    <w:basedOn w:val="CommentTextChar"/>
    <w:link w:val="CommentSubject"/>
    <w:uiPriority w:val="99"/>
    <w:semiHidden/>
    <w:rsid w:val="007003F6"/>
    <w:rPr>
      <w:b/>
      <w:bCs/>
      <w:sz w:val="20"/>
      <w:szCs w:val="20"/>
    </w:rPr>
  </w:style>
  <w:style w:type="paragraph" w:styleId="Revision">
    <w:name w:val="Revision"/>
    <w:hidden/>
    <w:uiPriority w:val="99"/>
    <w:semiHidden/>
    <w:rsid w:val="008C5347"/>
    <w:pPr>
      <w:spacing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E6E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EF1"/>
    <w:rPr>
      <w:rFonts w:ascii="Tahoma" w:hAnsi="Tahoma" w:cs="Tahoma"/>
      <w:sz w:val="16"/>
      <w:szCs w:val="16"/>
    </w:rPr>
  </w:style>
  <w:style w:type="paragraph" w:styleId="EndnoteText">
    <w:name w:val="endnote text"/>
    <w:basedOn w:val="Normal"/>
    <w:link w:val="EndnoteTextChar"/>
    <w:uiPriority w:val="99"/>
    <w:unhideWhenUsed/>
    <w:rsid w:val="005066B9"/>
    <w:pPr>
      <w:spacing w:line="240" w:lineRule="auto"/>
    </w:pPr>
    <w:rPr>
      <w:sz w:val="24"/>
      <w:szCs w:val="24"/>
    </w:rPr>
  </w:style>
  <w:style w:type="character" w:customStyle="1" w:styleId="EndnoteTextChar">
    <w:name w:val="Endnote Text Char"/>
    <w:basedOn w:val="DefaultParagraphFont"/>
    <w:link w:val="EndnoteText"/>
    <w:uiPriority w:val="99"/>
    <w:rsid w:val="005066B9"/>
    <w:rPr>
      <w:sz w:val="24"/>
      <w:szCs w:val="24"/>
    </w:rPr>
  </w:style>
  <w:style w:type="character" w:styleId="EndnoteReference">
    <w:name w:val="endnote reference"/>
    <w:basedOn w:val="DefaultParagraphFont"/>
    <w:uiPriority w:val="99"/>
    <w:unhideWhenUsed/>
    <w:rsid w:val="005066B9"/>
    <w:rPr>
      <w:vertAlign w:val="superscript"/>
    </w:rPr>
  </w:style>
  <w:style w:type="paragraph" w:customStyle="1" w:styleId="EndNoteBibliographyTitle">
    <w:name w:val="EndNote Bibliography Title"/>
    <w:basedOn w:val="Normal"/>
    <w:rsid w:val="009B018C"/>
    <w:pPr>
      <w:jc w:val="center"/>
    </w:pPr>
  </w:style>
  <w:style w:type="paragraph" w:customStyle="1" w:styleId="EndNoteBibliography">
    <w:name w:val="EndNote Bibliography"/>
    <w:basedOn w:val="Normal"/>
    <w:rsid w:val="009B018C"/>
    <w:pPr>
      <w:spacing w:line="240" w:lineRule="auto"/>
      <w:jc w:val="center"/>
    </w:pPr>
  </w:style>
  <w:style w:type="paragraph" w:styleId="Footer">
    <w:name w:val="footer"/>
    <w:basedOn w:val="Normal"/>
    <w:link w:val="FooterChar"/>
    <w:uiPriority w:val="99"/>
    <w:unhideWhenUsed/>
    <w:rsid w:val="00B660A9"/>
    <w:pPr>
      <w:tabs>
        <w:tab w:val="center" w:pos="4320"/>
        <w:tab w:val="right" w:pos="8640"/>
      </w:tabs>
      <w:spacing w:line="240" w:lineRule="auto"/>
    </w:pPr>
  </w:style>
  <w:style w:type="character" w:customStyle="1" w:styleId="FooterChar">
    <w:name w:val="Footer Char"/>
    <w:basedOn w:val="DefaultParagraphFont"/>
    <w:link w:val="Footer"/>
    <w:uiPriority w:val="99"/>
    <w:rsid w:val="00B660A9"/>
  </w:style>
  <w:style w:type="character" w:styleId="PageNumber">
    <w:name w:val="page number"/>
    <w:basedOn w:val="DefaultParagraphFont"/>
    <w:uiPriority w:val="99"/>
    <w:semiHidden/>
    <w:unhideWhenUsed/>
    <w:rsid w:val="00B660A9"/>
  </w:style>
  <w:style w:type="paragraph" w:styleId="FootnoteText">
    <w:name w:val="footnote text"/>
    <w:basedOn w:val="Normal"/>
    <w:link w:val="FootnoteTextChar"/>
    <w:uiPriority w:val="99"/>
    <w:unhideWhenUsed/>
    <w:rsid w:val="00433D39"/>
    <w:pPr>
      <w:spacing w:line="240" w:lineRule="auto"/>
    </w:pPr>
    <w:rPr>
      <w:sz w:val="20"/>
      <w:szCs w:val="20"/>
    </w:rPr>
  </w:style>
  <w:style w:type="character" w:customStyle="1" w:styleId="FootnoteTextChar">
    <w:name w:val="Footnote Text Char"/>
    <w:basedOn w:val="DefaultParagraphFont"/>
    <w:link w:val="FootnoteText"/>
    <w:uiPriority w:val="99"/>
    <w:rsid w:val="00433D39"/>
    <w:rPr>
      <w:sz w:val="20"/>
      <w:szCs w:val="20"/>
    </w:rPr>
  </w:style>
  <w:style w:type="character" w:styleId="FootnoteReference">
    <w:name w:val="footnote reference"/>
    <w:basedOn w:val="DefaultParagraphFont"/>
    <w:uiPriority w:val="99"/>
    <w:unhideWhenUsed/>
    <w:rsid w:val="00433D39"/>
    <w:rPr>
      <w:vertAlign w:val="superscript"/>
    </w:rPr>
  </w:style>
  <w:style w:type="character" w:styleId="Hyperlink">
    <w:name w:val="Hyperlink"/>
    <w:basedOn w:val="DefaultParagraphFont"/>
    <w:uiPriority w:val="99"/>
    <w:unhideWhenUsed/>
    <w:rsid w:val="00042371"/>
    <w:rPr>
      <w:color w:val="0000FF" w:themeColor="hyperlink"/>
      <w:u w:val="single"/>
    </w:rPr>
  </w:style>
  <w:style w:type="table" w:styleId="TableGrid">
    <w:name w:val="Table Grid"/>
    <w:basedOn w:val="TableNormal"/>
    <w:uiPriority w:val="59"/>
    <w:rsid w:val="009D4BBD"/>
    <w:pPr>
      <w:spacing w:line="240" w:lineRule="auto"/>
    </w:pPr>
    <w:rPr>
      <w:rFonts w:asciiTheme="minorHAnsi" w:eastAsiaTheme="minorEastAsia" w:hAnsiTheme="minorHAnsi" w:cstheme="minorBidi"/>
      <w:color w:val="auto"/>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7003F6"/>
    <w:rPr>
      <w:b/>
      <w:bCs/>
    </w:rPr>
  </w:style>
  <w:style w:type="character" w:customStyle="1" w:styleId="CommentSubjectChar">
    <w:name w:val="Comment Subject Char"/>
    <w:basedOn w:val="CommentTextChar"/>
    <w:link w:val="CommentSubject"/>
    <w:uiPriority w:val="99"/>
    <w:semiHidden/>
    <w:rsid w:val="007003F6"/>
    <w:rPr>
      <w:b/>
      <w:bCs/>
      <w:sz w:val="20"/>
      <w:szCs w:val="20"/>
    </w:rPr>
  </w:style>
  <w:style w:type="paragraph" w:styleId="Revision">
    <w:name w:val="Revision"/>
    <w:hidden/>
    <w:uiPriority w:val="99"/>
    <w:semiHidden/>
    <w:rsid w:val="008C534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4720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tradema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2C707D6-0933-4E44-A1EC-D1FC0982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6314</Words>
  <Characters>35994</Characters>
  <Application>Microsoft Macintosh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o'reilly</dc:creator>
  <cp:lastModifiedBy>Peg Murray-Evans</cp:lastModifiedBy>
  <cp:revision>2</cp:revision>
  <cp:lastPrinted>2016-12-02T14:30:00Z</cp:lastPrinted>
  <dcterms:created xsi:type="dcterms:W3CDTF">2017-01-10T16:20:00Z</dcterms:created>
  <dcterms:modified xsi:type="dcterms:W3CDTF">2017-01-10T16:20:00Z</dcterms:modified>
</cp:coreProperties>
</file>