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6FFD5" w14:textId="77777777" w:rsidR="001702C4" w:rsidRPr="002C6FD3" w:rsidRDefault="001702C4" w:rsidP="001702C4">
      <w:pPr>
        <w:ind w:left="360"/>
        <w:rPr>
          <w:rFonts w:asciiTheme="majorHAnsi" w:hAnsiTheme="majorHAnsi"/>
          <w:b/>
        </w:rPr>
      </w:pPr>
      <w:r w:rsidRPr="002C6FD3">
        <w:rPr>
          <w:rFonts w:asciiTheme="majorHAnsi" w:hAnsiTheme="majorHAnsi"/>
          <w:b/>
        </w:rPr>
        <w:t xml:space="preserve">Innovative Financing Models for Low Carbon Transitions: Exploring the case for revolving funds for </w:t>
      </w:r>
      <w:r>
        <w:rPr>
          <w:rFonts w:asciiTheme="majorHAnsi" w:hAnsiTheme="majorHAnsi"/>
          <w:b/>
        </w:rPr>
        <w:t xml:space="preserve">domestic </w:t>
      </w:r>
      <w:r w:rsidRPr="002C6FD3">
        <w:rPr>
          <w:rFonts w:asciiTheme="majorHAnsi" w:hAnsiTheme="majorHAnsi"/>
          <w:b/>
        </w:rPr>
        <w:t xml:space="preserve">energy efficiency </w:t>
      </w:r>
      <w:r>
        <w:rPr>
          <w:rFonts w:asciiTheme="majorHAnsi" w:hAnsiTheme="majorHAnsi"/>
          <w:b/>
        </w:rPr>
        <w:t>programmes</w:t>
      </w:r>
      <w:r w:rsidRPr="002C6FD3">
        <w:rPr>
          <w:rFonts w:asciiTheme="majorHAnsi" w:hAnsiTheme="majorHAnsi"/>
          <w:b/>
        </w:rPr>
        <w:t xml:space="preserve"> </w:t>
      </w:r>
    </w:p>
    <w:p w14:paraId="7DE14C0B" w14:textId="77777777" w:rsidR="001702C4" w:rsidRPr="002C6FD3" w:rsidRDefault="001702C4" w:rsidP="001702C4">
      <w:pPr>
        <w:rPr>
          <w:rFonts w:asciiTheme="majorHAnsi" w:hAnsiTheme="majorHAnsi"/>
        </w:rPr>
      </w:pPr>
    </w:p>
    <w:p w14:paraId="472F2EA4" w14:textId="0BCF89D4" w:rsidR="001702C4" w:rsidRDefault="001702C4" w:rsidP="001702C4">
      <w:pPr>
        <w:ind w:left="360"/>
        <w:rPr>
          <w:rFonts w:asciiTheme="majorHAnsi" w:hAnsiTheme="majorHAnsi"/>
        </w:rPr>
      </w:pPr>
      <w:r w:rsidRPr="002C6FD3">
        <w:rPr>
          <w:rFonts w:asciiTheme="majorHAnsi" w:hAnsiTheme="majorHAnsi"/>
        </w:rPr>
        <w:t>Andy Gouldson</w:t>
      </w:r>
      <w:r>
        <w:rPr>
          <w:rFonts w:asciiTheme="majorHAnsi" w:hAnsiTheme="majorHAnsi"/>
        </w:rPr>
        <w:t xml:space="preserve"> (1)</w:t>
      </w:r>
      <w:r w:rsidRPr="002C6FD3">
        <w:rPr>
          <w:rFonts w:asciiTheme="majorHAnsi" w:hAnsiTheme="majorHAnsi"/>
        </w:rPr>
        <w:t>, Niall Kerr</w:t>
      </w:r>
      <w:r>
        <w:rPr>
          <w:rFonts w:asciiTheme="majorHAnsi" w:hAnsiTheme="majorHAnsi"/>
        </w:rPr>
        <w:t xml:space="preserve"> (</w:t>
      </w:r>
      <w:r w:rsidR="003A4F5F">
        <w:rPr>
          <w:rFonts w:asciiTheme="majorHAnsi" w:hAnsiTheme="majorHAnsi"/>
        </w:rPr>
        <w:t>2</w:t>
      </w:r>
      <w:r>
        <w:rPr>
          <w:rFonts w:asciiTheme="majorHAnsi" w:hAnsiTheme="majorHAnsi"/>
        </w:rPr>
        <w:t>)</w:t>
      </w:r>
      <w:r w:rsidRPr="002C6FD3">
        <w:rPr>
          <w:rFonts w:asciiTheme="majorHAnsi" w:hAnsiTheme="majorHAnsi"/>
        </w:rPr>
        <w:t>, Joel Millward-Hopkins</w:t>
      </w:r>
      <w:r>
        <w:rPr>
          <w:rFonts w:asciiTheme="majorHAnsi" w:hAnsiTheme="majorHAnsi"/>
        </w:rPr>
        <w:t xml:space="preserve"> (</w:t>
      </w:r>
      <w:r w:rsidR="003A4F5F">
        <w:rPr>
          <w:rFonts w:asciiTheme="majorHAnsi" w:hAnsiTheme="majorHAnsi"/>
        </w:rPr>
        <w:t>3</w:t>
      </w:r>
      <w:r>
        <w:rPr>
          <w:rFonts w:asciiTheme="majorHAnsi" w:hAnsiTheme="majorHAnsi"/>
        </w:rPr>
        <w:t>)</w:t>
      </w:r>
      <w:r w:rsidRPr="002C6FD3">
        <w:rPr>
          <w:rFonts w:asciiTheme="majorHAnsi" w:hAnsiTheme="majorHAnsi"/>
        </w:rPr>
        <w:t xml:space="preserve">, Mark </w:t>
      </w:r>
      <w:r>
        <w:rPr>
          <w:rFonts w:asciiTheme="majorHAnsi" w:hAnsiTheme="majorHAnsi"/>
        </w:rPr>
        <w:t xml:space="preserve">C. </w:t>
      </w:r>
      <w:r w:rsidRPr="002C6FD3">
        <w:rPr>
          <w:rFonts w:asciiTheme="majorHAnsi" w:hAnsiTheme="majorHAnsi"/>
        </w:rPr>
        <w:t>Freeman</w:t>
      </w:r>
      <w:r>
        <w:rPr>
          <w:rFonts w:asciiTheme="majorHAnsi" w:hAnsiTheme="majorHAnsi"/>
        </w:rPr>
        <w:t xml:space="preserve"> (4)</w:t>
      </w:r>
      <w:r w:rsidRPr="002C6FD3">
        <w:rPr>
          <w:rFonts w:asciiTheme="majorHAnsi" w:hAnsiTheme="majorHAnsi"/>
        </w:rPr>
        <w:t>, Corrado Topi</w:t>
      </w:r>
      <w:r>
        <w:rPr>
          <w:rFonts w:asciiTheme="majorHAnsi" w:hAnsiTheme="majorHAnsi"/>
        </w:rPr>
        <w:t xml:space="preserve"> (5) and Rory Sullivan (</w:t>
      </w:r>
      <w:r w:rsidR="003A4F5F">
        <w:rPr>
          <w:rFonts w:asciiTheme="majorHAnsi" w:hAnsiTheme="majorHAnsi"/>
        </w:rPr>
        <w:t>6</w:t>
      </w:r>
      <w:r>
        <w:rPr>
          <w:rFonts w:asciiTheme="majorHAnsi" w:hAnsiTheme="majorHAnsi"/>
        </w:rPr>
        <w:t>)</w:t>
      </w:r>
    </w:p>
    <w:p w14:paraId="781D321A" w14:textId="77777777" w:rsidR="001702C4" w:rsidRDefault="001702C4" w:rsidP="001702C4">
      <w:pPr>
        <w:ind w:left="360"/>
        <w:rPr>
          <w:rFonts w:asciiTheme="majorHAnsi" w:hAnsiTheme="majorHAnsi"/>
        </w:rPr>
      </w:pPr>
    </w:p>
    <w:p w14:paraId="307D6E8F" w14:textId="47A22E4B" w:rsidR="001702C4" w:rsidRDefault="003A4F5F" w:rsidP="001702C4">
      <w:pPr>
        <w:pStyle w:val="ListParagraph"/>
        <w:numPr>
          <w:ilvl w:val="0"/>
          <w:numId w:val="34"/>
        </w:numPr>
        <w:rPr>
          <w:rFonts w:asciiTheme="majorHAnsi" w:hAnsiTheme="majorHAnsi"/>
        </w:rPr>
      </w:pPr>
      <w:r w:rsidRPr="001702C4">
        <w:rPr>
          <w:rFonts w:asciiTheme="majorHAnsi" w:hAnsiTheme="majorHAnsi"/>
        </w:rPr>
        <w:t xml:space="preserve">School of Earth and Environment, University of Leeds, UK </w:t>
      </w:r>
      <w:r w:rsidR="001702C4">
        <w:rPr>
          <w:rFonts w:asciiTheme="majorHAnsi" w:hAnsiTheme="majorHAnsi"/>
        </w:rPr>
        <w:t>(</w:t>
      </w:r>
      <w:hyperlink r:id="rId8" w:history="1">
        <w:r w:rsidRPr="003A4F5F">
          <w:rPr>
            <w:rStyle w:val="Hyperlink"/>
            <w:rFonts w:asciiTheme="majorHAnsi" w:hAnsiTheme="majorHAnsi"/>
          </w:rPr>
          <w:t>a.gouldson@leeds.ac.uk</w:t>
        </w:r>
      </w:hyperlink>
      <w:r w:rsidR="001702C4">
        <w:rPr>
          <w:rFonts w:asciiTheme="majorHAnsi" w:hAnsiTheme="majorHAnsi"/>
        </w:rPr>
        <w:t>)</w:t>
      </w:r>
    </w:p>
    <w:p w14:paraId="24A1B3AC" w14:textId="77777777" w:rsidR="001702C4" w:rsidRPr="001702C4" w:rsidRDefault="001702C4" w:rsidP="001702C4">
      <w:pPr>
        <w:pStyle w:val="ListParagraph"/>
        <w:numPr>
          <w:ilvl w:val="0"/>
          <w:numId w:val="34"/>
        </w:numPr>
        <w:rPr>
          <w:rFonts w:asciiTheme="majorHAnsi" w:hAnsiTheme="majorHAnsi"/>
        </w:rPr>
      </w:pPr>
      <w:r w:rsidRPr="001702C4">
        <w:rPr>
          <w:rFonts w:asciiTheme="majorHAnsi" w:hAnsiTheme="majorHAnsi"/>
        </w:rPr>
        <w:t>School of Earth and Environment, University of Leeds, UK (</w:t>
      </w:r>
      <w:hyperlink r:id="rId9" w:history="1">
        <w:r w:rsidRPr="001702C4">
          <w:rPr>
            <w:rStyle w:val="Hyperlink"/>
            <w:rFonts w:asciiTheme="majorHAnsi" w:hAnsiTheme="majorHAnsi"/>
          </w:rPr>
          <w:t>n.kerr@leeds.ac.uk</w:t>
        </w:r>
      </w:hyperlink>
      <w:r w:rsidRPr="001702C4">
        <w:rPr>
          <w:rFonts w:asciiTheme="majorHAnsi" w:hAnsiTheme="majorHAnsi"/>
        </w:rPr>
        <w:t>)</w:t>
      </w:r>
    </w:p>
    <w:p w14:paraId="17167C7E" w14:textId="6428EC19" w:rsidR="001702C4" w:rsidRPr="001702C4" w:rsidRDefault="001702C4" w:rsidP="001702C4">
      <w:pPr>
        <w:pStyle w:val="ListParagraph"/>
        <w:numPr>
          <w:ilvl w:val="0"/>
          <w:numId w:val="34"/>
        </w:numPr>
        <w:rPr>
          <w:rFonts w:asciiTheme="majorHAnsi" w:hAnsiTheme="majorHAnsi"/>
        </w:rPr>
      </w:pPr>
      <w:r>
        <w:rPr>
          <w:rFonts w:asciiTheme="majorHAnsi" w:hAnsiTheme="majorHAnsi"/>
        </w:rPr>
        <w:t>School of Earth and Environment, University of Leeds, UK (</w:t>
      </w:r>
      <w:hyperlink r:id="rId10" w:history="1">
        <w:r w:rsidR="00AD37AE" w:rsidRPr="006D385D">
          <w:rPr>
            <w:rStyle w:val="Hyperlink"/>
            <w:rFonts w:asciiTheme="majorHAnsi" w:hAnsiTheme="majorHAnsi"/>
          </w:rPr>
          <w:t>jmhopkins@gmail.com</w:t>
        </w:r>
      </w:hyperlink>
      <w:r>
        <w:rPr>
          <w:rFonts w:asciiTheme="majorHAnsi" w:hAnsiTheme="majorHAnsi"/>
        </w:rPr>
        <w:t>)</w:t>
      </w:r>
    </w:p>
    <w:p w14:paraId="66B48F62" w14:textId="1F10090D" w:rsidR="001702C4" w:rsidRPr="001702C4" w:rsidRDefault="001702C4" w:rsidP="001702C4">
      <w:pPr>
        <w:pStyle w:val="ListParagraph"/>
        <w:numPr>
          <w:ilvl w:val="0"/>
          <w:numId w:val="34"/>
        </w:numPr>
        <w:rPr>
          <w:rFonts w:asciiTheme="majorHAnsi" w:hAnsiTheme="majorHAnsi"/>
        </w:rPr>
      </w:pPr>
      <w:r>
        <w:rPr>
          <w:rFonts w:asciiTheme="majorHAnsi" w:hAnsiTheme="majorHAnsi"/>
        </w:rPr>
        <w:t>School of Business and Economics, Loughborough University, UK (</w:t>
      </w:r>
      <w:hyperlink r:id="rId11" w:history="1">
        <w:r w:rsidR="00AD37AE" w:rsidRPr="006D385D">
          <w:rPr>
            <w:rStyle w:val="Hyperlink"/>
            <w:rFonts w:asciiTheme="majorHAnsi" w:hAnsiTheme="majorHAnsi"/>
          </w:rPr>
          <w:t>m.c.freeman@lboro.ac.uk</w:t>
        </w:r>
      </w:hyperlink>
      <w:r>
        <w:rPr>
          <w:rFonts w:asciiTheme="majorHAnsi" w:hAnsiTheme="majorHAnsi"/>
        </w:rPr>
        <w:t>)</w:t>
      </w:r>
    </w:p>
    <w:p w14:paraId="03EFFE29" w14:textId="563D5CE2" w:rsidR="001702C4" w:rsidRDefault="001702C4" w:rsidP="001702C4">
      <w:pPr>
        <w:pStyle w:val="ListParagraph"/>
        <w:numPr>
          <w:ilvl w:val="0"/>
          <w:numId w:val="34"/>
        </w:numPr>
        <w:rPr>
          <w:rFonts w:asciiTheme="majorHAnsi" w:hAnsiTheme="majorHAnsi"/>
        </w:rPr>
      </w:pPr>
      <w:r>
        <w:rPr>
          <w:rFonts w:asciiTheme="majorHAnsi" w:hAnsiTheme="majorHAnsi"/>
        </w:rPr>
        <w:t>Environment Department, University of York, UK (</w:t>
      </w:r>
      <w:hyperlink r:id="rId12" w:history="1">
        <w:r w:rsidRPr="006D385D">
          <w:rPr>
            <w:rStyle w:val="Hyperlink"/>
            <w:rFonts w:asciiTheme="majorHAnsi" w:hAnsiTheme="majorHAnsi"/>
          </w:rPr>
          <w:t>corrado.topi@york.ac.uk</w:t>
        </w:r>
      </w:hyperlink>
      <w:r>
        <w:rPr>
          <w:rFonts w:asciiTheme="majorHAnsi" w:hAnsiTheme="majorHAnsi"/>
        </w:rPr>
        <w:t>)</w:t>
      </w:r>
    </w:p>
    <w:p w14:paraId="4CBFFFA5" w14:textId="23B89965" w:rsidR="001702C4" w:rsidRDefault="001702C4" w:rsidP="001702C4">
      <w:pPr>
        <w:pStyle w:val="ListParagraph"/>
        <w:numPr>
          <w:ilvl w:val="0"/>
          <w:numId w:val="34"/>
        </w:numPr>
        <w:rPr>
          <w:rFonts w:asciiTheme="majorHAnsi" w:hAnsiTheme="majorHAnsi"/>
        </w:rPr>
      </w:pPr>
      <w:r>
        <w:rPr>
          <w:rFonts w:asciiTheme="majorHAnsi" w:hAnsiTheme="majorHAnsi"/>
        </w:rPr>
        <w:t>School of Earth and Environment, University of Leeds, UK (</w:t>
      </w:r>
      <w:hyperlink r:id="rId13" w:history="1">
        <w:r w:rsidRPr="006D385D">
          <w:rPr>
            <w:rStyle w:val="Hyperlink"/>
            <w:rFonts w:asciiTheme="majorHAnsi" w:hAnsiTheme="majorHAnsi"/>
          </w:rPr>
          <w:t>rory@rorysullivan.org</w:t>
        </w:r>
      </w:hyperlink>
      <w:r>
        <w:rPr>
          <w:rFonts w:asciiTheme="majorHAnsi" w:hAnsiTheme="majorHAnsi"/>
        </w:rPr>
        <w:t>)</w:t>
      </w:r>
    </w:p>
    <w:p w14:paraId="07DB7334" w14:textId="77777777" w:rsidR="001702C4" w:rsidRPr="001702C4" w:rsidRDefault="001702C4" w:rsidP="001702C4">
      <w:pPr>
        <w:rPr>
          <w:rFonts w:asciiTheme="majorHAnsi" w:hAnsiTheme="majorHAnsi"/>
        </w:rPr>
      </w:pPr>
    </w:p>
    <w:p w14:paraId="28F62D22" w14:textId="77777777" w:rsidR="001702C4" w:rsidRDefault="001702C4" w:rsidP="001702C4">
      <w:pPr>
        <w:rPr>
          <w:rFonts w:asciiTheme="majorHAnsi" w:hAnsiTheme="majorHAnsi"/>
        </w:rPr>
      </w:pPr>
    </w:p>
    <w:p w14:paraId="072E3AB6" w14:textId="77777777" w:rsidR="001702C4" w:rsidRPr="00AC1253" w:rsidRDefault="001702C4" w:rsidP="001702C4">
      <w:pPr>
        <w:ind w:firstLine="360"/>
        <w:rPr>
          <w:rFonts w:asciiTheme="majorHAnsi" w:hAnsiTheme="majorHAnsi"/>
          <w:b/>
        </w:rPr>
      </w:pPr>
      <w:r w:rsidRPr="00AC1253">
        <w:rPr>
          <w:rFonts w:asciiTheme="majorHAnsi" w:hAnsiTheme="majorHAnsi"/>
          <w:b/>
        </w:rPr>
        <w:t>Corresponding author</w:t>
      </w:r>
    </w:p>
    <w:p w14:paraId="138F04ED" w14:textId="77777777" w:rsidR="001702C4" w:rsidRDefault="001702C4" w:rsidP="001702C4">
      <w:pPr>
        <w:ind w:firstLine="360"/>
        <w:rPr>
          <w:rFonts w:asciiTheme="majorHAnsi" w:hAnsiTheme="majorHAnsi"/>
        </w:rPr>
      </w:pPr>
      <w:r>
        <w:rPr>
          <w:rFonts w:asciiTheme="majorHAnsi" w:hAnsiTheme="majorHAnsi"/>
        </w:rPr>
        <w:t>Prof Andy Gouldson</w:t>
      </w:r>
    </w:p>
    <w:p w14:paraId="1BE78BAE" w14:textId="35E71BA5" w:rsidR="003A4F5F" w:rsidRDefault="001702C4" w:rsidP="003A4F5F">
      <w:pPr>
        <w:ind w:firstLine="360"/>
        <w:rPr>
          <w:rFonts w:asciiTheme="majorHAnsi" w:hAnsiTheme="majorHAnsi"/>
        </w:rPr>
      </w:pPr>
      <w:r>
        <w:rPr>
          <w:rFonts w:asciiTheme="majorHAnsi" w:hAnsiTheme="majorHAnsi"/>
        </w:rPr>
        <w:t xml:space="preserve">School </w:t>
      </w:r>
      <w:r w:rsidR="003A4F5F">
        <w:rPr>
          <w:rFonts w:asciiTheme="majorHAnsi" w:hAnsiTheme="majorHAnsi"/>
        </w:rPr>
        <w:t>of Earth and Environment</w:t>
      </w:r>
    </w:p>
    <w:p w14:paraId="01C75387" w14:textId="7E1C5990" w:rsidR="001702C4" w:rsidRDefault="003A4F5F" w:rsidP="003A4F5F">
      <w:pPr>
        <w:ind w:firstLine="360"/>
        <w:rPr>
          <w:rFonts w:asciiTheme="majorHAnsi" w:hAnsiTheme="majorHAnsi"/>
        </w:rPr>
      </w:pPr>
      <w:r>
        <w:rPr>
          <w:rFonts w:asciiTheme="majorHAnsi" w:hAnsiTheme="majorHAnsi"/>
        </w:rPr>
        <w:t>University of Leeds, Leeds LS2 9JT</w:t>
      </w:r>
      <w:r w:rsidR="001702C4">
        <w:rPr>
          <w:rFonts w:asciiTheme="majorHAnsi" w:hAnsiTheme="majorHAnsi"/>
          <w:lang w:val="en-US"/>
        </w:rPr>
        <w:t>, UK.</w:t>
      </w:r>
    </w:p>
    <w:p w14:paraId="56DC0DF3" w14:textId="20A4D43D" w:rsidR="001702C4" w:rsidRDefault="001702C4" w:rsidP="001702C4">
      <w:pPr>
        <w:ind w:firstLine="360"/>
        <w:rPr>
          <w:rStyle w:val="Hyperlink"/>
          <w:rFonts w:asciiTheme="majorHAnsi" w:hAnsiTheme="majorHAnsi"/>
        </w:rPr>
      </w:pPr>
      <w:r>
        <w:rPr>
          <w:rFonts w:asciiTheme="majorHAnsi" w:hAnsiTheme="majorHAnsi"/>
        </w:rPr>
        <w:t xml:space="preserve">E-mail - </w:t>
      </w:r>
      <w:hyperlink r:id="rId14" w:history="1">
        <w:r w:rsidR="003A4F5F" w:rsidRPr="003A4F5F">
          <w:rPr>
            <w:rStyle w:val="Hyperlink"/>
            <w:rFonts w:asciiTheme="majorHAnsi" w:hAnsiTheme="majorHAnsi"/>
          </w:rPr>
          <w:t>a.gouldson@leeds.ac.uk</w:t>
        </w:r>
      </w:hyperlink>
    </w:p>
    <w:p w14:paraId="7C856634" w14:textId="77777777" w:rsidR="001702C4" w:rsidRDefault="001702C4" w:rsidP="001702C4">
      <w:pPr>
        <w:ind w:firstLine="360"/>
        <w:rPr>
          <w:rStyle w:val="Hyperlink"/>
          <w:rFonts w:asciiTheme="majorHAnsi" w:hAnsiTheme="majorHAnsi"/>
        </w:rPr>
      </w:pPr>
    </w:p>
    <w:p w14:paraId="24AED37A" w14:textId="77777777" w:rsidR="001702C4" w:rsidRDefault="001702C4" w:rsidP="001702C4">
      <w:pPr>
        <w:ind w:firstLine="360"/>
        <w:rPr>
          <w:rStyle w:val="Hyperlink"/>
          <w:rFonts w:asciiTheme="majorHAnsi" w:hAnsiTheme="majorHAnsi"/>
        </w:rPr>
      </w:pPr>
    </w:p>
    <w:p w14:paraId="5BAAB2EB" w14:textId="77777777" w:rsidR="001702C4" w:rsidRPr="00590D84" w:rsidRDefault="001702C4" w:rsidP="001702C4">
      <w:pPr>
        <w:ind w:firstLine="360"/>
        <w:rPr>
          <w:rFonts w:asciiTheme="majorHAnsi" w:hAnsiTheme="majorHAnsi"/>
          <w:b/>
        </w:rPr>
      </w:pPr>
      <w:r w:rsidRPr="00590D84">
        <w:rPr>
          <w:rFonts w:asciiTheme="majorHAnsi" w:hAnsiTheme="majorHAnsi"/>
          <w:b/>
        </w:rPr>
        <w:t>Acknowledgements</w:t>
      </w:r>
    </w:p>
    <w:p w14:paraId="3E9EB9DD" w14:textId="77777777" w:rsidR="001702C4" w:rsidRPr="00590D84" w:rsidRDefault="001702C4" w:rsidP="001702C4">
      <w:pPr>
        <w:ind w:left="360"/>
        <w:rPr>
          <w:rFonts w:asciiTheme="majorHAnsi" w:hAnsiTheme="majorHAnsi"/>
        </w:rPr>
      </w:pPr>
      <w:r w:rsidRPr="00590D84">
        <w:rPr>
          <w:rFonts w:asciiTheme="majorHAnsi" w:hAnsiTheme="majorHAnsi"/>
        </w:rPr>
        <w:t xml:space="preserve">The authors </w:t>
      </w:r>
      <w:r>
        <w:rPr>
          <w:rFonts w:asciiTheme="majorHAnsi" w:hAnsiTheme="majorHAnsi"/>
        </w:rPr>
        <w:t xml:space="preserve">gratefully </w:t>
      </w:r>
      <w:r w:rsidRPr="00590D84">
        <w:rPr>
          <w:rFonts w:asciiTheme="majorHAnsi" w:hAnsiTheme="majorHAnsi"/>
        </w:rPr>
        <w:t>acknowledge the financial support for the research that led to this paper that was provided by the EU through the FESSUD project</w:t>
      </w:r>
      <w:r>
        <w:rPr>
          <w:rFonts w:asciiTheme="majorHAnsi" w:hAnsiTheme="majorHAnsi"/>
        </w:rPr>
        <w:t xml:space="preserve"> and</w:t>
      </w:r>
      <w:r w:rsidRPr="00590D84">
        <w:rPr>
          <w:rFonts w:asciiTheme="majorHAnsi" w:hAnsiTheme="majorHAnsi"/>
        </w:rPr>
        <w:t xml:space="preserve"> by the EPSRC and ESRC under the IBuild Programme</w:t>
      </w:r>
      <w:r>
        <w:rPr>
          <w:rFonts w:asciiTheme="majorHAnsi" w:hAnsiTheme="majorHAnsi"/>
        </w:rPr>
        <w:t xml:space="preserve">. Support was also provided by </w:t>
      </w:r>
      <w:r w:rsidRPr="00590D84">
        <w:rPr>
          <w:rFonts w:asciiTheme="majorHAnsi" w:hAnsiTheme="majorHAnsi"/>
        </w:rPr>
        <w:t xml:space="preserve">the ESRC through the Centre for Climate Change Economics and Policy. </w:t>
      </w:r>
    </w:p>
    <w:p w14:paraId="61F3A917" w14:textId="77777777" w:rsidR="001702C4" w:rsidRPr="00AC1253" w:rsidRDefault="001702C4" w:rsidP="001702C4">
      <w:pPr>
        <w:ind w:firstLine="360"/>
        <w:rPr>
          <w:rFonts w:asciiTheme="majorHAnsi" w:hAnsiTheme="majorHAnsi"/>
        </w:rPr>
      </w:pPr>
    </w:p>
    <w:p w14:paraId="53100E0D" w14:textId="77777777" w:rsidR="001702C4" w:rsidRDefault="001702C4" w:rsidP="001702C4">
      <w:pPr>
        <w:rPr>
          <w:rFonts w:asciiTheme="majorHAnsi" w:hAnsiTheme="majorHAnsi"/>
        </w:rPr>
      </w:pPr>
      <w:r>
        <w:rPr>
          <w:rFonts w:asciiTheme="majorHAnsi" w:hAnsiTheme="majorHAnsi"/>
        </w:rPr>
        <w:br w:type="page"/>
      </w:r>
    </w:p>
    <w:p w14:paraId="03541B2A" w14:textId="77777777" w:rsidR="00AC1253" w:rsidRPr="000B5A31" w:rsidRDefault="00AC1253" w:rsidP="000B5A31">
      <w:pPr>
        <w:spacing w:line="480" w:lineRule="auto"/>
        <w:rPr>
          <w:rFonts w:asciiTheme="majorHAnsi" w:hAnsiTheme="majorHAnsi" w:cs="Arial"/>
          <w:b/>
        </w:rPr>
      </w:pPr>
      <w:r w:rsidRPr="000B5A31">
        <w:rPr>
          <w:rFonts w:asciiTheme="majorHAnsi" w:hAnsiTheme="majorHAnsi" w:cs="Arial"/>
          <w:b/>
        </w:rPr>
        <w:lastRenderedPageBreak/>
        <w:t xml:space="preserve">Innovative Financing Models for Low Carbon Transitions: Exploring the case for revolving funds for domestic energy efficiency programmes </w:t>
      </w:r>
    </w:p>
    <w:p w14:paraId="412D1673" w14:textId="77777777" w:rsidR="000B5A31" w:rsidRPr="000B5A31" w:rsidRDefault="000B5A31" w:rsidP="000B5A31">
      <w:pPr>
        <w:spacing w:line="480" w:lineRule="auto"/>
        <w:rPr>
          <w:rFonts w:asciiTheme="majorHAnsi" w:hAnsiTheme="majorHAnsi" w:cs="Arial"/>
        </w:rPr>
      </w:pPr>
    </w:p>
    <w:p w14:paraId="112FB348" w14:textId="79C30501" w:rsidR="00141C0D" w:rsidRPr="000B5A31" w:rsidRDefault="00141C0D" w:rsidP="00AB0182">
      <w:pPr>
        <w:spacing w:line="480" w:lineRule="auto"/>
        <w:rPr>
          <w:rFonts w:asciiTheme="majorHAnsi" w:hAnsiTheme="majorHAnsi" w:cs="Arial"/>
          <w:b/>
        </w:rPr>
      </w:pPr>
      <w:r w:rsidRPr="000B5A31">
        <w:rPr>
          <w:rFonts w:asciiTheme="majorHAnsi" w:hAnsiTheme="majorHAnsi" w:cs="Arial"/>
          <w:b/>
        </w:rPr>
        <w:t xml:space="preserve">Abstract </w:t>
      </w:r>
    </w:p>
    <w:p w14:paraId="6DFD8FDE" w14:textId="2F17EF45" w:rsidR="008203D9" w:rsidRPr="000B5A31" w:rsidRDefault="008E1275" w:rsidP="000B5A31">
      <w:pPr>
        <w:spacing w:line="480" w:lineRule="auto"/>
        <w:rPr>
          <w:rFonts w:asciiTheme="majorHAnsi" w:hAnsiTheme="majorHAnsi" w:cs="Arial"/>
        </w:rPr>
      </w:pPr>
      <w:r>
        <w:rPr>
          <w:rFonts w:asciiTheme="majorHAnsi" w:hAnsiTheme="majorHAnsi" w:cs="Arial"/>
        </w:rPr>
        <w:t>T</w:t>
      </w:r>
      <w:r w:rsidRPr="000B5A31">
        <w:rPr>
          <w:rFonts w:asciiTheme="majorHAnsi" w:hAnsiTheme="majorHAnsi" w:cs="Arial"/>
        </w:rPr>
        <w:t xml:space="preserve">he </w:t>
      </w:r>
      <w:r w:rsidR="00FC3073">
        <w:rPr>
          <w:rFonts w:asciiTheme="majorHAnsi" w:hAnsiTheme="majorHAnsi" w:cs="Arial"/>
        </w:rPr>
        <w:t>IEA</w:t>
      </w:r>
      <w:r>
        <w:rPr>
          <w:rFonts w:asciiTheme="majorHAnsi" w:hAnsiTheme="majorHAnsi" w:cs="Arial"/>
        </w:rPr>
        <w:t xml:space="preserve"> has </w:t>
      </w:r>
      <w:r w:rsidRPr="000B5A31">
        <w:rPr>
          <w:rFonts w:asciiTheme="majorHAnsi" w:hAnsiTheme="majorHAnsi" w:cs="Arial"/>
        </w:rPr>
        <w:t>estimated that</w:t>
      </w:r>
      <w:r w:rsidR="00CB03F2">
        <w:rPr>
          <w:rFonts w:asciiTheme="majorHAnsi" w:hAnsiTheme="majorHAnsi" w:cs="Arial"/>
        </w:rPr>
        <w:t xml:space="preserve"> over the next four decades US$</w:t>
      </w:r>
      <w:r w:rsidRPr="000B5A31">
        <w:rPr>
          <w:rFonts w:asciiTheme="majorHAnsi" w:hAnsiTheme="majorHAnsi" w:cs="Arial"/>
        </w:rPr>
        <w:t xml:space="preserve">31 trillion will be required to promote energy efficiency in buildings at a rate that gives the world a good chance of </w:t>
      </w:r>
      <w:r>
        <w:rPr>
          <w:rFonts w:asciiTheme="majorHAnsi" w:hAnsiTheme="majorHAnsi" w:cs="Arial"/>
        </w:rPr>
        <w:t xml:space="preserve">avoiding dangerous </w:t>
      </w:r>
      <w:r w:rsidRPr="000B5A31">
        <w:rPr>
          <w:rFonts w:asciiTheme="majorHAnsi" w:hAnsiTheme="majorHAnsi" w:cs="Arial"/>
        </w:rPr>
        <w:t>climate change.</w:t>
      </w:r>
      <w:r w:rsidR="00AD37AE">
        <w:rPr>
          <w:rFonts w:asciiTheme="majorHAnsi" w:hAnsiTheme="majorHAnsi" w:cs="Arial"/>
        </w:rPr>
        <w:t xml:space="preserve"> However, </w:t>
      </w:r>
      <w:r w:rsidR="001F4EB2">
        <w:rPr>
          <w:rFonts w:asciiTheme="majorHAnsi" w:hAnsiTheme="majorHAnsi" w:cs="Arial"/>
        </w:rPr>
        <w:t xml:space="preserve">at the national and local levels </w:t>
      </w:r>
      <w:r w:rsidR="00AD37AE">
        <w:rPr>
          <w:rFonts w:asciiTheme="majorHAnsi" w:hAnsiTheme="majorHAnsi" w:cs="Arial"/>
        </w:rPr>
        <w:t>t</w:t>
      </w:r>
      <w:r>
        <w:rPr>
          <w:rFonts w:asciiTheme="majorHAnsi" w:hAnsiTheme="majorHAnsi" w:cs="Arial"/>
        </w:rPr>
        <w:t>he opportunities to make such investments are often constrained, particularly in contexts of austerity. W</w:t>
      </w:r>
      <w:r w:rsidR="009E790D" w:rsidRPr="000B5A31">
        <w:rPr>
          <w:rFonts w:asciiTheme="majorHAnsi" w:hAnsiTheme="majorHAnsi" w:cs="Arial"/>
        </w:rPr>
        <w:t>e consider</w:t>
      </w:r>
      <w:r w:rsidR="000A68C2" w:rsidRPr="000B5A31">
        <w:rPr>
          <w:rFonts w:asciiTheme="majorHAnsi" w:hAnsiTheme="majorHAnsi" w:cs="Arial"/>
        </w:rPr>
        <w:t xml:space="preserve"> </w:t>
      </w:r>
      <w:r w:rsidR="00F602C3" w:rsidRPr="000B5A31">
        <w:rPr>
          <w:rFonts w:asciiTheme="majorHAnsi" w:hAnsiTheme="majorHAnsi" w:cs="Arial"/>
        </w:rPr>
        <w:t xml:space="preserve">the potential of revolving funds </w:t>
      </w:r>
      <w:r w:rsidR="00DA7705" w:rsidRPr="000B5A31">
        <w:rPr>
          <w:rFonts w:asciiTheme="majorHAnsi" w:hAnsiTheme="majorHAnsi" w:cs="Arial"/>
        </w:rPr>
        <w:t xml:space="preserve">as an innovative financing mechanism </w:t>
      </w:r>
      <w:r w:rsidR="00F602C3" w:rsidRPr="000B5A31">
        <w:rPr>
          <w:rFonts w:asciiTheme="majorHAnsi" w:hAnsiTheme="majorHAnsi" w:cs="Arial"/>
        </w:rPr>
        <w:t xml:space="preserve">that could reduce </w:t>
      </w:r>
      <w:r w:rsidR="00676EC8" w:rsidRPr="000B5A31">
        <w:rPr>
          <w:rFonts w:asciiTheme="majorHAnsi" w:hAnsiTheme="majorHAnsi" w:cs="Arial"/>
        </w:rPr>
        <w:t xml:space="preserve">investment requirements </w:t>
      </w:r>
      <w:r w:rsidR="00CB03F2">
        <w:rPr>
          <w:rFonts w:asciiTheme="majorHAnsi" w:hAnsiTheme="majorHAnsi" w:cs="Arial"/>
        </w:rPr>
        <w:t xml:space="preserve">and </w:t>
      </w:r>
      <w:r w:rsidR="00F602C3" w:rsidRPr="000B5A31">
        <w:rPr>
          <w:rFonts w:asciiTheme="majorHAnsi" w:hAnsiTheme="majorHAnsi" w:cs="Arial"/>
        </w:rPr>
        <w:t xml:space="preserve">enhance </w:t>
      </w:r>
      <w:r w:rsidR="00CB03F2">
        <w:rPr>
          <w:rFonts w:asciiTheme="majorHAnsi" w:hAnsiTheme="majorHAnsi" w:cs="Arial"/>
        </w:rPr>
        <w:t xml:space="preserve">investment impacts </w:t>
      </w:r>
      <w:r w:rsidR="00F602C3" w:rsidRPr="000B5A31">
        <w:rPr>
          <w:rFonts w:asciiTheme="majorHAnsi" w:hAnsiTheme="majorHAnsi" w:cs="Arial"/>
        </w:rPr>
        <w:t>by r</w:t>
      </w:r>
      <w:r w:rsidR="004D6A4B" w:rsidRPr="000B5A31">
        <w:rPr>
          <w:rFonts w:asciiTheme="majorHAnsi" w:hAnsiTheme="majorHAnsi" w:cs="Arial"/>
        </w:rPr>
        <w:t>ecover</w:t>
      </w:r>
      <w:r w:rsidR="00F602C3" w:rsidRPr="000B5A31">
        <w:rPr>
          <w:rFonts w:asciiTheme="majorHAnsi" w:hAnsiTheme="majorHAnsi" w:cs="Arial"/>
        </w:rPr>
        <w:t>ing and reinvesting</w:t>
      </w:r>
      <w:r w:rsidR="00DF51E3" w:rsidRPr="000B5A31">
        <w:rPr>
          <w:rFonts w:asciiTheme="majorHAnsi" w:hAnsiTheme="majorHAnsi" w:cs="Arial"/>
        </w:rPr>
        <w:t xml:space="preserve"> </w:t>
      </w:r>
      <w:r w:rsidR="00F602C3" w:rsidRPr="000B5A31">
        <w:rPr>
          <w:rFonts w:asciiTheme="majorHAnsi" w:hAnsiTheme="majorHAnsi" w:cs="Arial"/>
        </w:rPr>
        <w:t>s</w:t>
      </w:r>
      <w:r w:rsidR="00E6684C" w:rsidRPr="000B5A31">
        <w:rPr>
          <w:rFonts w:asciiTheme="majorHAnsi" w:hAnsiTheme="majorHAnsi" w:cs="Arial"/>
        </w:rPr>
        <w:t>ome of the s</w:t>
      </w:r>
      <w:r w:rsidR="00F602C3" w:rsidRPr="000B5A31">
        <w:rPr>
          <w:rFonts w:asciiTheme="majorHAnsi" w:hAnsiTheme="majorHAnsi" w:cs="Arial"/>
        </w:rPr>
        <w:t xml:space="preserve">avings </w:t>
      </w:r>
      <w:r w:rsidR="00B66AC1" w:rsidRPr="000B5A31">
        <w:rPr>
          <w:rFonts w:asciiTheme="majorHAnsi" w:hAnsiTheme="majorHAnsi" w:cs="Arial"/>
        </w:rPr>
        <w:t>generated by</w:t>
      </w:r>
      <w:r w:rsidR="00F602C3" w:rsidRPr="000B5A31">
        <w:rPr>
          <w:rFonts w:asciiTheme="majorHAnsi" w:hAnsiTheme="majorHAnsi" w:cs="Arial"/>
        </w:rPr>
        <w:t xml:space="preserve"> early investments</w:t>
      </w:r>
      <w:r w:rsidR="00CA78D6" w:rsidRPr="000B5A31">
        <w:rPr>
          <w:rFonts w:asciiTheme="majorHAnsi" w:hAnsiTheme="majorHAnsi" w:cs="Arial"/>
        </w:rPr>
        <w:t xml:space="preserve">. </w:t>
      </w:r>
      <w:r w:rsidR="00DF51E3" w:rsidRPr="000B5A31">
        <w:rPr>
          <w:rFonts w:asciiTheme="majorHAnsi" w:hAnsiTheme="majorHAnsi" w:cs="Arial"/>
        </w:rPr>
        <w:t xml:space="preserve">Such funds have been created in </w:t>
      </w:r>
      <w:r w:rsidR="00DD26A8" w:rsidRPr="000B5A31">
        <w:rPr>
          <w:rFonts w:asciiTheme="majorHAnsi" w:hAnsiTheme="majorHAnsi" w:cs="Arial"/>
        </w:rPr>
        <w:t xml:space="preserve">various </w:t>
      </w:r>
      <w:r w:rsidR="00DF51E3" w:rsidRPr="000B5A31">
        <w:rPr>
          <w:rFonts w:asciiTheme="majorHAnsi" w:hAnsiTheme="majorHAnsi" w:cs="Arial"/>
        </w:rPr>
        <w:t>contexts, but there has never been a formal academic evaluation of the</w:t>
      </w:r>
      <w:r w:rsidR="000A68C2" w:rsidRPr="000B5A31">
        <w:rPr>
          <w:rFonts w:asciiTheme="majorHAnsi" w:hAnsiTheme="majorHAnsi" w:cs="Arial"/>
        </w:rPr>
        <w:t>ir potential</w:t>
      </w:r>
      <w:r w:rsidR="00C86F5B">
        <w:rPr>
          <w:rFonts w:asciiTheme="majorHAnsi" w:hAnsiTheme="majorHAnsi" w:cs="Arial"/>
        </w:rPr>
        <w:t xml:space="preserve"> to contribute to low carbon transitions</w:t>
      </w:r>
      <w:r w:rsidR="00DF51E3" w:rsidRPr="000B5A31">
        <w:rPr>
          <w:rFonts w:asciiTheme="majorHAnsi" w:hAnsiTheme="majorHAnsi" w:cs="Arial"/>
        </w:rPr>
        <w:t xml:space="preserve">. </w:t>
      </w:r>
      <w:r w:rsidR="009E790D" w:rsidRPr="000B5A31">
        <w:rPr>
          <w:rFonts w:asciiTheme="majorHAnsi" w:hAnsiTheme="majorHAnsi" w:cs="Arial"/>
        </w:rPr>
        <w:t xml:space="preserve">To address this, we </w:t>
      </w:r>
      <w:r w:rsidR="004D6A4B" w:rsidRPr="000B5A31">
        <w:rPr>
          <w:rFonts w:asciiTheme="majorHAnsi" w:hAnsiTheme="majorHAnsi" w:cs="Arial"/>
        </w:rPr>
        <w:t>p</w:t>
      </w:r>
      <w:r w:rsidR="009E790D" w:rsidRPr="000B5A31">
        <w:rPr>
          <w:rFonts w:asciiTheme="majorHAnsi" w:hAnsiTheme="majorHAnsi" w:cs="Arial"/>
        </w:rPr>
        <w:t>ropose</w:t>
      </w:r>
      <w:r w:rsidR="00CA78D6" w:rsidRPr="000B5A31">
        <w:rPr>
          <w:rFonts w:asciiTheme="majorHAnsi" w:hAnsiTheme="majorHAnsi" w:cs="Arial"/>
        </w:rPr>
        <w:t xml:space="preserve"> a </w:t>
      </w:r>
      <w:r w:rsidR="002C6FD3" w:rsidRPr="000B5A31">
        <w:rPr>
          <w:rFonts w:asciiTheme="majorHAnsi" w:hAnsiTheme="majorHAnsi" w:cs="Arial"/>
        </w:rPr>
        <w:t xml:space="preserve">generic </w:t>
      </w:r>
      <w:r w:rsidR="00CA78D6" w:rsidRPr="000B5A31">
        <w:rPr>
          <w:rFonts w:asciiTheme="majorHAnsi" w:hAnsiTheme="majorHAnsi" w:cs="Arial"/>
        </w:rPr>
        <w:t>revol</w:t>
      </w:r>
      <w:r w:rsidR="002F386A" w:rsidRPr="000B5A31">
        <w:rPr>
          <w:rFonts w:asciiTheme="majorHAnsi" w:hAnsiTheme="majorHAnsi" w:cs="Arial"/>
        </w:rPr>
        <w:t>ving fund model</w:t>
      </w:r>
      <w:r w:rsidR="00CA78D6" w:rsidRPr="000B5A31">
        <w:rPr>
          <w:rFonts w:asciiTheme="majorHAnsi" w:hAnsiTheme="majorHAnsi" w:cs="Arial"/>
        </w:rPr>
        <w:t xml:space="preserve"> </w:t>
      </w:r>
      <w:r>
        <w:rPr>
          <w:rFonts w:asciiTheme="majorHAnsi" w:hAnsiTheme="majorHAnsi" w:cs="Arial"/>
        </w:rPr>
        <w:t>and apply it</w:t>
      </w:r>
      <w:r w:rsidR="00AD4E44" w:rsidRPr="000B5A31">
        <w:rPr>
          <w:rFonts w:asciiTheme="majorHAnsi" w:hAnsiTheme="majorHAnsi" w:cs="Arial"/>
        </w:rPr>
        <w:t xml:space="preserve"> using data on the costs and benefits of </w:t>
      </w:r>
      <w:r w:rsidR="00CA78D6" w:rsidRPr="000B5A31">
        <w:rPr>
          <w:rFonts w:asciiTheme="majorHAnsi" w:hAnsiTheme="majorHAnsi" w:cs="Arial"/>
        </w:rPr>
        <w:t>domestic sector retrofit in the UK.</w:t>
      </w:r>
      <w:r w:rsidR="00AD4E44" w:rsidRPr="000B5A31">
        <w:rPr>
          <w:rFonts w:asciiTheme="majorHAnsi" w:hAnsiTheme="majorHAnsi" w:cs="Arial"/>
        </w:rPr>
        <w:t xml:space="preserve"> </w:t>
      </w:r>
      <w:r w:rsidR="00CB03F2">
        <w:rPr>
          <w:rFonts w:asciiTheme="majorHAnsi" w:hAnsiTheme="majorHAnsi" w:cs="Arial"/>
        </w:rPr>
        <w:t>We find</w:t>
      </w:r>
      <w:r w:rsidR="00AD4E44" w:rsidRPr="000B5A31">
        <w:rPr>
          <w:rFonts w:asciiTheme="majorHAnsi" w:hAnsiTheme="majorHAnsi" w:cs="Arial"/>
        </w:rPr>
        <w:t xml:space="preserve"> </w:t>
      </w:r>
      <w:r w:rsidR="000B31A4" w:rsidRPr="000B5A31">
        <w:rPr>
          <w:rFonts w:asciiTheme="majorHAnsi" w:hAnsiTheme="majorHAnsi" w:cs="Arial"/>
        </w:rPr>
        <w:t>that a</w:t>
      </w:r>
      <w:r w:rsidR="002F386A" w:rsidRPr="000B5A31">
        <w:rPr>
          <w:rFonts w:asciiTheme="majorHAnsi" w:hAnsiTheme="majorHAnsi" w:cs="Arial"/>
        </w:rPr>
        <w:t xml:space="preserve"> revolving fund could reduce the costs of domestic sector ret</w:t>
      </w:r>
      <w:r w:rsidR="00345664">
        <w:rPr>
          <w:rFonts w:asciiTheme="majorHAnsi" w:hAnsiTheme="majorHAnsi" w:cs="Arial"/>
        </w:rPr>
        <w:t xml:space="preserve">rofit in the UK by </w:t>
      </w:r>
      <w:r w:rsidR="00D53129">
        <w:rPr>
          <w:rFonts w:asciiTheme="majorHAnsi" w:hAnsiTheme="majorHAnsi" w:cs="Arial"/>
        </w:rPr>
        <w:t xml:space="preserve">26%, or </w:t>
      </w:r>
      <w:r w:rsidR="00345664">
        <w:rPr>
          <w:rFonts w:asciiTheme="majorHAnsi" w:hAnsiTheme="majorHAnsi" w:cs="Arial"/>
        </w:rPr>
        <w:t>£9</w:t>
      </w:r>
      <w:r w:rsidR="00D53129">
        <w:rPr>
          <w:rFonts w:asciiTheme="majorHAnsi" w:hAnsiTheme="majorHAnsi" w:cs="Arial"/>
        </w:rPr>
        <w:t xml:space="preserve"> billion,</w:t>
      </w:r>
      <w:r>
        <w:rPr>
          <w:rFonts w:asciiTheme="majorHAnsi" w:hAnsiTheme="majorHAnsi" w:cs="Arial"/>
        </w:rPr>
        <w:t xml:space="preserve"> </w:t>
      </w:r>
      <w:r w:rsidR="002F386A" w:rsidRPr="000B5A31">
        <w:rPr>
          <w:rFonts w:asciiTheme="majorHAnsi" w:hAnsiTheme="majorHAnsi" w:cs="Arial"/>
        </w:rPr>
        <w:t xml:space="preserve">whilst also making such a scheme </w:t>
      </w:r>
      <w:r w:rsidR="000B31A4" w:rsidRPr="000B5A31">
        <w:rPr>
          <w:rFonts w:asciiTheme="majorHAnsi" w:hAnsiTheme="majorHAnsi" w:cs="Arial"/>
        </w:rPr>
        <w:t xml:space="preserve">cost-neutral, albeit with significant up-front investments that would only pay for themselves over an extended period of time. </w:t>
      </w:r>
      <w:r w:rsidR="00CB03F2">
        <w:rPr>
          <w:rFonts w:asciiTheme="majorHAnsi" w:hAnsiTheme="majorHAnsi" w:cs="Arial"/>
        </w:rPr>
        <w:t xml:space="preserve">We conclude </w:t>
      </w:r>
      <w:r w:rsidR="001A1AA6" w:rsidRPr="000B5A31">
        <w:rPr>
          <w:rFonts w:asciiTheme="majorHAnsi" w:hAnsiTheme="majorHAnsi" w:cs="Arial"/>
        </w:rPr>
        <w:t xml:space="preserve">that revolving funds could enable </w:t>
      </w:r>
      <w:r w:rsidR="002F386A" w:rsidRPr="000B5A31">
        <w:rPr>
          <w:rFonts w:asciiTheme="majorHAnsi" w:hAnsiTheme="majorHAnsi" w:cs="Arial"/>
        </w:rPr>
        <w:t>countries</w:t>
      </w:r>
      <w:r w:rsidR="001A1AA6" w:rsidRPr="000B5A31">
        <w:rPr>
          <w:rFonts w:asciiTheme="majorHAnsi" w:hAnsiTheme="majorHAnsi" w:cs="Arial"/>
        </w:rPr>
        <w:t xml:space="preserve"> with limited resources </w:t>
      </w:r>
      <w:r w:rsidR="002F386A" w:rsidRPr="000B5A31">
        <w:rPr>
          <w:rFonts w:asciiTheme="majorHAnsi" w:hAnsiTheme="majorHAnsi" w:cs="Arial"/>
        </w:rPr>
        <w:t>to invest more heavily</w:t>
      </w:r>
      <w:r w:rsidR="009E790D" w:rsidRPr="000B5A31">
        <w:rPr>
          <w:rFonts w:asciiTheme="majorHAnsi" w:hAnsiTheme="majorHAnsi" w:cs="Arial"/>
        </w:rPr>
        <w:t xml:space="preserve"> and more effectively</w:t>
      </w:r>
      <w:r w:rsidR="002F386A" w:rsidRPr="000B5A31">
        <w:rPr>
          <w:rFonts w:asciiTheme="majorHAnsi" w:hAnsiTheme="majorHAnsi" w:cs="Arial"/>
        </w:rPr>
        <w:t xml:space="preserve"> in low carbon development, even </w:t>
      </w:r>
      <w:r w:rsidR="001A1AA6" w:rsidRPr="000B5A31">
        <w:rPr>
          <w:rFonts w:asciiTheme="majorHAnsi" w:hAnsiTheme="majorHAnsi" w:cs="Arial"/>
        </w:rPr>
        <w:t xml:space="preserve">in contexts </w:t>
      </w:r>
      <w:r w:rsidR="002F386A" w:rsidRPr="000B5A31">
        <w:rPr>
          <w:rFonts w:asciiTheme="majorHAnsi" w:hAnsiTheme="majorHAnsi" w:cs="Arial"/>
        </w:rPr>
        <w:t>of austerity</w:t>
      </w:r>
      <w:r w:rsidR="00D9175C" w:rsidRPr="000B5A31">
        <w:rPr>
          <w:rFonts w:asciiTheme="majorHAnsi" w:hAnsiTheme="majorHAnsi" w:cs="Arial"/>
        </w:rPr>
        <w:t>.</w:t>
      </w:r>
    </w:p>
    <w:p w14:paraId="01A7239A" w14:textId="77777777" w:rsidR="009E5272" w:rsidRPr="000B5A31" w:rsidRDefault="009E5272" w:rsidP="00AB0182">
      <w:pPr>
        <w:spacing w:line="480" w:lineRule="auto"/>
        <w:ind w:left="360"/>
        <w:rPr>
          <w:rFonts w:asciiTheme="majorHAnsi" w:hAnsiTheme="majorHAnsi" w:cs="Arial"/>
        </w:rPr>
      </w:pPr>
    </w:p>
    <w:p w14:paraId="2A287FBA" w14:textId="77777777" w:rsidR="000B5A31" w:rsidRDefault="009E5272" w:rsidP="000B5A31">
      <w:pPr>
        <w:spacing w:line="480" w:lineRule="auto"/>
        <w:rPr>
          <w:rFonts w:asciiTheme="majorHAnsi" w:hAnsiTheme="majorHAnsi" w:cs="Arial"/>
        </w:rPr>
      </w:pPr>
      <w:r w:rsidRPr="001702C4">
        <w:rPr>
          <w:rFonts w:asciiTheme="majorHAnsi" w:hAnsiTheme="majorHAnsi" w:cs="Arial"/>
          <w:b/>
        </w:rPr>
        <w:t>Key words:</w:t>
      </w:r>
      <w:r w:rsidRPr="000B5A31">
        <w:rPr>
          <w:rFonts w:asciiTheme="majorHAnsi" w:hAnsiTheme="majorHAnsi" w:cs="Arial"/>
        </w:rPr>
        <w:t xml:space="preserve"> Finance, investment, </w:t>
      </w:r>
      <w:r w:rsidR="004D4289" w:rsidRPr="000B5A31">
        <w:rPr>
          <w:rFonts w:asciiTheme="majorHAnsi" w:hAnsiTheme="majorHAnsi" w:cs="Arial"/>
        </w:rPr>
        <w:t xml:space="preserve">carbon, energy, </w:t>
      </w:r>
      <w:r w:rsidRPr="000B5A31">
        <w:rPr>
          <w:rFonts w:asciiTheme="majorHAnsi" w:hAnsiTheme="majorHAnsi" w:cs="Arial"/>
        </w:rPr>
        <w:t xml:space="preserve">retrofit, revolving fund. </w:t>
      </w:r>
    </w:p>
    <w:p w14:paraId="0B971576" w14:textId="3E1EFFBF" w:rsidR="00CB03F2" w:rsidRDefault="00CB03F2">
      <w:pPr>
        <w:rPr>
          <w:rFonts w:asciiTheme="majorHAnsi" w:hAnsiTheme="majorHAnsi" w:cs="Arial"/>
        </w:rPr>
      </w:pPr>
      <w:r>
        <w:rPr>
          <w:rFonts w:asciiTheme="majorHAnsi" w:hAnsiTheme="majorHAnsi" w:cs="Arial"/>
        </w:rPr>
        <w:br w:type="page"/>
      </w:r>
    </w:p>
    <w:p w14:paraId="46461ED9" w14:textId="77777777" w:rsidR="00CB03F2" w:rsidRDefault="00CB03F2" w:rsidP="000B5A31">
      <w:pPr>
        <w:spacing w:line="480" w:lineRule="auto"/>
        <w:rPr>
          <w:rFonts w:asciiTheme="majorHAnsi" w:hAnsiTheme="majorHAnsi" w:cs="Arial"/>
        </w:rPr>
      </w:pPr>
    </w:p>
    <w:p w14:paraId="5D3ACB20" w14:textId="07BC3973" w:rsidR="0069412A" w:rsidRDefault="00C3256B" w:rsidP="00DE62AE">
      <w:pPr>
        <w:spacing w:line="480" w:lineRule="auto"/>
        <w:rPr>
          <w:rFonts w:asciiTheme="majorHAnsi" w:hAnsiTheme="majorHAnsi" w:cs="Arial"/>
          <w:b/>
        </w:rPr>
      </w:pPr>
      <w:r w:rsidRPr="0069412A">
        <w:rPr>
          <w:rFonts w:asciiTheme="majorHAnsi" w:hAnsiTheme="majorHAnsi" w:cs="Arial"/>
          <w:b/>
        </w:rPr>
        <w:t>Introduction</w:t>
      </w:r>
    </w:p>
    <w:p w14:paraId="5AF4A12E" w14:textId="77777777" w:rsidR="00DE62AE" w:rsidRDefault="00DE62AE" w:rsidP="00DE62AE">
      <w:pPr>
        <w:spacing w:line="480" w:lineRule="auto"/>
        <w:rPr>
          <w:rFonts w:asciiTheme="majorHAnsi" w:hAnsiTheme="majorHAnsi" w:cs="Arial"/>
          <w:b/>
        </w:rPr>
      </w:pPr>
    </w:p>
    <w:p w14:paraId="75D84896" w14:textId="4F338B0D" w:rsidR="00DE62AE" w:rsidRPr="003A4F5F" w:rsidRDefault="00DE62AE" w:rsidP="00DE62AE">
      <w:pPr>
        <w:spacing w:line="480" w:lineRule="auto"/>
        <w:rPr>
          <w:rFonts w:asciiTheme="majorHAnsi" w:hAnsiTheme="majorHAnsi" w:cs="Arial"/>
        </w:rPr>
      </w:pPr>
      <w:r w:rsidRPr="003A4F5F">
        <w:rPr>
          <w:rFonts w:asciiTheme="majorHAnsi" w:hAnsiTheme="majorHAnsi" w:cs="Arial"/>
        </w:rPr>
        <w:t xml:space="preserve">1.1 </w:t>
      </w:r>
      <w:r w:rsidR="009D49CA" w:rsidRPr="003A4F5F">
        <w:rPr>
          <w:rFonts w:asciiTheme="majorHAnsi" w:hAnsiTheme="majorHAnsi" w:cs="Arial"/>
        </w:rPr>
        <w:t>T</w:t>
      </w:r>
      <w:r w:rsidRPr="003A4F5F">
        <w:rPr>
          <w:rFonts w:asciiTheme="majorHAnsi" w:hAnsiTheme="majorHAnsi" w:cs="Arial"/>
        </w:rPr>
        <w:t xml:space="preserve">he </w:t>
      </w:r>
      <w:r w:rsidR="00252418">
        <w:rPr>
          <w:rFonts w:asciiTheme="majorHAnsi" w:hAnsiTheme="majorHAnsi" w:cs="Arial"/>
        </w:rPr>
        <w:t>importance of the climate finance g</w:t>
      </w:r>
      <w:r w:rsidRPr="003A4F5F">
        <w:rPr>
          <w:rFonts w:asciiTheme="majorHAnsi" w:hAnsiTheme="majorHAnsi" w:cs="Arial"/>
        </w:rPr>
        <w:t>ap</w:t>
      </w:r>
    </w:p>
    <w:p w14:paraId="127DEAF3" w14:textId="178CFBB3" w:rsidR="00DB2FE2" w:rsidRPr="000B5A31" w:rsidRDefault="00AD4E44" w:rsidP="000B5A31">
      <w:pPr>
        <w:spacing w:line="480" w:lineRule="auto"/>
        <w:rPr>
          <w:rFonts w:asciiTheme="majorHAnsi" w:hAnsiTheme="majorHAnsi" w:cs="Arial"/>
        </w:rPr>
      </w:pPr>
      <w:r w:rsidRPr="000B5A31">
        <w:rPr>
          <w:rFonts w:asciiTheme="majorHAnsi" w:hAnsiTheme="majorHAnsi" w:cs="Arial"/>
        </w:rPr>
        <w:t>Tackling climate change undoubtedly represents</w:t>
      </w:r>
      <w:r w:rsidR="00C3256B" w:rsidRPr="000B5A31">
        <w:rPr>
          <w:rFonts w:asciiTheme="majorHAnsi" w:hAnsiTheme="majorHAnsi" w:cs="Arial"/>
        </w:rPr>
        <w:t xml:space="preserve"> an enormous challenge</w:t>
      </w:r>
      <w:r w:rsidRPr="000B5A31">
        <w:rPr>
          <w:rFonts w:asciiTheme="majorHAnsi" w:hAnsiTheme="majorHAnsi" w:cs="Arial"/>
        </w:rPr>
        <w:t xml:space="preserve">, </w:t>
      </w:r>
      <w:r w:rsidR="006A57E3" w:rsidRPr="000B5A31">
        <w:rPr>
          <w:rFonts w:asciiTheme="majorHAnsi" w:hAnsiTheme="majorHAnsi" w:cs="Arial"/>
        </w:rPr>
        <w:t>but at the</w:t>
      </w:r>
      <w:r w:rsidR="00054C03" w:rsidRPr="000B5A31">
        <w:rPr>
          <w:rFonts w:asciiTheme="majorHAnsi" w:hAnsiTheme="majorHAnsi" w:cs="Arial"/>
        </w:rPr>
        <w:t xml:space="preserve"> global scale </w:t>
      </w:r>
      <w:r w:rsidR="00C3256B" w:rsidRPr="000B5A31">
        <w:rPr>
          <w:rFonts w:asciiTheme="majorHAnsi" w:hAnsiTheme="majorHAnsi" w:cs="Arial"/>
        </w:rPr>
        <w:t>the economic case for tackling it is compelling</w:t>
      </w:r>
      <w:r w:rsidRPr="000B5A31">
        <w:rPr>
          <w:rFonts w:asciiTheme="majorHAnsi" w:hAnsiTheme="majorHAnsi" w:cs="Arial"/>
        </w:rPr>
        <w:t xml:space="preserve">. </w:t>
      </w:r>
      <w:r w:rsidR="00C3256B" w:rsidRPr="000B5A31">
        <w:rPr>
          <w:rFonts w:asciiTheme="majorHAnsi" w:hAnsiTheme="majorHAnsi" w:cs="Arial"/>
        </w:rPr>
        <w:t>Stern</w:t>
      </w:r>
      <w:r w:rsidR="008E1784" w:rsidRPr="000B5A31">
        <w:rPr>
          <w:rFonts w:asciiTheme="majorHAnsi" w:hAnsiTheme="majorHAnsi" w:cs="Arial"/>
        </w:rPr>
        <w:t xml:space="preserve"> famously</w:t>
      </w:r>
      <w:r w:rsidR="00C3256B" w:rsidRPr="000B5A31">
        <w:rPr>
          <w:rFonts w:asciiTheme="majorHAnsi" w:hAnsiTheme="majorHAnsi" w:cs="Arial"/>
        </w:rPr>
        <w:t xml:space="preserve"> </w:t>
      </w:r>
      <w:r w:rsidR="002266FC" w:rsidRPr="000B5A31">
        <w:rPr>
          <w:rFonts w:asciiTheme="majorHAnsi" w:hAnsiTheme="majorHAnsi" w:cs="Arial"/>
        </w:rPr>
        <w:t xml:space="preserve">estimated that </w:t>
      </w:r>
      <w:r w:rsidR="006A57E3" w:rsidRPr="000B5A31">
        <w:rPr>
          <w:rFonts w:asciiTheme="majorHAnsi" w:hAnsiTheme="majorHAnsi" w:cs="Arial"/>
        </w:rPr>
        <w:t xml:space="preserve">the costs of avoiding </w:t>
      </w:r>
      <w:r w:rsidRPr="000B5A31">
        <w:rPr>
          <w:rFonts w:asciiTheme="majorHAnsi" w:hAnsiTheme="majorHAnsi" w:cs="Arial"/>
        </w:rPr>
        <w:t xml:space="preserve">climate change could be between 1 and </w:t>
      </w:r>
      <w:r w:rsidR="00C3256B" w:rsidRPr="000B5A31">
        <w:rPr>
          <w:rFonts w:asciiTheme="majorHAnsi" w:hAnsiTheme="majorHAnsi" w:cs="Arial"/>
        </w:rPr>
        <w:t xml:space="preserve">2% of global GDP, </w:t>
      </w:r>
      <w:r w:rsidRPr="000B5A31">
        <w:rPr>
          <w:rFonts w:asciiTheme="majorHAnsi" w:hAnsiTheme="majorHAnsi" w:cs="Arial"/>
        </w:rPr>
        <w:t xml:space="preserve">but </w:t>
      </w:r>
      <w:r w:rsidR="006A57E3" w:rsidRPr="000B5A31">
        <w:rPr>
          <w:rFonts w:asciiTheme="majorHAnsi" w:hAnsiTheme="majorHAnsi" w:cs="Arial"/>
        </w:rPr>
        <w:t xml:space="preserve">the costs of </w:t>
      </w:r>
      <w:r w:rsidR="00C3256B" w:rsidRPr="000B5A31">
        <w:rPr>
          <w:rFonts w:asciiTheme="majorHAnsi" w:hAnsiTheme="majorHAnsi" w:cs="Arial"/>
        </w:rPr>
        <w:t xml:space="preserve">suffering </w:t>
      </w:r>
      <w:r w:rsidRPr="000B5A31">
        <w:rPr>
          <w:rFonts w:asciiTheme="majorHAnsi" w:hAnsiTheme="majorHAnsi" w:cs="Arial"/>
        </w:rPr>
        <w:t>climate change c</w:t>
      </w:r>
      <w:r w:rsidR="00C3256B" w:rsidRPr="000B5A31">
        <w:rPr>
          <w:rFonts w:asciiTheme="majorHAnsi" w:hAnsiTheme="majorHAnsi" w:cs="Arial"/>
        </w:rPr>
        <w:t xml:space="preserve">ould </w:t>
      </w:r>
      <w:r w:rsidRPr="000B5A31">
        <w:rPr>
          <w:rFonts w:asciiTheme="majorHAnsi" w:hAnsiTheme="majorHAnsi" w:cs="Arial"/>
        </w:rPr>
        <w:t xml:space="preserve">amount to between 5 and </w:t>
      </w:r>
      <w:r w:rsidR="00C3256B" w:rsidRPr="000B5A31">
        <w:rPr>
          <w:rFonts w:asciiTheme="majorHAnsi" w:hAnsiTheme="majorHAnsi" w:cs="Arial"/>
        </w:rPr>
        <w:t xml:space="preserve">20% of GDP </w:t>
      </w:r>
      <w:r w:rsidR="00D33479" w:rsidRPr="000B5A31">
        <w:rPr>
          <w:rFonts w:asciiTheme="majorHAnsi" w:hAnsiTheme="majorHAnsi" w:cs="Arial"/>
        </w:rPr>
        <w:t xml:space="preserve">per year </w:t>
      </w:r>
      <w:r w:rsidR="002266FC" w:rsidRPr="000B5A31">
        <w:rPr>
          <w:rFonts w:asciiTheme="majorHAnsi" w:hAnsiTheme="majorHAnsi" w:cs="Arial"/>
        </w:rPr>
        <w:t>(Stern, 2007</w:t>
      </w:r>
      <w:r w:rsidR="00C3256B" w:rsidRPr="000B5A31">
        <w:rPr>
          <w:rFonts w:asciiTheme="majorHAnsi" w:hAnsiTheme="majorHAnsi" w:cs="Arial"/>
        </w:rPr>
        <w:t>).</w:t>
      </w:r>
      <w:r w:rsidR="00D33479" w:rsidRPr="000B5A31">
        <w:rPr>
          <w:rFonts w:asciiTheme="majorHAnsi" w:hAnsiTheme="majorHAnsi" w:cs="Arial"/>
        </w:rPr>
        <w:t xml:space="preserve"> </w:t>
      </w:r>
      <w:r w:rsidR="00676EC8" w:rsidRPr="000B5A31">
        <w:rPr>
          <w:rFonts w:asciiTheme="majorHAnsi" w:hAnsiTheme="majorHAnsi" w:cs="Arial"/>
        </w:rPr>
        <w:t>Even</w:t>
      </w:r>
      <w:r w:rsidR="002266FC" w:rsidRPr="000B5A31">
        <w:rPr>
          <w:rFonts w:asciiTheme="majorHAnsi" w:hAnsiTheme="majorHAnsi" w:cs="Arial"/>
        </w:rPr>
        <w:t xml:space="preserve"> </w:t>
      </w:r>
      <w:r w:rsidR="00E75D05" w:rsidRPr="000B5A31">
        <w:rPr>
          <w:rFonts w:asciiTheme="majorHAnsi" w:hAnsiTheme="majorHAnsi" w:cs="Arial"/>
        </w:rPr>
        <w:t xml:space="preserve">with such a compelling </w:t>
      </w:r>
      <w:r w:rsidR="00054C03" w:rsidRPr="000B5A31">
        <w:rPr>
          <w:rFonts w:asciiTheme="majorHAnsi" w:hAnsiTheme="majorHAnsi" w:cs="Arial"/>
        </w:rPr>
        <w:t xml:space="preserve">global </w:t>
      </w:r>
      <w:r w:rsidR="00D33479" w:rsidRPr="000B5A31">
        <w:rPr>
          <w:rFonts w:asciiTheme="majorHAnsi" w:hAnsiTheme="majorHAnsi" w:cs="Arial"/>
        </w:rPr>
        <w:t>case for action</w:t>
      </w:r>
      <w:r w:rsidR="00511080" w:rsidRPr="000B5A31">
        <w:rPr>
          <w:rFonts w:asciiTheme="majorHAnsi" w:hAnsiTheme="majorHAnsi" w:cs="Arial"/>
        </w:rPr>
        <w:t>,</w:t>
      </w:r>
      <w:r w:rsidR="00676EC8" w:rsidRPr="000B5A31">
        <w:rPr>
          <w:rFonts w:asciiTheme="majorHAnsi" w:hAnsiTheme="majorHAnsi" w:cs="Arial"/>
        </w:rPr>
        <w:t xml:space="preserve"> however,</w:t>
      </w:r>
      <w:r w:rsidR="00511080" w:rsidRPr="000B5A31">
        <w:rPr>
          <w:rFonts w:asciiTheme="majorHAnsi" w:hAnsiTheme="majorHAnsi" w:cs="Arial"/>
        </w:rPr>
        <w:t xml:space="preserve"> </w:t>
      </w:r>
      <w:r w:rsidR="00E75D05" w:rsidRPr="000B5A31">
        <w:rPr>
          <w:rFonts w:asciiTheme="majorHAnsi" w:hAnsiTheme="majorHAnsi" w:cs="Arial"/>
        </w:rPr>
        <w:t xml:space="preserve">it is clear that </w:t>
      </w:r>
      <w:r w:rsidR="00511080" w:rsidRPr="000B5A31">
        <w:rPr>
          <w:rFonts w:asciiTheme="majorHAnsi" w:hAnsiTheme="majorHAnsi" w:cs="Arial"/>
        </w:rPr>
        <w:t xml:space="preserve">an effective response </w:t>
      </w:r>
      <w:r w:rsidR="00D33479" w:rsidRPr="000B5A31">
        <w:rPr>
          <w:rFonts w:asciiTheme="majorHAnsi" w:hAnsiTheme="majorHAnsi" w:cs="Arial"/>
        </w:rPr>
        <w:t>still require</w:t>
      </w:r>
      <w:r w:rsidR="00511080" w:rsidRPr="000B5A31">
        <w:rPr>
          <w:rFonts w:asciiTheme="majorHAnsi" w:hAnsiTheme="majorHAnsi" w:cs="Arial"/>
        </w:rPr>
        <w:t>s</w:t>
      </w:r>
      <w:r w:rsidR="00D33479" w:rsidRPr="000B5A31">
        <w:rPr>
          <w:rFonts w:asciiTheme="majorHAnsi" w:hAnsiTheme="majorHAnsi" w:cs="Arial"/>
        </w:rPr>
        <w:t xml:space="preserve"> enormous levels of investment</w:t>
      </w:r>
      <w:r w:rsidR="00E75D05" w:rsidRPr="000B5A31">
        <w:rPr>
          <w:rFonts w:asciiTheme="majorHAnsi" w:hAnsiTheme="majorHAnsi" w:cs="Arial"/>
        </w:rPr>
        <w:t xml:space="preserve">. It is also clear that </w:t>
      </w:r>
      <w:r w:rsidR="00054C03" w:rsidRPr="000B5A31">
        <w:rPr>
          <w:rFonts w:asciiTheme="majorHAnsi" w:hAnsiTheme="majorHAnsi" w:cs="Arial"/>
        </w:rPr>
        <w:t xml:space="preserve">the </w:t>
      </w:r>
      <w:r w:rsidR="00D33479" w:rsidRPr="000B5A31">
        <w:rPr>
          <w:rFonts w:asciiTheme="majorHAnsi" w:hAnsiTheme="majorHAnsi" w:cs="Arial"/>
        </w:rPr>
        <w:t>general, long term, social case for action</w:t>
      </w:r>
      <w:r w:rsidR="00511080" w:rsidRPr="000B5A31">
        <w:rPr>
          <w:rFonts w:asciiTheme="majorHAnsi" w:hAnsiTheme="majorHAnsi" w:cs="Arial"/>
        </w:rPr>
        <w:t xml:space="preserve"> on climate change</w:t>
      </w:r>
      <w:r w:rsidR="00D33479" w:rsidRPr="000B5A31">
        <w:rPr>
          <w:rFonts w:asciiTheme="majorHAnsi" w:hAnsiTheme="majorHAnsi" w:cs="Arial"/>
        </w:rPr>
        <w:t xml:space="preserve"> does not always translate into a specific, short term, private case for investment</w:t>
      </w:r>
      <w:r w:rsidR="00087E5A" w:rsidRPr="000B5A31">
        <w:rPr>
          <w:rFonts w:asciiTheme="majorHAnsi" w:hAnsiTheme="majorHAnsi" w:cs="Arial"/>
        </w:rPr>
        <w:t xml:space="preserve">, and that </w:t>
      </w:r>
      <w:r w:rsidR="005819D8" w:rsidRPr="000B5A31">
        <w:rPr>
          <w:rFonts w:asciiTheme="majorHAnsi" w:hAnsiTheme="majorHAnsi" w:cs="Arial"/>
        </w:rPr>
        <w:t xml:space="preserve">the availability </w:t>
      </w:r>
      <w:r w:rsidR="00087E5A" w:rsidRPr="000B5A31">
        <w:rPr>
          <w:rFonts w:asciiTheme="majorHAnsi" w:hAnsiTheme="majorHAnsi" w:cs="Arial"/>
        </w:rPr>
        <w:t xml:space="preserve">of public funds </w:t>
      </w:r>
      <w:r w:rsidR="005819D8" w:rsidRPr="000B5A31">
        <w:rPr>
          <w:rFonts w:asciiTheme="majorHAnsi" w:hAnsiTheme="majorHAnsi" w:cs="Arial"/>
        </w:rPr>
        <w:t xml:space="preserve">is </w:t>
      </w:r>
      <w:r w:rsidR="00087E5A" w:rsidRPr="000B5A31">
        <w:rPr>
          <w:rFonts w:asciiTheme="majorHAnsi" w:hAnsiTheme="majorHAnsi" w:cs="Arial"/>
        </w:rPr>
        <w:t xml:space="preserve">frequently constrained in </w:t>
      </w:r>
      <w:r w:rsidR="00676EC8" w:rsidRPr="000B5A31">
        <w:rPr>
          <w:rFonts w:asciiTheme="majorHAnsi" w:hAnsiTheme="majorHAnsi" w:cs="Arial"/>
        </w:rPr>
        <w:t>contexts</w:t>
      </w:r>
      <w:r w:rsidR="00087E5A" w:rsidRPr="000B5A31">
        <w:rPr>
          <w:rFonts w:asciiTheme="majorHAnsi" w:hAnsiTheme="majorHAnsi" w:cs="Arial"/>
        </w:rPr>
        <w:t xml:space="preserve"> of austerity</w:t>
      </w:r>
      <w:r w:rsidR="00D33479" w:rsidRPr="000B5A31">
        <w:rPr>
          <w:rFonts w:asciiTheme="majorHAnsi" w:hAnsiTheme="majorHAnsi" w:cs="Arial"/>
        </w:rPr>
        <w:t xml:space="preserve">. </w:t>
      </w:r>
      <w:r w:rsidR="00676EC8" w:rsidRPr="000B5A31">
        <w:rPr>
          <w:rFonts w:asciiTheme="majorHAnsi" w:hAnsiTheme="majorHAnsi" w:cs="Arial"/>
        </w:rPr>
        <w:t>Particularly in some settings</w:t>
      </w:r>
      <w:r w:rsidR="00D33479" w:rsidRPr="000B5A31">
        <w:rPr>
          <w:rFonts w:asciiTheme="majorHAnsi" w:hAnsiTheme="majorHAnsi" w:cs="Arial"/>
        </w:rPr>
        <w:t xml:space="preserve">, </w:t>
      </w:r>
      <w:r w:rsidR="00676EC8" w:rsidRPr="000B5A31">
        <w:rPr>
          <w:rFonts w:asciiTheme="majorHAnsi" w:hAnsiTheme="majorHAnsi" w:cs="Arial"/>
        </w:rPr>
        <w:t xml:space="preserve">these factors have led </w:t>
      </w:r>
      <w:r w:rsidR="00156B2F" w:rsidRPr="000B5A31">
        <w:rPr>
          <w:rFonts w:asciiTheme="majorHAnsi" w:hAnsiTheme="majorHAnsi" w:cs="Arial"/>
        </w:rPr>
        <w:t xml:space="preserve">to </w:t>
      </w:r>
      <w:r w:rsidR="00D33479" w:rsidRPr="000B5A31">
        <w:rPr>
          <w:rFonts w:asciiTheme="majorHAnsi" w:hAnsiTheme="majorHAnsi" w:cs="Arial"/>
        </w:rPr>
        <w:t xml:space="preserve">levels of </w:t>
      </w:r>
      <w:r w:rsidR="005819D8" w:rsidRPr="000B5A31">
        <w:rPr>
          <w:rFonts w:asciiTheme="majorHAnsi" w:hAnsiTheme="majorHAnsi" w:cs="Arial"/>
        </w:rPr>
        <w:t>financing for</w:t>
      </w:r>
      <w:r w:rsidR="00D33479" w:rsidRPr="000B5A31">
        <w:rPr>
          <w:rFonts w:asciiTheme="majorHAnsi" w:hAnsiTheme="majorHAnsi" w:cs="Arial"/>
        </w:rPr>
        <w:t xml:space="preserve"> low carbon development</w:t>
      </w:r>
      <w:r w:rsidR="00156B2F" w:rsidRPr="000B5A31">
        <w:rPr>
          <w:rFonts w:asciiTheme="majorHAnsi" w:hAnsiTheme="majorHAnsi" w:cs="Arial"/>
        </w:rPr>
        <w:t xml:space="preserve"> that</w:t>
      </w:r>
      <w:r w:rsidR="00D33479" w:rsidRPr="000B5A31">
        <w:rPr>
          <w:rFonts w:asciiTheme="majorHAnsi" w:hAnsiTheme="majorHAnsi" w:cs="Arial"/>
        </w:rPr>
        <w:t xml:space="preserve"> are much lower than </w:t>
      </w:r>
      <w:r w:rsidR="00676EC8" w:rsidRPr="000B5A31">
        <w:rPr>
          <w:rFonts w:asciiTheme="majorHAnsi" w:hAnsiTheme="majorHAnsi" w:cs="Arial"/>
        </w:rPr>
        <w:t>many estimates of what is necessary</w:t>
      </w:r>
      <w:r w:rsidR="00E75D05" w:rsidRPr="000B5A31">
        <w:rPr>
          <w:rFonts w:asciiTheme="majorHAnsi" w:hAnsiTheme="majorHAnsi" w:cs="Arial"/>
        </w:rPr>
        <w:t>. T</w:t>
      </w:r>
      <w:r w:rsidR="002266FC" w:rsidRPr="000B5A31">
        <w:rPr>
          <w:rFonts w:asciiTheme="majorHAnsi" w:hAnsiTheme="majorHAnsi" w:cs="Arial"/>
        </w:rPr>
        <w:t xml:space="preserve">he IPCC (2014) estimated that global investment in climate mitigation and adaptation </w:t>
      </w:r>
      <w:r w:rsidR="005819D8" w:rsidRPr="000B5A31">
        <w:rPr>
          <w:rFonts w:asciiTheme="majorHAnsi" w:hAnsiTheme="majorHAnsi" w:cs="Arial"/>
        </w:rPr>
        <w:t xml:space="preserve">was </w:t>
      </w:r>
      <w:r w:rsidR="002266FC" w:rsidRPr="000B5A31">
        <w:rPr>
          <w:rFonts w:asciiTheme="majorHAnsi" w:hAnsiTheme="majorHAnsi" w:cs="Arial"/>
        </w:rPr>
        <w:t xml:space="preserve">in the range of USD </w:t>
      </w:r>
      <w:r w:rsidR="002266FC" w:rsidRPr="000B5A31">
        <w:rPr>
          <w:rFonts w:asciiTheme="majorHAnsi" w:hAnsiTheme="majorHAnsi" w:cs="Arial"/>
          <w:bCs/>
        </w:rPr>
        <w:t xml:space="preserve">343 to 385 billion per year in the period between 2009 and 2012, and </w:t>
      </w:r>
      <w:r w:rsidR="00F602C3" w:rsidRPr="000B5A31">
        <w:rPr>
          <w:rFonts w:asciiTheme="majorHAnsi" w:hAnsiTheme="majorHAnsi" w:cs="Arial"/>
        </w:rPr>
        <w:t>Buch</w:t>
      </w:r>
      <w:r w:rsidR="00087E5A" w:rsidRPr="000B5A31">
        <w:rPr>
          <w:rFonts w:asciiTheme="majorHAnsi" w:hAnsiTheme="majorHAnsi" w:cs="Arial"/>
        </w:rPr>
        <w:t>ner</w:t>
      </w:r>
      <w:r w:rsidR="00DB2FE2" w:rsidRPr="000B5A31">
        <w:rPr>
          <w:rFonts w:asciiTheme="majorHAnsi" w:hAnsiTheme="majorHAnsi" w:cs="Arial"/>
        </w:rPr>
        <w:t xml:space="preserve"> (2013) </w:t>
      </w:r>
      <w:r w:rsidR="00264EEF" w:rsidRPr="000B5A31">
        <w:rPr>
          <w:rFonts w:asciiTheme="majorHAnsi" w:hAnsiTheme="majorHAnsi" w:cs="Arial"/>
          <w:bCs/>
        </w:rPr>
        <w:t>suggest</w:t>
      </w:r>
      <w:r w:rsidR="005819D8" w:rsidRPr="000B5A31">
        <w:rPr>
          <w:rFonts w:asciiTheme="majorHAnsi" w:hAnsiTheme="majorHAnsi" w:cs="Arial"/>
          <w:bCs/>
        </w:rPr>
        <w:t>ed</w:t>
      </w:r>
      <w:r w:rsidR="00264EEF" w:rsidRPr="000B5A31">
        <w:rPr>
          <w:rFonts w:asciiTheme="majorHAnsi" w:hAnsiTheme="majorHAnsi" w:cs="Arial"/>
          <w:bCs/>
        </w:rPr>
        <w:t xml:space="preserve"> </w:t>
      </w:r>
      <w:r w:rsidR="00DB2FE2" w:rsidRPr="000B5A31">
        <w:rPr>
          <w:rFonts w:asciiTheme="majorHAnsi" w:hAnsiTheme="majorHAnsi" w:cs="Arial"/>
          <w:bCs/>
        </w:rPr>
        <w:t>that global climate finance flows have plateaued at USD 359 billion</w:t>
      </w:r>
      <w:r w:rsidR="002266FC" w:rsidRPr="000B5A31">
        <w:rPr>
          <w:rFonts w:asciiTheme="majorHAnsi" w:hAnsiTheme="majorHAnsi" w:cs="Arial"/>
          <w:bCs/>
        </w:rPr>
        <w:t>. Both of these estimates equate</w:t>
      </w:r>
      <w:r w:rsidR="00C040F8" w:rsidRPr="000B5A31">
        <w:rPr>
          <w:rFonts w:asciiTheme="majorHAnsi" w:hAnsiTheme="majorHAnsi" w:cs="Arial"/>
          <w:bCs/>
        </w:rPr>
        <w:t xml:space="preserve"> to </w:t>
      </w:r>
      <w:r w:rsidR="004D6A4B" w:rsidRPr="000B5A31">
        <w:rPr>
          <w:rFonts w:asciiTheme="majorHAnsi" w:hAnsiTheme="majorHAnsi" w:cs="Arial"/>
          <w:bCs/>
        </w:rPr>
        <w:t xml:space="preserve">roughly </w:t>
      </w:r>
      <w:r w:rsidR="00DB2FE2" w:rsidRPr="000B5A31">
        <w:rPr>
          <w:rFonts w:asciiTheme="majorHAnsi" w:hAnsiTheme="majorHAnsi" w:cs="Arial"/>
          <w:bCs/>
        </w:rPr>
        <w:t>0.5% of global GDP</w:t>
      </w:r>
      <w:r w:rsidR="005819D8" w:rsidRPr="000B5A31">
        <w:rPr>
          <w:rFonts w:asciiTheme="majorHAnsi" w:hAnsiTheme="majorHAnsi" w:cs="Arial"/>
          <w:bCs/>
        </w:rPr>
        <w:t xml:space="preserve">; </w:t>
      </w:r>
      <w:r w:rsidR="00252418">
        <w:rPr>
          <w:rFonts w:asciiTheme="majorHAnsi" w:hAnsiTheme="majorHAnsi" w:cs="Arial"/>
          <w:bCs/>
        </w:rPr>
        <w:t>approximately</w:t>
      </w:r>
      <w:r w:rsidR="00DD26A8" w:rsidRPr="000B5A31">
        <w:rPr>
          <w:rFonts w:asciiTheme="majorHAnsi" w:hAnsiTheme="majorHAnsi" w:cs="Arial"/>
          <w:bCs/>
        </w:rPr>
        <w:t xml:space="preserve"> </w:t>
      </w:r>
      <w:r w:rsidR="001A4366" w:rsidRPr="000B5A31">
        <w:rPr>
          <w:rFonts w:asciiTheme="majorHAnsi" w:hAnsiTheme="majorHAnsi" w:cs="Arial"/>
          <w:bCs/>
        </w:rPr>
        <w:t xml:space="preserve">one third of the upper end of the investment needs </w:t>
      </w:r>
      <w:r w:rsidR="002C6FD3" w:rsidRPr="000B5A31">
        <w:rPr>
          <w:rFonts w:asciiTheme="majorHAnsi" w:hAnsiTheme="majorHAnsi" w:cs="Arial"/>
          <w:bCs/>
        </w:rPr>
        <w:t xml:space="preserve">as </w:t>
      </w:r>
      <w:r w:rsidR="001A4366" w:rsidRPr="000B5A31">
        <w:rPr>
          <w:rFonts w:asciiTheme="majorHAnsi" w:hAnsiTheme="majorHAnsi" w:cs="Arial"/>
          <w:bCs/>
        </w:rPr>
        <w:t xml:space="preserve">estimated by </w:t>
      </w:r>
      <w:r w:rsidR="002C6FD3" w:rsidRPr="000B5A31">
        <w:rPr>
          <w:rFonts w:asciiTheme="majorHAnsi" w:hAnsiTheme="majorHAnsi" w:cs="Arial"/>
        </w:rPr>
        <w:t xml:space="preserve">McKinsey (2010), </w:t>
      </w:r>
      <w:r w:rsidR="00862C5F">
        <w:rPr>
          <w:rFonts w:asciiTheme="majorHAnsi" w:hAnsiTheme="majorHAnsi" w:cs="Arial"/>
        </w:rPr>
        <w:t>GEA</w:t>
      </w:r>
      <w:r w:rsidR="002C6FD3" w:rsidRPr="000B5A31">
        <w:rPr>
          <w:rFonts w:asciiTheme="majorHAnsi" w:hAnsiTheme="majorHAnsi" w:cs="Arial"/>
        </w:rPr>
        <w:t xml:space="preserve"> (2012)</w:t>
      </w:r>
      <w:r w:rsidR="008B7610" w:rsidRPr="000B5A31">
        <w:rPr>
          <w:rFonts w:asciiTheme="majorHAnsi" w:hAnsiTheme="majorHAnsi" w:cs="Arial"/>
        </w:rPr>
        <w:t xml:space="preserve">, WEF (2013), McCullum et </w:t>
      </w:r>
      <w:r w:rsidR="00CF4D1F" w:rsidRPr="000B5A31">
        <w:rPr>
          <w:rFonts w:asciiTheme="majorHAnsi" w:hAnsiTheme="majorHAnsi" w:cs="Arial"/>
        </w:rPr>
        <w:t>al (2013) and IEA (2013a</w:t>
      </w:r>
      <w:r w:rsidR="002C6FD3" w:rsidRPr="000B5A31">
        <w:rPr>
          <w:rFonts w:asciiTheme="majorHAnsi" w:hAnsiTheme="majorHAnsi" w:cs="Arial"/>
        </w:rPr>
        <w:t>)</w:t>
      </w:r>
      <w:r w:rsidR="00DD26A8" w:rsidRPr="000B5A31">
        <w:rPr>
          <w:rFonts w:asciiTheme="majorHAnsi" w:hAnsiTheme="majorHAnsi" w:cs="Arial"/>
        </w:rPr>
        <w:t xml:space="preserve"> and </w:t>
      </w:r>
      <w:r w:rsidR="002C6FD3" w:rsidRPr="000B5A31">
        <w:rPr>
          <w:rFonts w:asciiTheme="majorHAnsi" w:hAnsiTheme="majorHAnsi" w:cs="Arial"/>
          <w:bCs/>
        </w:rPr>
        <w:t xml:space="preserve">one quarter </w:t>
      </w:r>
      <w:r w:rsidR="00DB2FE2" w:rsidRPr="000B5A31">
        <w:rPr>
          <w:rFonts w:asciiTheme="majorHAnsi" w:hAnsiTheme="majorHAnsi" w:cs="Arial"/>
          <w:bCs/>
        </w:rPr>
        <w:t xml:space="preserve">of </w:t>
      </w:r>
      <w:r w:rsidR="00511080" w:rsidRPr="000B5A31">
        <w:rPr>
          <w:rFonts w:asciiTheme="majorHAnsi" w:hAnsiTheme="majorHAnsi" w:cs="Arial"/>
          <w:bCs/>
        </w:rPr>
        <w:t xml:space="preserve">the upper end of the investment needs as set out in the </w:t>
      </w:r>
      <w:r w:rsidR="00DB2FE2" w:rsidRPr="000B5A31">
        <w:rPr>
          <w:rFonts w:asciiTheme="majorHAnsi" w:hAnsiTheme="majorHAnsi" w:cs="Arial"/>
          <w:bCs/>
        </w:rPr>
        <w:t xml:space="preserve">Stern </w:t>
      </w:r>
      <w:r w:rsidR="002266FC" w:rsidRPr="000B5A31">
        <w:rPr>
          <w:rFonts w:asciiTheme="majorHAnsi" w:hAnsiTheme="majorHAnsi" w:cs="Arial"/>
          <w:bCs/>
        </w:rPr>
        <w:t>Review (Stern, 2007</w:t>
      </w:r>
      <w:r w:rsidR="00511080" w:rsidRPr="000B5A31">
        <w:rPr>
          <w:rFonts w:asciiTheme="majorHAnsi" w:hAnsiTheme="majorHAnsi" w:cs="Arial"/>
          <w:bCs/>
        </w:rPr>
        <w:t>)</w:t>
      </w:r>
      <w:r w:rsidR="008B7610" w:rsidRPr="000B5A31">
        <w:rPr>
          <w:rFonts w:asciiTheme="majorHAnsi" w:hAnsiTheme="majorHAnsi" w:cs="Arial"/>
          <w:bCs/>
        </w:rPr>
        <w:t>.</w:t>
      </w:r>
    </w:p>
    <w:p w14:paraId="03AB333D" w14:textId="77777777" w:rsidR="002266FC" w:rsidRPr="000B5A31" w:rsidRDefault="002266FC" w:rsidP="00AB0182">
      <w:pPr>
        <w:spacing w:line="480" w:lineRule="auto"/>
        <w:rPr>
          <w:rFonts w:asciiTheme="majorHAnsi" w:hAnsiTheme="majorHAnsi" w:cs="Arial"/>
        </w:rPr>
      </w:pPr>
    </w:p>
    <w:p w14:paraId="59D95F29" w14:textId="77777777" w:rsidR="00E75D05" w:rsidRPr="000B5A31" w:rsidRDefault="00054C03" w:rsidP="000B5A31">
      <w:pPr>
        <w:spacing w:line="480" w:lineRule="auto"/>
        <w:rPr>
          <w:rFonts w:asciiTheme="majorHAnsi" w:hAnsiTheme="majorHAnsi" w:cs="Arial"/>
        </w:rPr>
      </w:pPr>
      <w:r w:rsidRPr="000B5A31">
        <w:rPr>
          <w:rFonts w:asciiTheme="majorHAnsi" w:hAnsiTheme="majorHAnsi" w:cs="Arial"/>
        </w:rPr>
        <w:lastRenderedPageBreak/>
        <w:t xml:space="preserve">The </w:t>
      </w:r>
      <w:r w:rsidR="00511080" w:rsidRPr="000B5A31">
        <w:rPr>
          <w:rFonts w:asciiTheme="majorHAnsi" w:hAnsiTheme="majorHAnsi" w:cs="Arial"/>
        </w:rPr>
        <w:t xml:space="preserve">need for an effective response to under-investment in climate </w:t>
      </w:r>
      <w:r w:rsidR="00CF4D1F" w:rsidRPr="000B5A31">
        <w:rPr>
          <w:rFonts w:asciiTheme="majorHAnsi" w:hAnsiTheme="majorHAnsi" w:cs="Arial"/>
        </w:rPr>
        <w:t>mitigation</w:t>
      </w:r>
      <w:r w:rsidR="00511080" w:rsidRPr="000B5A31">
        <w:rPr>
          <w:rFonts w:asciiTheme="majorHAnsi" w:hAnsiTheme="majorHAnsi" w:cs="Arial"/>
        </w:rPr>
        <w:t xml:space="preserve"> is pressing. </w:t>
      </w:r>
      <w:r w:rsidR="00D33479" w:rsidRPr="000B5A31">
        <w:rPr>
          <w:rFonts w:asciiTheme="majorHAnsi" w:hAnsiTheme="majorHAnsi" w:cs="Arial"/>
        </w:rPr>
        <w:t xml:space="preserve">As the years pass, </w:t>
      </w:r>
      <w:r w:rsidR="00500B0D" w:rsidRPr="000B5A31">
        <w:rPr>
          <w:rFonts w:asciiTheme="majorHAnsi" w:hAnsiTheme="majorHAnsi" w:cs="Arial"/>
        </w:rPr>
        <w:t xml:space="preserve">decisions </w:t>
      </w:r>
      <w:r w:rsidR="00D33479" w:rsidRPr="000B5A31">
        <w:rPr>
          <w:rFonts w:asciiTheme="majorHAnsi" w:hAnsiTheme="majorHAnsi" w:cs="Arial"/>
        </w:rPr>
        <w:t xml:space="preserve">are made that </w:t>
      </w:r>
      <w:r w:rsidR="00511080" w:rsidRPr="000B5A31">
        <w:rPr>
          <w:rFonts w:asciiTheme="majorHAnsi" w:hAnsiTheme="majorHAnsi" w:cs="Arial"/>
        </w:rPr>
        <w:t xml:space="preserve">will </w:t>
      </w:r>
      <w:r w:rsidR="00D33479" w:rsidRPr="000B5A31">
        <w:rPr>
          <w:rFonts w:asciiTheme="majorHAnsi" w:hAnsiTheme="majorHAnsi" w:cs="Arial"/>
        </w:rPr>
        <w:t>lock the world in to high carbon development paths</w:t>
      </w:r>
      <w:r w:rsidR="00511080" w:rsidRPr="000B5A31">
        <w:rPr>
          <w:rFonts w:asciiTheme="majorHAnsi" w:hAnsiTheme="majorHAnsi" w:cs="Arial"/>
        </w:rPr>
        <w:t xml:space="preserve"> for years to come</w:t>
      </w:r>
      <w:r w:rsidR="00CF4D1F" w:rsidRPr="000B5A31">
        <w:rPr>
          <w:rFonts w:asciiTheme="majorHAnsi" w:hAnsiTheme="majorHAnsi" w:cs="Arial"/>
        </w:rPr>
        <w:t>,</w:t>
      </w:r>
      <w:r w:rsidR="00511080" w:rsidRPr="000B5A31">
        <w:rPr>
          <w:rFonts w:asciiTheme="majorHAnsi" w:hAnsiTheme="majorHAnsi" w:cs="Arial"/>
        </w:rPr>
        <w:t xml:space="preserve"> whilst at the same time </w:t>
      </w:r>
      <w:r w:rsidR="00D33479" w:rsidRPr="000B5A31">
        <w:rPr>
          <w:rFonts w:asciiTheme="majorHAnsi" w:hAnsiTheme="majorHAnsi" w:cs="Arial"/>
        </w:rPr>
        <w:t xml:space="preserve">long lived emissions </w:t>
      </w:r>
      <w:r w:rsidR="00511080" w:rsidRPr="000B5A31">
        <w:rPr>
          <w:rFonts w:asciiTheme="majorHAnsi" w:hAnsiTheme="majorHAnsi" w:cs="Arial"/>
        </w:rPr>
        <w:t xml:space="preserve">continue to </w:t>
      </w:r>
      <w:r w:rsidR="00D33479" w:rsidRPr="000B5A31">
        <w:rPr>
          <w:rFonts w:asciiTheme="majorHAnsi" w:hAnsiTheme="majorHAnsi" w:cs="Arial"/>
        </w:rPr>
        <w:t xml:space="preserve">accumulate </w:t>
      </w:r>
      <w:r w:rsidRPr="000B5A31">
        <w:rPr>
          <w:rFonts w:asciiTheme="majorHAnsi" w:hAnsiTheme="majorHAnsi" w:cs="Arial"/>
        </w:rPr>
        <w:t xml:space="preserve">in the atmosphere </w:t>
      </w:r>
      <w:r w:rsidR="00D33479" w:rsidRPr="000B5A31">
        <w:rPr>
          <w:rFonts w:asciiTheme="majorHAnsi" w:hAnsiTheme="majorHAnsi" w:cs="Arial"/>
        </w:rPr>
        <w:t>and the opportunity to</w:t>
      </w:r>
      <w:r w:rsidR="00511080" w:rsidRPr="000B5A31">
        <w:rPr>
          <w:rFonts w:asciiTheme="majorHAnsi" w:hAnsiTheme="majorHAnsi" w:cs="Arial"/>
        </w:rPr>
        <w:t xml:space="preserve"> make investments that will help to</w:t>
      </w:r>
      <w:r w:rsidR="00D33479" w:rsidRPr="000B5A31">
        <w:rPr>
          <w:rFonts w:asciiTheme="majorHAnsi" w:hAnsiTheme="majorHAnsi" w:cs="Arial"/>
        </w:rPr>
        <w:t xml:space="preserve"> avoid dangerous climate change diminishes</w:t>
      </w:r>
      <w:r w:rsidR="00344D9D" w:rsidRPr="000B5A31">
        <w:rPr>
          <w:rFonts w:asciiTheme="majorHAnsi" w:hAnsiTheme="majorHAnsi" w:cs="Arial"/>
        </w:rPr>
        <w:t>.</w:t>
      </w:r>
      <w:r w:rsidR="00D33479" w:rsidRPr="000B5A31">
        <w:rPr>
          <w:rFonts w:asciiTheme="majorHAnsi" w:hAnsiTheme="majorHAnsi" w:cs="Arial"/>
        </w:rPr>
        <w:t xml:space="preserve"> </w:t>
      </w:r>
      <w:r w:rsidR="003227AF" w:rsidRPr="000B5A31">
        <w:rPr>
          <w:rFonts w:asciiTheme="majorHAnsi" w:hAnsiTheme="majorHAnsi" w:cs="Arial"/>
        </w:rPr>
        <w:t>Indeed, the IEA (2013</w:t>
      </w:r>
      <w:r w:rsidR="00CF4D1F" w:rsidRPr="000B5A31">
        <w:rPr>
          <w:rFonts w:asciiTheme="majorHAnsi" w:hAnsiTheme="majorHAnsi" w:cs="Arial"/>
        </w:rPr>
        <w:t>a, p3</w:t>
      </w:r>
      <w:r w:rsidR="003227AF" w:rsidRPr="000B5A31">
        <w:rPr>
          <w:rFonts w:asciiTheme="majorHAnsi" w:hAnsiTheme="majorHAnsi" w:cs="Arial"/>
        </w:rPr>
        <w:t>) reported that ‘the goal</w:t>
      </w:r>
      <w:r w:rsidR="00344D9D" w:rsidRPr="000B5A31">
        <w:rPr>
          <w:rFonts w:asciiTheme="majorHAnsi" w:hAnsiTheme="majorHAnsi" w:cs="Arial"/>
        </w:rPr>
        <w:t xml:space="preserve"> </w:t>
      </w:r>
      <w:r w:rsidR="00AD374A" w:rsidRPr="000B5A31">
        <w:rPr>
          <w:rFonts w:asciiTheme="majorHAnsi" w:hAnsiTheme="majorHAnsi" w:cs="Arial"/>
        </w:rPr>
        <w:t>of limiting warming to 2</w:t>
      </w:r>
      <w:r w:rsidR="003227AF" w:rsidRPr="000B5A31">
        <w:rPr>
          <w:rFonts w:asciiTheme="majorHAnsi" w:hAnsiTheme="majorHAnsi" w:cs="Arial"/>
        </w:rPr>
        <w:t>°C is becoming more difficult and more cost</w:t>
      </w:r>
      <w:r w:rsidR="004D6A4B" w:rsidRPr="000B5A31">
        <w:rPr>
          <w:rFonts w:asciiTheme="majorHAnsi" w:hAnsiTheme="majorHAnsi" w:cs="Arial"/>
        </w:rPr>
        <w:t>ly with each year that passes’. I</w:t>
      </w:r>
      <w:r w:rsidR="00344D9D" w:rsidRPr="000B5A31">
        <w:rPr>
          <w:rFonts w:asciiTheme="majorHAnsi" w:hAnsiTheme="majorHAnsi" w:cs="Arial"/>
        </w:rPr>
        <w:t>n assessing the scope to avoid dangerous levels of climate change by limiting atmospheric emissions to no more than 450ppm,</w:t>
      </w:r>
      <w:r w:rsidR="003227AF" w:rsidRPr="000B5A31">
        <w:rPr>
          <w:rFonts w:asciiTheme="majorHAnsi" w:hAnsiTheme="majorHAnsi" w:cs="Arial"/>
        </w:rPr>
        <w:t xml:space="preserve"> </w:t>
      </w:r>
      <w:r w:rsidR="00511080" w:rsidRPr="000B5A31">
        <w:rPr>
          <w:rFonts w:asciiTheme="majorHAnsi" w:hAnsiTheme="majorHAnsi" w:cs="Arial"/>
        </w:rPr>
        <w:t>a level that</w:t>
      </w:r>
      <w:r w:rsidR="00DD26A8" w:rsidRPr="000B5A31">
        <w:rPr>
          <w:rFonts w:asciiTheme="majorHAnsi" w:hAnsiTheme="majorHAnsi" w:cs="Arial"/>
        </w:rPr>
        <w:t xml:space="preserve"> is associated with a good chanc</w:t>
      </w:r>
      <w:r w:rsidR="00511080" w:rsidRPr="000B5A31">
        <w:rPr>
          <w:rFonts w:asciiTheme="majorHAnsi" w:hAnsiTheme="majorHAnsi" w:cs="Arial"/>
        </w:rPr>
        <w:t>e of avoiding dangerous climate change (</w:t>
      </w:r>
      <w:r w:rsidR="00E75D05" w:rsidRPr="000B5A31">
        <w:rPr>
          <w:rFonts w:asciiTheme="majorHAnsi" w:hAnsiTheme="majorHAnsi" w:cs="Arial"/>
        </w:rPr>
        <w:t>IPCC, 2014</w:t>
      </w:r>
      <w:r w:rsidR="00511080" w:rsidRPr="000B5A31">
        <w:rPr>
          <w:rFonts w:asciiTheme="majorHAnsi" w:hAnsiTheme="majorHAnsi" w:cs="Arial"/>
        </w:rPr>
        <w:t xml:space="preserve">), </w:t>
      </w:r>
      <w:r w:rsidR="00CF4D1F" w:rsidRPr="000B5A31">
        <w:rPr>
          <w:rFonts w:asciiTheme="majorHAnsi" w:hAnsiTheme="majorHAnsi" w:cs="Arial"/>
        </w:rPr>
        <w:t>the IEA (2013a</w:t>
      </w:r>
      <w:r w:rsidR="008E1784" w:rsidRPr="000B5A31">
        <w:rPr>
          <w:rFonts w:asciiTheme="majorHAnsi" w:hAnsiTheme="majorHAnsi" w:cs="Arial"/>
        </w:rPr>
        <w:t>, p</w:t>
      </w:r>
      <w:r w:rsidR="00CF4D1F" w:rsidRPr="000B5A31">
        <w:rPr>
          <w:rFonts w:asciiTheme="majorHAnsi" w:hAnsiTheme="majorHAnsi" w:cs="Arial"/>
        </w:rPr>
        <w:t>3</w:t>
      </w:r>
      <w:r w:rsidR="004D6A4B" w:rsidRPr="000B5A31">
        <w:rPr>
          <w:rFonts w:asciiTheme="majorHAnsi" w:hAnsiTheme="majorHAnsi" w:cs="Arial"/>
        </w:rPr>
        <w:t>) finds that</w:t>
      </w:r>
      <w:r w:rsidR="003227AF" w:rsidRPr="000B5A31">
        <w:rPr>
          <w:rFonts w:asciiTheme="majorHAnsi" w:hAnsiTheme="majorHAnsi" w:cs="Arial"/>
        </w:rPr>
        <w:t xml:space="preserve"> ‘almost four-fifths of the CO2 emissions allowable by 2035 are already locked-in by existing power plants, factories, buildings, etc. If action to reduce CO2 emissions is not taken before 2017, all the allowable CO2 emissions would be locked-in by energy infr</w:t>
      </w:r>
      <w:r w:rsidR="00344D9D" w:rsidRPr="000B5A31">
        <w:rPr>
          <w:rFonts w:asciiTheme="majorHAnsi" w:hAnsiTheme="majorHAnsi" w:cs="Arial"/>
        </w:rPr>
        <w:t>astructure existing at that time</w:t>
      </w:r>
      <w:r w:rsidR="003227AF" w:rsidRPr="000B5A31">
        <w:rPr>
          <w:rFonts w:asciiTheme="majorHAnsi" w:hAnsiTheme="majorHAnsi" w:cs="Arial"/>
        </w:rPr>
        <w:t>.</w:t>
      </w:r>
      <w:r w:rsidR="004D6A4B" w:rsidRPr="000B5A31">
        <w:rPr>
          <w:rFonts w:asciiTheme="majorHAnsi" w:hAnsiTheme="majorHAnsi" w:cs="Arial"/>
        </w:rPr>
        <w:t>’</w:t>
      </w:r>
    </w:p>
    <w:p w14:paraId="032483FC" w14:textId="77777777" w:rsidR="00E75D05" w:rsidRPr="000B5A31" w:rsidRDefault="00E75D05" w:rsidP="00AB0182">
      <w:pPr>
        <w:spacing w:line="480" w:lineRule="auto"/>
        <w:ind w:left="360"/>
        <w:rPr>
          <w:rFonts w:asciiTheme="majorHAnsi" w:hAnsiTheme="majorHAnsi" w:cs="Arial"/>
        </w:rPr>
      </w:pPr>
    </w:p>
    <w:p w14:paraId="2AE81717" w14:textId="77777777" w:rsidR="00E75D05" w:rsidRDefault="00237099" w:rsidP="000B5A31">
      <w:pPr>
        <w:spacing w:line="480" w:lineRule="auto"/>
        <w:rPr>
          <w:rFonts w:asciiTheme="majorHAnsi" w:hAnsiTheme="majorHAnsi" w:cs="Arial"/>
        </w:rPr>
      </w:pPr>
      <w:r w:rsidRPr="000B5A31">
        <w:rPr>
          <w:rFonts w:asciiTheme="majorHAnsi" w:hAnsiTheme="majorHAnsi" w:cs="Arial"/>
        </w:rPr>
        <w:t xml:space="preserve">But the conditions for investment </w:t>
      </w:r>
      <w:r w:rsidR="004D6A4B" w:rsidRPr="000B5A31">
        <w:rPr>
          <w:rFonts w:asciiTheme="majorHAnsi" w:hAnsiTheme="majorHAnsi" w:cs="Arial"/>
        </w:rPr>
        <w:t xml:space="preserve">in low carbon development </w:t>
      </w:r>
      <w:r w:rsidRPr="000B5A31">
        <w:rPr>
          <w:rFonts w:asciiTheme="majorHAnsi" w:hAnsiTheme="majorHAnsi" w:cs="Arial"/>
        </w:rPr>
        <w:t>have hardly been ideal</w:t>
      </w:r>
      <w:r w:rsidR="00AD374A" w:rsidRPr="000B5A31">
        <w:rPr>
          <w:rFonts w:asciiTheme="majorHAnsi" w:hAnsiTheme="majorHAnsi" w:cs="Arial"/>
        </w:rPr>
        <w:t xml:space="preserve"> in the last few years</w:t>
      </w:r>
      <w:r w:rsidR="00511080" w:rsidRPr="000B5A31">
        <w:rPr>
          <w:rFonts w:asciiTheme="majorHAnsi" w:hAnsiTheme="majorHAnsi" w:cs="Arial"/>
        </w:rPr>
        <w:t xml:space="preserve">. The </w:t>
      </w:r>
      <w:r w:rsidRPr="000B5A31">
        <w:rPr>
          <w:rFonts w:asciiTheme="majorHAnsi" w:hAnsiTheme="majorHAnsi" w:cs="Arial"/>
        </w:rPr>
        <w:t xml:space="preserve">failure to reach a global agreement </w:t>
      </w:r>
      <w:r w:rsidR="00511080" w:rsidRPr="000B5A31">
        <w:rPr>
          <w:rFonts w:asciiTheme="majorHAnsi" w:hAnsiTheme="majorHAnsi" w:cs="Arial"/>
        </w:rPr>
        <w:t xml:space="preserve">on climate </w:t>
      </w:r>
      <w:r w:rsidR="00DF51E3" w:rsidRPr="000B5A31">
        <w:rPr>
          <w:rFonts w:asciiTheme="majorHAnsi" w:hAnsiTheme="majorHAnsi" w:cs="Arial"/>
        </w:rPr>
        <w:t xml:space="preserve">change </w:t>
      </w:r>
      <w:r w:rsidRPr="000B5A31">
        <w:rPr>
          <w:rFonts w:asciiTheme="majorHAnsi" w:hAnsiTheme="majorHAnsi" w:cs="Arial"/>
        </w:rPr>
        <w:t>in Copenhagen in 2009 coinc</w:t>
      </w:r>
      <w:r w:rsidR="00511080" w:rsidRPr="000B5A31">
        <w:rPr>
          <w:rFonts w:asciiTheme="majorHAnsi" w:hAnsiTheme="majorHAnsi" w:cs="Arial"/>
        </w:rPr>
        <w:t xml:space="preserve">ided with the financial crisis and the start </w:t>
      </w:r>
      <w:r w:rsidR="00676EC8" w:rsidRPr="000B5A31">
        <w:rPr>
          <w:rFonts w:asciiTheme="majorHAnsi" w:hAnsiTheme="majorHAnsi" w:cs="Arial"/>
        </w:rPr>
        <w:t xml:space="preserve">– in many countries </w:t>
      </w:r>
      <w:r w:rsidR="00156B2F" w:rsidRPr="000B5A31">
        <w:rPr>
          <w:rFonts w:asciiTheme="majorHAnsi" w:hAnsiTheme="majorHAnsi" w:cs="Arial"/>
        </w:rPr>
        <w:t>–</w:t>
      </w:r>
      <w:r w:rsidR="00676EC8" w:rsidRPr="000B5A31">
        <w:rPr>
          <w:rFonts w:asciiTheme="majorHAnsi" w:hAnsiTheme="majorHAnsi" w:cs="Arial"/>
        </w:rPr>
        <w:t xml:space="preserve"> </w:t>
      </w:r>
      <w:r w:rsidR="00511080" w:rsidRPr="000B5A31">
        <w:rPr>
          <w:rFonts w:asciiTheme="majorHAnsi" w:hAnsiTheme="majorHAnsi" w:cs="Arial"/>
        </w:rPr>
        <w:t xml:space="preserve">of a period of </w:t>
      </w:r>
      <w:r w:rsidR="006C3343" w:rsidRPr="000B5A31">
        <w:rPr>
          <w:rFonts w:asciiTheme="majorHAnsi" w:hAnsiTheme="majorHAnsi" w:cs="Arial"/>
        </w:rPr>
        <w:t xml:space="preserve">instability, uncertainty, </w:t>
      </w:r>
      <w:r w:rsidRPr="000B5A31">
        <w:rPr>
          <w:rFonts w:asciiTheme="majorHAnsi" w:hAnsiTheme="majorHAnsi" w:cs="Arial"/>
        </w:rPr>
        <w:t>recession and austerity</w:t>
      </w:r>
      <w:r w:rsidR="00511080" w:rsidRPr="000B5A31">
        <w:rPr>
          <w:rFonts w:asciiTheme="majorHAnsi" w:hAnsiTheme="majorHAnsi" w:cs="Arial"/>
        </w:rPr>
        <w:t>. I</w:t>
      </w:r>
      <w:r w:rsidRPr="000B5A31">
        <w:rPr>
          <w:rFonts w:asciiTheme="majorHAnsi" w:hAnsiTheme="majorHAnsi" w:cs="Arial"/>
        </w:rPr>
        <w:t>n many settings</w:t>
      </w:r>
      <w:r w:rsidR="00511080" w:rsidRPr="000B5A31">
        <w:rPr>
          <w:rFonts w:asciiTheme="majorHAnsi" w:hAnsiTheme="majorHAnsi" w:cs="Arial"/>
        </w:rPr>
        <w:t>,</w:t>
      </w:r>
      <w:r w:rsidRPr="000B5A31">
        <w:rPr>
          <w:rFonts w:asciiTheme="majorHAnsi" w:hAnsiTheme="majorHAnsi" w:cs="Arial"/>
        </w:rPr>
        <w:t xml:space="preserve"> for the past few years at least</w:t>
      </w:r>
      <w:r w:rsidR="00511080" w:rsidRPr="000B5A31">
        <w:rPr>
          <w:rFonts w:asciiTheme="majorHAnsi" w:hAnsiTheme="majorHAnsi" w:cs="Arial"/>
        </w:rPr>
        <w:t>,</w:t>
      </w:r>
      <w:r w:rsidRPr="000B5A31">
        <w:rPr>
          <w:rFonts w:asciiTheme="majorHAnsi" w:hAnsiTheme="majorHAnsi" w:cs="Arial"/>
        </w:rPr>
        <w:t xml:space="preserve"> more emphasis has been placed on these </w:t>
      </w:r>
      <w:r w:rsidR="00511080" w:rsidRPr="000B5A31">
        <w:rPr>
          <w:rFonts w:asciiTheme="majorHAnsi" w:hAnsiTheme="majorHAnsi" w:cs="Arial"/>
        </w:rPr>
        <w:t xml:space="preserve">economic and financial </w:t>
      </w:r>
      <w:r w:rsidRPr="000B5A31">
        <w:rPr>
          <w:rFonts w:asciiTheme="majorHAnsi" w:hAnsiTheme="majorHAnsi" w:cs="Arial"/>
        </w:rPr>
        <w:t xml:space="preserve">issues than on tackling climate change. </w:t>
      </w:r>
      <w:r w:rsidR="00DF51E3" w:rsidRPr="000B5A31">
        <w:rPr>
          <w:rFonts w:asciiTheme="majorHAnsi" w:hAnsiTheme="majorHAnsi" w:cs="Arial"/>
        </w:rPr>
        <w:t xml:space="preserve">Indeed, </w:t>
      </w:r>
      <w:r w:rsidR="00DD26A8" w:rsidRPr="000B5A31">
        <w:rPr>
          <w:rFonts w:asciiTheme="majorHAnsi" w:hAnsiTheme="majorHAnsi" w:cs="Arial"/>
        </w:rPr>
        <w:t xml:space="preserve">as market instability and policy uncertainty limit private investment, and budget deficits and </w:t>
      </w:r>
      <w:r w:rsidR="00982613" w:rsidRPr="000B5A31">
        <w:rPr>
          <w:rFonts w:asciiTheme="majorHAnsi" w:hAnsiTheme="majorHAnsi" w:cs="Arial"/>
        </w:rPr>
        <w:t>austerity</w:t>
      </w:r>
      <w:r w:rsidR="00DD26A8" w:rsidRPr="000B5A31">
        <w:rPr>
          <w:rFonts w:asciiTheme="majorHAnsi" w:hAnsiTheme="majorHAnsi" w:cs="Arial"/>
        </w:rPr>
        <w:t xml:space="preserve"> limit public </w:t>
      </w:r>
      <w:r w:rsidR="00475064" w:rsidRPr="000B5A31">
        <w:rPr>
          <w:rFonts w:asciiTheme="majorHAnsi" w:hAnsiTheme="majorHAnsi" w:cs="Arial"/>
        </w:rPr>
        <w:t>investment</w:t>
      </w:r>
      <w:r w:rsidR="00982613" w:rsidRPr="000B5A31">
        <w:rPr>
          <w:rFonts w:asciiTheme="majorHAnsi" w:hAnsiTheme="majorHAnsi" w:cs="Arial"/>
        </w:rPr>
        <w:t>,</w:t>
      </w:r>
      <w:r w:rsidR="00DD26A8" w:rsidRPr="000B5A31">
        <w:rPr>
          <w:rFonts w:asciiTheme="majorHAnsi" w:hAnsiTheme="majorHAnsi" w:cs="Arial"/>
        </w:rPr>
        <w:t xml:space="preserve"> </w:t>
      </w:r>
      <w:r w:rsidRPr="000B5A31">
        <w:rPr>
          <w:rFonts w:asciiTheme="majorHAnsi" w:hAnsiTheme="majorHAnsi" w:cs="Arial"/>
        </w:rPr>
        <w:t>it seems appropriate to explore some innovative ways of substantially increasing investment in low carbon development.</w:t>
      </w:r>
    </w:p>
    <w:p w14:paraId="06999985" w14:textId="77777777" w:rsidR="0069412A" w:rsidRPr="000B5A31" w:rsidRDefault="0069412A" w:rsidP="000B5A31">
      <w:pPr>
        <w:spacing w:line="480" w:lineRule="auto"/>
        <w:rPr>
          <w:rFonts w:asciiTheme="majorHAnsi" w:hAnsiTheme="majorHAnsi" w:cs="Arial"/>
        </w:rPr>
      </w:pPr>
    </w:p>
    <w:p w14:paraId="6E6EE36D" w14:textId="13C0F4AC" w:rsidR="003A4F5F" w:rsidRPr="003A4F5F" w:rsidRDefault="0069412A" w:rsidP="00AB0182">
      <w:pPr>
        <w:spacing w:line="480" w:lineRule="auto"/>
        <w:rPr>
          <w:rFonts w:asciiTheme="majorHAnsi" w:hAnsiTheme="majorHAnsi" w:cs="Arial"/>
        </w:rPr>
      </w:pPr>
      <w:r w:rsidRPr="003A4F5F">
        <w:rPr>
          <w:rFonts w:asciiTheme="majorHAnsi" w:hAnsiTheme="majorHAnsi" w:cs="Arial"/>
        </w:rPr>
        <w:lastRenderedPageBreak/>
        <w:t xml:space="preserve">1.2 </w:t>
      </w:r>
      <w:r w:rsidR="00252418">
        <w:rPr>
          <w:rFonts w:asciiTheme="majorHAnsi" w:hAnsiTheme="majorHAnsi" w:cs="Arial"/>
        </w:rPr>
        <w:t>The potential role of revolving f</w:t>
      </w:r>
      <w:r w:rsidRPr="003A4F5F">
        <w:rPr>
          <w:rFonts w:asciiTheme="majorHAnsi" w:hAnsiTheme="majorHAnsi" w:cs="Arial"/>
        </w:rPr>
        <w:t>unds</w:t>
      </w:r>
    </w:p>
    <w:p w14:paraId="49D1642B" w14:textId="427F9742" w:rsidR="00504583" w:rsidRDefault="00982613" w:rsidP="000B5A31">
      <w:pPr>
        <w:spacing w:line="480" w:lineRule="auto"/>
        <w:rPr>
          <w:rFonts w:asciiTheme="majorHAnsi" w:hAnsiTheme="majorHAnsi" w:cs="Arial"/>
        </w:rPr>
      </w:pPr>
      <w:r w:rsidRPr="000B5A31">
        <w:rPr>
          <w:rFonts w:asciiTheme="majorHAnsi" w:hAnsiTheme="majorHAnsi" w:cs="Arial"/>
        </w:rPr>
        <w:t>With this in mind, t</w:t>
      </w:r>
      <w:r w:rsidR="00237099" w:rsidRPr="000B5A31">
        <w:rPr>
          <w:rFonts w:asciiTheme="majorHAnsi" w:hAnsiTheme="majorHAnsi" w:cs="Arial"/>
        </w:rPr>
        <w:t xml:space="preserve">his paper explores the case for the creation of </w:t>
      </w:r>
      <w:r w:rsidR="00344D9D" w:rsidRPr="000B5A31">
        <w:rPr>
          <w:rFonts w:asciiTheme="majorHAnsi" w:hAnsiTheme="majorHAnsi" w:cs="Arial"/>
        </w:rPr>
        <w:t xml:space="preserve">an </w:t>
      </w:r>
      <w:r w:rsidR="00237099" w:rsidRPr="000B5A31">
        <w:rPr>
          <w:rFonts w:asciiTheme="majorHAnsi" w:hAnsiTheme="majorHAnsi" w:cs="Arial"/>
        </w:rPr>
        <w:t>innovative financing mechanism – the revolving fund</w:t>
      </w:r>
      <w:r w:rsidR="00344D9D" w:rsidRPr="000B5A31">
        <w:rPr>
          <w:rFonts w:asciiTheme="majorHAnsi" w:hAnsiTheme="majorHAnsi" w:cs="Arial"/>
        </w:rPr>
        <w:t xml:space="preserve"> – where the savings from investments in energy efficiency and </w:t>
      </w:r>
      <w:r w:rsidR="00511080" w:rsidRPr="000B5A31">
        <w:rPr>
          <w:rFonts w:asciiTheme="majorHAnsi" w:hAnsiTheme="majorHAnsi" w:cs="Arial"/>
        </w:rPr>
        <w:t xml:space="preserve">other forms of low carbon development are </w:t>
      </w:r>
      <w:r w:rsidR="00344D9D" w:rsidRPr="000B5A31">
        <w:rPr>
          <w:rFonts w:asciiTheme="majorHAnsi" w:hAnsiTheme="majorHAnsi" w:cs="Arial"/>
        </w:rPr>
        <w:t xml:space="preserve">captured and </w:t>
      </w:r>
      <w:r w:rsidR="00B474A8" w:rsidRPr="000B5A31">
        <w:rPr>
          <w:rFonts w:asciiTheme="majorHAnsi" w:hAnsiTheme="majorHAnsi" w:cs="Arial"/>
        </w:rPr>
        <w:t>reinvested</w:t>
      </w:r>
      <w:r w:rsidR="00344D9D" w:rsidRPr="000B5A31">
        <w:rPr>
          <w:rFonts w:asciiTheme="majorHAnsi" w:hAnsiTheme="majorHAnsi" w:cs="Arial"/>
        </w:rPr>
        <w:t xml:space="preserve"> to either reduce the need for new finance or to increase the impact of what finance there is</w:t>
      </w:r>
      <w:r w:rsidR="00237099" w:rsidRPr="000B5A31">
        <w:rPr>
          <w:rFonts w:asciiTheme="majorHAnsi" w:hAnsiTheme="majorHAnsi" w:cs="Arial"/>
        </w:rPr>
        <w:t xml:space="preserve">. </w:t>
      </w:r>
      <w:r w:rsidRPr="000B5A31">
        <w:rPr>
          <w:rFonts w:asciiTheme="majorHAnsi" w:hAnsiTheme="majorHAnsi" w:cs="Arial"/>
        </w:rPr>
        <w:t xml:space="preserve">Such funds have been </w:t>
      </w:r>
      <w:r w:rsidR="00DF51E3" w:rsidRPr="000B5A31">
        <w:rPr>
          <w:rFonts w:asciiTheme="majorHAnsi" w:hAnsiTheme="majorHAnsi" w:cs="Arial"/>
        </w:rPr>
        <w:t>discussed before (</w:t>
      </w:r>
      <w:r w:rsidR="00B10DB5" w:rsidRPr="000B5A31">
        <w:rPr>
          <w:rFonts w:asciiTheme="majorHAnsi" w:hAnsiTheme="majorHAnsi" w:cs="Arial"/>
        </w:rPr>
        <w:t>EC, 2011</w:t>
      </w:r>
      <w:r w:rsidR="00AD374A" w:rsidRPr="000B5A31">
        <w:rPr>
          <w:rFonts w:asciiTheme="majorHAnsi" w:hAnsiTheme="majorHAnsi" w:cs="Arial"/>
        </w:rPr>
        <w:t xml:space="preserve">; </w:t>
      </w:r>
      <w:r w:rsidR="00B10DB5" w:rsidRPr="000B5A31">
        <w:rPr>
          <w:rFonts w:asciiTheme="majorHAnsi" w:hAnsiTheme="majorHAnsi" w:cs="Arial"/>
        </w:rPr>
        <w:t xml:space="preserve">Forum for the Future, 2011; </w:t>
      </w:r>
      <w:r w:rsidR="00AD374A" w:rsidRPr="000B5A31">
        <w:rPr>
          <w:rFonts w:asciiTheme="majorHAnsi" w:hAnsiTheme="majorHAnsi" w:cs="Arial"/>
        </w:rPr>
        <w:t xml:space="preserve">DECC, </w:t>
      </w:r>
      <w:r w:rsidR="008E1784" w:rsidRPr="000B5A31">
        <w:rPr>
          <w:rFonts w:asciiTheme="majorHAnsi" w:hAnsiTheme="majorHAnsi" w:cs="Arial"/>
        </w:rPr>
        <w:t>2012</w:t>
      </w:r>
      <w:r w:rsidR="00405830" w:rsidRPr="000B5A31">
        <w:rPr>
          <w:rFonts w:asciiTheme="majorHAnsi" w:hAnsiTheme="majorHAnsi" w:cs="Arial"/>
        </w:rPr>
        <w:t>a</w:t>
      </w:r>
      <w:r w:rsidR="00B10DB5" w:rsidRPr="000B5A31">
        <w:rPr>
          <w:rFonts w:asciiTheme="majorHAnsi" w:hAnsiTheme="majorHAnsi" w:cs="Arial"/>
        </w:rPr>
        <w:t>, IEA, 2013b</w:t>
      </w:r>
      <w:r w:rsidR="00DF51E3" w:rsidRPr="000B5A31">
        <w:rPr>
          <w:rFonts w:asciiTheme="majorHAnsi" w:hAnsiTheme="majorHAnsi" w:cs="Arial"/>
        </w:rPr>
        <w:t xml:space="preserve">) and have </w:t>
      </w:r>
      <w:r w:rsidR="006C3343" w:rsidRPr="000B5A31">
        <w:rPr>
          <w:rFonts w:asciiTheme="majorHAnsi" w:hAnsiTheme="majorHAnsi" w:cs="Arial"/>
        </w:rPr>
        <w:t xml:space="preserve">been </w:t>
      </w:r>
      <w:r w:rsidR="00B10DB5" w:rsidRPr="000B5A31">
        <w:rPr>
          <w:rFonts w:asciiTheme="majorHAnsi" w:hAnsiTheme="majorHAnsi" w:cs="Arial"/>
        </w:rPr>
        <w:t>adopted</w:t>
      </w:r>
      <w:r w:rsidR="00B474A8" w:rsidRPr="000B5A31">
        <w:rPr>
          <w:rFonts w:asciiTheme="majorHAnsi" w:hAnsiTheme="majorHAnsi" w:cs="Arial"/>
        </w:rPr>
        <w:t xml:space="preserve"> in different contexts</w:t>
      </w:r>
      <w:r w:rsidR="00AC1253" w:rsidRPr="000B5A31">
        <w:rPr>
          <w:rFonts w:asciiTheme="majorHAnsi" w:hAnsiTheme="majorHAnsi" w:cs="Arial"/>
        </w:rPr>
        <w:t xml:space="preserve"> to fulfil</w:t>
      </w:r>
      <w:r w:rsidR="00B10DB5" w:rsidRPr="000B5A31">
        <w:rPr>
          <w:rFonts w:asciiTheme="majorHAnsi" w:hAnsiTheme="majorHAnsi" w:cs="Arial"/>
        </w:rPr>
        <w:t xml:space="preserve"> a range of objectives including energy efficiency upgrades, promotion of renewables</w:t>
      </w:r>
      <w:r w:rsidR="005332BC">
        <w:rPr>
          <w:rFonts w:asciiTheme="majorHAnsi" w:hAnsiTheme="majorHAnsi" w:cs="Arial"/>
        </w:rPr>
        <w:t xml:space="preserve">, </w:t>
      </w:r>
      <w:r w:rsidR="0002561A">
        <w:rPr>
          <w:rFonts w:asciiTheme="majorHAnsi" w:hAnsiTheme="majorHAnsi" w:cs="Arial"/>
        </w:rPr>
        <w:t xml:space="preserve">the </w:t>
      </w:r>
      <w:r w:rsidR="00B10DB5" w:rsidRPr="000B5A31">
        <w:rPr>
          <w:rFonts w:asciiTheme="majorHAnsi" w:hAnsiTheme="majorHAnsi" w:cs="Arial"/>
        </w:rPr>
        <w:t>provision of clean water</w:t>
      </w:r>
      <w:r w:rsidR="005332BC">
        <w:rPr>
          <w:rFonts w:asciiTheme="majorHAnsi" w:hAnsiTheme="majorHAnsi" w:cs="Arial"/>
        </w:rPr>
        <w:t xml:space="preserve"> and the clean up of contaminated land</w:t>
      </w:r>
      <w:r w:rsidR="00DA4C2A" w:rsidRPr="000B5A31">
        <w:rPr>
          <w:rFonts w:asciiTheme="majorHAnsi" w:hAnsiTheme="majorHAnsi" w:cs="Arial"/>
        </w:rPr>
        <w:t>.</w:t>
      </w:r>
      <w:r w:rsidR="00504583">
        <w:rPr>
          <w:rFonts w:asciiTheme="majorHAnsi" w:hAnsiTheme="majorHAnsi" w:cs="Arial"/>
        </w:rPr>
        <w:t xml:space="preserve"> Examples of such revolving funds include:</w:t>
      </w:r>
    </w:p>
    <w:p w14:paraId="00CC44B7" w14:textId="77777777" w:rsidR="00504583" w:rsidRDefault="00504583" w:rsidP="000B5A31">
      <w:pPr>
        <w:spacing w:line="480" w:lineRule="auto"/>
        <w:rPr>
          <w:rFonts w:asciiTheme="majorHAnsi" w:hAnsiTheme="majorHAnsi" w:cs="Arial"/>
        </w:rPr>
      </w:pPr>
    </w:p>
    <w:p w14:paraId="07080728" w14:textId="33DA92AC" w:rsidR="005332BC" w:rsidRPr="00D76577" w:rsidRDefault="00504583" w:rsidP="00D76577">
      <w:pPr>
        <w:pStyle w:val="ListParagraph"/>
        <w:numPr>
          <w:ilvl w:val="0"/>
          <w:numId w:val="40"/>
        </w:numPr>
        <w:spacing w:line="480" w:lineRule="auto"/>
        <w:rPr>
          <w:rFonts w:asciiTheme="majorHAnsi" w:hAnsiTheme="majorHAnsi"/>
        </w:rPr>
      </w:pPr>
      <w:r w:rsidRPr="00504583">
        <w:rPr>
          <w:rFonts w:asciiTheme="majorHAnsi" w:hAnsiTheme="majorHAnsi"/>
        </w:rPr>
        <w:t>T</w:t>
      </w:r>
      <w:r w:rsidR="0002561A" w:rsidRPr="00D76577">
        <w:rPr>
          <w:rFonts w:asciiTheme="majorHAnsi" w:hAnsiTheme="majorHAnsi"/>
        </w:rPr>
        <w:t>he</w:t>
      </w:r>
      <w:r w:rsidR="002761BB" w:rsidRPr="00D76577">
        <w:rPr>
          <w:rFonts w:asciiTheme="majorHAnsi" w:hAnsiTheme="majorHAnsi"/>
        </w:rPr>
        <w:t xml:space="preserve"> </w:t>
      </w:r>
      <w:r w:rsidRPr="00D76577">
        <w:rPr>
          <w:rFonts w:asciiTheme="majorHAnsi" w:hAnsiTheme="majorHAnsi"/>
        </w:rPr>
        <w:t xml:space="preserve">US </w:t>
      </w:r>
      <w:r w:rsidR="002761BB" w:rsidRPr="00D76577">
        <w:rPr>
          <w:rFonts w:asciiTheme="majorHAnsi" w:hAnsiTheme="majorHAnsi"/>
        </w:rPr>
        <w:t xml:space="preserve">Clean Water State Revolving Fund </w:t>
      </w:r>
      <w:r>
        <w:rPr>
          <w:rFonts w:asciiTheme="majorHAnsi" w:hAnsiTheme="majorHAnsi"/>
        </w:rPr>
        <w:t xml:space="preserve">that was established in the 1990s and has </w:t>
      </w:r>
      <w:r w:rsidR="002761BB" w:rsidRPr="00D76577">
        <w:rPr>
          <w:rFonts w:asciiTheme="majorHAnsi" w:hAnsiTheme="majorHAnsi"/>
        </w:rPr>
        <w:t xml:space="preserve">provided over 33,000 loans with a total value of over $100 billion (USEPA, 2015). </w:t>
      </w:r>
    </w:p>
    <w:p w14:paraId="484E892C" w14:textId="54A43649" w:rsidR="00504583" w:rsidRPr="00D76577" w:rsidRDefault="00504583" w:rsidP="00D76577">
      <w:pPr>
        <w:pStyle w:val="ListParagraph"/>
        <w:numPr>
          <w:ilvl w:val="0"/>
          <w:numId w:val="40"/>
        </w:numPr>
        <w:spacing w:line="480" w:lineRule="auto"/>
        <w:rPr>
          <w:rFonts w:asciiTheme="majorHAnsi" w:hAnsiTheme="majorHAnsi"/>
        </w:rPr>
      </w:pPr>
      <w:r>
        <w:rPr>
          <w:rFonts w:ascii="Calibri" w:hAnsi="Calibri"/>
          <w:color w:val="000000" w:themeColor="text1"/>
        </w:rPr>
        <w:t>The</w:t>
      </w:r>
      <w:r w:rsidRPr="00D76577">
        <w:rPr>
          <w:rFonts w:asciiTheme="majorHAnsi" w:hAnsiTheme="majorHAnsi"/>
        </w:rPr>
        <w:t xml:space="preserve"> Thai Energy Efficiency Revolving Fund </w:t>
      </w:r>
      <w:r>
        <w:rPr>
          <w:rFonts w:asciiTheme="majorHAnsi" w:hAnsiTheme="majorHAnsi"/>
        </w:rPr>
        <w:t xml:space="preserve">that since its creation in 2003 </w:t>
      </w:r>
      <w:r w:rsidRPr="00D76577">
        <w:rPr>
          <w:rFonts w:asciiTheme="majorHAnsi" w:hAnsiTheme="majorHAnsi"/>
        </w:rPr>
        <w:t xml:space="preserve">has invested c$470m in 294 energy efficiency projects, mostly in factories (Grüning et al, 2012). </w:t>
      </w:r>
    </w:p>
    <w:p w14:paraId="1A40AB28" w14:textId="55A36CFA" w:rsidR="00504583" w:rsidRPr="00504583" w:rsidRDefault="00504583" w:rsidP="00D76577">
      <w:pPr>
        <w:pStyle w:val="ListParagraph"/>
        <w:numPr>
          <w:ilvl w:val="0"/>
          <w:numId w:val="40"/>
        </w:numPr>
        <w:spacing w:line="480" w:lineRule="auto"/>
        <w:rPr>
          <w:rFonts w:asciiTheme="majorHAnsi" w:hAnsiTheme="majorHAnsi"/>
        </w:rPr>
      </w:pPr>
      <w:r>
        <w:rPr>
          <w:rFonts w:asciiTheme="majorHAnsi" w:hAnsiTheme="majorHAnsi"/>
        </w:rPr>
        <w:t>T</w:t>
      </w:r>
      <w:r w:rsidRPr="00504583">
        <w:rPr>
          <w:rFonts w:asciiTheme="majorHAnsi" w:hAnsiTheme="majorHAnsi"/>
        </w:rPr>
        <w:t xml:space="preserve">he UK SALIX revolving fund </w:t>
      </w:r>
      <w:r w:rsidR="00252418">
        <w:rPr>
          <w:rFonts w:asciiTheme="majorHAnsi" w:hAnsiTheme="majorHAnsi"/>
        </w:rPr>
        <w:t>that</w:t>
      </w:r>
      <w:r>
        <w:rPr>
          <w:rFonts w:asciiTheme="majorHAnsi" w:hAnsiTheme="majorHAnsi"/>
        </w:rPr>
        <w:t xml:space="preserve"> since its establishment in 2004 </w:t>
      </w:r>
      <w:r w:rsidRPr="00D76577">
        <w:rPr>
          <w:rFonts w:ascii="Calibri" w:hAnsi="Calibri"/>
          <w:color w:val="000000" w:themeColor="text1"/>
        </w:rPr>
        <w:t>has</w:t>
      </w:r>
      <w:r w:rsidRPr="00504583">
        <w:rPr>
          <w:rFonts w:ascii="Calibri" w:hAnsi="Calibri"/>
          <w:color w:val="000000" w:themeColor="text1"/>
        </w:rPr>
        <w:t xml:space="preserve"> invested </w:t>
      </w:r>
      <w:r w:rsidRPr="00D76577">
        <w:rPr>
          <w:rFonts w:ascii="Calibri" w:hAnsi="Calibri"/>
          <w:color w:val="000000" w:themeColor="text1"/>
        </w:rPr>
        <w:t xml:space="preserve">£339 million in over 12,000 energy efficiency and renewable energy projects in the public sector with estimated fuel cost savings of £1.2 </w:t>
      </w:r>
      <w:r w:rsidRPr="00252418">
        <w:rPr>
          <w:rFonts w:ascii="Calibri" w:hAnsi="Calibri"/>
        </w:rPr>
        <w:t>billion (</w:t>
      </w:r>
      <w:r w:rsidR="00252418">
        <w:rPr>
          <w:rFonts w:ascii="Calibri" w:hAnsi="Calibri"/>
        </w:rPr>
        <w:t>SALIX</w:t>
      </w:r>
      <w:r w:rsidR="00252418" w:rsidRPr="00252418">
        <w:rPr>
          <w:rFonts w:ascii="Calibri" w:hAnsi="Calibri"/>
        </w:rPr>
        <w:t>,</w:t>
      </w:r>
      <w:r w:rsidRPr="00252418">
        <w:rPr>
          <w:rFonts w:ascii="Calibri" w:hAnsi="Calibri"/>
        </w:rPr>
        <w:t xml:space="preserve"> 2015).</w:t>
      </w:r>
    </w:p>
    <w:p w14:paraId="5EFBAF20" w14:textId="7140048D" w:rsidR="00504583" w:rsidRPr="00D76577" w:rsidRDefault="00504583" w:rsidP="00D76577">
      <w:pPr>
        <w:pStyle w:val="ListParagraph"/>
        <w:numPr>
          <w:ilvl w:val="0"/>
          <w:numId w:val="40"/>
        </w:numPr>
        <w:spacing w:line="480" w:lineRule="auto"/>
        <w:rPr>
          <w:rFonts w:ascii="Calibri" w:hAnsi="Calibri"/>
          <w:color w:val="000000" w:themeColor="text1"/>
        </w:rPr>
      </w:pPr>
      <w:r>
        <w:rPr>
          <w:rFonts w:ascii="Calibri" w:hAnsi="Calibri"/>
          <w:color w:val="000000" w:themeColor="text1"/>
        </w:rPr>
        <w:t xml:space="preserve">The </w:t>
      </w:r>
      <w:r w:rsidR="0002561A" w:rsidRPr="00D76577">
        <w:rPr>
          <w:rFonts w:ascii="Calibri" w:hAnsi="Calibri"/>
          <w:color w:val="000000" w:themeColor="text1"/>
        </w:rPr>
        <w:t xml:space="preserve">US Sustainable Endowments Initiative </w:t>
      </w:r>
      <w:r>
        <w:rPr>
          <w:rFonts w:ascii="Calibri" w:hAnsi="Calibri"/>
          <w:color w:val="000000" w:themeColor="text1"/>
        </w:rPr>
        <w:t xml:space="preserve">that was set up in 2005 and has since </w:t>
      </w:r>
      <w:r w:rsidR="00E35B04" w:rsidRPr="00D76577">
        <w:rPr>
          <w:rFonts w:ascii="Calibri" w:hAnsi="Calibri"/>
          <w:color w:val="000000" w:themeColor="text1"/>
        </w:rPr>
        <w:t xml:space="preserve">helped to create 79 revolving funds that </w:t>
      </w:r>
      <w:r>
        <w:rPr>
          <w:rFonts w:ascii="Calibri" w:hAnsi="Calibri"/>
          <w:color w:val="000000" w:themeColor="text1"/>
        </w:rPr>
        <w:t>invested</w:t>
      </w:r>
      <w:r w:rsidRPr="00D76577">
        <w:rPr>
          <w:rFonts w:ascii="Calibri" w:hAnsi="Calibri"/>
          <w:color w:val="000000" w:themeColor="text1"/>
        </w:rPr>
        <w:t xml:space="preserve"> over $100 mill</w:t>
      </w:r>
      <w:r w:rsidR="00E35B04" w:rsidRPr="00D76577">
        <w:rPr>
          <w:rFonts w:ascii="Calibri" w:hAnsi="Calibri"/>
          <w:color w:val="000000" w:themeColor="text1"/>
        </w:rPr>
        <w:t>ion of investment</w:t>
      </w:r>
      <w:r w:rsidR="002761BB" w:rsidRPr="00D76577">
        <w:rPr>
          <w:rFonts w:ascii="Calibri" w:hAnsi="Calibri"/>
          <w:color w:val="000000" w:themeColor="text1"/>
        </w:rPr>
        <w:t xml:space="preserve"> </w:t>
      </w:r>
      <w:r w:rsidRPr="00D76577">
        <w:rPr>
          <w:rFonts w:ascii="Calibri" w:hAnsi="Calibri"/>
          <w:color w:val="000000" w:themeColor="text1"/>
        </w:rPr>
        <w:t>in energy efficiency and renewable energy projects in higher education institutes</w:t>
      </w:r>
      <w:r w:rsidR="0002561A" w:rsidRPr="00D76577">
        <w:rPr>
          <w:rFonts w:ascii="Calibri" w:hAnsi="Calibri"/>
          <w:color w:val="000000" w:themeColor="text1"/>
        </w:rPr>
        <w:t xml:space="preserve"> </w:t>
      </w:r>
      <w:r w:rsidR="002761BB" w:rsidRPr="00D76577">
        <w:rPr>
          <w:rFonts w:ascii="Calibri" w:hAnsi="Calibri"/>
          <w:color w:val="000000" w:themeColor="text1"/>
        </w:rPr>
        <w:t>(</w:t>
      </w:r>
      <w:r w:rsidR="0002561A" w:rsidRPr="00D76577">
        <w:rPr>
          <w:rFonts w:ascii="Calibri" w:hAnsi="Calibri"/>
          <w:color w:val="000000" w:themeColor="text1"/>
        </w:rPr>
        <w:t>SEI, 2015</w:t>
      </w:r>
      <w:r w:rsidR="002761BB" w:rsidRPr="00D76577">
        <w:rPr>
          <w:rFonts w:ascii="Calibri" w:hAnsi="Calibri"/>
          <w:color w:val="000000" w:themeColor="text1"/>
        </w:rPr>
        <w:t>)</w:t>
      </w:r>
      <w:r w:rsidR="00E35B04" w:rsidRPr="00D76577">
        <w:rPr>
          <w:rFonts w:ascii="Calibri" w:hAnsi="Calibri"/>
          <w:color w:val="000000" w:themeColor="text1"/>
        </w:rPr>
        <w:t xml:space="preserve">. </w:t>
      </w:r>
    </w:p>
    <w:p w14:paraId="76359598" w14:textId="4507C98C" w:rsidR="0069412A" w:rsidRPr="00D76577" w:rsidRDefault="0069412A" w:rsidP="00504583">
      <w:pPr>
        <w:spacing w:line="480" w:lineRule="auto"/>
        <w:rPr>
          <w:rFonts w:asciiTheme="majorHAnsi" w:hAnsiTheme="majorHAnsi"/>
        </w:rPr>
      </w:pPr>
    </w:p>
    <w:p w14:paraId="0C24215D" w14:textId="5D419E7B" w:rsidR="00E75D05" w:rsidRDefault="00504583" w:rsidP="000B5A31">
      <w:pPr>
        <w:spacing w:line="480" w:lineRule="auto"/>
        <w:rPr>
          <w:rFonts w:asciiTheme="majorHAnsi" w:hAnsiTheme="majorHAnsi" w:cs="Arial"/>
          <w:bCs/>
        </w:rPr>
      </w:pPr>
      <w:r>
        <w:rPr>
          <w:rFonts w:asciiTheme="majorHAnsi" w:hAnsiTheme="majorHAnsi" w:cs="Arial"/>
        </w:rPr>
        <w:t xml:space="preserve">Various other revolving funds have also been created for urban regeneration, infrastructure provision and economic development. </w:t>
      </w:r>
      <w:r w:rsidR="00DA4C2A" w:rsidRPr="000B5A31">
        <w:rPr>
          <w:rFonts w:asciiTheme="majorHAnsi" w:hAnsiTheme="majorHAnsi" w:cs="Arial"/>
        </w:rPr>
        <w:t xml:space="preserve">However, </w:t>
      </w:r>
      <w:r w:rsidR="005332BC">
        <w:rPr>
          <w:rFonts w:asciiTheme="majorHAnsi" w:hAnsiTheme="majorHAnsi" w:cs="Arial"/>
        </w:rPr>
        <w:t xml:space="preserve">although there were evaluations of </w:t>
      </w:r>
      <w:r w:rsidR="005332BC">
        <w:rPr>
          <w:rFonts w:asciiTheme="majorHAnsi" w:hAnsiTheme="majorHAnsi" w:cs="Arial"/>
        </w:rPr>
        <w:lastRenderedPageBreak/>
        <w:t xml:space="preserve">revolving funds </w:t>
      </w:r>
      <w:r w:rsidR="00B066A1">
        <w:rPr>
          <w:rFonts w:asciiTheme="majorHAnsi" w:hAnsiTheme="majorHAnsi" w:cs="Arial"/>
        </w:rPr>
        <w:t xml:space="preserve">for water and infrastructure provision </w:t>
      </w:r>
      <w:r w:rsidR="005332BC">
        <w:rPr>
          <w:rFonts w:asciiTheme="majorHAnsi" w:hAnsiTheme="majorHAnsi" w:cs="Arial"/>
        </w:rPr>
        <w:t xml:space="preserve">in the 1990s (see Holcombe, 1992; O’Toole, </w:t>
      </w:r>
      <w:r w:rsidR="00B066A1">
        <w:rPr>
          <w:rFonts w:asciiTheme="majorHAnsi" w:hAnsiTheme="majorHAnsi" w:cs="Arial"/>
        </w:rPr>
        <w:t xml:space="preserve">1996), </w:t>
      </w:r>
      <w:r w:rsidR="00982613" w:rsidRPr="000B5A31">
        <w:rPr>
          <w:rFonts w:asciiTheme="majorHAnsi" w:hAnsiTheme="majorHAnsi" w:cs="Arial"/>
        </w:rPr>
        <w:t xml:space="preserve">as far as we are aware there has never been a formal </w:t>
      </w:r>
      <w:r w:rsidR="00DF51E3" w:rsidRPr="000B5A31">
        <w:rPr>
          <w:rFonts w:asciiTheme="majorHAnsi" w:hAnsiTheme="majorHAnsi" w:cs="Arial"/>
        </w:rPr>
        <w:t xml:space="preserve">academic </w:t>
      </w:r>
      <w:r w:rsidR="00982613" w:rsidRPr="000B5A31">
        <w:rPr>
          <w:rFonts w:asciiTheme="majorHAnsi" w:hAnsiTheme="majorHAnsi" w:cs="Arial"/>
        </w:rPr>
        <w:t xml:space="preserve">evaluation of the contribution that such funds can make either to reducing the cost of achieving particular carbon reduction targets or to enhancing the impacts of scarce low carbon investment funds. </w:t>
      </w:r>
      <w:r w:rsidR="00E75D05" w:rsidRPr="000B5A31">
        <w:rPr>
          <w:rFonts w:asciiTheme="majorHAnsi" w:hAnsiTheme="majorHAnsi" w:cs="Arial"/>
        </w:rPr>
        <w:t xml:space="preserve">This lack of </w:t>
      </w:r>
      <w:r w:rsidR="00475064" w:rsidRPr="000B5A31">
        <w:rPr>
          <w:rFonts w:asciiTheme="majorHAnsi" w:hAnsiTheme="majorHAnsi" w:cs="Arial"/>
        </w:rPr>
        <w:t xml:space="preserve">academic </w:t>
      </w:r>
      <w:r w:rsidR="00E75D05" w:rsidRPr="000B5A31">
        <w:rPr>
          <w:rFonts w:asciiTheme="majorHAnsi" w:hAnsiTheme="majorHAnsi" w:cs="Arial"/>
        </w:rPr>
        <w:t xml:space="preserve">analysis on the potential of revolving funds </w:t>
      </w:r>
      <w:r w:rsidR="00AD374A" w:rsidRPr="000B5A31">
        <w:rPr>
          <w:rFonts w:asciiTheme="majorHAnsi" w:hAnsiTheme="majorHAnsi" w:cs="Arial"/>
        </w:rPr>
        <w:t xml:space="preserve">to help mitigate climate change </w:t>
      </w:r>
      <w:r w:rsidR="00E75D05" w:rsidRPr="000B5A31">
        <w:rPr>
          <w:rFonts w:asciiTheme="majorHAnsi" w:hAnsiTheme="majorHAnsi" w:cs="Arial"/>
        </w:rPr>
        <w:t xml:space="preserve">is not unusual – indeed the IPCC (2014) notes that the </w:t>
      </w:r>
      <w:r w:rsidR="00E75D05" w:rsidRPr="000B5A31">
        <w:rPr>
          <w:rFonts w:asciiTheme="majorHAnsi" w:hAnsiTheme="majorHAnsi" w:cs="Arial"/>
          <w:bCs/>
        </w:rPr>
        <w:t xml:space="preserve">scientific literature on investment and finance to address climate change is still very limited and </w:t>
      </w:r>
      <w:r w:rsidR="00AD374A" w:rsidRPr="000B5A31">
        <w:rPr>
          <w:rFonts w:asciiTheme="majorHAnsi" w:hAnsiTheme="majorHAnsi" w:cs="Arial"/>
          <w:bCs/>
        </w:rPr>
        <w:t xml:space="preserve">that </w:t>
      </w:r>
      <w:r w:rsidR="00E75D05" w:rsidRPr="000B5A31">
        <w:rPr>
          <w:rFonts w:asciiTheme="majorHAnsi" w:hAnsiTheme="majorHAnsi" w:cs="Arial"/>
          <w:bCs/>
        </w:rPr>
        <w:t>knowledge gaps are substantial.</w:t>
      </w:r>
    </w:p>
    <w:p w14:paraId="6120928C" w14:textId="77777777" w:rsidR="00982613" w:rsidRDefault="00982613" w:rsidP="00AB0182">
      <w:pPr>
        <w:spacing w:line="480" w:lineRule="auto"/>
        <w:rPr>
          <w:rFonts w:asciiTheme="majorHAnsi" w:hAnsiTheme="majorHAnsi" w:cs="Arial"/>
        </w:rPr>
      </w:pPr>
    </w:p>
    <w:p w14:paraId="64622C11" w14:textId="0BB0D4A4" w:rsidR="00D76577" w:rsidRPr="003A4F5F" w:rsidRDefault="00D76577" w:rsidP="00AB0182">
      <w:pPr>
        <w:spacing w:line="480" w:lineRule="auto"/>
        <w:rPr>
          <w:rFonts w:asciiTheme="majorHAnsi" w:hAnsiTheme="majorHAnsi" w:cs="Arial"/>
        </w:rPr>
      </w:pPr>
      <w:r w:rsidRPr="003A4F5F">
        <w:rPr>
          <w:rFonts w:asciiTheme="majorHAnsi" w:hAnsiTheme="majorHAnsi" w:cs="Arial"/>
        </w:rPr>
        <w:t xml:space="preserve">1.3 </w:t>
      </w:r>
      <w:r w:rsidR="00252418">
        <w:rPr>
          <w:rFonts w:asciiTheme="majorHAnsi" w:hAnsiTheme="majorHAnsi" w:cs="Arial"/>
        </w:rPr>
        <w:t>The need for i</w:t>
      </w:r>
      <w:r w:rsidR="00F55F42" w:rsidRPr="003A4F5F">
        <w:rPr>
          <w:rFonts w:asciiTheme="majorHAnsi" w:hAnsiTheme="majorHAnsi" w:cs="Arial"/>
        </w:rPr>
        <w:t xml:space="preserve">nvestment in </w:t>
      </w:r>
      <w:r w:rsidR="00252418">
        <w:rPr>
          <w:rFonts w:asciiTheme="majorHAnsi" w:hAnsiTheme="majorHAnsi" w:cs="Arial"/>
        </w:rPr>
        <w:t>energy efficiency in b</w:t>
      </w:r>
      <w:r w:rsidRPr="003A4F5F">
        <w:rPr>
          <w:rFonts w:asciiTheme="majorHAnsi" w:hAnsiTheme="majorHAnsi" w:cs="Arial"/>
        </w:rPr>
        <w:t>uildings</w:t>
      </w:r>
    </w:p>
    <w:p w14:paraId="5532C286" w14:textId="5636D08A" w:rsidR="00246639" w:rsidRPr="000B5A31" w:rsidRDefault="00104640" w:rsidP="004548A5">
      <w:pPr>
        <w:spacing w:line="480" w:lineRule="auto"/>
        <w:rPr>
          <w:rFonts w:asciiTheme="majorHAnsi" w:hAnsiTheme="majorHAnsi" w:cs="Arial"/>
        </w:rPr>
      </w:pPr>
      <w:r>
        <w:rPr>
          <w:rFonts w:asciiTheme="majorHAnsi" w:hAnsiTheme="majorHAnsi" w:cs="Arial"/>
        </w:rPr>
        <w:t xml:space="preserve">These factors are particularly significant for the buildings sector. </w:t>
      </w:r>
      <w:r w:rsidR="002A0A0F" w:rsidRPr="000B5A31">
        <w:rPr>
          <w:rFonts w:asciiTheme="majorHAnsi" w:hAnsiTheme="majorHAnsi" w:cs="Arial"/>
        </w:rPr>
        <w:t>Globally, o</w:t>
      </w:r>
      <w:r w:rsidR="009C2495" w:rsidRPr="000B5A31">
        <w:rPr>
          <w:rFonts w:asciiTheme="majorHAnsi" w:hAnsiTheme="majorHAnsi" w:cs="Arial"/>
        </w:rPr>
        <w:t>ver one-third of all</w:t>
      </w:r>
      <w:r w:rsidR="00DD26A8" w:rsidRPr="000B5A31">
        <w:rPr>
          <w:rFonts w:asciiTheme="majorHAnsi" w:hAnsiTheme="majorHAnsi" w:cs="Arial"/>
        </w:rPr>
        <w:t xml:space="preserve"> final energy and half of</w:t>
      </w:r>
      <w:r w:rsidR="009C2495" w:rsidRPr="000B5A31">
        <w:rPr>
          <w:rFonts w:asciiTheme="majorHAnsi" w:hAnsiTheme="majorHAnsi" w:cs="Arial"/>
        </w:rPr>
        <w:t xml:space="preserve"> electricity </w:t>
      </w:r>
      <w:r w:rsidR="002A0A0F" w:rsidRPr="000B5A31">
        <w:rPr>
          <w:rFonts w:asciiTheme="majorHAnsi" w:hAnsiTheme="majorHAnsi" w:cs="Arial"/>
        </w:rPr>
        <w:t xml:space="preserve">are </w:t>
      </w:r>
      <w:r w:rsidR="009C2495" w:rsidRPr="000B5A31">
        <w:rPr>
          <w:rFonts w:asciiTheme="majorHAnsi" w:hAnsiTheme="majorHAnsi" w:cs="Arial"/>
        </w:rPr>
        <w:t xml:space="preserve">consumed </w:t>
      </w:r>
      <w:r w:rsidR="002A0A0F" w:rsidRPr="000B5A31">
        <w:rPr>
          <w:rFonts w:asciiTheme="majorHAnsi" w:hAnsiTheme="majorHAnsi" w:cs="Arial"/>
        </w:rPr>
        <w:t xml:space="preserve">in buildings, and buildings are therefore </w:t>
      </w:r>
      <w:r w:rsidR="009C2495" w:rsidRPr="000B5A31">
        <w:rPr>
          <w:rFonts w:asciiTheme="majorHAnsi" w:hAnsiTheme="majorHAnsi" w:cs="Arial"/>
        </w:rPr>
        <w:t xml:space="preserve">responsible for approximately one-third of global carbon emissions (IEA, </w:t>
      </w:r>
      <w:r w:rsidR="00410439" w:rsidRPr="000B5A31">
        <w:rPr>
          <w:rFonts w:asciiTheme="majorHAnsi" w:hAnsiTheme="majorHAnsi" w:cs="Arial"/>
        </w:rPr>
        <w:t>2013b</w:t>
      </w:r>
      <w:r w:rsidR="009C2495" w:rsidRPr="004548A5">
        <w:rPr>
          <w:rFonts w:asciiTheme="majorHAnsi" w:hAnsiTheme="majorHAnsi" w:cs="Arial"/>
        </w:rPr>
        <w:t>).</w:t>
      </w:r>
      <w:r w:rsidR="009C2495" w:rsidRPr="004548A5">
        <w:rPr>
          <w:rFonts w:asciiTheme="majorHAnsi" w:hAnsiTheme="majorHAnsi" w:cs="Arial"/>
          <w:color w:val="FFFF00"/>
        </w:rPr>
        <w:t xml:space="preserve"> </w:t>
      </w:r>
      <w:r w:rsidR="002A0A0F" w:rsidRPr="004548A5">
        <w:rPr>
          <w:rFonts w:asciiTheme="majorHAnsi" w:hAnsiTheme="majorHAnsi" w:cs="Arial"/>
        </w:rPr>
        <w:t>Energy</w:t>
      </w:r>
      <w:r w:rsidR="004548A5">
        <w:rPr>
          <w:rFonts w:asciiTheme="majorHAnsi" w:hAnsiTheme="majorHAnsi" w:cs="Arial"/>
        </w:rPr>
        <w:t xml:space="preserve"> use </w:t>
      </w:r>
      <w:r w:rsidR="002A0A0F" w:rsidRPr="000B5A31">
        <w:rPr>
          <w:rFonts w:asciiTheme="majorHAnsi" w:hAnsiTheme="majorHAnsi" w:cs="Arial"/>
        </w:rPr>
        <w:t xml:space="preserve">in buildings </w:t>
      </w:r>
      <w:r w:rsidR="004548A5">
        <w:rPr>
          <w:rFonts w:asciiTheme="majorHAnsi" w:hAnsiTheme="majorHAnsi" w:cs="Arial"/>
        </w:rPr>
        <w:t>is</w:t>
      </w:r>
      <w:r w:rsidR="004548A5" w:rsidRPr="000B5A31">
        <w:rPr>
          <w:rFonts w:asciiTheme="majorHAnsi" w:hAnsiTheme="majorHAnsi" w:cs="Arial"/>
        </w:rPr>
        <w:t xml:space="preserve"> </w:t>
      </w:r>
      <w:r w:rsidR="002A0A0F" w:rsidRPr="000B5A31">
        <w:rPr>
          <w:rFonts w:asciiTheme="majorHAnsi" w:hAnsiTheme="majorHAnsi" w:cs="Arial"/>
        </w:rPr>
        <w:t xml:space="preserve">therefore of critical importance, and many reports highlight the presence of cost-effective opportunities to </w:t>
      </w:r>
      <w:r w:rsidR="004548A5">
        <w:rPr>
          <w:rFonts w:asciiTheme="majorHAnsi" w:hAnsiTheme="majorHAnsi" w:cs="Arial"/>
        </w:rPr>
        <w:t>improve energy efficiency in buildings</w:t>
      </w:r>
      <w:r w:rsidR="002A0A0F" w:rsidRPr="000B5A31">
        <w:rPr>
          <w:rFonts w:asciiTheme="majorHAnsi" w:hAnsiTheme="majorHAnsi" w:cs="Arial"/>
        </w:rPr>
        <w:t xml:space="preserve"> (</w:t>
      </w:r>
      <w:r w:rsidR="00D70A92" w:rsidRPr="000B5A31">
        <w:rPr>
          <w:rFonts w:asciiTheme="majorHAnsi" w:hAnsiTheme="majorHAnsi" w:cs="Arial"/>
        </w:rPr>
        <w:t>IPCC, 2014</w:t>
      </w:r>
      <w:r w:rsidR="002A0A0F" w:rsidRPr="000B5A31">
        <w:rPr>
          <w:rFonts w:asciiTheme="majorHAnsi" w:hAnsiTheme="majorHAnsi" w:cs="Arial"/>
        </w:rPr>
        <w:t xml:space="preserve">). </w:t>
      </w:r>
      <w:r w:rsidR="00246639" w:rsidRPr="000B5A31">
        <w:rPr>
          <w:rFonts w:asciiTheme="majorHAnsi" w:hAnsiTheme="majorHAnsi" w:cs="Arial"/>
        </w:rPr>
        <w:t>However,</w:t>
      </w:r>
      <w:r w:rsidR="00AD374A" w:rsidRPr="000B5A31">
        <w:rPr>
          <w:rFonts w:asciiTheme="majorHAnsi" w:hAnsiTheme="majorHAnsi" w:cs="Arial"/>
        </w:rPr>
        <w:t xml:space="preserve"> the IPCC (2014) note</w:t>
      </w:r>
      <w:r w:rsidR="00475064" w:rsidRPr="000B5A31">
        <w:rPr>
          <w:rFonts w:asciiTheme="majorHAnsi" w:hAnsiTheme="majorHAnsi" w:cs="Arial"/>
        </w:rPr>
        <w:t>d</w:t>
      </w:r>
      <w:r w:rsidR="00AD374A" w:rsidRPr="000B5A31">
        <w:rPr>
          <w:rFonts w:asciiTheme="majorHAnsi" w:hAnsiTheme="majorHAnsi" w:cs="Arial"/>
        </w:rPr>
        <w:t xml:space="preserve"> that</w:t>
      </w:r>
      <w:r w:rsidR="00246639" w:rsidRPr="000B5A31">
        <w:rPr>
          <w:rFonts w:asciiTheme="majorHAnsi" w:hAnsiTheme="majorHAnsi" w:cs="Arial"/>
        </w:rPr>
        <w:t xml:space="preserve"> many potentially attractive energy </w:t>
      </w:r>
      <w:r w:rsidR="00D70A92" w:rsidRPr="000B5A31">
        <w:rPr>
          <w:rFonts w:asciiTheme="majorHAnsi" w:hAnsiTheme="majorHAnsi" w:cs="Arial"/>
        </w:rPr>
        <w:t xml:space="preserve">efficiency </w:t>
      </w:r>
      <w:r w:rsidR="00246639" w:rsidRPr="000B5A31">
        <w:rPr>
          <w:rFonts w:asciiTheme="majorHAnsi" w:hAnsiTheme="majorHAnsi" w:cs="Arial"/>
        </w:rPr>
        <w:t>investments do not meet the short-term financial return criteria of businesses, investors, and individuals. As a result, the</w:t>
      </w:r>
      <w:r w:rsidR="00D70A92" w:rsidRPr="000B5A31">
        <w:rPr>
          <w:rFonts w:asciiTheme="majorHAnsi" w:hAnsiTheme="majorHAnsi" w:cs="Arial"/>
        </w:rPr>
        <w:t xml:space="preserve"> </w:t>
      </w:r>
      <w:r w:rsidR="00765C3B" w:rsidRPr="000B5A31">
        <w:rPr>
          <w:rFonts w:asciiTheme="majorHAnsi" w:hAnsiTheme="majorHAnsi" w:cs="Arial"/>
        </w:rPr>
        <w:t>IEA</w:t>
      </w:r>
      <w:r w:rsidR="00092F50" w:rsidRPr="000B5A31">
        <w:rPr>
          <w:rFonts w:asciiTheme="majorHAnsi" w:hAnsiTheme="majorHAnsi" w:cs="Arial"/>
        </w:rPr>
        <w:t xml:space="preserve"> </w:t>
      </w:r>
      <w:r w:rsidR="002A0A0F" w:rsidRPr="000B5A31">
        <w:rPr>
          <w:rFonts w:asciiTheme="majorHAnsi" w:hAnsiTheme="majorHAnsi" w:cs="Arial"/>
        </w:rPr>
        <w:t>(</w:t>
      </w:r>
      <w:r w:rsidR="00410439" w:rsidRPr="000B5A31">
        <w:rPr>
          <w:rFonts w:asciiTheme="majorHAnsi" w:hAnsiTheme="majorHAnsi" w:cs="Arial"/>
        </w:rPr>
        <w:t>2013b</w:t>
      </w:r>
      <w:r w:rsidR="002A0A0F" w:rsidRPr="000B5A31">
        <w:rPr>
          <w:rFonts w:asciiTheme="majorHAnsi" w:hAnsiTheme="majorHAnsi" w:cs="Arial"/>
        </w:rPr>
        <w:t xml:space="preserve">) </w:t>
      </w:r>
      <w:r w:rsidR="00246639" w:rsidRPr="000B5A31">
        <w:rPr>
          <w:rFonts w:asciiTheme="majorHAnsi" w:hAnsiTheme="majorHAnsi" w:cs="Arial"/>
        </w:rPr>
        <w:t>predict</w:t>
      </w:r>
      <w:r w:rsidR="00475064" w:rsidRPr="000B5A31">
        <w:rPr>
          <w:rFonts w:asciiTheme="majorHAnsi" w:hAnsiTheme="majorHAnsi" w:cs="Arial"/>
        </w:rPr>
        <w:t>ed</w:t>
      </w:r>
      <w:r w:rsidR="002A0A0F" w:rsidRPr="000B5A31">
        <w:rPr>
          <w:rFonts w:asciiTheme="majorHAnsi" w:hAnsiTheme="majorHAnsi" w:cs="Arial"/>
        </w:rPr>
        <w:t xml:space="preserve"> that</w:t>
      </w:r>
      <w:r w:rsidR="00765C3B" w:rsidRPr="000B5A31">
        <w:rPr>
          <w:rFonts w:asciiTheme="majorHAnsi" w:hAnsiTheme="majorHAnsi" w:cs="Arial"/>
        </w:rPr>
        <w:t xml:space="preserve"> </w:t>
      </w:r>
      <w:r w:rsidR="002A0A0F" w:rsidRPr="000B5A31">
        <w:rPr>
          <w:rFonts w:asciiTheme="majorHAnsi" w:hAnsiTheme="majorHAnsi" w:cs="Arial"/>
        </w:rPr>
        <w:t>without</w:t>
      </w:r>
      <w:r w:rsidR="00982613" w:rsidRPr="000B5A31">
        <w:rPr>
          <w:rFonts w:asciiTheme="majorHAnsi" w:hAnsiTheme="majorHAnsi" w:cs="Arial"/>
        </w:rPr>
        <w:t xml:space="preserve"> a concerted push</w:t>
      </w:r>
      <w:r w:rsidR="002A0A0F" w:rsidRPr="000B5A31">
        <w:rPr>
          <w:rFonts w:asciiTheme="majorHAnsi" w:hAnsiTheme="majorHAnsi" w:cs="Arial"/>
        </w:rPr>
        <w:t xml:space="preserve"> from policy</w:t>
      </w:r>
      <w:r w:rsidR="00982613" w:rsidRPr="000B5A31">
        <w:rPr>
          <w:rFonts w:asciiTheme="majorHAnsi" w:hAnsiTheme="majorHAnsi" w:cs="Arial"/>
        </w:rPr>
        <w:t xml:space="preserve">, two-thirds of the economically viable potential to improve energy efficiency </w:t>
      </w:r>
      <w:r w:rsidR="004548A5">
        <w:rPr>
          <w:rFonts w:asciiTheme="majorHAnsi" w:hAnsiTheme="majorHAnsi" w:cs="Arial"/>
        </w:rPr>
        <w:t xml:space="preserve">in buildings </w:t>
      </w:r>
      <w:r w:rsidR="00982613" w:rsidRPr="000B5A31">
        <w:rPr>
          <w:rFonts w:asciiTheme="majorHAnsi" w:hAnsiTheme="majorHAnsi" w:cs="Arial"/>
        </w:rPr>
        <w:t>will remain un</w:t>
      </w:r>
      <w:r w:rsidR="009F5C1F" w:rsidRPr="000B5A31">
        <w:rPr>
          <w:rFonts w:asciiTheme="majorHAnsi" w:hAnsiTheme="majorHAnsi" w:cs="Arial"/>
        </w:rPr>
        <w:t>exploited</w:t>
      </w:r>
      <w:r w:rsidR="00982613" w:rsidRPr="000B5A31">
        <w:rPr>
          <w:rFonts w:asciiTheme="majorHAnsi" w:hAnsiTheme="majorHAnsi" w:cs="Arial"/>
        </w:rPr>
        <w:t xml:space="preserve"> </w:t>
      </w:r>
      <w:r w:rsidR="002A0A0F" w:rsidRPr="000B5A31">
        <w:rPr>
          <w:rFonts w:asciiTheme="majorHAnsi" w:hAnsiTheme="majorHAnsi" w:cs="Arial"/>
        </w:rPr>
        <w:t>by</w:t>
      </w:r>
      <w:r w:rsidR="00982613" w:rsidRPr="000B5A31">
        <w:rPr>
          <w:rFonts w:asciiTheme="majorHAnsi" w:hAnsiTheme="majorHAnsi" w:cs="Arial"/>
        </w:rPr>
        <w:t xml:space="preserve"> 2035</w:t>
      </w:r>
      <w:r w:rsidR="002A0A0F" w:rsidRPr="000B5A31">
        <w:rPr>
          <w:rFonts w:asciiTheme="majorHAnsi" w:hAnsiTheme="majorHAnsi" w:cs="Arial"/>
        </w:rPr>
        <w:t xml:space="preserve">. </w:t>
      </w:r>
    </w:p>
    <w:p w14:paraId="175D6320" w14:textId="77777777" w:rsidR="00246639" w:rsidRPr="000B5A31" w:rsidRDefault="00246639" w:rsidP="00AB0182">
      <w:pPr>
        <w:spacing w:line="480" w:lineRule="auto"/>
        <w:ind w:left="360"/>
        <w:rPr>
          <w:rFonts w:asciiTheme="majorHAnsi" w:hAnsiTheme="majorHAnsi" w:cs="Arial"/>
        </w:rPr>
      </w:pPr>
    </w:p>
    <w:p w14:paraId="74B0914C" w14:textId="19A6F1B5" w:rsidR="00D70A92" w:rsidRPr="000B5A31" w:rsidRDefault="009F5C1F" w:rsidP="000B5A31">
      <w:pPr>
        <w:spacing w:line="480" w:lineRule="auto"/>
        <w:rPr>
          <w:rFonts w:asciiTheme="majorHAnsi" w:hAnsiTheme="majorHAnsi" w:cs="Arial"/>
        </w:rPr>
      </w:pPr>
      <w:r w:rsidRPr="000B5A31">
        <w:rPr>
          <w:rFonts w:asciiTheme="majorHAnsi" w:hAnsiTheme="majorHAnsi" w:cs="Arial"/>
        </w:rPr>
        <w:t xml:space="preserve">The reasons for this </w:t>
      </w:r>
      <w:r w:rsidR="00246639" w:rsidRPr="000B5A31">
        <w:rPr>
          <w:rFonts w:asciiTheme="majorHAnsi" w:hAnsiTheme="majorHAnsi" w:cs="Arial"/>
        </w:rPr>
        <w:t xml:space="preserve">inertia </w:t>
      </w:r>
      <w:r w:rsidRPr="000B5A31">
        <w:rPr>
          <w:rFonts w:asciiTheme="majorHAnsi" w:hAnsiTheme="majorHAnsi" w:cs="Arial"/>
        </w:rPr>
        <w:t xml:space="preserve">relate to the presence of strong barriers to change. </w:t>
      </w:r>
      <w:r w:rsidR="00DD26A8" w:rsidRPr="000B5A31">
        <w:rPr>
          <w:rFonts w:asciiTheme="majorHAnsi" w:hAnsiTheme="majorHAnsi" w:cs="Arial"/>
        </w:rPr>
        <w:t>T</w:t>
      </w:r>
      <w:r w:rsidRPr="000B5A31">
        <w:rPr>
          <w:rFonts w:asciiTheme="majorHAnsi" w:hAnsiTheme="majorHAnsi" w:cs="Arial"/>
        </w:rPr>
        <w:t xml:space="preserve">he IPCC (2014) </w:t>
      </w:r>
      <w:r w:rsidR="00DD26A8" w:rsidRPr="000B5A31">
        <w:rPr>
          <w:rFonts w:asciiTheme="majorHAnsi" w:hAnsiTheme="majorHAnsi" w:cs="Arial"/>
        </w:rPr>
        <w:t>cite</w:t>
      </w:r>
      <w:r w:rsidR="00475064" w:rsidRPr="000B5A31">
        <w:rPr>
          <w:rFonts w:asciiTheme="majorHAnsi" w:hAnsiTheme="majorHAnsi" w:cs="Arial"/>
        </w:rPr>
        <w:t>d</w:t>
      </w:r>
      <w:r w:rsidRPr="000B5A31">
        <w:rPr>
          <w:rFonts w:asciiTheme="majorHAnsi" w:hAnsiTheme="majorHAnsi" w:cs="Arial"/>
        </w:rPr>
        <w:t xml:space="preserve"> </w:t>
      </w:r>
      <w:r w:rsidR="00D65821" w:rsidRPr="000B5A31">
        <w:rPr>
          <w:rFonts w:asciiTheme="majorHAnsi" w:hAnsiTheme="majorHAnsi" w:cs="Arial"/>
        </w:rPr>
        <w:t>imperfect information, split incentives, lack of awareness, transaction costs,</w:t>
      </w:r>
      <w:r w:rsidR="00DD26A8" w:rsidRPr="000B5A31">
        <w:rPr>
          <w:rFonts w:asciiTheme="majorHAnsi" w:hAnsiTheme="majorHAnsi" w:cs="Arial"/>
        </w:rPr>
        <w:t xml:space="preserve"> inadequate access to finance, </w:t>
      </w:r>
      <w:r w:rsidR="00D65821" w:rsidRPr="000B5A31">
        <w:rPr>
          <w:rFonts w:asciiTheme="majorHAnsi" w:hAnsiTheme="majorHAnsi" w:cs="Arial"/>
        </w:rPr>
        <w:t>industry fragmentation</w:t>
      </w:r>
      <w:r w:rsidR="00DD26A8" w:rsidRPr="000B5A31">
        <w:rPr>
          <w:rFonts w:asciiTheme="majorHAnsi" w:hAnsiTheme="majorHAnsi" w:cs="Arial"/>
        </w:rPr>
        <w:t xml:space="preserve">, </w:t>
      </w:r>
      <w:r w:rsidR="00246639" w:rsidRPr="000B5A31">
        <w:rPr>
          <w:rFonts w:asciiTheme="majorHAnsi" w:hAnsiTheme="majorHAnsi" w:cs="Arial"/>
        </w:rPr>
        <w:t>the need for new delivery</w:t>
      </w:r>
      <w:r w:rsidR="00952844" w:rsidRPr="000B5A31">
        <w:rPr>
          <w:rFonts w:asciiTheme="majorHAnsi" w:hAnsiTheme="majorHAnsi" w:cs="Arial"/>
        </w:rPr>
        <w:t xml:space="preserve"> </w:t>
      </w:r>
      <w:r w:rsidR="00952844" w:rsidRPr="000B5A31">
        <w:rPr>
          <w:rFonts w:asciiTheme="majorHAnsi" w:hAnsiTheme="majorHAnsi" w:cs="Arial"/>
        </w:rPr>
        <w:lastRenderedPageBreak/>
        <w:t>mechanisms and the absence of pipelines</w:t>
      </w:r>
      <w:r w:rsidR="00246639" w:rsidRPr="000B5A31">
        <w:rPr>
          <w:rFonts w:asciiTheme="majorHAnsi" w:hAnsiTheme="majorHAnsi" w:cs="Arial"/>
        </w:rPr>
        <w:t xml:space="preserve"> of bankable energy efficiency projects</w:t>
      </w:r>
      <w:r w:rsidR="008E1784" w:rsidRPr="000B5A31">
        <w:rPr>
          <w:rFonts w:asciiTheme="majorHAnsi" w:hAnsiTheme="majorHAnsi" w:cs="Arial"/>
        </w:rPr>
        <w:t xml:space="preserve"> as significant barriers</w:t>
      </w:r>
      <w:r w:rsidR="00246639" w:rsidRPr="000B5A31">
        <w:rPr>
          <w:rFonts w:asciiTheme="majorHAnsi" w:hAnsiTheme="majorHAnsi" w:cs="Arial"/>
        </w:rPr>
        <w:t>. Focusing</w:t>
      </w:r>
      <w:r w:rsidR="008E1784" w:rsidRPr="000B5A31">
        <w:rPr>
          <w:rFonts w:asciiTheme="majorHAnsi" w:hAnsiTheme="majorHAnsi" w:cs="Arial"/>
        </w:rPr>
        <w:t xml:space="preserve"> specifically</w:t>
      </w:r>
      <w:r w:rsidR="00246639" w:rsidRPr="000B5A31">
        <w:rPr>
          <w:rFonts w:asciiTheme="majorHAnsi" w:hAnsiTheme="majorHAnsi" w:cs="Arial"/>
        </w:rPr>
        <w:t xml:space="preserve"> on the financial barriers, t</w:t>
      </w:r>
      <w:r w:rsidRPr="000B5A31">
        <w:rPr>
          <w:rFonts w:asciiTheme="majorHAnsi" w:hAnsiTheme="majorHAnsi" w:cs="Arial"/>
        </w:rPr>
        <w:t>he IEA (</w:t>
      </w:r>
      <w:r w:rsidR="00F602C3" w:rsidRPr="000B5A31">
        <w:rPr>
          <w:rFonts w:asciiTheme="majorHAnsi" w:hAnsiTheme="majorHAnsi" w:cs="Arial"/>
        </w:rPr>
        <w:t>2013a</w:t>
      </w:r>
      <w:r w:rsidRPr="000B5A31">
        <w:rPr>
          <w:rFonts w:asciiTheme="majorHAnsi" w:hAnsiTheme="majorHAnsi" w:cs="Arial"/>
        </w:rPr>
        <w:t>) highlight</w:t>
      </w:r>
      <w:r w:rsidR="00475064" w:rsidRPr="000B5A31">
        <w:rPr>
          <w:rFonts w:asciiTheme="majorHAnsi" w:hAnsiTheme="majorHAnsi" w:cs="Arial"/>
        </w:rPr>
        <w:t>ed</w:t>
      </w:r>
      <w:r w:rsidRPr="000B5A31">
        <w:rPr>
          <w:rFonts w:asciiTheme="majorHAnsi" w:hAnsiTheme="majorHAnsi" w:cs="Arial"/>
        </w:rPr>
        <w:t xml:space="preserve"> the importance </w:t>
      </w:r>
      <w:r w:rsidR="00D70A92" w:rsidRPr="000B5A31">
        <w:rPr>
          <w:rFonts w:asciiTheme="majorHAnsi" w:hAnsiTheme="majorHAnsi" w:cs="Arial"/>
        </w:rPr>
        <w:t>of up-front costs</w:t>
      </w:r>
      <w:r w:rsidR="00D65821" w:rsidRPr="000B5A31">
        <w:rPr>
          <w:rFonts w:asciiTheme="majorHAnsi" w:hAnsiTheme="majorHAnsi" w:cs="Arial"/>
        </w:rPr>
        <w:t xml:space="preserve">, </w:t>
      </w:r>
      <w:r w:rsidR="00246639" w:rsidRPr="000B5A31">
        <w:rPr>
          <w:rFonts w:asciiTheme="majorHAnsi" w:hAnsiTheme="majorHAnsi" w:cs="Arial"/>
        </w:rPr>
        <w:t xml:space="preserve">levels of </w:t>
      </w:r>
      <w:r w:rsidR="00D65821" w:rsidRPr="000B5A31">
        <w:rPr>
          <w:rFonts w:asciiTheme="majorHAnsi" w:hAnsiTheme="majorHAnsi" w:cs="Arial"/>
        </w:rPr>
        <w:t xml:space="preserve">risk, issues </w:t>
      </w:r>
      <w:r w:rsidR="00246639" w:rsidRPr="000B5A31">
        <w:rPr>
          <w:rFonts w:asciiTheme="majorHAnsi" w:hAnsiTheme="majorHAnsi" w:cs="Arial"/>
        </w:rPr>
        <w:t xml:space="preserve">with interest and discount rates </w:t>
      </w:r>
      <w:r w:rsidR="00D65821" w:rsidRPr="000B5A31">
        <w:rPr>
          <w:rFonts w:asciiTheme="majorHAnsi" w:hAnsiTheme="majorHAnsi" w:cs="Arial"/>
        </w:rPr>
        <w:t>and the inadequacy of traditional financing mechanisms for energy-efficient projects</w:t>
      </w:r>
      <w:r w:rsidRPr="000B5A31">
        <w:rPr>
          <w:rFonts w:asciiTheme="majorHAnsi" w:hAnsiTheme="majorHAnsi" w:cs="Arial"/>
        </w:rPr>
        <w:t>.</w:t>
      </w:r>
      <w:r w:rsidR="00246639" w:rsidRPr="000B5A31">
        <w:rPr>
          <w:rFonts w:asciiTheme="majorHAnsi" w:hAnsiTheme="majorHAnsi" w:cs="Arial"/>
        </w:rPr>
        <w:t xml:space="preserve"> New forms of policy support, new institutional arrangements, new forms of finance</w:t>
      </w:r>
      <w:r w:rsidR="00975623" w:rsidRPr="000B5A31">
        <w:rPr>
          <w:rFonts w:asciiTheme="majorHAnsi" w:hAnsiTheme="majorHAnsi" w:cs="Arial"/>
        </w:rPr>
        <w:t>,</w:t>
      </w:r>
      <w:r w:rsidR="00246639" w:rsidRPr="000B5A31">
        <w:rPr>
          <w:rFonts w:asciiTheme="majorHAnsi" w:hAnsiTheme="majorHAnsi" w:cs="Arial"/>
        </w:rPr>
        <w:t xml:space="preserve"> and new business models are therefore required if the energy efficiency opportunities in buildings are to be exploited (</w:t>
      </w:r>
      <w:r w:rsidR="004548A5" w:rsidRPr="000B5A31">
        <w:rPr>
          <w:rFonts w:asciiTheme="majorHAnsi" w:hAnsiTheme="majorHAnsi" w:cs="Arial"/>
        </w:rPr>
        <w:t>DECC, 2012a</w:t>
      </w:r>
      <w:r w:rsidR="004548A5">
        <w:rPr>
          <w:rFonts w:asciiTheme="majorHAnsi" w:hAnsiTheme="majorHAnsi" w:cs="Arial"/>
        </w:rPr>
        <w:t xml:space="preserve">; GEA, 2012; </w:t>
      </w:r>
      <w:r w:rsidR="00246639" w:rsidRPr="000B5A31">
        <w:rPr>
          <w:rFonts w:asciiTheme="majorHAnsi" w:hAnsiTheme="majorHAnsi" w:cs="Arial"/>
        </w:rPr>
        <w:t xml:space="preserve">IEA, </w:t>
      </w:r>
      <w:r w:rsidR="00F602C3" w:rsidRPr="000B5A31">
        <w:rPr>
          <w:rFonts w:asciiTheme="majorHAnsi" w:hAnsiTheme="majorHAnsi" w:cs="Arial"/>
        </w:rPr>
        <w:t>2013a</w:t>
      </w:r>
      <w:r w:rsidR="00246639" w:rsidRPr="000B5A31">
        <w:rPr>
          <w:rFonts w:asciiTheme="majorHAnsi" w:hAnsiTheme="majorHAnsi" w:cs="Arial"/>
        </w:rPr>
        <w:t xml:space="preserve">; IPCC, 2014). </w:t>
      </w:r>
    </w:p>
    <w:p w14:paraId="34C3062C" w14:textId="77777777" w:rsidR="00D70A92" w:rsidRPr="000B5A31" w:rsidRDefault="00D70A92" w:rsidP="00AB0182">
      <w:pPr>
        <w:spacing w:line="480" w:lineRule="auto"/>
        <w:ind w:left="360"/>
        <w:rPr>
          <w:rFonts w:asciiTheme="majorHAnsi" w:hAnsiTheme="majorHAnsi" w:cs="Arial"/>
        </w:rPr>
      </w:pPr>
    </w:p>
    <w:p w14:paraId="38D09FAD" w14:textId="77777777" w:rsidR="00D65821" w:rsidRPr="000B5A31" w:rsidRDefault="00246639" w:rsidP="000B5A31">
      <w:pPr>
        <w:spacing w:line="480" w:lineRule="auto"/>
        <w:rPr>
          <w:rFonts w:asciiTheme="majorHAnsi" w:hAnsiTheme="majorHAnsi" w:cs="Arial"/>
        </w:rPr>
      </w:pPr>
      <w:r w:rsidRPr="000B5A31">
        <w:rPr>
          <w:rFonts w:asciiTheme="majorHAnsi" w:hAnsiTheme="majorHAnsi" w:cs="Arial"/>
        </w:rPr>
        <w:t xml:space="preserve">The scale of the challenge is </w:t>
      </w:r>
      <w:r w:rsidR="00B93295" w:rsidRPr="000B5A31">
        <w:rPr>
          <w:rFonts w:asciiTheme="majorHAnsi" w:hAnsiTheme="majorHAnsi" w:cs="Arial"/>
        </w:rPr>
        <w:t>formidable</w:t>
      </w:r>
      <w:r w:rsidRPr="000B5A31">
        <w:rPr>
          <w:rFonts w:asciiTheme="majorHAnsi" w:hAnsiTheme="majorHAnsi" w:cs="Arial"/>
        </w:rPr>
        <w:t xml:space="preserve"> – the IEA (</w:t>
      </w:r>
      <w:r w:rsidR="00952844" w:rsidRPr="000B5A31">
        <w:rPr>
          <w:rFonts w:asciiTheme="majorHAnsi" w:hAnsiTheme="majorHAnsi" w:cs="Arial"/>
        </w:rPr>
        <w:t>2013b</w:t>
      </w:r>
      <w:r w:rsidRPr="000B5A31">
        <w:rPr>
          <w:rFonts w:asciiTheme="majorHAnsi" w:hAnsiTheme="majorHAnsi" w:cs="Arial"/>
        </w:rPr>
        <w:t>) estimate</w:t>
      </w:r>
      <w:r w:rsidR="00475064" w:rsidRPr="000B5A31">
        <w:rPr>
          <w:rFonts w:asciiTheme="majorHAnsi" w:hAnsiTheme="majorHAnsi" w:cs="Arial"/>
        </w:rPr>
        <w:t>d</w:t>
      </w:r>
      <w:r w:rsidRPr="000B5A31">
        <w:rPr>
          <w:rFonts w:asciiTheme="majorHAnsi" w:hAnsiTheme="majorHAnsi" w:cs="Arial"/>
        </w:rPr>
        <w:t xml:space="preserve"> that o</w:t>
      </w:r>
      <w:r w:rsidR="00B93295" w:rsidRPr="000B5A31">
        <w:rPr>
          <w:rFonts w:asciiTheme="majorHAnsi" w:hAnsiTheme="majorHAnsi" w:cs="Arial"/>
        </w:rPr>
        <w:t>ver the next four decades</w:t>
      </w:r>
      <w:r w:rsidR="00D65821" w:rsidRPr="000B5A31">
        <w:rPr>
          <w:rFonts w:asciiTheme="majorHAnsi" w:hAnsiTheme="majorHAnsi" w:cs="Arial"/>
        </w:rPr>
        <w:t xml:space="preserve"> USD 31 trillion will be required to </w:t>
      </w:r>
      <w:r w:rsidRPr="000B5A31">
        <w:rPr>
          <w:rFonts w:asciiTheme="majorHAnsi" w:hAnsiTheme="majorHAnsi" w:cs="Arial"/>
        </w:rPr>
        <w:t xml:space="preserve">promote </w:t>
      </w:r>
      <w:r w:rsidR="00B93295" w:rsidRPr="000B5A31">
        <w:rPr>
          <w:rFonts w:asciiTheme="majorHAnsi" w:hAnsiTheme="majorHAnsi" w:cs="Arial"/>
        </w:rPr>
        <w:t xml:space="preserve">energy efficiency in buildings </w:t>
      </w:r>
      <w:r w:rsidR="00DD26A8" w:rsidRPr="000B5A31">
        <w:rPr>
          <w:rFonts w:asciiTheme="majorHAnsi" w:hAnsiTheme="majorHAnsi" w:cs="Arial"/>
        </w:rPr>
        <w:t>at a rate that</w:t>
      </w:r>
      <w:r w:rsidR="00B93295" w:rsidRPr="000B5A31">
        <w:rPr>
          <w:rFonts w:asciiTheme="majorHAnsi" w:hAnsiTheme="majorHAnsi" w:cs="Arial"/>
        </w:rPr>
        <w:t xml:space="preserve"> gives the world a good chance of limiting the temperature increases associated with climate change to 2°C. Whilst the IEA (</w:t>
      </w:r>
      <w:r w:rsidR="00F602C3" w:rsidRPr="000B5A31">
        <w:rPr>
          <w:rFonts w:asciiTheme="majorHAnsi" w:hAnsiTheme="majorHAnsi" w:cs="Arial"/>
        </w:rPr>
        <w:t>2013a</w:t>
      </w:r>
      <w:r w:rsidR="00B93295" w:rsidRPr="000B5A31">
        <w:rPr>
          <w:rFonts w:asciiTheme="majorHAnsi" w:hAnsiTheme="majorHAnsi" w:cs="Arial"/>
        </w:rPr>
        <w:t>) suggests that ‘</w:t>
      </w:r>
      <w:r w:rsidR="00D65821" w:rsidRPr="000B5A31">
        <w:rPr>
          <w:rFonts w:asciiTheme="majorHAnsi" w:hAnsiTheme="majorHAnsi" w:cs="Arial"/>
        </w:rPr>
        <w:t>it is widely recognised that mobilising huge investment into energy efficiency is essential</w:t>
      </w:r>
      <w:r w:rsidR="00B93295" w:rsidRPr="000B5A31">
        <w:rPr>
          <w:rFonts w:asciiTheme="majorHAnsi" w:hAnsiTheme="majorHAnsi" w:cs="Arial"/>
        </w:rPr>
        <w:t>’ it also argues that ‘o</w:t>
      </w:r>
      <w:r w:rsidR="00D65821" w:rsidRPr="000B5A31">
        <w:rPr>
          <w:rFonts w:asciiTheme="majorHAnsi" w:hAnsiTheme="majorHAnsi" w:cs="Arial"/>
        </w:rPr>
        <w:t>ffering advantageous financing mechanisms is likely to require public funds and these may be harder to justify with tighter public budgets</w:t>
      </w:r>
      <w:r w:rsidR="00B93295" w:rsidRPr="000B5A31">
        <w:rPr>
          <w:rFonts w:asciiTheme="majorHAnsi" w:hAnsiTheme="majorHAnsi" w:cs="Arial"/>
        </w:rPr>
        <w:t xml:space="preserve">’ and that as a result </w:t>
      </w:r>
      <w:r w:rsidR="00D65821" w:rsidRPr="000B5A31">
        <w:rPr>
          <w:rFonts w:asciiTheme="majorHAnsi" w:hAnsiTheme="majorHAnsi" w:cs="Arial"/>
        </w:rPr>
        <w:t xml:space="preserve">mobilising private </w:t>
      </w:r>
      <w:r w:rsidR="00B93295" w:rsidRPr="000B5A31">
        <w:rPr>
          <w:rFonts w:asciiTheme="majorHAnsi" w:hAnsiTheme="majorHAnsi" w:cs="Arial"/>
        </w:rPr>
        <w:t xml:space="preserve">as well as public </w:t>
      </w:r>
      <w:r w:rsidR="00D65821" w:rsidRPr="000B5A31">
        <w:rPr>
          <w:rFonts w:asciiTheme="majorHAnsi" w:hAnsiTheme="majorHAnsi" w:cs="Arial"/>
        </w:rPr>
        <w:t>sector financing will be essential</w:t>
      </w:r>
      <w:r w:rsidR="00B93295" w:rsidRPr="000B5A31">
        <w:rPr>
          <w:rFonts w:asciiTheme="majorHAnsi" w:hAnsiTheme="majorHAnsi" w:cs="Arial"/>
        </w:rPr>
        <w:t>. In 2008</w:t>
      </w:r>
      <w:r w:rsidR="00AD374A" w:rsidRPr="000B5A31">
        <w:rPr>
          <w:rFonts w:asciiTheme="majorHAnsi" w:hAnsiTheme="majorHAnsi" w:cs="Arial"/>
        </w:rPr>
        <w:t>,</w:t>
      </w:r>
      <w:r w:rsidR="00B93295" w:rsidRPr="000B5A31">
        <w:rPr>
          <w:rFonts w:asciiTheme="majorHAnsi" w:hAnsiTheme="majorHAnsi" w:cs="Arial"/>
        </w:rPr>
        <w:t xml:space="preserve"> the IEA argued that one way of doing this might be to establish revolving funds for building refurbishment and retrofit (IEA, </w:t>
      </w:r>
      <w:r w:rsidR="00952844" w:rsidRPr="000B5A31">
        <w:rPr>
          <w:rFonts w:asciiTheme="majorHAnsi" w:hAnsiTheme="majorHAnsi" w:cs="Arial"/>
        </w:rPr>
        <w:t>2008</w:t>
      </w:r>
      <w:r w:rsidR="00B93295" w:rsidRPr="000B5A31">
        <w:rPr>
          <w:rFonts w:asciiTheme="majorHAnsi" w:hAnsiTheme="majorHAnsi" w:cs="Arial"/>
        </w:rPr>
        <w:t xml:space="preserve">). </w:t>
      </w:r>
    </w:p>
    <w:p w14:paraId="368A7395" w14:textId="77777777" w:rsidR="005540F6" w:rsidRDefault="005540F6" w:rsidP="00D76577">
      <w:pPr>
        <w:spacing w:line="480" w:lineRule="auto"/>
        <w:rPr>
          <w:rFonts w:asciiTheme="majorHAnsi" w:hAnsiTheme="majorHAnsi" w:cs="Arial"/>
        </w:rPr>
      </w:pPr>
    </w:p>
    <w:p w14:paraId="0FEB31E6" w14:textId="6977E77C" w:rsidR="00D76577" w:rsidRPr="003A4F5F" w:rsidRDefault="00252418" w:rsidP="00D76577">
      <w:pPr>
        <w:spacing w:line="480" w:lineRule="auto"/>
        <w:rPr>
          <w:rFonts w:asciiTheme="majorHAnsi" w:hAnsiTheme="majorHAnsi" w:cs="Arial"/>
        </w:rPr>
      </w:pPr>
      <w:r>
        <w:rPr>
          <w:rFonts w:asciiTheme="majorHAnsi" w:hAnsiTheme="majorHAnsi" w:cs="Arial"/>
        </w:rPr>
        <w:t>1.4 The European c</w:t>
      </w:r>
      <w:r w:rsidR="00D76577" w:rsidRPr="003A4F5F">
        <w:rPr>
          <w:rFonts w:asciiTheme="majorHAnsi" w:hAnsiTheme="majorHAnsi" w:cs="Arial"/>
        </w:rPr>
        <w:t>ontext</w:t>
      </w:r>
    </w:p>
    <w:p w14:paraId="7EEB25A7" w14:textId="5FA64938" w:rsidR="00D76577" w:rsidRDefault="00D70A92" w:rsidP="000B5A31">
      <w:pPr>
        <w:spacing w:line="480" w:lineRule="auto"/>
        <w:rPr>
          <w:rFonts w:asciiTheme="majorHAnsi" w:hAnsiTheme="majorHAnsi" w:cs="Arial"/>
        </w:rPr>
      </w:pPr>
      <w:r w:rsidRPr="000B5A31">
        <w:rPr>
          <w:rFonts w:asciiTheme="majorHAnsi" w:hAnsiTheme="majorHAnsi" w:cs="Arial"/>
        </w:rPr>
        <w:t xml:space="preserve">These issues are particularly relevant in Europe. </w:t>
      </w:r>
      <w:r w:rsidR="00D76577">
        <w:rPr>
          <w:rFonts w:asciiTheme="majorHAnsi" w:hAnsiTheme="majorHAnsi" w:cs="Arial"/>
        </w:rPr>
        <w:t>The European Commission has</w:t>
      </w:r>
      <w:r w:rsidR="00F55F42">
        <w:rPr>
          <w:rFonts w:asciiTheme="majorHAnsi" w:hAnsiTheme="majorHAnsi" w:cs="Arial"/>
        </w:rPr>
        <w:t xml:space="preserve"> set a target of reducing energy consumption by 20% </w:t>
      </w:r>
      <w:r w:rsidR="007A536F">
        <w:rPr>
          <w:rFonts w:asciiTheme="majorHAnsi" w:hAnsiTheme="majorHAnsi" w:cs="Arial"/>
        </w:rPr>
        <w:t xml:space="preserve">by 2020, with performance assessed </w:t>
      </w:r>
      <w:r w:rsidR="00F55F42">
        <w:rPr>
          <w:rFonts w:asciiTheme="majorHAnsi" w:hAnsiTheme="majorHAnsi" w:cs="Arial"/>
        </w:rPr>
        <w:t>relative to business as usual projections</w:t>
      </w:r>
      <w:r w:rsidR="004A200C">
        <w:rPr>
          <w:rFonts w:asciiTheme="majorHAnsi" w:hAnsiTheme="majorHAnsi" w:cs="Arial"/>
        </w:rPr>
        <w:t xml:space="preserve"> that include assessments of background trends in energy use and energy efficiency</w:t>
      </w:r>
      <w:r w:rsidR="00F55F42">
        <w:rPr>
          <w:rFonts w:asciiTheme="majorHAnsi" w:hAnsiTheme="majorHAnsi" w:cs="Arial"/>
        </w:rPr>
        <w:t xml:space="preserve"> (EU, 2012). It has also </w:t>
      </w:r>
      <w:r w:rsidR="00D76577">
        <w:rPr>
          <w:rFonts w:asciiTheme="majorHAnsi" w:hAnsiTheme="majorHAnsi" w:cs="Arial"/>
        </w:rPr>
        <w:t xml:space="preserve">recognised that </w:t>
      </w:r>
      <w:r w:rsidR="00D76577" w:rsidRPr="001B44E9">
        <w:rPr>
          <w:rFonts w:asciiTheme="majorHAnsi" w:hAnsiTheme="majorHAnsi" w:cs="Arial"/>
          <w:lang w:val="en-US"/>
        </w:rPr>
        <w:t>€100 billion</w:t>
      </w:r>
      <w:r w:rsidR="00D76577">
        <w:rPr>
          <w:rFonts w:asciiTheme="majorHAnsi" w:hAnsiTheme="majorHAnsi" w:cs="Arial"/>
          <w:lang w:val="en-US"/>
        </w:rPr>
        <w:t xml:space="preserve"> a year will be needed to reach </w:t>
      </w:r>
      <w:r w:rsidR="00F55F42">
        <w:rPr>
          <w:rFonts w:asciiTheme="majorHAnsi" w:hAnsiTheme="majorHAnsi" w:cs="Arial"/>
          <w:lang w:val="en-US"/>
        </w:rPr>
        <w:t xml:space="preserve">this target, and </w:t>
      </w:r>
      <w:r w:rsidR="00D76577">
        <w:rPr>
          <w:rFonts w:asciiTheme="majorHAnsi" w:hAnsiTheme="majorHAnsi" w:cs="Arial"/>
          <w:lang w:val="en-US"/>
        </w:rPr>
        <w:t xml:space="preserve">it has set aside </w:t>
      </w:r>
      <w:r w:rsidR="00D76577" w:rsidRPr="001B44E9">
        <w:rPr>
          <w:rFonts w:asciiTheme="majorHAnsi" w:hAnsiTheme="majorHAnsi" w:cs="Arial"/>
          <w:lang w:val="en-US"/>
        </w:rPr>
        <w:t>€27 billion</w:t>
      </w:r>
      <w:r w:rsidR="00D76577">
        <w:rPr>
          <w:rFonts w:asciiTheme="majorHAnsi" w:hAnsiTheme="majorHAnsi" w:cs="Arial"/>
          <w:lang w:val="en-US"/>
        </w:rPr>
        <w:t xml:space="preserve"> to support the transition to a low </w:t>
      </w:r>
      <w:r w:rsidR="00D76577">
        <w:rPr>
          <w:rFonts w:asciiTheme="majorHAnsi" w:hAnsiTheme="majorHAnsi" w:cs="Arial"/>
          <w:lang w:val="en-US"/>
        </w:rPr>
        <w:lastRenderedPageBreak/>
        <w:t xml:space="preserve">carbon economy through the European </w:t>
      </w:r>
      <w:r w:rsidR="003A4F5F">
        <w:rPr>
          <w:rFonts w:asciiTheme="majorHAnsi" w:hAnsiTheme="majorHAnsi" w:cs="Arial"/>
          <w:lang w:val="en-US"/>
        </w:rPr>
        <w:t>Structural and Innovation Funds</w:t>
      </w:r>
      <w:r w:rsidR="00D76577">
        <w:rPr>
          <w:rFonts w:asciiTheme="majorHAnsi" w:hAnsiTheme="majorHAnsi" w:cs="Arial"/>
          <w:lang w:val="en-US"/>
        </w:rPr>
        <w:t xml:space="preserve"> and </w:t>
      </w:r>
      <w:r w:rsidR="00D76577" w:rsidRPr="001B44E9">
        <w:rPr>
          <w:rFonts w:asciiTheme="majorHAnsi" w:hAnsiTheme="majorHAnsi" w:cs="Arial"/>
          <w:lang w:val="en-US"/>
        </w:rPr>
        <w:t>€265 million</w:t>
      </w:r>
      <w:r w:rsidR="00D76577">
        <w:rPr>
          <w:rFonts w:asciiTheme="majorHAnsi" w:hAnsiTheme="majorHAnsi" w:cs="Arial"/>
          <w:lang w:val="en-US"/>
        </w:rPr>
        <w:t xml:space="preserve"> for a European Energy Efficiency Fund. It has also recently established the Energy Efficien</w:t>
      </w:r>
      <w:r w:rsidR="003A4F5F">
        <w:rPr>
          <w:rFonts w:asciiTheme="majorHAnsi" w:hAnsiTheme="majorHAnsi" w:cs="Arial"/>
          <w:lang w:val="en-US"/>
        </w:rPr>
        <w:t>cy Financial Institutions Group</w:t>
      </w:r>
      <w:r w:rsidR="00D76577">
        <w:rPr>
          <w:rFonts w:asciiTheme="majorHAnsi" w:hAnsiTheme="majorHAnsi" w:cs="Arial"/>
          <w:lang w:val="en-US"/>
        </w:rPr>
        <w:t xml:space="preserve"> to find new ways of overcoming barriers and scaling up investment in support the search for new ways of supporting energy efficiency investments, particularly in buildings renovation (EEFIG, 2015). In each of these areas, there is a pressing need not only to make more funds available for energy efficiency and low carbon transitions, but also to significantly enhance understanding on the ways in which those funds could be most effectively and efficiently deployed. </w:t>
      </w:r>
    </w:p>
    <w:p w14:paraId="77AB6500" w14:textId="77777777" w:rsidR="00D76577" w:rsidRPr="00055504" w:rsidRDefault="00D76577" w:rsidP="000B5A31">
      <w:pPr>
        <w:spacing w:line="480" w:lineRule="auto"/>
        <w:rPr>
          <w:rFonts w:asciiTheme="majorHAnsi" w:hAnsiTheme="majorHAnsi" w:cs="Arial"/>
        </w:rPr>
      </w:pPr>
    </w:p>
    <w:p w14:paraId="64119594" w14:textId="23ED62DD" w:rsidR="00E94476" w:rsidRDefault="00D76577" w:rsidP="000B5A31">
      <w:pPr>
        <w:spacing w:line="480" w:lineRule="auto"/>
        <w:rPr>
          <w:rFonts w:asciiTheme="majorHAnsi" w:hAnsiTheme="majorHAnsi" w:cs="Arial"/>
        </w:rPr>
      </w:pPr>
      <w:r w:rsidRPr="00055504">
        <w:rPr>
          <w:rFonts w:asciiTheme="majorHAnsi" w:hAnsiTheme="majorHAnsi" w:cs="Arial"/>
        </w:rPr>
        <w:t>The European buildings sector is a central part of the wider drive to improve energy efficiency. E</w:t>
      </w:r>
      <w:r w:rsidR="004548A5" w:rsidRPr="00055504">
        <w:rPr>
          <w:rFonts w:asciiTheme="majorHAnsi" w:hAnsiTheme="majorHAnsi" w:cs="Arial"/>
        </w:rPr>
        <w:t xml:space="preserve">nergy use in buildings accounted for 34% of total final energy demand in </w:t>
      </w:r>
      <w:r w:rsidRPr="00055504">
        <w:rPr>
          <w:rFonts w:asciiTheme="majorHAnsi" w:hAnsiTheme="majorHAnsi" w:cs="Arial"/>
        </w:rPr>
        <w:t xml:space="preserve">Europe in </w:t>
      </w:r>
      <w:r w:rsidR="004548A5" w:rsidRPr="00055504">
        <w:rPr>
          <w:rFonts w:asciiTheme="majorHAnsi" w:hAnsiTheme="majorHAnsi" w:cs="Arial"/>
        </w:rPr>
        <w:t>2007, with the residential sector accounting for 23% and the commercial sector 11% (GEA, 2012</w:t>
      </w:r>
      <w:r w:rsidR="004548A5" w:rsidRPr="00055504">
        <w:rPr>
          <w:rFonts w:asciiTheme="majorHAnsi" w:hAnsiTheme="majorHAnsi" w:cs="Arial"/>
          <w:bCs/>
        </w:rPr>
        <w:t>).</w:t>
      </w:r>
      <w:r w:rsidR="004548A5" w:rsidRPr="00055504">
        <w:rPr>
          <w:rFonts w:asciiTheme="majorHAnsi" w:hAnsiTheme="majorHAnsi" w:cs="Arial"/>
        </w:rPr>
        <w:t xml:space="preserve"> </w:t>
      </w:r>
      <w:r w:rsidR="00D70A92" w:rsidRPr="00055504">
        <w:rPr>
          <w:rFonts w:asciiTheme="majorHAnsi" w:hAnsiTheme="majorHAnsi" w:cs="Arial"/>
        </w:rPr>
        <w:t>The</w:t>
      </w:r>
      <w:r w:rsidR="00D70A92" w:rsidRPr="000B5A31">
        <w:rPr>
          <w:rFonts w:asciiTheme="majorHAnsi" w:hAnsiTheme="majorHAnsi" w:cs="Arial"/>
        </w:rPr>
        <w:t xml:space="preserve"> European Commission (2011, p</w:t>
      </w:r>
      <w:r w:rsidR="00A97BF9" w:rsidRPr="000B5A31">
        <w:rPr>
          <w:rFonts w:asciiTheme="majorHAnsi" w:hAnsiTheme="majorHAnsi" w:cs="Arial"/>
        </w:rPr>
        <w:t>8</w:t>
      </w:r>
      <w:r w:rsidR="00D70A92" w:rsidRPr="000B5A31">
        <w:rPr>
          <w:rFonts w:asciiTheme="majorHAnsi" w:hAnsiTheme="majorHAnsi" w:cs="Arial"/>
        </w:rPr>
        <w:t>) stated that ‘</w:t>
      </w:r>
      <w:r w:rsidR="00FC524C" w:rsidRPr="000B5A31">
        <w:rPr>
          <w:rFonts w:asciiTheme="majorHAnsi" w:hAnsiTheme="majorHAnsi" w:cs="Arial"/>
        </w:rPr>
        <w:t>In Europe, the built environment provides low-cost and short-term opportunities to reduce emissions, first and foremost through improvement of the energy performance of buildings</w:t>
      </w:r>
      <w:r w:rsidR="0007778D" w:rsidRPr="000B5A31">
        <w:rPr>
          <w:rFonts w:asciiTheme="majorHAnsi" w:hAnsiTheme="majorHAnsi" w:cs="Arial"/>
        </w:rPr>
        <w:t xml:space="preserve"> </w:t>
      </w:r>
      <w:r w:rsidR="00FC524C" w:rsidRPr="000B5A31">
        <w:rPr>
          <w:rFonts w:asciiTheme="majorHAnsi" w:hAnsiTheme="majorHAnsi" w:cs="Arial"/>
        </w:rPr>
        <w:t>… emissions in this area could be reduced by around 90% by 2050</w:t>
      </w:r>
      <w:r w:rsidR="00D70A92" w:rsidRPr="000B5A31">
        <w:rPr>
          <w:rFonts w:asciiTheme="majorHAnsi" w:hAnsiTheme="majorHAnsi" w:cs="Arial"/>
        </w:rPr>
        <w:t xml:space="preserve">’. </w:t>
      </w:r>
      <w:r w:rsidR="00A2076A" w:rsidRPr="000B5A31">
        <w:rPr>
          <w:rFonts w:asciiTheme="majorHAnsi" w:hAnsiTheme="majorHAnsi" w:cs="Arial"/>
        </w:rPr>
        <w:t>It also stated that the buildings</w:t>
      </w:r>
      <w:r w:rsidR="00FC524C" w:rsidRPr="000B5A31">
        <w:rPr>
          <w:rFonts w:asciiTheme="majorHAnsi" w:hAnsiTheme="majorHAnsi" w:cs="Arial"/>
        </w:rPr>
        <w:t xml:space="preserve"> sector provides the second largest untapped and cost-effective potential for energy savings after the energy sector itself (EC, </w:t>
      </w:r>
      <w:r w:rsidR="00A2076A" w:rsidRPr="000B5A31">
        <w:rPr>
          <w:rFonts w:asciiTheme="majorHAnsi" w:hAnsiTheme="majorHAnsi" w:cs="Arial"/>
        </w:rPr>
        <w:t>2011). Like many others, the EC recognise</w:t>
      </w:r>
      <w:r w:rsidR="00475064" w:rsidRPr="000B5A31">
        <w:rPr>
          <w:rFonts w:asciiTheme="majorHAnsi" w:hAnsiTheme="majorHAnsi" w:cs="Arial"/>
        </w:rPr>
        <w:t>d</w:t>
      </w:r>
      <w:r w:rsidR="00A2076A" w:rsidRPr="000B5A31">
        <w:rPr>
          <w:rFonts w:asciiTheme="majorHAnsi" w:hAnsiTheme="majorHAnsi" w:cs="Arial"/>
        </w:rPr>
        <w:t xml:space="preserve"> the importance of finance and investment if the transition to more energy efficient buildings is to be made. </w:t>
      </w:r>
      <w:r w:rsidR="001B4737" w:rsidRPr="000B5A31">
        <w:rPr>
          <w:rFonts w:asciiTheme="majorHAnsi" w:hAnsiTheme="majorHAnsi" w:cs="Arial"/>
        </w:rPr>
        <w:t xml:space="preserve">There is recognition that </w:t>
      </w:r>
      <w:r w:rsidR="00A2076A" w:rsidRPr="000B5A31">
        <w:rPr>
          <w:rFonts w:asciiTheme="majorHAnsi" w:hAnsiTheme="majorHAnsi" w:cs="Arial"/>
        </w:rPr>
        <w:t>there needs to be a marked improvement i</w:t>
      </w:r>
      <w:r w:rsidR="00FC524C" w:rsidRPr="000B5A31">
        <w:rPr>
          <w:rFonts w:asciiTheme="majorHAnsi" w:hAnsiTheme="majorHAnsi" w:cs="Arial"/>
        </w:rPr>
        <w:t xml:space="preserve">n financial incentive structures and </w:t>
      </w:r>
      <w:r w:rsidR="00A2076A" w:rsidRPr="000B5A31">
        <w:rPr>
          <w:rFonts w:asciiTheme="majorHAnsi" w:hAnsiTheme="majorHAnsi" w:cs="Arial"/>
        </w:rPr>
        <w:t>that ‘</w:t>
      </w:r>
      <w:r w:rsidR="00FC524C" w:rsidRPr="000B5A31">
        <w:rPr>
          <w:rFonts w:asciiTheme="majorHAnsi" w:hAnsiTheme="majorHAnsi" w:cs="Arial"/>
        </w:rPr>
        <w:t>Innovative programs will be needed to eliminate information barriers, reduce transaction costs and mobilize investment capital</w:t>
      </w:r>
      <w:r w:rsidR="00A2076A" w:rsidRPr="000B5A31">
        <w:rPr>
          <w:rFonts w:asciiTheme="majorHAnsi" w:hAnsiTheme="majorHAnsi" w:cs="Arial"/>
        </w:rPr>
        <w:t>’</w:t>
      </w:r>
      <w:r w:rsidR="00FC524C" w:rsidRPr="000B5A31">
        <w:rPr>
          <w:rFonts w:asciiTheme="majorHAnsi" w:hAnsiTheme="majorHAnsi" w:cs="Arial"/>
        </w:rPr>
        <w:t xml:space="preserve"> </w:t>
      </w:r>
      <w:r w:rsidR="00404127" w:rsidRPr="000B5A31">
        <w:rPr>
          <w:rFonts w:asciiTheme="majorHAnsi" w:hAnsiTheme="majorHAnsi" w:cs="Arial"/>
        </w:rPr>
        <w:t xml:space="preserve">and that smart financing schemes are needed that can leverage private sector investments </w:t>
      </w:r>
      <w:r w:rsidR="001B4737" w:rsidRPr="000B5A31">
        <w:rPr>
          <w:rFonts w:asciiTheme="majorHAnsi" w:hAnsiTheme="majorHAnsi" w:cs="Arial"/>
        </w:rPr>
        <w:t>(ECF</w:t>
      </w:r>
      <w:r w:rsidR="00FC524C" w:rsidRPr="000B5A31">
        <w:rPr>
          <w:rFonts w:asciiTheme="majorHAnsi" w:hAnsiTheme="majorHAnsi" w:cs="Arial"/>
        </w:rPr>
        <w:t xml:space="preserve">, </w:t>
      </w:r>
      <w:r w:rsidR="00A2076A" w:rsidRPr="000B5A31">
        <w:rPr>
          <w:rFonts w:asciiTheme="majorHAnsi" w:hAnsiTheme="majorHAnsi" w:cs="Arial"/>
        </w:rPr>
        <w:t>2013 p</w:t>
      </w:r>
      <w:r w:rsidR="00942AA0" w:rsidRPr="000B5A31">
        <w:rPr>
          <w:rFonts w:asciiTheme="majorHAnsi" w:hAnsiTheme="majorHAnsi" w:cs="Arial"/>
        </w:rPr>
        <w:t>16</w:t>
      </w:r>
      <w:r w:rsidR="00FC524C" w:rsidRPr="000B5A31">
        <w:rPr>
          <w:rFonts w:asciiTheme="majorHAnsi" w:hAnsiTheme="majorHAnsi" w:cs="Arial"/>
        </w:rPr>
        <w:t>)</w:t>
      </w:r>
      <w:r w:rsidR="00A2076A" w:rsidRPr="000B5A31">
        <w:rPr>
          <w:rFonts w:asciiTheme="majorHAnsi" w:hAnsiTheme="majorHAnsi" w:cs="Arial"/>
        </w:rPr>
        <w:t>.</w:t>
      </w:r>
      <w:r w:rsidR="00404127" w:rsidRPr="000B5A31">
        <w:rPr>
          <w:rFonts w:asciiTheme="majorHAnsi" w:hAnsiTheme="majorHAnsi" w:cs="Arial"/>
        </w:rPr>
        <w:t xml:space="preserve"> Indeed, </w:t>
      </w:r>
      <w:r w:rsidR="00990EAA" w:rsidRPr="000B5A31">
        <w:rPr>
          <w:rFonts w:asciiTheme="majorHAnsi" w:hAnsiTheme="majorHAnsi" w:cs="Arial"/>
        </w:rPr>
        <w:t>the European Union</w:t>
      </w:r>
      <w:r w:rsidR="00404127" w:rsidRPr="000B5A31">
        <w:rPr>
          <w:rFonts w:asciiTheme="majorHAnsi" w:hAnsiTheme="majorHAnsi" w:cs="Arial"/>
        </w:rPr>
        <w:t xml:space="preserve"> has stated that ‘</w:t>
      </w:r>
      <w:r w:rsidR="00D65821" w:rsidRPr="000B5A31">
        <w:rPr>
          <w:rFonts w:asciiTheme="majorHAnsi" w:hAnsiTheme="majorHAnsi" w:cs="Arial"/>
        </w:rPr>
        <w:t xml:space="preserve">Public finance through innovative financing instruments, </w:t>
      </w:r>
      <w:r w:rsidR="00D65821" w:rsidRPr="000B5A31">
        <w:rPr>
          <w:rFonts w:asciiTheme="majorHAnsi" w:hAnsiTheme="majorHAnsi" w:cs="Arial"/>
        </w:rPr>
        <w:lastRenderedPageBreak/>
        <w:t>such as revolving funds, preferential interest rates, guarantee schemes, risk-sharing facilities and blending mechanisms can mobilise and steer the required private finance</w:t>
      </w:r>
      <w:r w:rsidR="00404127" w:rsidRPr="000B5A31">
        <w:rPr>
          <w:rFonts w:asciiTheme="majorHAnsi" w:hAnsiTheme="majorHAnsi" w:cs="Arial"/>
        </w:rPr>
        <w:t xml:space="preserve">’ </w:t>
      </w:r>
      <w:r w:rsidR="00990EAA" w:rsidRPr="000B5A31">
        <w:rPr>
          <w:rFonts w:asciiTheme="majorHAnsi" w:hAnsiTheme="majorHAnsi" w:cs="Arial"/>
        </w:rPr>
        <w:t>(</w:t>
      </w:r>
      <w:r w:rsidR="00404127" w:rsidRPr="000B5A31">
        <w:rPr>
          <w:rFonts w:asciiTheme="majorHAnsi" w:hAnsiTheme="majorHAnsi" w:cs="Arial"/>
        </w:rPr>
        <w:t>EC, 2013 p</w:t>
      </w:r>
      <w:r w:rsidR="001B4737" w:rsidRPr="000B5A31">
        <w:rPr>
          <w:rFonts w:asciiTheme="majorHAnsi" w:hAnsiTheme="majorHAnsi" w:cs="Arial"/>
        </w:rPr>
        <w:t>11</w:t>
      </w:r>
      <w:r w:rsidR="00990EAA" w:rsidRPr="000B5A31">
        <w:rPr>
          <w:rFonts w:asciiTheme="majorHAnsi" w:hAnsiTheme="majorHAnsi" w:cs="Arial"/>
        </w:rPr>
        <w:t>)</w:t>
      </w:r>
      <w:r w:rsidR="00404127" w:rsidRPr="000B5A31">
        <w:rPr>
          <w:rFonts w:asciiTheme="majorHAnsi" w:hAnsiTheme="majorHAnsi" w:cs="Arial"/>
        </w:rPr>
        <w:t>.</w:t>
      </w:r>
      <w:r w:rsidR="009D49CA">
        <w:rPr>
          <w:rFonts w:asciiTheme="majorHAnsi" w:hAnsiTheme="majorHAnsi" w:cs="Arial"/>
        </w:rPr>
        <w:t xml:space="preserve"> </w:t>
      </w:r>
    </w:p>
    <w:p w14:paraId="07B3AFDB" w14:textId="77777777" w:rsidR="0069412A" w:rsidRPr="000B5A31" w:rsidRDefault="0069412A" w:rsidP="000B5A31">
      <w:pPr>
        <w:spacing w:line="480" w:lineRule="auto"/>
        <w:rPr>
          <w:rFonts w:asciiTheme="majorHAnsi" w:hAnsiTheme="majorHAnsi" w:cs="Arial"/>
        </w:rPr>
      </w:pPr>
    </w:p>
    <w:p w14:paraId="601C8202" w14:textId="61AFA8A7" w:rsidR="0069412A" w:rsidRPr="003A4F5F" w:rsidRDefault="003A4F5F" w:rsidP="0069412A">
      <w:pPr>
        <w:spacing w:line="480" w:lineRule="auto"/>
        <w:rPr>
          <w:rFonts w:asciiTheme="majorHAnsi" w:hAnsiTheme="majorHAnsi" w:cs="Arial"/>
        </w:rPr>
      </w:pPr>
      <w:r w:rsidRPr="003A4F5F">
        <w:rPr>
          <w:rFonts w:asciiTheme="majorHAnsi" w:hAnsiTheme="majorHAnsi" w:cs="Arial"/>
        </w:rPr>
        <w:t>1.5</w:t>
      </w:r>
      <w:r w:rsidR="0069412A" w:rsidRPr="003A4F5F">
        <w:rPr>
          <w:rFonts w:asciiTheme="majorHAnsi" w:hAnsiTheme="majorHAnsi" w:cs="Arial"/>
        </w:rPr>
        <w:t xml:space="preserve"> </w:t>
      </w:r>
      <w:r w:rsidRPr="003A4F5F">
        <w:rPr>
          <w:rFonts w:asciiTheme="majorHAnsi" w:hAnsiTheme="majorHAnsi" w:cs="Arial"/>
        </w:rPr>
        <w:t>Th</w:t>
      </w:r>
      <w:r w:rsidR="00252418">
        <w:rPr>
          <w:rFonts w:asciiTheme="majorHAnsi" w:hAnsiTheme="majorHAnsi" w:cs="Arial"/>
        </w:rPr>
        <w:t>e focus and structure of this p</w:t>
      </w:r>
      <w:r w:rsidR="0069412A" w:rsidRPr="003A4F5F">
        <w:rPr>
          <w:rFonts w:asciiTheme="majorHAnsi" w:hAnsiTheme="majorHAnsi" w:cs="Arial"/>
        </w:rPr>
        <w:t>aper</w:t>
      </w:r>
    </w:p>
    <w:p w14:paraId="0879A626" w14:textId="4B076728" w:rsidR="00104640" w:rsidRPr="000B5A31" w:rsidRDefault="00F55F42" w:rsidP="00104640">
      <w:pPr>
        <w:spacing w:line="480" w:lineRule="auto"/>
        <w:rPr>
          <w:rFonts w:asciiTheme="majorHAnsi" w:hAnsiTheme="majorHAnsi" w:cs="Arial"/>
        </w:rPr>
      </w:pPr>
      <w:r>
        <w:rPr>
          <w:rFonts w:asciiTheme="majorHAnsi" w:hAnsiTheme="majorHAnsi" w:cs="Arial"/>
        </w:rPr>
        <w:t>Within</w:t>
      </w:r>
      <w:r w:rsidR="004548A5">
        <w:rPr>
          <w:rFonts w:asciiTheme="majorHAnsi" w:hAnsiTheme="majorHAnsi" w:cs="Arial"/>
        </w:rPr>
        <w:t xml:space="preserve"> the </w:t>
      </w:r>
      <w:r>
        <w:rPr>
          <w:rFonts w:asciiTheme="majorHAnsi" w:hAnsiTheme="majorHAnsi" w:cs="Arial"/>
        </w:rPr>
        <w:t xml:space="preserve">broader </w:t>
      </w:r>
      <w:r w:rsidR="004548A5">
        <w:rPr>
          <w:rFonts w:asciiTheme="majorHAnsi" w:hAnsiTheme="majorHAnsi" w:cs="Arial"/>
        </w:rPr>
        <w:t xml:space="preserve">context </w:t>
      </w:r>
      <w:r>
        <w:rPr>
          <w:rFonts w:asciiTheme="majorHAnsi" w:hAnsiTheme="majorHAnsi" w:cs="Arial"/>
        </w:rPr>
        <w:t>of the issues and knowledge gaps relating to climate finance in general and revolving funds in particular that have been introduced above</w:t>
      </w:r>
      <w:r w:rsidR="004548A5">
        <w:rPr>
          <w:rFonts w:asciiTheme="majorHAnsi" w:hAnsiTheme="majorHAnsi" w:cs="Arial"/>
        </w:rPr>
        <w:t>, t</w:t>
      </w:r>
      <w:r w:rsidR="00E94476">
        <w:rPr>
          <w:rFonts w:asciiTheme="majorHAnsi" w:hAnsiTheme="majorHAnsi" w:cs="Arial"/>
        </w:rPr>
        <w:t>his</w:t>
      </w:r>
      <w:r w:rsidR="00404127" w:rsidRPr="000B5A31">
        <w:rPr>
          <w:rFonts w:asciiTheme="majorHAnsi" w:hAnsiTheme="majorHAnsi" w:cs="Arial"/>
        </w:rPr>
        <w:t xml:space="preserve"> paper</w:t>
      </w:r>
      <w:r w:rsidR="00E6684C" w:rsidRPr="000B5A31">
        <w:rPr>
          <w:rFonts w:asciiTheme="majorHAnsi" w:hAnsiTheme="majorHAnsi" w:cs="Arial"/>
        </w:rPr>
        <w:t xml:space="preserve"> explores the case for the creation of revolving fund</w:t>
      </w:r>
      <w:r w:rsidR="00E94476">
        <w:rPr>
          <w:rFonts w:asciiTheme="majorHAnsi" w:hAnsiTheme="majorHAnsi" w:cs="Arial"/>
        </w:rPr>
        <w:t>s</w:t>
      </w:r>
      <w:r w:rsidR="00E6684C" w:rsidRPr="000B5A31">
        <w:rPr>
          <w:rFonts w:asciiTheme="majorHAnsi" w:hAnsiTheme="majorHAnsi" w:cs="Arial"/>
        </w:rPr>
        <w:t xml:space="preserve"> that could be used to </w:t>
      </w:r>
      <w:r w:rsidR="0059565C">
        <w:rPr>
          <w:rFonts w:asciiTheme="majorHAnsi" w:hAnsiTheme="majorHAnsi" w:cs="Arial"/>
        </w:rPr>
        <w:t>increase levels and enhance the performance of</w:t>
      </w:r>
      <w:r w:rsidR="0059565C" w:rsidRPr="000B5A31">
        <w:rPr>
          <w:rFonts w:asciiTheme="majorHAnsi" w:hAnsiTheme="majorHAnsi" w:cs="Arial"/>
        </w:rPr>
        <w:t xml:space="preserve"> </w:t>
      </w:r>
      <w:r w:rsidR="00E6684C" w:rsidRPr="000B5A31">
        <w:rPr>
          <w:rFonts w:asciiTheme="majorHAnsi" w:hAnsiTheme="majorHAnsi" w:cs="Arial"/>
        </w:rPr>
        <w:t>investment</w:t>
      </w:r>
      <w:r w:rsidR="0059565C">
        <w:rPr>
          <w:rFonts w:asciiTheme="majorHAnsi" w:hAnsiTheme="majorHAnsi" w:cs="Arial"/>
        </w:rPr>
        <w:t>s</w:t>
      </w:r>
      <w:r w:rsidR="00E6684C" w:rsidRPr="000B5A31">
        <w:rPr>
          <w:rFonts w:asciiTheme="majorHAnsi" w:hAnsiTheme="majorHAnsi" w:cs="Arial"/>
        </w:rPr>
        <w:t xml:space="preserve"> in energy efficient and low carbon buildings. </w:t>
      </w:r>
      <w:r w:rsidR="00104640" w:rsidRPr="000B5A31">
        <w:rPr>
          <w:rFonts w:asciiTheme="majorHAnsi" w:hAnsiTheme="majorHAnsi" w:cs="Arial"/>
        </w:rPr>
        <w:t xml:space="preserve">Based on the development of a model designed to explore and illuminate the workings of a revolving fund, the paper considers the impacts that </w:t>
      </w:r>
      <w:r w:rsidR="001F4EB2">
        <w:rPr>
          <w:rFonts w:asciiTheme="majorHAnsi" w:hAnsiTheme="majorHAnsi" w:cs="Arial"/>
        </w:rPr>
        <w:t>such a fund</w:t>
      </w:r>
      <w:r w:rsidR="00104640" w:rsidRPr="000B5A31">
        <w:rPr>
          <w:rFonts w:asciiTheme="majorHAnsi" w:hAnsiTheme="majorHAnsi" w:cs="Arial"/>
        </w:rPr>
        <w:t xml:space="preserve"> could have on the financing of a large-scale energy efficiency programme for the domestic sector in the UK. Data are drawn from various formal assessments of the costs, performance and scope for deployment of different energy efficiency and low carbon measures that could be adopted across the UK housing stock. In order to test the sensitivity of the model to changes in real world conditions, provision is made to adjust variables including household repayment levels, energy prices, administrative costs, incentives for participation, performance gaps and rebound effects. Results are presented for a number of different scenarios, each with a slightly different design. The findings of the analysis for each specific case are presented </w:t>
      </w:r>
      <w:r w:rsidR="00BD3A03">
        <w:rPr>
          <w:rFonts w:asciiTheme="majorHAnsi" w:hAnsiTheme="majorHAnsi" w:cs="Arial"/>
        </w:rPr>
        <w:t xml:space="preserve">and key issues in the governance of revolving funds are discussed </w:t>
      </w:r>
      <w:r w:rsidR="00104640" w:rsidRPr="000B5A31">
        <w:rPr>
          <w:rFonts w:asciiTheme="majorHAnsi" w:hAnsiTheme="majorHAnsi" w:cs="Arial"/>
        </w:rPr>
        <w:t xml:space="preserve">before the wider implications for policy and practice are discussed. </w:t>
      </w:r>
    </w:p>
    <w:p w14:paraId="7097BEA5" w14:textId="77777777" w:rsidR="00104640" w:rsidRPr="000B5A31" w:rsidRDefault="00104640" w:rsidP="000B5A31">
      <w:pPr>
        <w:spacing w:line="480" w:lineRule="auto"/>
        <w:rPr>
          <w:rFonts w:asciiTheme="majorHAnsi" w:hAnsiTheme="majorHAnsi" w:cs="Arial"/>
        </w:rPr>
      </w:pPr>
    </w:p>
    <w:p w14:paraId="4F821946" w14:textId="77777777" w:rsidR="00092F50" w:rsidRPr="000B5A31" w:rsidRDefault="00092F50" w:rsidP="00AB0182">
      <w:pPr>
        <w:spacing w:line="480" w:lineRule="auto"/>
        <w:ind w:left="360"/>
        <w:rPr>
          <w:rFonts w:asciiTheme="majorHAnsi" w:hAnsiTheme="majorHAnsi" w:cs="Arial"/>
        </w:rPr>
      </w:pPr>
    </w:p>
    <w:p w14:paraId="0958AD47" w14:textId="34C239E3" w:rsidR="001B19B0" w:rsidRPr="000B5A31" w:rsidRDefault="0069412A" w:rsidP="000B5A31">
      <w:pPr>
        <w:spacing w:line="480" w:lineRule="auto"/>
        <w:rPr>
          <w:rFonts w:asciiTheme="majorHAnsi" w:hAnsiTheme="majorHAnsi" w:cs="Arial"/>
          <w:b/>
        </w:rPr>
      </w:pPr>
      <w:r>
        <w:rPr>
          <w:rFonts w:asciiTheme="majorHAnsi" w:hAnsiTheme="majorHAnsi" w:cs="Arial"/>
          <w:b/>
        </w:rPr>
        <w:t>2</w:t>
      </w:r>
      <w:r w:rsidR="000B5A31">
        <w:rPr>
          <w:rFonts w:asciiTheme="majorHAnsi" w:hAnsiTheme="majorHAnsi" w:cs="Arial"/>
          <w:b/>
        </w:rPr>
        <w:t xml:space="preserve">. </w:t>
      </w:r>
      <w:r w:rsidR="006F702A">
        <w:rPr>
          <w:rFonts w:asciiTheme="majorHAnsi" w:hAnsiTheme="majorHAnsi" w:cs="Arial"/>
          <w:b/>
        </w:rPr>
        <w:t xml:space="preserve">Methods - </w:t>
      </w:r>
      <w:r w:rsidR="001E59DB" w:rsidRPr="000B5A31">
        <w:rPr>
          <w:rFonts w:asciiTheme="majorHAnsi" w:hAnsiTheme="majorHAnsi" w:cs="Arial"/>
          <w:b/>
        </w:rPr>
        <w:t>Creating a Basic</w:t>
      </w:r>
      <w:r w:rsidR="009C2495" w:rsidRPr="000B5A31">
        <w:rPr>
          <w:rFonts w:asciiTheme="majorHAnsi" w:hAnsiTheme="majorHAnsi" w:cs="Arial"/>
          <w:b/>
        </w:rPr>
        <w:t xml:space="preserve"> </w:t>
      </w:r>
      <w:r w:rsidR="001B19B0" w:rsidRPr="000B5A31">
        <w:rPr>
          <w:rFonts w:asciiTheme="majorHAnsi" w:hAnsiTheme="majorHAnsi" w:cs="Arial"/>
          <w:b/>
        </w:rPr>
        <w:t xml:space="preserve">Revolving Fund </w:t>
      </w:r>
      <w:r w:rsidR="009C2495" w:rsidRPr="000B5A31">
        <w:rPr>
          <w:rFonts w:asciiTheme="majorHAnsi" w:hAnsiTheme="majorHAnsi" w:cs="Arial"/>
          <w:b/>
        </w:rPr>
        <w:t>Model</w:t>
      </w:r>
    </w:p>
    <w:p w14:paraId="29FC3344" w14:textId="77777777" w:rsidR="001B19B0" w:rsidRPr="000B5A31" w:rsidRDefault="001B19B0" w:rsidP="00AB0182">
      <w:pPr>
        <w:spacing w:line="480" w:lineRule="auto"/>
        <w:ind w:left="360"/>
        <w:rPr>
          <w:rFonts w:asciiTheme="majorHAnsi" w:hAnsiTheme="majorHAnsi" w:cs="Arial"/>
          <w:b/>
        </w:rPr>
      </w:pPr>
    </w:p>
    <w:p w14:paraId="4B479391" w14:textId="4C5A09DF" w:rsidR="004C7F28" w:rsidRPr="000B5A31" w:rsidRDefault="004200C8" w:rsidP="000B5A31">
      <w:pPr>
        <w:spacing w:line="480" w:lineRule="auto"/>
        <w:rPr>
          <w:rFonts w:asciiTheme="majorHAnsi" w:hAnsiTheme="majorHAnsi" w:cs="Arial"/>
        </w:rPr>
      </w:pPr>
      <w:r w:rsidRPr="000B5A31">
        <w:rPr>
          <w:rFonts w:asciiTheme="majorHAnsi" w:hAnsiTheme="majorHAnsi" w:cs="Arial"/>
        </w:rPr>
        <w:t>R</w:t>
      </w:r>
      <w:r w:rsidR="001B19B0" w:rsidRPr="000B5A31">
        <w:rPr>
          <w:rFonts w:asciiTheme="majorHAnsi" w:hAnsiTheme="majorHAnsi" w:cs="Arial"/>
        </w:rPr>
        <w:t xml:space="preserve">evolving funds could come in many different forms, with different structures, scales, business models and governance arrangements. </w:t>
      </w:r>
      <w:r w:rsidRPr="000B5A31">
        <w:rPr>
          <w:rFonts w:asciiTheme="majorHAnsi" w:hAnsiTheme="majorHAnsi" w:cs="Arial"/>
        </w:rPr>
        <w:t xml:space="preserve">In this paper, we explore the case for a large-scale </w:t>
      </w:r>
      <w:r w:rsidR="00EB1D43" w:rsidRPr="000B5A31">
        <w:rPr>
          <w:rFonts w:asciiTheme="majorHAnsi" w:hAnsiTheme="majorHAnsi" w:cs="Arial"/>
        </w:rPr>
        <w:t xml:space="preserve">revolving </w:t>
      </w:r>
      <w:r w:rsidRPr="000B5A31">
        <w:rPr>
          <w:rFonts w:asciiTheme="majorHAnsi" w:hAnsiTheme="majorHAnsi" w:cs="Arial"/>
        </w:rPr>
        <w:t xml:space="preserve">fund </w:t>
      </w:r>
      <w:r w:rsidR="004C7F28" w:rsidRPr="000B5A31">
        <w:rPr>
          <w:rFonts w:asciiTheme="majorHAnsi" w:hAnsiTheme="majorHAnsi" w:cs="Arial"/>
        </w:rPr>
        <w:t>that could be adopted</w:t>
      </w:r>
      <w:r w:rsidR="00CF79D0" w:rsidRPr="000B5A31">
        <w:rPr>
          <w:rFonts w:asciiTheme="majorHAnsi" w:hAnsiTheme="majorHAnsi" w:cs="Arial"/>
        </w:rPr>
        <w:t xml:space="preserve"> – by actors in the public, private or civic sectors on either a for-profit or not-for-profit basis - </w:t>
      </w:r>
      <w:r w:rsidR="004C7F28" w:rsidRPr="000B5A31">
        <w:rPr>
          <w:rFonts w:asciiTheme="majorHAnsi" w:hAnsiTheme="majorHAnsi" w:cs="Arial"/>
        </w:rPr>
        <w:t xml:space="preserve">to fund energy efficiency or low carbon investments </w:t>
      </w:r>
      <w:r w:rsidR="007E37E3" w:rsidRPr="000B5A31">
        <w:rPr>
          <w:rFonts w:asciiTheme="majorHAnsi" w:hAnsiTheme="majorHAnsi" w:cs="Arial"/>
        </w:rPr>
        <w:t>in domestic buildings</w:t>
      </w:r>
      <w:r w:rsidR="004C7F28" w:rsidRPr="000B5A31">
        <w:rPr>
          <w:rFonts w:asciiTheme="majorHAnsi" w:hAnsiTheme="majorHAnsi" w:cs="Arial"/>
        </w:rPr>
        <w:t xml:space="preserve">. </w:t>
      </w:r>
    </w:p>
    <w:p w14:paraId="13F4EFAE" w14:textId="77777777" w:rsidR="006F1ABC" w:rsidRPr="000B5A31" w:rsidRDefault="006F1ABC" w:rsidP="00AB0182">
      <w:pPr>
        <w:spacing w:line="480" w:lineRule="auto"/>
        <w:ind w:left="360"/>
        <w:rPr>
          <w:rFonts w:asciiTheme="majorHAnsi" w:hAnsiTheme="majorHAnsi" w:cs="Arial"/>
        </w:rPr>
      </w:pPr>
    </w:p>
    <w:p w14:paraId="0AE520CB" w14:textId="15287696" w:rsidR="00917617" w:rsidRPr="000B5A31" w:rsidRDefault="0069412A" w:rsidP="00B91686">
      <w:pPr>
        <w:spacing w:line="480" w:lineRule="auto"/>
        <w:rPr>
          <w:rFonts w:asciiTheme="majorHAnsi" w:hAnsiTheme="majorHAnsi" w:cs="Arial"/>
          <w:i/>
        </w:rPr>
      </w:pPr>
      <w:r w:rsidRPr="00B91686">
        <w:rPr>
          <w:rFonts w:asciiTheme="majorHAnsi" w:hAnsiTheme="majorHAnsi" w:cs="Arial"/>
        </w:rPr>
        <w:t>2</w:t>
      </w:r>
      <w:r w:rsidR="000B5A31" w:rsidRPr="00B91686">
        <w:rPr>
          <w:rFonts w:asciiTheme="majorHAnsi" w:hAnsiTheme="majorHAnsi" w:cs="Arial"/>
        </w:rPr>
        <w:t>.1</w:t>
      </w:r>
      <w:r w:rsidR="00E552E0">
        <w:rPr>
          <w:rFonts w:asciiTheme="majorHAnsi" w:hAnsiTheme="majorHAnsi" w:cs="Arial"/>
        </w:rPr>
        <w:t xml:space="preserve"> Model d</w:t>
      </w:r>
      <w:r w:rsidR="006F1ABC" w:rsidRPr="00B91686">
        <w:rPr>
          <w:rFonts w:asciiTheme="majorHAnsi" w:hAnsiTheme="majorHAnsi" w:cs="Arial"/>
        </w:rPr>
        <w:t>esign</w:t>
      </w:r>
    </w:p>
    <w:p w14:paraId="1327C525" w14:textId="77777777" w:rsidR="00790D1F" w:rsidRPr="000B5A31" w:rsidRDefault="00917617" w:rsidP="000B5A31">
      <w:pPr>
        <w:spacing w:line="480" w:lineRule="auto"/>
        <w:rPr>
          <w:rFonts w:asciiTheme="majorHAnsi" w:hAnsiTheme="majorHAnsi" w:cs="Arial"/>
        </w:rPr>
      </w:pPr>
      <w:r w:rsidRPr="000B5A31">
        <w:rPr>
          <w:rFonts w:asciiTheme="majorHAnsi" w:hAnsiTheme="majorHAnsi" w:cs="Arial"/>
        </w:rPr>
        <w:t xml:space="preserve">The basic structure of the revolving fund </w:t>
      </w:r>
      <w:r w:rsidR="00584BC0" w:rsidRPr="000B5A31">
        <w:rPr>
          <w:rFonts w:asciiTheme="majorHAnsi" w:hAnsiTheme="majorHAnsi" w:cs="Arial"/>
        </w:rPr>
        <w:t xml:space="preserve">assessed in this paper </w:t>
      </w:r>
      <w:r w:rsidRPr="000B5A31">
        <w:rPr>
          <w:rFonts w:asciiTheme="majorHAnsi" w:hAnsiTheme="majorHAnsi" w:cs="Arial"/>
        </w:rPr>
        <w:t>is set out in Figure 1. This figure shows the flows of finance into</w:t>
      </w:r>
      <w:r w:rsidR="002858E9" w:rsidRPr="000B5A31">
        <w:rPr>
          <w:rFonts w:asciiTheme="majorHAnsi" w:hAnsiTheme="majorHAnsi" w:cs="Arial"/>
        </w:rPr>
        <w:t xml:space="preserve">, </w:t>
      </w:r>
      <w:r w:rsidRPr="000B5A31">
        <w:rPr>
          <w:rFonts w:asciiTheme="majorHAnsi" w:hAnsiTheme="majorHAnsi" w:cs="Arial"/>
        </w:rPr>
        <w:t>around</w:t>
      </w:r>
      <w:r w:rsidR="00A445B2" w:rsidRPr="000B5A31">
        <w:rPr>
          <w:rFonts w:asciiTheme="majorHAnsi" w:hAnsiTheme="majorHAnsi" w:cs="Arial"/>
        </w:rPr>
        <w:t>,</w:t>
      </w:r>
      <w:r w:rsidRPr="000B5A31">
        <w:rPr>
          <w:rFonts w:asciiTheme="majorHAnsi" w:hAnsiTheme="majorHAnsi" w:cs="Arial"/>
        </w:rPr>
        <w:t xml:space="preserve"> </w:t>
      </w:r>
      <w:r w:rsidR="002858E9" w:rsidRPr="000B5A31">
        <w:rPr>
          <w:rFonts w:asciiTheme="majorHAnsi" w:hAnsiTheme="majorHAnsi" w:cs="Arial"/>
        </w:rPr>
        <w:t xml:space="preserve">and out of </w:t>
      </w:r>
      <w:r w:rsidRPr="000B5A31">
        <w:rPr>
          <w:rFonts w:asciiTheme="majorHAnsi" w:hAnsiTheme="majorHAnsi" w:cs="Arial"/>
        </w:rPr>
        <w:t xml:space="preserve">the revolving fund, and creates the basis for our analysis of different variables within the fund. </w:t>
      </w:r>
      <w:r w:rsidR="00790D1F" w:rsidRPr="000B5A31">
        <w:rPr>
          <w:rFonts w:asciiTheme="majorHAnsi" w:hAnsiTheme="majorHAnsi" w:cs="Arial"/>
        </w:rPr>
        <w:t xml:space="preserve">At the heart of the revolving fund as conceived here is a new entity (here called a Special Purpose Vehicle or SPV) that is established to receive new investment funds from different sources and to invest these in energy efficiency and low carbon measures in households. </w:t>
      </w:r>
    </w:p>
    <w:p w14:paraId="77C2D529" w14:textId="77777777" w:rsidR="001B19B0" w:rsidRPr="000B5A31" w:rsidRDefault="001B19B0" w:rsidP="00AB0182">
      <w:pPr>
        <w:spacing w:line="480" w:lineRule="auto"/>
        <w:rPr>
          <w:rFonts w:asciiTheme="majorHAnsi" w:hAnsiTheme="majorHAnsi" w:cs="Arial"/>
        </w:rPr>
      </w:pPr>
    </w:p>
    <w:p w14:paraId="087872FE" w14:textId="654DC6E7" w:rsidR="00620DA3" w:rsidRPr="000B5A31" w:rsidRDefault="001E59DB" w:rsidP="000B5A31">
      <w:pPr>
        <w:spacing w:line="480" w:lineRule="auto"/>
        <w:rPr>
          <w:rFonts w:asciiTheme="majorHAnsi" w:hAnsiTheme="majorHAnsi" w:cs="Arial"/>
        </w:rPr>
      </w:pPr>
      <w:r w:rsidRPr="000B5A31">
        <w:rPr>
          <w:rFonts w:asciiTheme="majorHAnsi" w:hAnsiTheme="majorHAnsi" w:cs="Arial"/>
        </w:rPr>
        <w:t xml:space="preserve">Our </w:t>
      </w:r>
      <w:r w:rsidR="00A445B2" w:rsidRPr="000B5A31">
        <w:rPr>
          <w:rFonts w:asciiTheme="majorHAnsi" w:hAnsiTheme="majorHAnsi" w:cs="Arial"/>
        </w:rPr>
        <w:t xml:space="preserve">baseline </w:t>
      </w:r>
      <w:r w:rsidRPr="000B5A31">
        <w:rPr>
          <w:rFonts w:asciiTheme="majorHAnsi" w:hAnsiTheme="majorHAnsi" w:cs="Arial"/>
        </w:rPr>
        <w:t>model</w:t>
      </w:r>
      <w:r w:rsidR="001B19B0" w:rsidRPr="000B5A31">
        <w:rPr>
          <w:rFonts w:asciiTheme="majorHAnsi" w:hAnsiTheme="majorHAnsi" w:cs="Arial"/>
        </w:rPr>
        <w:t xml:space="preserve"> calculates </w:t>
      </w:r>
      <w:r w:rsidR="00584BC0" w:rsidRPr="000B5A31">
        <w:rPr>
          <w:rFonts w:asciiTheme="majorHAnsi" w:hAnsiTheme="majorHAnsi" w:cs="Arial"/>
        </w:rPr>
        <w:t xml:space="preserve">the </w:t>
      </w:r>
      <w:r w:rsidR="001B19B0" w:rsidRPr="000B5A31">
        <w:rPr>
          <w:rFonts w:asciiTheme="majorHAnsi" w:hAnsiTheme="majorHAnsi" w:cs="Arial"/>
        </w:rPr>
        <w:t xml:space="preserve">total investment needs </w:t>
      </w:r>
      <w:r w:rsidRPr="000B5A31">
        <w:rPr>
          <w:rFonts w:asciiTheme="majorHAnsi" w:hAnsiTheme="majorHAnsi" w:cs="Arial"/>
        </w:rPr>
        <w:t xml:space="preserve">associated with </w:t>
      </w:r>
      <w:r w:rsidR="00584BC0" w:rsidRPr="000B5A31">
        <w:rPr>
          <w:rFonts w:asciiTheme="majorHAnsi" w:hAnsiTheme="majorHAnsi" w:cs="Arial"/>
        </w:rPr>
        <w:t xml:space="preserve">the widespread adoption of </w:t>
      </w:r>
      <w:r w:rsidRPr="000B5A31">
        <w:rPr>
          <w:rFonts w:asciiTheme="majorHAnsi" w:hAnsiTheme="majorHAnsi" w:cs="Arial"/>
        </w:rPr>
        <w:t>a range of energy efficiency</w:t>
      </w:r>
      <w:r w:rsidR="00AD27D7" w:rsidRPr="000B5A31">
        <w:rPr>
          <w:rFonts w:asciiTheme="majorHAnsi" w:hAnsiTheme="majorHAnsi" w:cs="Arial"/>
        </w:rPr>
        <w:t xml:space="preserve"> and </w:t>
      </w:r>
      <w:r w:rsidRPr="000B5A31">
        <w:rPr>
          <w:rFonts w:asciiTheme="majorHAnsi" w:hAnsiTheme="majorHAnsi" w:cs="Arial"/>
        </w:rPr>
        <w:t xml:space="preserve">low carbon measures </w:t>
      </w:r>
      <w:r w:rsidR="00584BC0" w:rsidRPr="000B5A31">
        <w:rPr>
          <w:rFonts w:asciiTheme="majorHAnsi" w:hAnsiTheme="majorHAnsi" w:cs="Arial"/>
        </w:rPr>
        <w:t>in a particular country, region</w:t>
      </w:r>
      <w:r w:rsidR="00A445B2" w:rsidRPr="000B5A31">
        <w:rPr>
          <w:rFonts w:asciiTheme="majorHAnsi" w:hAnsiTheme="majorHAnsi" w:cs="Arial"/>
        </w:rPr>
        <w:t>,</w:t>
      </w:r>
      <w:r w:rsidR="00584BC0" w:rsidRPr="000B5A31">
        <w:rPr>
          <w:rFonts w:asciiTheme="majorHAnsi" w:hAnsiTheme="majorHAnsi" w:cs="Arial"/>
        </w:rPr>
        <w:t xml:space="preserve"> or city.</w:t>
      </w:r>
      <w:r w:rsidR="00C86F5B" w:rsidRPr="000B5A31" w:rsidDel="00C86F5B">
        <w:rPr>
          <w:rFonts w:asciiTheme="majorHAnsi" w:hAnsiTheme="majorHAnsi" w:cs="Arial"/>
        </w:rPr>
        <w:t xml:space="preserve"> </w:t>
      </w:r>
      <w:r w:rsidR="00C86F5B">
        <w:rPr>
          <w:rFonts w:asciiTheme="majorHAnsi" w:hAnsiTheme="majorHAnsi" w:cs="Arial"/>
        </w:rPr>
        <w:t xml:space="preserve">For simplicity, we assume that the up-take of such measures is entirely financed through the revolving fund and that impacts are additional to wider background trends. </w:t>
      </w:r>
      <w:r w:rsidR="00B474A8" w:rsidRPr="000B5A31">
        <w:rPr>
          <w:rFonts w:asciiTheme="majorHAnsi" w:hAnsiTheme="majorHAnsi" w:cs="Arial"/>
        </w:rPr>
        <w:t>To enable us to adjust the investment needs to reflect the available</w:t>
      </w:r>
      <w:r w:rsidR="00A445B2" w:rsidRPr="000B5A31">
        <w:rPr>
          <w:rFonts w:asciiTheme="majorHAnsi" w:hAnsiTheme="majorHAnsi" w:cs="Arial"/>
        </w:rPr>
        <w:t xml:space="preserve"> </w:t>
      </w:r>
      <w:r w:rsidR="00B474A8" w:rsidRPr="000B5A31">
        <w:rPr>
          <w:rFonts w:asciiTheme="majorHAnsi" w:hAnsiTheme="majorHAnsi" w:cs="Arial"/>
        </w:rPr>
        <w:t>investment resources, the model</w:t>
      </w:r>
      <w:r w:rsidR="00584BC0" w:rsidRPr="000B5A31">
        <w:rPr>
          <w:rFonts w:asciiTheme="majorHAnsi" w:hAnsiTheme="majorHAnsi" w:cs="Arial"/>
        </w:rPr>
        <w:t xml:space="preserve"> </w:t>
      </w:r>
      <w:r w:rsidR="00B474A8" w:rsidRPr="000B5A31">
        <w:rPr>
          <w:rFonts w:asciiTheme="majorHAnsi" w:hAnsiTheme="majorHAnsi" w:cs="Arial"/>
        </w:rPr>
        <w:t>set</w:t>
      </w:r>
      <w:r w:rsidR="00A445B2" w:rsidRPr="000B5A31">
        <w:rPr>
          <w:rFonts w:asciiTheme="majorHAnsi" w:hAnsiTheme="majorHAnsi" w:cs="Arial"/>
        </w:rPr>
        <w:t>s</w:t>
      </w:r>
      <w:r w:rsidR="001B19B0" w:rsidRPr="000B5A31">
        <w:rPr>
          <w:rFonts w:asciiTheme="majorHAnsi" w:hAnsiTheme="majorHAnsi" w:cs="Arial"/>
        </w:rPr>
        <w:t xml:space="preserve"> a maximum proportion of this total that</w:t>
      </w:r>
      <w:r w:rsidRPr="000B5A31">
        <w:rPr>
          <w:rFonts w:asciiTheme="majorHAnsi" w:hAnsiTheme="majorHAnsi" w:cs="Arial"/>
        </w:rPr>
        <w:t xml:space="preserve"> can be </w:t>
      </w:r>
      <w:r w:rsidR="00BD3A03">
        <w:rPr>
          <w:rFonts w:asciiTheme="majorHAnsi" w:hAnsiTheme="majorHAnsi" w:cs="Arial"/>
        </w:rPr>
        <w:t>financed through the fund</w:t>
      </w:r>
      <w:r w:rsidR="00BD3A03" w:rsidRPr="000B5A31">
        <w:rPr>
          <w:rFonts w:asciiTheme="majorHAnsi" w:hAnsiTheme="majorHAnsi" w:cs="Arial"/>
        </w:rPr>
        <w:t xml:space="preserve"> </w:t>
      </w:r>
      <w:r w:rsidR="00790D1F" w:rsidRPr="000B5A31">
        <w:rPr>
          <w:rFonts w:asciiTheme="majorHAnsi" w:hAnsiTheme="majorHAnsi" w:cs="Arial"/>
        </w:rPr>
        <w:t xml:space="preserve">each year. Funds </w:t>
      </w:r>
      <w:r w:rsidR="000B2BE3" w:rsidRPr="000B5A31">
        <w:rPr>
          <w:rFonts w:asciiTheme="majorHAnsi" w:hAnsiTheme="majorHAnsi" w:cs="Arial"/>
        </w:rPr>
        <w:t xml:space="preserve">– that </w:t>
      </w:r>
      <w:r w:rsidR="00790D1F" w:rsidRPr="000B5A31">
        <w:rPr>
          <w:rFonts w:asciiTheme="majorHAnsi" w:hAnsiTheme="majorHAnsi" w:cs="Arial"/>
        </w:rPr>
        <w:t xml:space="preserve">can be </w:t>
      </w:r>
      <w:r w:rsidR="00095C4D" w:rsidRPr="000B5A31">
        <w:rPr>
          <w:rFonts w:asciiTheme="majorHAnsi" w:hAnsiTheme="majorHAnsi" w:cs="Arial"/>
        </w:rPr>
        <w:t xml:space="preserve">provided </w:t>
      </w:r>
      <w:r w:rsidR="000B2BE3" w:rsidRPr="000B5A31">
        <w:rPr>
          <w:rFonts w:asciiTheme="majorHAnsi" w:hAnsiTheme="majorHAnsi" w:cs="Arial"/>
        </w:rPr>
        <w:t>by the</w:t>
      </w:r>
      <w:r w:rsidR="00095C4D" w:rsidRPr="000B5A31">
        <w:rPr>
          <w:rFonts w:asciiTheme="majorHAnsi" w:hAnsiTheme="majorHAnsi" w:cs="Arial"/>
        </w:rPr>
        <w:t xml:space="preserve"> government, banks, institution</w:t>
      </w:r>
      <w:r w:rsidR="000B2BE3" w:rsidRPr="000B5A31">
        <w:rPr>
          <w:rFonts w:asciiTheme="majorHAnsi" w:hAnsiTheme="majorHAnsi" w:cs="Arial"/>
        </w:rPr>
        <w:t>al investors or local communities</w:t>
      </w:r>
      <w:r w:rsidR="00095C4D" w:rsidRPr="000B5A31">
        <w:rPr>
          <w:rFonts w:asciiTheme="majorHAnsi" w:hAnsiTheme="majorHAnsi" w:cs="Arial"/>
        </w:rPr>
        <w:t xml:space="preserve"> </w:t>
      </w:r>
      <w:r w:rsidR="000B2BE3" w:rsidRPr="000B5A31">
        <w:rPr>
          <w:rFonts w:asciiTheme="majorHAnsi" w:hAnsiTheme="majorHAnsi" w:cs="Arial"/>
        </w:rPr>
        <w:t xml:space="preserve">– are borrowed by </w:t>
      </w:r>
      <w:r w:rsidR="00095C4D" w:rsidRPr="000B5A31">
        <w:rPr>
          <w:rFonts w:asciiTheme="majorHAnsi" w:hAnsiTheme="majorHAnsi" w:cs="Arial"/>
        </w:rPr>
        <w:t xml:space="preserve">the SPV at a </w:t>
      </w:r>
      <w:r w:rsidR="001B19B0" w:rsidRPr="000B5A31">
        <w:rPr>
          <w:rFonts w:asciiTheme="majorHAnsi" w:hAnsiTheme="majorHAnsi" w:cs="Arial"/>
        </w:rPr>
        <w:t xml:space="preserve">real </w:t>
      </w:r>
      <w:r w:rsidR="00095C4D" w:rsidRPr="000B5A31">
        <w:rPr>
          <w:rFonts w:asciiTheme="majorHAnsi" w:hAnsiTheme="majorHAnsi" w:cs="Arial"/>
        </w:rPr>
        <w:t xml:space="preserve">(i.e. after inflation) </w:t>
      </w:r>
      <w:r w:rsidR="001B19B0" w:rsidRPr="000B5A31">
        <w:rPr>
          <w:rFonts w:asciiTheme="majorHAnsi" w:hAnsiTheme="majorHAnsi" w:cs="Arial"/>
        </w:rPr>
        <w:t>interest rate</w:t>
      </w:r>
      <w:r w:rsidR="00095C4D" w:rsidRPr="000B5A31">
        <w:rPr>
          <w:rFonts w:asciiTheme="majorHAnsi" w:hAnsiTheme="majorHAnsi" w:cs="Arial"/>
        </w:rPr>
        <w:t xml:space="preserve">. </w:t>
      </w:r>
      <w:r w:rsidR="000B2BE3" w:rsidRPr="000B5A31">
        <w:rPr>
          <w:rFonts w:asciiTheme="majorHAnsi" w:hAnsiTheme="majorHAnsi" w:cs="Arial"/>
        </w:rPr>
        <w:t>The model</w:t>
      </w:r>
      <w:r w:rsidR="00095C4D" w:rsidRPr="000B5A31">
        <w:rPr>
          <w:rFonts w:asciiTheme="majorHAnsi" w:hAnsiTheme="majorHAnsi" w:cs="Arial"/>
        </w:rPr>
        <w:t xml:space="preserve"> </w:t>
      </w:r>
      <w:r w:rsidR="000B2BE3" w:rsidRPr="000B5A31">
        <w:rPr>
          <w:rFonts w:asciiTheme="majorHAnsi" w:hAnsiTheme="majorHAnsi" w:cs="Arial"/>
        </w:rPr>
        <w:t xml:space="preserve">then </w:t>
      </w:r>
      <w:r w:rsidR="001B19B0" w:rsidRPr="000B5A31">
        <w:rPr>
          <w:rFonts w:asciiTheme="majorHAnsi" w:hAnsiTheme="majorHAnsi" w:cs="Arial"/>
        </w:rPr>
        <w:t xml:space="preserve">assumes </w:t>
      </w:r>
      <w:r w:rsidR="00095C4D" w:rsidRPr="000B5A31">
        <w:rPr>
          <w:rFonts w:asciiTheme="majorHAnsi" w:hAnsiTheme="majorHAnsi" w:cs="Arial"/>
        </w:rPr>
        <w:t xml:space="preserve">that </w:t>
      </w:r>
      <w:r w:rsidR="001B19B0" w:rsidRPr="000B5A31">
        <w:rPr>
          <w:rFonts w:asciiTheme="majorHAnsi" w:hAnsiTheme="majorHAnsi" w:cs="Arial"/>
        </w:rPr>
        <w:t xml:space="preserve">a proportion of the total capital loaned </w:t>
      </w:r>
      <w:r w:rsidR="00790D1F" w:rsidRPr="000B5A31">
        <w:rPr>
          <w:rFonts w:asciiTheme="majorHAnsi" w:hAnsiTheme="majorHAnsi" w:cs="Arial"/>
        </w:rPr>
        <w:t xml:space="preserve">to the </w:t>
      </w:r>
      <w:r w:rsidR="00790D1F" w:rsidRPr="000B5A31">
        <w:rPr>
          <w:rFonts w:asciiTheme="majorHAnsi" w:hAnsiTheme="majorHAnsi" w:cs="Arial"/>
        </w:rPr>
        <w:lastRenderedPageBreak/>
        <w:t xml:space="preserve">SPV </w:t>
      </w:r>
      <w:r w:rsidR="00095C4D" w:rsidRPr="000B5A31">
        <w:rPr>
          <w:rFonts w:asciiTheme="majorHAnsi" w:hAnsiTheme="majorHAnsi" w:cs="Arial"/>
        </w:rPr>
        <w:t>will be</w:t>
      </w:r>
      <w:r w:rsidR="001B19B0" w:rsidRPr="000B5A31">
        <w:rPr>
          <w:rFonts w:asciiTheme="majorHAnsi" w:hAnsiTheme="majorHAnsi" w:cs="Arial"/>
        </w:rPr>
        <w:t xml:space="preserve"> repaid </w:t>
      </w:r>
      <w:r w:rsidR="00584BC0" w:rsidRPr="000B5A31">
        <w:rPr>
          <w:rFonts w:asciiTheme="majorHAnsi" w:hAnsiTheme="majorHAnsi" w:cs="Arial"/>
        </w:rPr>
        <w:t xml:space="preserve">to the original funders </w:t>
      </w:r>
      <w:r w:rsidR="00095C4D" w:rsidRPr="000B5A31">
        <w:rPr>
          <w:rFonts w:asciiTheme="majorHAnsi" w:hAnsiTheme="majorHAnsi" w:cs="Arial"/>
        </w:rPr>
        <w:t>each</w:t>
      </w:r>
      <w:r w:rsidR="001B19B0" w:rsidRPr="000B5A31">
        <w:rPr>
          <w:rFonts w:asciiTheme="majorHAnsi" w:hAnsiTheme="majorHAnsi" w:cs="Arial"/>
        </w:rPr>
        <w:t xml:space="preserve"> year. The SPV</w:t>
      </w:r>
      <w:r w:rsidR="002215F4" w:rsidRPr="000B5A31">
        <w:rPr>
          <w:rFonts w:asciiTheme="majorHAnsi" w:hAnsiTheme="majorHAnsi" w:cs="Arial"/>
        </w:rPr>
        <w:t xml:space="preserve">, after </w:t>
      </w:r>
      <w:r w:rsidR="00C60919" w:rsidRPr="000B5A31">
        <w:rPr>
          <w:rFonts w:asciiTheme="majorHAnsi" w:hAnsiTheme="majorHAnsi" w:cs="Arial"/>
        </w:rPr>
        <w:t xml:space="preserve">making these repayments and </w:t>
      </w:r>
      <w:r w:rsidR="002215F4" w:rsidRPr="000B5A31">
        <w:rPr>
          <w:rFonts w:asciiTheme="majorHAnsi" w:hAnsiTheme="majorHAnsi" w:cs="Arial"/>
        </w:rPr>
        <w:t>covering</w:t>
      </w:r>
      <w:r w:rsidR="001B19B0" w:rsidRPr="000B5A31">
        <w:rPr>
          <w:rFonts w:asciiTheme="majorHAnsi" w:hAnsiTheme="majorHAnsi" w:cs="Arial"/>
        </w:rPr>
        <w:t xml:space="preserve"> its </w:t>
      </w:r>
      <w:r w:rsidR="00357816" w:rsidRPr="000B5A31">
        <w:rPr>
          <w:rFonts w:asciiTheme="majorHAnsi" w:hAnsiTheme="majorHAnsi" w:cs="Arial"/>
        </w:rPr>
        <w:t>administrative</w:t>
      </w:r>
      <w:r w:rsidR="004F1070" w:rsidRPr="000B5A31">
        <w:rPr>
          <w:rFonts w:asciiTheme="majorHAnsi" w:hAnsiTheme="majorHAnsi" w:cs="Arial"/>
        </w:rPr>
        <w:t xml:space="preserve"> costs</w:t>
      </w:r>
      <w:r w:rsidR="002215F4" w:rsidRPr="000B5A31">
        <w:rPr>
          <w:rFonts w:asciiTheme="majorHAnsi" w:hAnsiTheme="majorHAnsi" w:cs="Arial"/>
        </w:rPr>
        <w:t xml:space="preserve">, </w:t>
      </w:r>
      <w:r w:rsidR="00C60919" w:rsidRPr="000B5A31">
        <w:rPr>
          <w:rFonts w:asciiTheme="majorHAnsi" w:hAnsiTheme="majorHAnsi" w:cs="Arial"/>
        </w:rPr>
        <w:t xml:space="preserve">then </w:t>
      </w:r>
      <w:r w:rsidR="002215F4" w:rsidRPr="000B5A31">
        <w:rPr>
          <w:rFonts w:asciiTheme="majorHAnsi" w:hAnsiTheme="majorHAnsi" w:cs="Arial"/>
        </w:rPr>
        <w:t xml:space="preserve">invests </w:t>
      </w:r>
      <w:r w:rsidR="00C60919" w:rsidRPr="000B5A31">
        <w:rPr>
          <w:rFonts w:asciiTheme="majorHAnsi" w:hAnsiTheme="majorHAnsi" w:cs="Arial"/>
        </w:rPr>
        <w:t xml:space="preserve">any </w:t>
      </w:r>
      <w:r w:rsidR="002215F4" w:rsidRPr="000B5A31">
        <w:rPr>
          <w:rFonts w:asciiTheme="majorHAnsi" w:hAnsiTheme="majorHAnsi" w:cs="Arial"/>
        </w:rPr>
        <w:t xml:space="preserve">remaining funds in </w:t>
      </w:r>
      <w:r w:rsidR="007E37E3" w:rsidRPr="000B5A31">
        <w:rPr>
          <w:rFonts w:asciiTheme="majorHAnsi" w:hAnsiTheme="majorHAnsi" w:cs="Arial"/>
        </w:rPr>
        <w:t xml:space="preserve">energy </w:t>
      </w:r>
      <w:r w:rsidR="002215F4" w:rsidRPr="000B5A31">
        <w:rPr>
          <w:rFonts w:asciiTheme="majorHAnsi" w:hAnsiTheme="majorHAnsi" w:cs="Arial"/>
        </w:rPr>
        <w:t xml:space="preserve">efficiency </w:t>
      </w:r>
      <w:r w:rsidR="007E37E3" w:rsidRPr="000B5A31">
        <w:rPr>
          <w:rFonts w:asciiTheme="majorHAnsi" w:hAnsiTheme="majorHAnsi" w:cs="Arial"/>
        </w:rPr>
        <w:t xml:space="preserve">and low carbon </w:t>
      </w:r>
      <w:r w:rsidR="002215F4" w:rsidRPr="000B5A31">
        <w:rPr>
          <w:rFonts w:asciiTheme="majorHAnsi" w:hAnsiTheme="majorHAnsi" w:cs="Arial"/>
        </w:rPr>
        <w:t>measures</w:t>
      </w:r>
      <w:r w:rsidR="00620DA3" w:rsidRPr="000B5A31">
        <w:rPr>
          <w:rFonts w:asciiTheme="majorHAnsi" w:hAnsiTheme="majorHAnsi" w:cs="Arial"/>
        </w:rPr>
        <w:t>.</w:t>
      </w:r>
      <w:r w:rsidR="002215F4" w:rsidRPr="000B5A31">
        <w:rPr>
          <w:rFonts w:asciiTheme="majorHAnsi" w:hAnsiTheme="majorHAnsi" w:cs="Arial"/>
        </w:rPr>
        <w:t xml:space="preserve">  </w:t>
      </w:r>
    </w:p>
    <w:p w14:paraId="0FE03FBC" w14:textId="77777777" w:rsidR="00620DA3" w:rsidRPr="000B5A31" w:rsidRDefault="00620DA3" w:rsidP="00AB0182">
      <w:pPr>
        <w:spacing w:line="480" w:lineRule="auto"/>
        <w:ind w:left="360"/>
        <w:rPr>
          <w:rFonts w:asciiTheme="majorHAnsi" w:hAnsiTheme="majorHAnsi" w:cs="Arial"/>
        </w:rPr>
      </w:pPr>
    </w:p>
    <w:p w14:paraId="28F9D163" w14:textId="5C1CC4F5" w:rsidR="002932B5" w:rsidRPr="000B5A31" w:rsidRDefault="00273DC3" w:rsidP="000B5A31">
      <w:pPr>
        <w:spacing w:line="480" w:lineRule="auto"/>
        <w:rPr>
          <w:rFonts w:asciiTheme="majorHAnsi" w:hAnsiTheme="majorHAnsi" w:cs="Arial"/>
        </w:rPr>
      </w:pPr>
      <w:r w:rsidRPr="000B5A31">
        <w:rPr>
          <w:rFonts w:asciiTheme="majorHAnsi" w:hAnsiTheme="majorHAnsi" w:cs="Arial"/>
        </w:rPr>
        <w:t xml:space="preserve">The SPV </w:t>
      </w:r>
      <w:r w:rsidR="00D351E4" w:rsidRPr="000B5A31">
        <w:rPr>
          <w:rFonts w:asciiTheme="majorHAnsi" w:hAnsiTheme="majorHAnsi" w:cs="Arial"/>
        </w:rPr>
        <w:t xml:space="preserve">then </w:t>
      </w:r>
      <w:r w:rsidRPr="000B5A31">
        <w:rPr>
          <w:rFonts w:asciiTheme="majorHAnsi" w:hAnsiTheme="majorHAnsi" w:cs="Arial"/>
        </w:rPr>
        <w:t>makes m</w:t>
      </w:r>
      <w:r w:rsidR="002215F4" w:rsidRPr="000B5A31">
        <w:rPr>
          <w:rFonts w:asciiTheme="majorHAnsi" w:hAnsiTheme="majorHAnsi" w:cs="Arial"/>
        </w:rPr>
        <w:t>oney</w:t>
      </w:r>
      <w:r w:rsidR="00F90F96" w:rsidRPr="000B5A31">
        <w:rPr>
          <w:rFonts w:asciiTheme="majorHAnsi" w:hAnsiTheme="majorHAnsi" w:cs="Arial"/>
        </w:rPr>
        <w:t xml:space="preserve"> available </w:t>
      </w:r>
      <w:r w:rsidR="00ED7B69" w:rsidRPr="000B5A31">
        <w:rPr>
          <w:rFonts w:asciiTheme="majorHAnsi" w:hAnsiTheme="majorHAnsi" w:cs="Arial"/>
        </w:rPr>
        <w:t xml:space="preserve">to fund </w:t>
      </w:r>
      <w:r w:rsidRPr="000B5A31">
        <w:rPr>
          <w:rFonts w:asciiTheme="majorHAnsi" w:hAnsiTheme="majorHAnsi" w:cs="Arial"/>
        </w:rPr>
        <w:t>a wide range</w:t>
      </w:r>
      <w:r w:rsidR="00F90F96" w:rsidRPr="000B5A31">
        <w:rPr>
          <w:rFonts w:asciiTheme="majorHAnsi" w:hAnsiTheme="majorHAnsi" w:cs="Arial"/>
        </w:rPr>
        <w:t xml:space="preserve"> of </w:t>
      </w:r>
      <w:r w:rsidR="00ED7B69" w:rsidRPr="000B5A31">
        <w:rPr>
          <w:rFonts w:asciiTheme="majorHAnsi" w:hAnsiTheme="majorHAnsi" w:cs="Arial"/>
        </w:rPr>
        <w:t xml:space="preserve">energy efficiency or low carbon </w:t>
      </w:r>
      <w:r w:rsidR="00F90F96" w:rsidRPr="000B5A31">
        <w:rPr>
          <w:rFonts w:asciiTheme="majorHAnsi" w:hAnsiTheme="majorHAnsi" w:cs="Arial"/>
        </w:rPr>
        <w:t>measures</w:t>
      </w:r>
      <w:r w:rsidR="002215F4" w:rsidRPr="000B5A31">
        <w:rPr>
          <w:rFonts w:asciiTheme="majorHAnsi" w:hAnsiTheme="majorHAnsi" w:cs="Arial"/>
        </w:rPr>
        <w:t xml:space="preserve"> at the household level</w:t>
      </w:r>
      <w:r w:rsidR="00F90F96" w:rsidRPr="000B5A31">
        <w:rPr>
          <w:rFonts w:asciiTheme="majorHAnsi" w:hAnsiTheme="majorHAnsi" w:cs="Arial"/>
        </w:rPr>
        <w:t xml:space="preserve">. </w:t>
      </w:r>
      <w:r w:rsidR="002215F4" w:rsidRPr="000B5A31">
        <w:rPr>
          <w:rFonts w:asciiTheme="majorHAnsi" w:hAnsiTheme="majorHAnsi" w:cs="Arial"/>
        </w:rPr>
        <w:t xml:space="preserve"> It is assumed that the SPV </w:t>
      </w:r>
      <w:r w:rsidR="00C21FB0" w:rsidRPr="000B5A31">
        <w:rPr>
          <w:rFonts w:asciiTheme="majorHAnsi" w:hAnsiTheme="majorHAnsi" w:cs="Arial"/>
        </w:rPr>
        <w:t>offers a menu of measures that households could opt to apply, but that the SP</w:t>
      </w:r>
      <w:r w:rsidR="00BD3A03">
        <w:rPr>
          <w:rFonts w:asciiTheme="majorHAnsi" w:hAnsiTheme="majorHAnsi" w:cs="Arial"/>
        </w:rPr>
        <w:t>V</w:t>
      </w:r>
      <w:r w:rsidR="00C21FB0" w:rsidRPr="000B5A31">
        <w:rPr>
          <w:rFonts w:asciiTheme="majorHAnsi" w:hAnsiTheme="majorHAnsi" w:cs="Arial"/>
        </w:rPr>
        <w:t xml:space="preserve"> ultimately </w:t>
      </w:r>
      <w:r w:rsidR="002215F4" w:rsidRPr="000B5A31">
        <w:rPr>
          <w:rFonts w:asciiTheme="majorHAnsi" w:hAnsiTheme="majorHAnsi" w:cs="Arial"/>
        </w:rPr>
        <w:t xml:space="preserve">decides which measures </w:t>
      </w:r>
      <w:r w:rsidR="00BE5B49" w:rsidRPr="000B5A31">
        <w:rPr>
          <w:rFonts w:asciiTheme="majorHAnsi" w:hAnsiTheme="majorHAnsi" w:cs="Arial"/>
        </w:rPr>
        <w:t>it will invest in</w:t>
      </w:r>
      <w:r w:rsidR="00C21FB0" w:rsidRPr="000B5A31">
        <w:rPr>
          <w:rFonts w:asciiTheme="majorHAnsi" w:hAnsiTheme="majorHAnsi" w:cs="Arial"/>
        </w:rPr>
        <w:t xml:space="preserve">. In taking this decision, the SPV </w:t>
      </w:r>
      <w:r w:rsidR="002215F4" w:rsidRPr="000B5A31">
        <w:rPr>
          <w:rFonts w:asciiTheme="majorHAnsi" w:hAnsiTheme="majorHAnsi" w:cs="Arial"/>
        </w:rPr>
        <w:t>has s</w:t>
      </w:r>
      <w:r w:rsidR="00F90F96" w:rsidRPr="000B5A31">
        <w:rPr>
          <w:rFonts w:asciiTheme="majorHAnsi" w:hAnsiTheme="majorHAnsi" w:cs="Arial"/>
        </w:rPr>
        <w:t>ome limited scope for optimizin</w:t>
      </w:r>
      <w:r w:rsidR="00145751" w:rsidRPr="000B5A31">
        <w:rPr>
          <w:rFonts w:asciiTheme="majorHAnsi" w:hAnsiTheme="majorHAnsi" w:cs="Arial"/>
        </w:rPr>
        <w:t>g</w:t>
      </w:r>
      <w:r w:rsidR="00F90F96" w:rsidRPr="000B5A31">
        <w:rPr>
          <w:rFonts w:asciiTheme="majorHAnsi" w:hAnsiTheme="majorHAnsi" w:cs="Arial"/>
        </w:rPr>
        <w:t xml:space="preserve"> </w:t>
      </w:r>
      <w:r w:rsidR="00145751" w:rsidRPr="000B5A31">
        <w:rPr>
          <w:rFonts w:asciiTheme="majorHAnsi" w:hAnsiTheme="majorHAnsi" w:cs="Arial"/>
        </w:rPr>
        <w:t>its</w:t>
      </w:r>
      <w:r w:rsidR="00F90F96" w:rsidRPr="000B5A31">
        <w:rPr>
          <w:rFonts w:asciiTheme="majorHAnsi" w:hAnsiTheme="majorHAnsi" w:cs="Arial"/>
        </w:rPr>
        <w:t xml:space="preserve"> investments</w:t>
      </w:r>
      <w:r w:rsidR="00C21FB0" w:rsidRPr="000B5A31">
        <w:rPr>
          <w:rFonts w:asciiTheme="majorHAnsi" w:hAnsiTheme="majorHAnsi" w:cs="Arial"/>
        </w:rPr>
        <w:t xml:space="preserve">, and </w:t>
      </w:r>
      <w:r w:rsidR="007E37E3" w:rsidRPr="000B5A31">
        <w:rPr>
          <w:rFonts w:asciiTheme="majorHAnsi" w:hAnsiTheme="majorHAnsi" w:cs="Arial"/>
        </w:rPr>
        <w:t>t</w:t>
      </w:r>
      <w:r w:rsidR="00FD6FAF" w:rsidRPr="000B5A31">
        <w:rPr>
          <w:rFonts w:asciiTheme="majorHAnsi" w:hAnsiTheme="majorHAnsi" w:cs="Arial"/>
        </w:rPr>
        <w:t xml:space="preserve">he model </w:t>
      </w:r>
      <w:r w:rsidR="00F90F96" w:rsidRPr="000B5A31">
        <w:rPr>
          <w:rFonts w:asciiTheme="majorHAnsi" w:hAnsiTheme="majorHAnsi" w:cs="Arial"/>
        </w:rPr>
        <w:t xml:space="preserve">allows for </w:t>
      </w:r>
      <w:r w:rsidR="00145751" w:rsidRPr="000B5A31">
        <w:rPr>
          <w:rFonts w:asciiTheme="majorHAnsi" w:hAnsiTheme="majorHAnsi" w:cs="Arial"/>
        </w:rPr>
        <w:t>measures</w:t>
      </w:r>
      <w:r w:rsidR="00F90F96" w:rsidRPr="000B5A31">
        <w:rPr>
          <w:rFonts w:asciiTheme="majorHAnsi" w:hAnsiTheme="majorHAnsi" w:cs="Arial"/>
        </w:rPr>
        <w:t xml:space="preserve"> to </w:t>
      </w:r>
      <w:r w:rsidR="002215F4" w:rsidRPr="000B5A31">
        <w:rPr>
          <w:rFonts w:asciiTheme="majorHAnsi" w:hAnsiTheme="majorHAnsi" w:cs="Arial"/>
        </w:rPr>
        <w:t xml:space="preserve">be </w:t>
      </w:r>
      <w:r w:rsidR="00F90F96" w:rsidRPr="000B5A31">
        <w:rPr>
          <w:rFonts w:asciiTheme="majorHAnsi" w:hAnsiTheme="majorHAnsi" w:cs="Arial"/>
        </w:rPr>
        <w:t>prioritise</w:t>
      </w:r>
      <w:r w:rsidR="002215F4" w:rsidRPr="000B5A31">
        <w:rPr>
          <w:rFonts w:asciiTheme="majorHAnsi" w:hAnsiTheme="majorHAnsi" w:cs="Arial"/>
        </w:rPr>
        <w:t>d</w:t>
      </w:r>
      <w:r w:rsidR="00F90F96" w:rsidRPr="000B5A31">
        <w:rPr>
          <w:rFonts w:asciiTheme="majorHAnsi" w:hAnsiTheme="majorHAnsi" w:cs="Arial"/>
        </w:rPr>
        <w:t xml:space="preserve"> according to their </w:t>
      </w:r>
      <w:r w:rsidR="002215F4" w:rsidRPr="000B5A31">
        <w:rPr>
          <w:rFonts w:asciiTheme="majorHAnsi" w:hAnsiTheme="majorHAnsi" w:cs="Arial"/>
        </w:rPr>
        <w:t>Net Present Value (</w:t>
      </w:r>
      <w:r w:rsidR="00F90F96" w:rsidRPr="000B5A31">
        <w:rPr>
          <w:rFonts w:asciiTheme="majorHAnsi" w:hAnsiTheme="majorHAnsi" w:cs="Arial"/>
        </w:rPr>
        <w:t>NPV</w:t>
      </w:r>
      <w:r w:rsidR="002215F4" w:rsidRPr="000B5A31">
        <w:rPr>
          <w:rFonts w:asciiTheme="majorHAnsi" w:hAnsiTheme="majorHAnsi" w:cs="Arial"/>
        </w:rPr>
        <w:t>)</w:t>
      </w:r>
      <w:r w:rsidR="00F90F96" w:rsidRPr="000B5A31">
        <w:rPr>
          <w:rFonts w:asciiTheme="majorHAnsi" w:hAnsiTheme="majorHAnsi" w:cs="Arial"/>
        </w:rPr>
        <w:t>, pay-back period</w:t>
      </w:r>
      <w:r w:rsidR="002215F4" w:rsidRPr="000B5A31">
        <w:rPr>
          <w:rFonts w:asciiTheme="majorHAnsi" w:hAnsiTheme="majorHAnsi" w:cs="Arial"/>
        </w:rPr>
        <w:t>,</w:t>
      </w:r>
      <w:r w:rsidR="00F90F96" w:rsidRPr="000B5A31">
        <w:rPr>
          <w:rFonts w:asciiTheme="majorHAnsi" w:hAnsiTheme="majorHAnsi" w:cs="Arial"/>
        </w:rPr>
        <w:t xml:space="preserve"> or carbon savings per pound invested. </w:t>
      </w:r>
      <w:r w:rsidR="00620DA3" w:rsidRPr="000B5A31">
        <w:rPr>
          <w:rFonts w:asciiTheme="majorHAnsi" w:hAnsiTheme="majorHAnsi" w:cs="Arial"/>
        </w:rPr>
        <w:t>To reflect constraints that may arise due to a limited availability of local installers, for example, t</w:t>
      </w:r>
      <w:r w:rsidR="008046B6" w:rsidRPr="000B5A31">
        <w:rPr>
          <w:rFonts w:asciiTheme="majorHAnsi" w:hAnsiTheme="majorHAnsi" w:cs="Arial"/>
        </w:rPr>
        <w:t xml:space="preserve">he maximum annual deployment potentials of </w:t>
      </w:r>
      <w:r w:rsidR="00620DA3" w:rsidRPr="000B5A31">
        <w:rPr>
          <w:rFonts w:asciiTheme="majorHAnsi" w:hAnsiTheme="majorHAnsi" w:cs="Arial"/>
        </w:rPr>
        <w:t>any</w:t>
      </w:r>
      <w:r w:rsidR="008046B6" w:rsidRPr="000B5A31">
        <w:rPr>
          <w:rFonts w:asciiTheme="majorHAnsi" w:hAnsiTheme="majorHAnsi" w:cs="Arial"/>
        </w:rPr>
        <w:t xml:space="preserve"> measure </w:t>
      </w:r>
      <w:r w:rsidR="00620DA3" w:rsidRPr="000B5A31">
        <w:rPr>
          <w:rFonts w:asciiTheme="majorHAnsi" w:hAnsiTheme="majorHAnsi" w:cs="Arial"/>
        </w:rPr>
        <w:t>can also be set</w:t>
      </w:r>
      <w:r w:rsidR="008046B6" w:rsidRPr="000B5A31">
        <w:rPr>
          <w:rFonts w:asciiTheme="majorHAnsi" w:hAnsiTheme="majorHAnsi" w:cs="Arial"/>
        </w:rPr>
        <w:t xml:space="preserve">. </w:t>
      </w:r>
      <w:r w:rsidR="00BE5B49" w:rsidRPr="000B5A31">
        <w:rPr>
          <w:rFonts w:asciiTheme="majorHAnsi" w:hAnsiTheme="majorHAnsi" w:cs="Arial"/>
        </w:rPr>
        <w:t xml:space="preserve">Once the maximum available potential of the top priority measure is exploited in any one year, any available funds remaining are diverted to the next highest priority. </w:t>
      </w:r>
      <w:r w:rsidR="00FD6FAF" w:rsidRPr="000B5A31">
        <w:rPr>
          <w:rFonts w:asciiTheme="majorHAnsi" w:hAnsiTheme="majorHAnsi" w:cs="Arial"/>
        </w:rPr>
        <w:t xml:space="preserve">Allowance is also made for the costs </w:t>
      </w:r>
      <w:r w:rsidR="00145751" w:rsidRPr="000B5A31">
        <w:rPr>
          <w:rFonts w:asciiTheme="majorHAnsi" w:hAnsiTheme="majorHAnsi" w:cs="Arial"/>
        </w:rPr>
        <w:t>and</w:t>
      </w:r>
      <w:r w:rsidR="00FD6FAF" w:rsidRPr="000B5A31">
        <w:rPr>
          <w:rFonts w:asciiTheme="majorHAnsi" w:hAnsiTheme="majorHAnsi" w:cs="Arial"/>
        </w:rPr>
        <w:t xml:space="preserve"> the profits of the installers.</w:t>
      </w:r>
      <w:r w:rsidR="005C7B7A" w:rsidRPr="000B5A31">
        <w:rPr>
          <w:rFonts w:asciiTheme="majorHAnsi" w:hAnsiTheme="majorHAnsi" w:cs="Arial"/>
        </w:rPr>
        <w:t xml:space="preserve"> </w:t>
      </w:r>
    </w:p>
    <w:p w14:paraId="12E27E63" w14:textId="77777777" w:rsidR="002932B5" w:rsidRPr="000B5A31" w:rsidRDefault="002932B5" w:rsidP="00AB0182">
      <w:pPr>
        <w:spacing w:line="480" w:lineRule="auto"/>
        <w:ind w:left="360"/>
        <w:rPr>
          <w:rFonts w:asciiTheme="majorHAnsi" w:hAnsiTheme="majorHAnsi" w:cs="Arial"/>
        </w:rPr>
      </w:pPr>
    </w:p>
    <w:p w14:paraId="16175104" w14:textId="77777777" w:rsidR="00412480" w:rsidRPr="000B5A31" w:rsidRDefault="00412480" w:rsidP="000B5A31">
      <w:pPr>
        <w:spacing w:line="480" w:lineRule="auto"/>
        <w:rPr>
          <w:rFonts w:asciiTheme="majorHAnsi" w:hAnsiTheme="majorHAnsi" w:cs="Arial"/>
        </w:rPr>
      </w:pPr>
      <w:r w:rsidRPr="000B5A31">
        <w:rPr>
          <w:rFonts w:asciiTheme="majorHAnsi" w:hAnsiTheme="majorHAnsi" w:cs="Arial"/>
        </w:rPr>
        <w:t xml:space="preserve">Households are encouraged to participate by being offered a share of the savings generated by measures whilst investment costs are being recovered, and all of the savings thereafter for the remainder of the life of the measure. </w:t>
      </w:r>
      <w:r w:rsidR="00D351E4" w:rsidRPr="000B5A31">
        <w:rPr>
          <w:rFonts w:asciiTheme="majorHAnsi" w:hAnsiTheme="majorHAnsi" w:cs="Arial"/>
        </w:rPr>
        <w:t xml:space="preserve">Other inducements to encourage participation, such as cash-back vouchers and government subsidies are also allowed for by the model. </w:t>
      </w:r>
      <w:r w:rsidRPr="000B5A31">
        <w:rPr>
          <w:rFonts w:asciiTheme="majorHAnsi" w:hAnsiTheme="majorHAnsi" w:cs="Arial"/>
        </w:rPr>
        <w:t xml:space="preserve">We do of course recognise that financial incentives alone </w:t>
      </w:r>
      <w:r w:rsidR="00AD27D7" w:rsidRPr="000B5A31">
        <w:rPr>
          <w:rFonts w:asciiTheme="majorHAnsi" w:hAnsiTheme="majorHAnsi" w:cs="Arial"/>
        </w:rPr>
        <w:t>may not</w:t>
      </w:r>
      <w:r w:rsidRPr="000B5A31">
        <w:rPr>
          <w:rFonts w:asciiTheme="majorHAnsi" w:hAnsiTheme="majorHAnsi" w:cs="Arial"/>
        </w:rPr>
        <w:t xml:space="preserve"> stimulate significant levels of participation and that any scheme will need to be designed and run in ways that raise awareness, minimize risk and disruption and build trust and confidence in the scheme (Dowson et al, 2012; Rosenow and Eyre, 2013). These non-financial aspects are critically </w:t>
      </w:r>
      <w:r w:rsidRPr="000B5A31">
        <w:rPr>
          <w:rFonts w:asciiTheme="majorHAnsi" w:hAnsiTheme="majorHAnsi" w:cs="Arial"/>
        </w:rPr>
        <w:lastRenderedPageBreak/>
        <w:t xml:space="preserve">important and will determine levels of take-up </w:t>
      </w:r>
      <w:r w:rsidR="00AD27D7" w:rsidRPr="000B5A31">
        <w:rPr>
          <w:rFonts w:asciiTheme="majorHAnsi" w:hAnsiTheme="majorHAnsi" w:cs="Arial"/>
        </w:rPr>
        <w:t xml:space="preserve">by households </w:t>
      </w:r>
      <w:r w:rsidRPr="000B5A31">
        <w:rPr>
          <w:rFonts w:asciiTheme="majorHAnsi" w:hAnsiTheme="majorHAnsi" w:cs="Arial"/>
        </w:rPr>
        <w:t xml:space="preserve">and thus the scale of the investments </w:t>
      </w:r>
      <w:r w:rsidR="00AD27D7" w:rsidRPr="000B5A31">
        <w:rPr>
          <w:rFonts w:asciiTheme="majorHAnsi" w:hAnsiTheme="majorHAnsi" w:cs="Arial"/>
        </w:rPr>
        <w:t xml:space="preserve">that can be </w:t>
      </w:r>
      <w:r w:rsidRPr="000B5A31">
        <w:rPr>
          <w:rFonts w:asciiTheme="majorHAnsi" w:hAnsiTheme="majorHAnsi" w:cs="Arial"/>
        </w:rPr>
        <w:t xml:space="preserve">made and the carbon savings </w:t>
      </w:r>
      <w:r w:rsidR="00AD27D7" w:rsidRPr="000B5A31">
        <w:rPr>
          <w:rFonts w:asciiTheme="majorHAnsi" w:hAnsiTheme="majorHAnsi" w:cs="Arial"/>
        </w:rPr>
        <w:t xml:space="preserve">that can be </w:t>
      </w:r>
      <w:r w:rsidRPr="000B5A31">
        <w:rPr>
          <w:rFonts w:asciiTheme="majorHAnsi" w:hAnsiTheme="majorHAnsi" w:cs="Arial"/>
        </w:rPr>
        <w:t xml:space="preserve">stimulated by the revolving fund. </w:t>
      </w:r>
    </w:p>
    <w:p w14:paraId="178BD102" w14:textId="77777777" w:rsidR="00412480" w:rsidRPr="000B5A31" w:rsidRDefault="00412480" w:rsidP="00AB0182">
      <w:pPr>
        <w:spacing w:line="480" w:lineRule="auto"/>
        <w:ind w:left="360"/>
        <w:rPr>
          <w:rFonts w:asciiTheme="majorHAnsi" w:hAnsiTheme="majorHAnsi" w:cs="Arial"/>
        </w:rPr>
      </w:pPr>
    </w:p>
    <w:p w14:paraId="69DE094C" w14:textId="77777777" w:rsidR="0003230D" w:rsidRPr="000B5A31" w:rsidRDefault="00412480" w:rsidP="000B5A31">
      <w:pPr>
        <w:spacing w:line="480" w:lineRule="auto"/>
        <w:rPr>
          <w:rFonts w:asciiTheme="majorHAnsi" w:hAnsiTheme="majorHAnsi" w:cs="Arial"/>
        </w:rPr>
      </w:pPr>
      <w:r w:rsidRPr="000B5A31">
        <w:rPr>
          <w:rFonts w:asciiTheme="majorHAnsi" w:hAnsiTheme="majorHAnsi" w:cs="Arial"/>
        </w:rPr>
        <w:t xml:space="preserve">Where participation can be promoted, households make regular periodic </w:t>
      </w:r>
      <w:r w:rsidR="00C21FB0" w:rsidRPr="000B5A31">
        <w:rPr>
          <w:rFonts w:asciiTheme="majorHAnsi" w:hAnsiTheme="majorHAnsi" w:cs="Arial"/>
        </w:rPr>
        <w:t xml:space="preserve">repayments to </w:t>
      </w:r>
      <w:r w:rsidR="00273DC3" w:rsidRPr="000B5A31">
        <w:rPr>
          <w:rFonts w:asciiTheme="majorHAnsi" w:hAnsiTheme="majorHAnsi" w:cs="Arial"/>
        </w:rPr>
        <w:t xml:space="preserve">the SPV </w:t>
      </w:r>
      <w:r w:rsidR="00C21FB0" w:rsidRPr="000B5A31">
        <w:rPr>
          <w:rFonts w:asciiTheme="majorHAnsi" w:hAnsiTheme="majorHAnsi" w:cs="Arial"/>
        </w:rPr>
        <w:t xml:space="preserve">that allow it to </w:t>
      </w:r>
      <w:r w:rsidR="00466BB0" w:rsidRPr="000B5A31">
        <w:rPr>
          <w:rFonts w:asciiTheme="majorHAnsi" w:hAnsiTheme="majorHAnsi" w:cs="Arial"/>
        </w:rPr>
        <w:t>recoup its financial investment</w:t>
      </w:r>
      <w:r w:rsidR="00C21FB0" w:rsidRPr="000B5A31">
        <w:rPr>
          <w:rFonts w:asciiTheme="majorHAnsi" w:hAnsiTheme="majorHAnsi" w:cs="Arial"/>
        </w:rPr>
        <w:t xml:space="preserve">. Repayments </w:t>
      </w:r>
      <w:r w:rsidR="0003230D" w:rsidRPr="000B5A31">
        <w:rPr>
          <w:rFonts w:asciiTheme="majorHAnsi" w:hAnsiTheme="majorHAnsi" w:cs="Arial"/>
        </w:rPr>
        <w:t xml:space="preserve">are based on </w:t>
      </w:r>
      <w:r w:rsidR="00466BB0" w:rsidRPr="000B5A31">
        <w:rPr>
          <w:rFonts w:asciiTheme="majorHAnsi" w:hAnsiTheme="majorHAnsi" w:cs="Arial"/>
        </w:rPr>
        <w:t>a set p</w:t>
      </w:r>
      <w:r w:rsidR="00273DC3" w:rsidRPr="000B5A31">
        <w:rPr>
          <w:rFonts w:asciiTheme="majorHAnsi" w:hAnsiTheme="majorHAnsi" w:cs="Arial"/>
        </w:rPr>
        <w:t>ercentage</w:t>
      </w:r>
      <w:r w:rsidR="00466BB0" w:rsidRPr="000B5A31">
        <w:rPr>
          <w:rFonts w:asciiTheme="majorHAnsi" w:hAnsiTheme="majorHAnsi" w:cs="Arial"/>
        </w:rPr>
        <w:t xml:space="preserve"> of the expected cost savings that arise from implementing the carbon efficiency measures</w:t>
      </w:r>
      <w:r w:rsidR="00C21FB0" w:rsidRPr="000B5A31">
        <w:rPr>
          <w:rFonts w:asciiTheme="majorHAnsi" w:hAnsiTheme="majorHAnsi" w:cs="Arial"/>
        </w:rPr>
        <w:t xml:space="preserve"> after taking into account </w:t>
      </w:r>
      <w:r w:rsidR="0003230D" w:rsidRPr="000B5A31">
        <w:rPr>
          <w:rFonts w:asciiTheme="majorHAnsi" w:hAnsiTheme="majorHAnsi" w:cs="Arial"/>
        </w:rPr>
        <w:t>the impacts of performance gaps and direct rebound effects. Performance gaps reflect the difference between the technical savings that could be generated by a measure and the real savings that are likely to occur in practice with imperfect installation or operation. Direct rebound effects reflect the fact that householders may consume some of the efficiency benefits through increased comfort levels so that the measures achieve lower savings than predicted.</w:t>
      </w:r>
    </w:p>
    <w:p w14:paraId="0617A512" w14:textId="77777777" w:rsidR="0003230D" w:rsidRPr="000B5A31" w:rsidRDefault="0003230D" w:rsidP="00AB0182">
      <w:pPr>
        <w:spacing w:line="480" w:lineRule="auto"/>
        <w:ind w:left="360"/>
        <w:rPr>
          <w:rFonts w:asciiTheme="majorHAnsi" w:hAnsiTheme="majorHAnsi" w:cs="Arial"/>
        </w:rPr>
      </w:pPr>
    </w:p>
    <w:p w14:paraId="54244BB3" w14:textId="77777777" w:rsidR="00D65B34" w:rsidRPr="000B5A31" w:rsidRDefault="0003230D" w:rsidP="000B5A31">
      <w:pPr>
        <w:spacing w:line="480" w:lineRule="auto"/>
        <w:rPr>
          <w:rFonts w:asciiTheme="majorHAnsi" w:hAnsiTheme="majorHAnsi" w:cs="Arial"/>
        </w:rPr>
      </w:pPr>
      <w:r w:rsidRPr="000B5A31">
        <w:rPr>
          <w:rFonts w:asciiTheme="majorHAnsi" w:hAnsiTheme="majorHAnsi" w:cs="Arial"/>
        </w:rPr>
        <w:t xml:space="preserve">After taking these factors into account, </w:t>
      </w:r>
      <w:r w:rsidR="007E37E3" w:rsidRPr="000B5A31">
        <w:rPr>
          <w:rFonts w:asciiTheme="majorHAnsi" w:hAnsiTheme="majorHAnsi" w:cs="Arial"/>
        </w:rPr>
        <w:t>an</w:t>
      </w:r>
      <w:r w:rsidR="00BE5B49" w:rsidRPr="000B5A31">
        <w:rPr>
          <w:rFonts w:asciiTheme="majorHAnsi" w:hAnsiTheme="majorHAnsi" w:cs="Arial"/>
        </w:rPr>
        <w:t xml:space="preserve"> agreed proportion of the </w:t>
      </w:r>
      <w:r w:rsidR="00273DC3" w:rsidRPr="000B5A31">
        <w:rPr>
          <w:rFonts w:asciiTheme="majorHAnsi" w:hAnsiTheme="majorHAnsi" w:cs="Arial"/>
        </w:rPr>
        <w:t xml:space="preserve">savings </w:t>
      </w:r>
      <w:r w:rsidR="00BE5B49" w:rsidRPr="000B5A31">
        <w:rPr>
          <w:rFonts w:asciiTheme="majorHAnsi" w:hAnsiTheme="majorHAnsi" w:cs="Arial"/>
        </w:rPr>
        <w:t xml:space="preserve">realised from each of the different measures funded </w:t>
      </w:r>
      <w:r w:rsidR="007E37E3" w:rsidRPr="000B5A31">
        <w:rPr>
          <w:rFonts w:asciiTheme="majorHAnsi" w:hAnsiTheme="majorHAnsi" w:cs="Arial"/>
        </w:rPr>
        <w:t>is</w:t>
      </w:r>
      <w:r w:rsidR="00273DC3" w:rsidRPr="000B5A31">
        <w:rPr>
          <w:rFonts w:asciiTheme="majorHAnsi" w:hAnsiTheme="majorHAnsi" w:cs="Arial"/>
        </w:rPr>
        <w:t xml:space="preserve"> recovered and fed back to the SPV by the companies that supply energy to the </w:t>
      </w:r>
      <w:r w:rsidR="00F60378" w:rsidRPr="000B5A31">
        <w:rPr>
          <w:rFonts w:asciiTheme="majorHAnsi" w:hAnsiTheme="majorHAnsi" w:cs="Arial"/>
        </w:rPr>
        <w:t>building</w:t>
      </w:r>
      <w:r w:rsidR="00273DC3" w:rsidRPr="000B5A31">
        <w:rPr>
          <w:rFonts w:asciiTheme="majorHAnsi" w:hAnsiTheme="majorHAnsi" w:cs="Arial"/>
        </w:rPr>
        <w:t>.</w:t>
      </w:r>
      <w:r w:rsidR="009E1037" w:rsidRPr="000B5A31">
        <w:rPr>
          <w:rFonts w:asciiTheme="majorHAnsi" w:hAnsiTheme="majorHAnsi" w:cs="Arial"/>
        </w:rPr>
        <w:t xml:space="preserve"> </w:t>
      </w:r>
      <w:r w:rsidR="00D351E4" w:rsidRPr="000B5A31">
        <w:rPr>
          <w:rFonts w:asciiTheme="majorHAnsi" w:hAnsiTheme="majorHAnsi" w:cs="Arial"/>
        </w:rPr>
        <w:t xml:space="preserve">The energy companies are paid a small fee for acting in this way. </w:t>
      </w:r>
      <w:r w:rsidR="00466BB0" w:rsidRPr="000B5A31">
        <w:rPr>
          <w:rFonts w:asciiTheme="majorHAnsi" w:hAnsiTheme="majorHAnsi" w:cs="Arial"/>
        </w:rPr>
        <w:t>The</w:t>
      </w:r>
      <w:r w:rsidR="007A23EF" w:rsidRPr="000B5A31">
        <w:rPr>
          <w:rFonts w:asciiTheme="majorHAnsi" w:hAnsiTheme="majorHAnsi" w:cs="Arial"/>
        </w:rPr>
        <w:t xml:space="preserve"> period over which the</w:t>
      </w:r>
      <w:r w:rsidR="00466BB0" w:rsidRPr="000B5A31">
        <w:rPr>
          <w:rFonts w:asciiTheme="majorHAnsi" w:hAnsiTheme="majorHAnsi" w:cs="Arial"/>
        </w:rPr>
        <w:t xml:space="preserve"> payments are made is then determined in a way that ensures that the Internal Rate of Return </w:t>
      </w:r>
      <w:r w:rsidR="007A4EB7" w:rsidRPr="000B5A31">
        <w:rPr>
          <w:rFonts w:asciiTheme="majorHAnsi" w:hAnsiTheme="majorHAnsi" w:cs="Arial"/>
        </w:rPr>
        <w:t xml:space="preserve">(IRR) </w:t>
      </w:r>
      <w:r w:rsidR="00466BB0" w:rsidRPr="000B5A31">
        <w:rPr>
          <w:rFonts w:asciiTheme="majorHAnsi" w:hAnsiTheme="majorHAnsi" w:cs="Arial"/>
        </w:rPr>
        <w:t>to the SPV from the original investment reaches a pre-determined threshold. This will</w:t>
      </w:r>
      <w:r w:rsidR="00273DC3" w:rsidRPr="000B5A31">
        <w:rPr>
          <w:rFonts w:asciiTheme="majorHAnsi" w:hAnsiTheme="majorHAnsi" w:cs="Arial"/>
        </w:rPr>
        <w:t xml:space="preserve"> ensure the financial resilience</w:t>
      </w:r>
      <w:r w:rsidR="00466BB0" w:rsidRPr="000B5A31">
        <w:rPr>
          <w:rFonts w:asciiTheme="majorHAnsi" w:hAnsiTheme="majorHAnsi" w:cs="Arial"/>
        </w:rPr>
        <w:t xml:space="preserve"> of the SPV. </w:t>
      </w:r>
      <w:r w:rsidR="00273DC3" w:rsidRPr="000B5A31">
        <w:rPr>
          <w:rFonts w:asciiTheme="majorHAnsi" w:hAnsiTheme="majorHAnsi" w:cs="Arial"/>
        </w:rPr>
        <w:t>A consequence of this funding mechanism is that</w:t>
      </w:r>
      <w:r w:rsidR="00466BB0" w:rsidRPr="000B5A31">
        <w:rPr>
          <w:rFonts w:asciiTheme="majorHAnsi" w:hAnsiTheme="majorHAnsi" w:cs="Arial"/>
        </w:rPr>
        <w:t>, the more effective the measure, the sho</w:t>
      </w:r>
      <w:r w:rsidR="00F60378" w:rsidRPr="000B5A31">
        <w:rPr>
          <w:rFonts w:asciiTheme="majorHAnsi" w:hAnsiTheme="majorHAnsi" w:cs="Arial"/>
        </w:rPr>
        <w:t xml:space="preserve">rter the time period over which </w:t>
      </w:r>
      <w:r w:rsidR="00273DC3" w:rsidRPr="000B5A31">
        <w:rPr>
          <w:rFonts w:asciiTheme="majorHAnsi" w:hAnsiTheme="majorHAnsi" w:cs="Arial"/>
        </w:rPr>
        <w:t>repayments</w:t>
      </w:r>
      <w:r w:rsidR="00F60378" w:rsidRPr="000B5A31">
        <w:rPr>
          <w:rFonts w:asciiTheme="majorHAnsi" w:hAnsiTheme="majorHAnsi" w:cs="Arial"/>
        </w:rPr>
        <w:t xml:space="preserve"> are made</w:t>
      </w:r>
      <w:r w:rsidR="00D351E4" w:rsidRPr="000B5A31">
        <w:rPr>
          <w:rFonts w:asciiTheme="majorHAnsi" w:hAnsiTheme="majorHAnsi" w:cs="Arial"/>
        </w:rPr>
        <w:t xml:space="preserve"> (</w:t>
      </w:r>
      <w:r w:rsidR="00D65B34" w:rsidRPr="000B5A31">
        <w:rPr>
          <w:rFonts w:asciiTheme="majorHAnsi" w:hAnsiTheme="majorHAnsi" w:cs="Arial"/>
        </w:rPr>
        <w:t>see Table 1</w:t>
      </w:r>
      <w:r w:rsidR="00D351E4" w:rsidRPr="000B5A31">
        <w:rPr>
          <w:rFonts w:asciiTheme="majorHAnsi" w:hAnsiTheme="majorHAnsi" w:cs="Arial"/>
        </w:rPr>
        <w:t>)</w:t>
      </w:r>
      <w:r w:rsidR="00466BB0" w:rsidRPr="000B5A31">
        <w:rPr>
          <w:rFonts w:asciiTheme="majorHAnsi" w:hAnsiTheme="majorHAnsi" w:cs="Arial"/>
        </w:rPr>
        <w:t xml:space="preserve">. </w:t>
      </w:r>
      <w:r w:rsidRPr="000B5A31">
        <w:rPr>
          <w:rFonts w:asciiTheme="majorHAnsi" w:hAnsiTheme="majorHAnsi" w:cs="Arial"/>
        </w:rPr>
        <w:t>In some cases</w:t>
      </w:r>
      <w:r w:rsidR="00D65B34" w:rsidRPr="000B5A31">
        <w:rPr>
          <w:rFonts w:asciiTheme="majorHAnsi" w:hAnsiTheme="majorHAnsi" w:cs="Arial"/>
        </w:rPr>
        <w:t>, the repayment period</w:t>
      </w:r>
      <w:r w:rsidRPr="000B5A31">
        <w:rPr>
          <w:rFonts w:asciiTheme="majorHAnsi" w:hAnsiTheme="majorHAnsi" w:cs="Arial"/>
        </w:rPr>
        <w:t xml:space="preserve"> for a measure</w:t>
      </w:r>
      <w:r w:rsidR="00D65B34" w:rsidRPr="000B5A31">
        <w:rPr>
          <w:rFonts w:asciiTheme="majorHAnsi" w:hAnsiTheme="majorHAnsi" w:cs="Arial"/>
        </w:rPr>
        <w:t xml:space="preserve"> is longer than </w:t>
      </w:r>
      <w:r w:rsidRPr="000B5A31">
        <w:rPr>
          <w:rFonts w:asciiTheme="majorHAnsi" w:hAnsiTheme="majorHAnsi" w:cs="Arial"/>
        </w:rPr>
        <w:t>its effective lifetime</w:t>
      </w:r>
      <w:r w:rsidR="00D65B34" w:rsidRPr="000B5A31">
        <w:rPr>
          <w:rFonts w:asciiTheme="majorHAnsi" w:hAnsiTheme="majorHAnsi" w:cs="Arial"/>
        </w:rPr>
        <w:t>. In this case, the household makes repayments until the measure is no longer effective</w:t>
      </w:r>
      <w:r w:rsidRPr="000B5A31">
        <w:rPr>
          <w:rFonts w:asciiTheme="majorHAnsi" w:hAnsiTheme="majorHAnsi" w:cs="Arial"/>
        </w:rPr>
        <w:t xml:space="preserve">, with the </w:t>
      </w:r>
      <w:r w:rsidR="00D65B34" w:rsidRPr="000B5A31">
        <w:rPr>
          <w:rFonts w:asciiTheme="majorHAnsi" w:hAnsiTheme="majorHAnsi" w:cs="Arial"/>
        </w:rPr>
        <w:t xml:space="preserve">SPV then </w:t>
      </w:r>
      <w:r w:rsidR="00D65B34" w:rsidRPr="000B5A31">
        <w:rPr>
          <w:rFonts w:asciiTheme="majorHAnsi" w:hAnsiTheme="majorHAnsi" w:cs="Arial"/>
        </w:rPr>
        <w:lastRenderedPageBreak/>
        <w:t>absorb</w:t>
      </w:r>
      <w:r w:rsidRPr="000B5A31">
        <w:rPr>
          <w:rFonts w:asciiTheme="majorHAnsi" w:hAnsiTheme="majorHAnsi" w:cs="Arial"/>
        </w:rPr>
        <w:t xml:space="preserve">ing </w:t>
      </w:r>
      <w:r w:rsidR="00D65B34" w:rsidRPr="000B5A31">
        <w:rPr>
          <w:rFonts w:asciiTheme="majorHAnsi" w:hAnsiTheme="majorHAnsi" w:cs="Arial"/>
        </w:rPr>
        <w:t>any financial shortfall</w:t>
      </w:r>
      <w:r w:rsidRPr="000B5A31">
        <w:rPr>
          <w:rFonts w:asciiTheme="majorHAnsi" w:hAnsiTheme="majorHAnsi" w:cs="Arial"/>
        </w:rPr>
        <w:t>. Although the SPV</w:t>
      </w:r>
      <w:r w:rsidR="00D65B34" w:rsidRPr="000B5A31">
        <w:rPr>
          <w:rFonts w:asciiTheme="majorHAnsi" w:hAnsiTheme="majorHAnsi" w:cs="Arial"/>
        </w:rPr>
        <w:t xml:space="preserve"> does not achieve the threshold IRR on these economically unviable projects</w:t>
      </w:r>
      <w:r w:rsidR="00BE5B49" w:rsidRPr="000B5A31">
        <w:rPr>
          <w:rFonts w:asciiTheme="majorHAnsi" w:hAnsiTheme="majorHAnsi" w:cs="Arial"/>
        </w:rPr>
        <w:t>,</w:t>
      </w:r>
      <w:r w:rsidRPr="000B5A31">
        <w:rPr>
          <w:rFonts w:asciiTheme="majorHAnsi" w:hAnsiTheme="majorHAnsi" w:cs="Arial"/>
        </w:rPr>
        <w:t xml:space="preserve"> t</w:t>
      </w:r>
      <w:r w:rsidR="00D65B34" w:rsidRPr="000B5A31">
        <w:rPr>
          <w:rFonts w:asciiTheme="majorHAnsi" w:hAnsiTheme="majorHAnsi" w:cs="Arial"/>
        </w:rPr>
        <w:t>he</w:t>
      </w:r>
      <w:r w:rsidR="00BE5B49" w:rsidRPr="000B5A31">
        <w:rPr>
          <w:rFonts w:asciiTheme="majorHAnsi" w:hAnsiTheme="majorHAnsi" w:cs="Arial"/>
        </w:rPr>
        <w:t>se</w:t>
      </w:r>
      <w:r w:rsidR="00D65B34" w:rsidRPr="000B5A31">
        <w:rPr>
          <w:rFonts w:asciiTheme="majorHAnsi" w:hAnsiTheme="majorHAnsi" w:cs="Arial"/>
        </w:rPr>
        <w:t xml:space="preserve"> measures are still funded</w:t>
      </w:r>
      <w:r w:rsidRPr="000B5A31">
        <w:rPr>
          <w:rFonts w:asciiTheme="majorHAnsi" w:hAnsiTheme="majorHAnsi" w:cs="Arial"/>
        </w:rPr>
        <w:t xml:space="preserve"> </w:t>
      </w:r>
      <w:r w:rsidR="00D65B34" w:rsidRPr="000B5A31">
        <w:rPr>
          <w:rFonts w:asciiTheme="majorHAnsi" w:hAnsiTheme="majorHAnsi" w:cs="Arial"/>
        </w:rPr>
        <w:t>because of the carbon savings that they generate.</w:t>
      </w:r>
    </w:p>
    <w:p w14:paraId="2F0E5D87" w14:textId="77777777" w:rsidR="00B90DB9" w:rsidRPr="000B5A31" w:rsidRDefault="00B90DB9" w:rsidP="00AB0182">
      <w:pPr>
        <w:spacing w:line="480" w:lineRule="auto"/>
        <w:rPr>
          <w:rFonts w:asciiTheme="majorHAnsi" w:hAnsiTheme="majorHAnsi" w:cs="Arial"/>
        </w:rPr>
      </w:pPr>
    </w:p>
    <w:p w14:paraId="5526C00F" w14:textId="77777777" w:rsidR="00B90DB9" w:rsidRPr="000B5A31" w:rsidRDefault="00482FFB" w:rsidP="000B5A31">
      <w:pPr>
        <w:spacing w:line="480" w:lineRule="auto"/>
        <w:rPr>
          <w:rFonts w:asciiTheme="majorHAnsi" w:hAnsiTheme="majorHAnsi" w:cs="Arial"/>
        </w:rPr>
      </w:pPr>
      <w:r w:rsidRPr="000B5A31">
        <w:rPr>
          <w:rFonts w:asciiTheme="majorHAnsi" w:hAnsiTheme="majorHAnsi" w:cs="Arial"/>
        </w:rPr>
        <w:t xml:space="preserve">As some householders may </w:t>
      </w:r>
      <w:r w:rsidR="005B66A0" w:rsidRPr="000B5A31">
        <w:rPr>
          <w:rFonts w:asciiTheme="majorHAnsi" w:hAnsiTheme="majorHAnsi" w:cs="Arial"/>
        </w:rPr>
        <w:t xml:space="preserve">renege </w:t>
      </w:r>
      <w:r w:rsidRPr="000B5A31">
        <w:rPr>
          <w:rFonts w:asciiTheme="majorHAnsi" w:hAnsiTheme="majorHAnsi" w:cs="Arial"/>
        </w:rPr>
        <w:t xml:space="preserve">upon </w:t>
      </w:r>
      <w:r w:rsidR="005B66A0" w:rsidRPr="000B5A31">
        <w:rPr>
          <w:rFonts w:asciiTheme="majorHAnsi" w:hAnsiTheme="majorHAnsi" w:cs="Arial"/>
        </w:rPr>
        <w:t>their financial obligations</w:t>
      </w:r>
      <w:r w:rsidRPr="000B5A31">
        <w:rPr>
          <w:rFonts w:asciiTheme="majorHAnsi" w:hAnsiTheme="majorHAnsi" w:cs="Arial"/>
        </w:rPr>
        <w:t>, the total flow of savings fed back to the SPV also has to be reduced to take defaul</w:t>
      </w:r>
      <w:r w:rsidR="00834999" w:rsidRPr="000B5A31">
        <w:rPr>
          <w:rFonts w:asciiTheme="majorHAnsi" w:hAnsiTheme="majorHAnsi" w:cs="Arial"/>
        </w:rPr>
        <w:t>t</w:t>
      </w:r>
      <w:r w:rsidRPr="000B5A31">
        <w:rPr>
          <w:rFonts w:asciiTheme="majorHAnsi" w:hAnsiTheme="majorHAnsi" w:cs="Arial"/>
        </w:rPr>
        <w:t>s into account. Once this has been done, any r</w:t>
      </w:r>
      <w:r w:rsidR="00B90DB9" w:rsidRPr="000B5A31">
        <w:rPr>
          <w:rFonts w:asciiTheme="majorHAnsi" w:hAnsiTheme="majorHAnsi" w:cs="Arial"/>
        </w:rPr>
        <w:t xml:space="preserve">ecovered funds are used to repay </w:t>
      </w:r>
      <w:r w:rsidRPr="000B5A31">
        <w:rPr>
          <w:rFonts w:asciiTheme="majorHAnsi" w:hAnsiTheme="majorHAnsi" w:cs="Arial"/>
        </w:rPr>
        <w:t>the SPVs</w:t>
      </w:r>
      <w:r w:rsidR="00B90DB9" w:rsidRPr="000B5A31">
        <w:rPr>
          <w:rFonts w:asciiTheme="majorHAnsi" w:hAnsiTheme="majorHAnsi" w:cs="Arial"/>
        </w:rPr>
        <w:t xml:space="preserve"> original funders/investors with interest, and after this any remaining funds are recycled and reinvested in further energy efficiency measures in households. Once all available potential</w:t>
      </w:r>
      <w:r w:rsidR="007E37E3" w:rsidRPr="000B5A31">
        <w:rPr>
          <w:rFonts w:asciiTheme="majorHAnsi" w:hAnsiTheme="majorHAnsi" w:cs="Arial"/>
        </w:rPr>
        <w:t xml:space="preserve"> for the deployment of energy efficiency and low carbon measures</w:t>
      </w:r>
      <w:r w:rsidR="00B90DB9" w:rsidRPr="000B5A31">
        <w:rPr>
          <w:rFonts w:asciiTheme="majorHAnsi" w:hAnsiTheme="majorHAnsi" w:cs="Arial"/>
        </w:rPr>
        <w:t xml:space="preserve"> has been exploited, </w:t>
      </w:r>
      <w:r w:rsidR="008B406C" w:rsidRPr="000B5A31">
        <w:rPr>
          <w:rFonts w:asciiTheme="majorHAnsi" w:hAnsiTheme="majorHAnsi" w:cs="Arial"/>
        </w:rPr>
        <w:t xml:space="preserve">and all debts to original funders have been repaid, </w:t>
      </w:r>
      <w:r w:rsidR="00B90DB9" w:rsidRPr="000B5A31">
        <w:rPr>
          <w:rFonts w:asciiTheme="majorHAnsi" w:hAnsiTheme="majorHAnsi" w:cs="Arial"/>
        </w:rPr>
        <w:t xml:space="preserve">the SPV </w:t>
      </w:r>
      <w:r w:rsidR="005B66A0" w:rsidRPr="000B5A31">
        <w:rPr>
          <w:rFonts w:asciiTheme="majorHAnsi" w:hAnsiTheme="majorHAnsi" w:cs="Arial"/>
        </w:rPr>
        <w:t xml:space="preserve">can </w:t>
      </w:r>
      <w:r w:rsidR="00B90DB9" w:rsidRPr="000B5A31">
        <w:rPr>
          <w:rFonts w:asciiTheme="majorHAnsi" w:hAnsiTheme="majorHAnsi" w:cs="Arial"/>
        </w:rPr>
        <w:t xml:space="preserve">generate a revenue stream for its owners </w:t>
      </w:r>
      <w:r w:rsidR="00D351E4" w:rsidRPr="000B5A31">
        <w:rPr>
          <w:rFonts w:asciiTheme="majorHAnsi" w:hAnsiTheme="majorHAnsi" w:cs="Arial"/>
        </w:rPr>
        <w:t>(</w:t>
      </w:r>
      <w:r w:rsidR="007E37E3" w:rsidRPr="000B5A31">
        <w:rPr>
          <w:rFonts w:asciiTheme="majorHAnsi" w:hAnsiTheme="majorHAnsi" w:cs="Arial"/>
        </w:rPr>
        <w:t>who</w:t>
      </w:r>
      <w:r w:rsidR="00D351E4" w:rsidRPr="000B5A31">
        <w:rPr>
          <w:rFonts w:asciiTheme="majorHAnsi" w:hAnsiTheme="majorHAnsi" w:cs="Arial"/>
        </w:rPr>
        <w:t xml:space="preserve"> could be central or local government, local communities or private entities)</w:t>
      </w:r>
      <w:r w:rsidR="007E37E3" w:rsidRPr="000B5A31">
        <w:rPr>
          <w:rFonts w:asciiTheme="majorHAnsi" w:hAnsiTheme="majorHAnsi" w:cs="Arial"/>
        </w:rPr>
        <w:t xml:space="preserve">. This revenue stream </w:t>
      </w:r>
      <w:r w:rsidR="00B90DB9" w:rsidRPr="000B5A31">
        <w:rPr>
          <w:rFonts w:asciiTheme="majorHAnsi" w:hAnsiTheme="majorHAnsi" w:cs="Arial"/>
        </w:rPr>
        <w:t>could be taken as income or reinvested in other low carbon initiatives.</w:t>
      </w:r>
    </w:p>
    <w:p w14:paraId="4AA2EC3F" w14:textId="77777777" w:rsidR="006F1ABC" w:rsidRPr="000B5A31" w:rsidRDefault="006F1ABC" w:rsidP="00AB0182">
      <w:pPr>
        <w:spacing w:line="480" w:lineRule="auto"/>
        <w:ind w:left="360"/>
        <w:rPr>
          <w:rFonts w:asciiTheme="majorHAnsi" w:hAnsiTheme="majorHAnsi" w:cs="Arial"/>
        </w:rPr>
      </w:pPr>
    </w:p>
    <w:p w14:paraId="35E97050" w14:textId="10DC510E" w:rsidR="00095C4D" w:rsidRPr="00B91686" w:rsidRDefault="0069412A" w:rsidP="00AB0182">
      <w:pPr>
        <w:spacing w:line="480" w:lineRule="auto"/>
        <w:rPr>
          <w:rFonts w:asciiTheme="majorHAnsi" w:hAnsiTheme="majorHAnsi" w:cs="Arial"/>
        </w:rPr>
      </w:pPr>
      <w:r w:rsidRPr="00B91686">
        <w:rPr>
          <w:rFonts w:asciiTheme="majorHAnsi" w:hAnsiTheme="majorHAnsi" w:cs="Arial"/>
        </w:rPr>
        <w:t>2</w:t>
      </w:r>
      <w:r w:rsidR="000B5A31" w:rsidRPr="00B91686">
        <w:rPr>
          <w:rFonts w:asciiTheme="majorHAnsi" w:hAnsiTheme="majorHAnsi" w:cs="Arial"/>
        </w:rPr>
        <w:t xml:space="preserve">.2 </w:t>
      </w:r>
      <w:r w:rsidR="00105CE3">
        <w:rPr>
          <w:rFonts w:asciiTheme="majorHAnsi" w:hAnsiTheme="majorHAnsi" w:cs="Arial"/>
        </w:rPr>
        <w:t>Application and data s</w:t>
      </w:r>
      <w:r w:rsidR="006F1ABC" w:rsidRPr="00B91686">
        <w:rPr>
          <w:rFonts w:asciiTheme="majorHAnsi" w:hAnsiTheme="majorHAnsi" w:cs="Arial"/>
        </w:rPr>
        <w:t>ources</w:t>
      </w:r>
    </w:p>
    <w:p w14:paraId="53F30D91" w14:textId="6098BD7D" w:rsidR="00650E01" w:rsidRPr="007A536F" w:rsidRDefault="000159CA" w:rsidP="000B5A31">
      <w:pPr>
        <w:spacing w:line="480" w:lineRule="auto"/>
        <w:rPr>
          <w:rFonts w:asciiTheme="majorHAnsi" w:hAnsiTheme="majorHAnsi" w:cs="Arial"/>
        </w:rPr>
      </w:pPr>
      <w:r w:rsidRPr="000B5A31">
        <w:rPr>
          <w:rFonts w:asciiTheme="majorHAnsi" w:hAnsiTheme="majorHAnsi" w:cs="Arial"/>
        </w:rPr>
        <w:t>To apply the model</w:t>
      </w:r>
      <w:r w:rsidR="00A33B2E" w:rsidRPr="000B5A31">
        <w:rPr>
          <w:rFonts w:asciiTheme="majorHAnsi" w:hAnsiTheme="majorHAnsi" w:cs="Arial"/>
        </w:rPr>
        <w:t xml:space="preserve"> of the revolving fund described above</w:t>
      </w:r>
      <w:r w:rsidR="00091900" w:rsidRPr="000B5A31">
        <w:rPr>
          <w:rFonts w:asciiTheme="majorHAnsi" w:hAnsiTheme="majorHAnsi" w:cs="Arial"/>
        </w:rPr>
        <w:t>,</w:t>
      </w:r>
      <w:r w:rsidRPr="000B5A31">
        <w:rPr>
          <w:rFonts w:asciiTheme="majorHAnsi" w:hAnsiTheme="majorHAnsi" w:cs="Arial"/>
        </w:rPr>
        <w:t xml:space="preserve"> </w:t>
      </w:r>
      <w:r w:rsidR="009E3EFB" w:rsidRPr="000B5A31">
        <w:rPr>
          <w:rFonts w:asciiTheme="majorHAnsi" w:hAnsiTheme="majorHAnsi" w:cs="Arial"/>
        </w:rPr>
        <w:t xml:space="preserve">and to make use of available datasets, </w:t>
      </w:r>
      <w:r w:rsidRPr="000B5A31">
        <w:rPr>
          <w:rFonts w:asciiTheme="majorHAnsi" w:hAnsiTheme="majorHAnsi" w:cs="Arial"/>
        </w:rPr>
        <w:t xml:space="preserve">we focus on the </w:t>
      </w:r>
      <w:r w:rsidR="00091900" w:rsidRPr="000B5A31">
        <w:rPr>
          <w:rFonts w:asciiTheme="majorHAnsi" w:hAnsiTheme="majorHAnsi" w:cs="Arial"/>
        </w:rPr>
        <w:t>scope for energy efficiency</w:t>
      </w:r>
      <w:r w:rsidR="006C3343" w:rsidRPr="000B5A31">
        <w:rPr>
          <w:rFonts w:asciiTheme="majorHAnsi" w:hAnsiTheme="majorHAnsi" w:cs="Arial"/>
        </w:rPr>
        <w:t xml:space="preserve"> and low carbon measures to be installed </w:t>
      </w:r>
      <w:r w:rsidR="00091900" w:rsidRPr="000B5A31">
        <w:rPr>
          <w:rFonts w:asciiTheme="majorHAnsi" w:hAnsiTheme="majorHAnsi" w:cs="Arial"/>
        </w:rPr>
        <w:t>in the domestic sector in the U</w:t>
      </w:r>
      <w:r w:rsidR="00091900" w:rsidRPr="007A536F">
        <w:rPr>
          <w:rFonts w:asciiTheme="majorHAnsi" w:hAnsiTheme="majorHAnsi" w:cs="Arial"/>
        </w:rPr>
        <w:t xml:space="preserve">K. </w:t>
      </w:r>
      <w:r w:rsidR="00650E01" w:rsidRPr="007A536F">
        <w:rPr>
          <w:rFonts w:asciiTheme="majorHAnsi" w:hAnsiTheme="majorHAnsi" w:cs="Arial"/>
        </w:rPr>
        <w:t xml:space="preserve">The UK has </w:t>
      </w:r>
      <w:r w:rsidR="00650E01" w:rsidRPr="00B91686">
        <w:rPr>
          <w:rFonts w:asciiTheme="majorHAnsi" w:hAnsiTheme="majorHAnsi"/>
        </w:rPr>
        <w:t xml:space="preserve">26 million residential buildings, most of which were constructed before 1980 and have relatively low levels of energy efficiency </w:t>
      </w:r>
      <w:r w:rsidR="00650E01" w:rsidRPr="00B91686">
        <w:rPr>
          <w:rFonts w:asciiTheme="majorHAnsi" w:hAnsiTheme="majorHAnsi"/>
        </w:rPr>
        <w:fldChar w:fldCharType="begin"/>
      </w:r>
      <w:r w:rsidR="00650E01" w:rsidRPr="00B91686">
        <w:rPr>
          <w:rFonts w:asciiTheme="majorHAnsi" w:hAnsiTheme="majorHAnsi"/>
        </w:rPr>
        <w:instrText xml:space="preserve"> ADDIN EN.CITE &lt;EndNote&gt;&lt;Cite&gt;&lt;Author&gt;Sweatman&lt;/Author&gt;&lt;Year&gt;2010&lt;/Year&gt;&lt;RecNum&gt;709&lt;/RecNum&gt;&lt;DisplayText&gt;(Sweatman and Managan, 2010)&lt;/DisplayText&gt;&lt;record&gt;&lt;rec-number&gt;709&lt;/rec-number&gt;&lt;foreign-keys&gt;&lt;key app="EN" db-id="f9wftddem0rfvhev5f75r555adat5fdfd0we" timestamp="1384700379"&gt;709&lt;/key&gt;&lt;/foreign-keys&gt;&lt;ref-type name="Report"&gt;27&lt;/ref-type&gt;&lt;contributors&gt;&lt;authors&gt;&lt;author&gt;Sweatman, P. &lt;/author&gt;&lt;author&gt;Managan, K. &lt;/author&gt;&lt;/authors&gt;&lt;/contributors&gt;&lt;titles&gt;&lt;title&gt;Financing Energy Efficiency Building Retrofits: International Policy and Business Model Review and Regulatory Alternatives for Spain. &lt;/title&gt;&lt;/titles&gt;&lt;dates&gt;&lt;year&gt;2010&lt;/year&gt;&lt;/dates&gt;&lt;pub-location&gt;Spain&lt;/pub-location&gt;&lt;publisher&gt;Climate Strategy and Partners&lt;/publisher&gt;&lt;urls&gt;&lt;related-urls&gt;&lt;url&gt;http://www.google.co.uk/url?sa=t&amp;amp;rct=j&amp;amp;q=&amp;amp;esrc=s&amp;amp;source=web&amp;amp;cd=1&amp;amp;ved=0CDMQFjAA&amp;amp;url=http%3A%2F%2Fwww.climatestrategy.es%2Findex.php%3Fid%3D19%26accion%3Ddownloadb%26item%3D2&amp;amp;ei=JtmIUr_xKcLBhAfM1oGQBA&amp;amp;usg=AFQjCNEdrukYpPZuIsgRLWonRpbXrP0Avg&amp;amp;sig2=Cnal6LJKM2crYZPx-s7yhg&amp;amp;bvm=bv.56643336,d.ZG4&amp;amp;cad=rja&lt;/url&gt;&lt;/related-urls&gt;&lt;/urls&gt;&lt;access-date&gt;17th November 2013&lt;/access-date&gt;&lt;/record&gt;&lt;/Cite&gt;&lt;/EndNote&gt;</w:instrText>
      </w:r>
      <w:r w:rsidR="00650E01" w:rsidRPr="00B91686">
        <w:rPr>
          <w:rFonts w:asciiTheme="majorHAnsi" w:hAnsiTheme="majorHAnsi"/>
        </w:rPr>
        <w:fldChar w:fldCharType="separate"/>
      </w:r>
      <w:r w:rsidR="00650E01" w:rsidRPr="00B91686">
        <w:rPr>
          <w:rFonts w:asciiTheme="majorHAnsi" w:hAnsiTheme="majorHAnsi"/>
          <w:noProof/>
        </w:rPr>
        <w:t>(</w:t>
      </w:r>
      <w:hyperlink w:anchor="_ENREF_50" w:tooltip="Sweatman, 2010 #709" w:history="1">
        <w:r w:rsidR="00650E01" w:rsidRPr="00B91686">
          <w:rPr>
            <w:rFonts w:asciiTheme="majorHAnsi" w:hAnsiTheme="majorHAnsi"/>
            <w:noProof/>
          </w:rPr>
          <w:t>Sweatman and Managan, 2010</w:t>
        </w:r>
      </w:hyperlink>
      <w:r w:rsidR="00650E01" w:rsidRPr="00B91686">
        <w:rPr>
          <w:rFonts w:asciiTheme="majorHAnsi" w:hAnsiTheme="majorHAnsi"/>
          <w:noProof/>
        </w:rPr>
        <w:t xml:space="preserve">; Webber </w:t>
      </w:r>
      <w:r w:rsidR="00650E01" w:rsidRPr="00B91686">
        <w:rPr>
          <w:rFonts w:asciiTheme="majorHAnsi" w:hAnsiTheme="majorHAnsi"/>
          <w:i/>
          <w:noProof/>
        </w:rPr>
        <w:t>et al</w:t>
      </w:r>
      <w:r w:rsidR="00B91686">
        <w:rPr>
          <w:rFonts w:asciiTheme="majorHAnsi" w:hAnsiTheme="majorHAnsi"/>
          <w:noProof/>
        </w:rPr>
        <w:t>.</w:t>
      </w:r>
      <w:r w:rsidR="00650E01" w:rsidRPr="00B91686">
        <w:rPr>
          <w:rFonts w:asciiTheme="majorHAnsi" w:hAnsiTheme="majorHAnsi"/>
          <w:noProof/>
        </w:rPr>
        <w:t xml:space="preserve"> 2015)</w:t>
      </w:r>
      <w:r w:rsidR="00650E01" w:rsidRPr="00B91686">
        <w:rPr>
          <w:rFonts w:asciiTheme="majorHAnsi" w:hAnsiTheme="majorHAnsi"/>
        </w:rPr>
        <w:fldChar w:fldCharType="end"/>
      </w:r>
      <w:r w:rsidR="00650E01" w:rsidRPr="00B91686">
        <w:rPr>
          <w:rFonts w:asciiTheme="majorHAnsi" w:hAnsiTheme="majorHAnsi"/>
        </w:rPr>
        <w:t xml:space="preserve">. </w:t>
      </w:r>
      <w:r w:rsidR="007A536F">
        <w:rPr>
          <w:rFonts w:asciiTheme="majorHAnsi" w:hAnsiTheme="majorHAnsi"/>
        </w:rPr>
        <w:t xml:space="preserve">Domestic </w:t>
      </w:r>
      <w:r w:rsidR="00650E01" w:rsidRPr="00B91686">
        <w:rPr>
          <w:rFonts w:asciiTheme="majorHAnsi" w:hAnsiTheme="majorHAnsi"/>
        </w:rPr>
        <w:t xml:space="preserve">energy use and carbon emissions </w:t>
      </w:r>
      <w:r w:rsidR="00C42E9F" w:rsidRPr="00B91686">
        <w:rPr>
          <w:rFonts w:asciiTheme="majorHAnsi" w:hAnsiTheme="majorHAnsi"/>
        </w:rPr>
        <w:t xml:space="preserve">have fallen </w:t>
      </w:r>
      <w:r w:rsidR="00650E01" w:rsidRPr="00B91686">
        <w:rPr>
          <w:rFonts w:asciiTheme="majorHAnsi" w:hAnsiTheme="majorHAnsi"/>
        </w:rPr>
        <w:t>in recent years</w:t>
      </w:r>
      <w:r w:rsidR="007A536F">
        <w:rPr>
          <w:rFonts w:asciiTheme="majorHAnsi" w:hAnsiTheme="majorHAnsi"/>
        </w:rPr>
        <w:t xml:space="preserve"> as a result of a range of market and non-market factors, but </w:t>
      </w:r>
      <w:r w:rsidR="00650E01" w:rsidRPr="00B91686">
        <w:rPr>
          <w:rFonts w:asciiTheme="majorHAnsi" w:hAnsiTheme="majorHAnsi"/>
        </w:rPr>
        <w:t xml:space="preserve">domestic energy use still accounts for around 25% of UK carbon emissions </w:t>
      </w:r>
      <w:r w:rsidR="00650E01" w:rsidRPr="00B91686">
        <w:rPr>
          <w:rFonts w:asciiTheme="majorHAnsi" w:hAnsiTheme="majorHAnsi"/>
        </w:rPr>
        <w:fldChar w:fldCharType="begin"/>
      </w:r>
      <w:r w:rsidR="00650E01" w:rsidRPr="00B91686">
        <w:rPr>
          <w:rFonts w:asciiTheme="majorHAnsi" w:hAnsiTheme="majorHAnsi"/>
        </w:rPr>
        <w:instrText xml:space="preserve"> ADDIN EN.CITE &lt;EndNote&gt;&lt;Cite&gt;&lt;Author&gt;Palmer&lt;/Author&gt;&lt;Year&gt;2012&lt;/Year&gt;&lt;RecNum&gt;737&lt;/RecNum&gt;&lt;DisplayText&gt;(Palmer and Cooper, 2012)&lt;/DisplayText&gt;&lt;record&gt;&lt;rec-number&gt;737&lt;/rec-number&gt;&lt;foreign-keys&gt;&lt;key app="EN" db-id="f9wftddem0rfvhev5f75r555adat5fdfd0we" timestamp="1385468600"&gt;737&lt;/key&gt;&lt;/foreign-keys&gt;&lt;ref-type name="Report"&gt;27&lt;/ref-type&gt;&lt;contributors&gt;&lt;authors&gt;&lt;author&gt;Palmer, J. &lt;/author&gt;&lt;author&gt;Cooper, I. &lt;/author&gt;&lt;/authors&gt;&lt;tertiary-authors&gt;&lt;author&gt;DECC&lt;/author&gt;&lt;/tertiary-authors&gt;&lt;/contributors&gt;&lt;titles&gt;&lt;title&gt;United Kingdom housing energy fact file. &lt;/title&gt;&lt;/titles&gt;&lt;dates&gt;&lt;year&gt;2012&lt;/year&gt;&lt;/dates&gt;&lt;pub-location&gt;London&lt;/pub-location&gt;&lt;publisher&gt;Department of Energy and Climate Change&lt;/publisher&gt;&lt;urls&gt;&lt;related-urls&gt;&lt;url&gt;https://www.gov.uk/government/uploads/system/uploads/attachment_data/file/201167/uk_housing_fact_file_2012.pdf&lt;/url&gt;&lt;/related-urls&gt;&lt;/urls&gt;&lt;access-date&gt;26th November 2013&lt;/access-date&gt;&lt;/record&gt;&lt;/Cite&gt;&lt;/EndNote&gt;</w:instrText>
      </w:r>
      <w:r w:rsidR="00650E01" w:rsidRPr="00B91686">
        <w:rPr>
          <w:rFonts w:asciiTheme="majorHAnsi" w:hAnsiTheme="majorHAnsi"/>
        </w:rPr>
        <w:fldChar w:fldCharType="separate"/>
      </w:r>
      <w:r w:rsidR="00650E01" w:rsidRPr="00B91686">
        <w:rPr>
          <w:rFonts w:asciiTheme="majorHAnsi" w:hAnsiTheme="majorHAnsi"/>
          <w:noProof/>
        </w:rPr>
        <w:t>(DECC, 2013</w:t>
      </w:r>
      <w:r w:rsidR="00C42E9F" w:rsidRPr="00B91686">
        <w:rPr>
          <w:rFonts w:asciiTheme="majorHAnsi" w:hAnsiTheme="majorHAnsi"/>
          <w:noProof/>
        </w:rPr>
        <w:t>b</w:t>
      </w:r>
      <w:r w:rsidR="00650E01" w:rsidRPr="00B91686">
        <w:rPr>
          <w:rFonts w:asciiTheme="majorHAnsi" w:hAnsiTheme="majorHAnsi"/>
          <w:noProof/>
        </w:rPr>
        <w:t>)</w:t>
      </w:r>
      <w:r w:rsidR="00650E01" w:rsidRPr="00B91686">
        <w:rPr>
          <w:rFonts w:asciiTheme="majorHAnsi" w:hAnsiTheme="majorHAnsi"/>
        </w:rPr>
        <w:fldChar w:fldCharType="end"/>
      </w:r>
      <w:r w:rsidR="00650E01" w:rsidRPr="00B91686">
        <w:rPr>
          <w:rFonts w:asciiTheme="majorHAnsi" w:hAnsiTheme="majorHAnsi"/>
        </w:rPr>
        <w:t>. The retrofitting of much of the existing housing stock is</w:t>
      </w:r>
      <w:r w:rsidR="00C42E9F" w:rsidRPr="00B91686">
        <w:rPr>
          <w:rFonts w:asciiTheme="majorHAnsi" w:hAnsiTheme="majorHAnsi"/>
        </w:rPr>
        <w:t xml:space="preserve"> still</w:t>
      </w:r>
      <w:r w:rsidR="00650E01" w:rsidRPr="00B91686">
        <w:rPr>
          <w:rFonts w:asciiTheme="majorHAnsi" w:hAnsiTheme="majorHAnsi"/>
        </w:rPr>
        <w:t xml:space="preserve"> required</w:t>
      </w:r>
      <w:r w:rsidR="00C42E9F" w:rsidRPr="00B91686">
        <w:rPr>
          <w:rFonts w:asciiTheme="majorHAnsi" w:hAnsiTheme="majorHAnsi"/>
        </w:rPr>
        <w:t xml:space="preserve"> </w:t>
      </w:r>
      <w:r w:rsidR="00C42E9F" w:rsidRPr="00B91686">
        <w:rPr>
          <w:rFonts w:asciiTheme="majorHAnsi" w:hAnsiTheme="majorHAnsi"/>
        </w:rPr>
        <w:lastRenderedPageBreak/>
        <w:t>therefore,</w:t>
      </w:r>
      <w:r w:rsidR="00650E01" w:rsidRPr="00B91686">
        <w:rPr>
          <w:rFonts w:asciiTheme="majorHAnsi" w:hAnsiTheme="majorHAnsi"/>
        </w:rPr>
        <w:t xml:space="preserve"> but current rates of retrofit are unlikely to meet current targets and a substantial increase in the rate of their adoption is required </w:t>
      </w:r>
      <w:r w:rsidR="00650E01" w:rsidRPr="00B91686">
        <w:rPr>
          <w:rFonts w:asciiTheme="majorHAnsi" w:hAnsiTheme="majorHAnsi"/>
        </w:rPr>
        <w:fldChar w:fldCharType="begin"/>
      </w:r>
      <w:r w:rsidR="00650E01" w:rsidRPr="00B91686">
        <w:rPr>
          <w:rFonts w:asciiTheme="majorHAnsi" w:hAnsiTheme="majorHAnsi"/>
        </w:rPr>
        <w:instrText xml:space="preserve"> ADDIN EN.CITE &lt;EndNote&gt;&lt;Cite&gt;&lt;Author&gt;CCC&lt;/Author&gt;&lt;Year&gt;2011&lt;/Year&gt;&lt;RecNum&gt;744&lt;/RecNum&gt;&lt;DisplayText&gt;(CCC, 2011, 2012)&lt;/DisplayText&gt;&lt;record&gt;&lt;rec-number&gt;744&lt;/rec-number&gt;&lt;foreign-keys&gt;&lt;key app="EN" db-id="f9wftddem0rfvhev5f75r555adat5fdfd0we" timestamp="1385725781"&gt;744&lt;/key&gt;&lt;/foreign-keys&gt;&lt;ref-type name="Report"&gt;27&lt;/ref-type&gt;&lt;contributors&gt;&lt;authors&gt;&lt;author&gt;CCC, &lt;/author&gt;&lt;/authors&gt;&lt;tertiary-authors&gt;&lt;author&gt;CCC&lt;/author&gt;&lt;/tertiary-authors&gt;&lt;/contributors&gt;&lt;titles&gt;&lt;title&gt;Meeting Carbon Budgets - 3rd Progress Report to Parliament&lt;/title&gt;&lt;/titles&gt;&lt;dates&gt;&lt;year&gt;2011&lt;/year&gt;&lt;/dates&gt;&lt;pub-location&gt;London&lt;/pub-location&gt;&lt;publisher&gt;The Committee on Climate Change. &lt;/publisher&gt;&lt;urls&gt;&lt;related-urls&gt;&lt;url&gt;http://www.theccc.org.uk/reports/S.&lt;/url&gt;&lt;/related-urls&gt;&lt;/urls&gt;&lt;access-date&gt;20th November 2013&lt;/access-date&gt;&lt;/record&gt;&lt;/Cite&gt;&lt;Cite&gt;&lt;Author&gt;CCC&lt;/Author&gt;&lt;Year&gt;2012&lt;/Year&gt;&lt;RecNum&gt;754&lt;/RecNum&gt;&lt;record&gt;&lt;rec-number&gt;754&lt;/rec-number&gt;&lt;foreign-keys&gt;&lt;key app="EN" db-id="f9wftddem0rfvhev5f75r555adat5fdfd0we" timestamp="1386094975"&gt;754&lt;/key&gt;&lt;/foreign-keys&gt;&lt;ref-type name="Report"&gt;27&lt;/ref-type&gt;&lt;contributors&gt;&lt;authors&gt;&lt;author&gt;CCC, &lt;/author&gt;&lt;/authors&gt;&lt;tertiary-authors&gt;&lt;author&gt;CCC&lt;/author&gt;&lt;/tertiary-authors&gt;&lt;/contributors&gt;&lt;titles&gt;&lt;title&gt;Meeting Carbon Budgets - 2012 Progress Report to Parliament&lt;/title&gt;&lt;/titles&gt;&lt;dates&gt;&lt;year&gt;2012&lt;/year&gt;&lt;/dates&gt;&lt;pub-location&gt;London&lt;/pub-location&gt;&lt;publisher&gt;Committee on Climate Change &lt;/publisher&gt;&lt;urls&gt;&lt;related-urls&gt;&lt;url&gt;http://archive.theccc.org.uk/aws/2012%20Progress/CCC_Progress%20Rep%202012_Chapter-3-Buildings.pdf&lt;/url&gt;&lt;/related-urls&gt;&lt;/urls&gt;&lt;access-date&gt;3rd December 2013&lt;/access-date&gt;&lt;/record&gt;&lt;/Cite&gt;&lt;/EndNote&gt;</w:instrText>
      </w:r>
      <w:r w:rsidR="00650E01" w:rsidRPr="00B91686">
        <w:rPr>
          <w:rFonts w:asciiTheme="majorHAnsi" w:hAnsiTheme="majorHAnsi"/>
        </w:rPr>
        <w:fldChar w:fldCharType="separate"/>
      </w:r>
      <w:r w:rsidR="00650E01" w:rsidRPr="00B91686">
        <w:rPr>
          <w:rFonts w:asciiTheme="majorHAnsi" w:hAnsiTheme="majorHAnsi"/>
          <w:noProof/>
        </w:rPr>
        <w:t>(</w:t>
      </w:r>
      <w:hyperlink w:anchor="_ENREF_6" w:tooltip="CCC, 2011 #744" w:history="1">
        <w:r w:rsidR="00650E01" w:rsidRPr="00B91686">
          <w:rPr>
            <w:rFonts w:asciiTheme="majorHAnsi" w:hAnsiTheme="majorHAnsi"/>
            <w:noProof/>
          </w:rPr>
          <w:t xml:space="preserve">CCC, </w:t>
        </w:r>
      </w:hyperlink>
      <w:r w:rsidR="00650E01" w:rsidRPr="00B91686">
        <w:rPr>
          <w:rFonts w:asciiTheme="majorHAnsi" w:hAnsiTheme="majorHAnsi"/>
          <w:noProof/>
        </w:rPr>
        <w:t>2014)</w:t>
      </w:r>
      <w:r w:rsidR="00650E01" w:rsidRPr="00B91686">
        <w:rPr>
          <w:rFonts w:asciiTheme="majorHAnsi" w:hAnsiTheme="majorHAnsi"/>
        </w:rPr>
        <w:fldChar w:fldCharType="end"/>
      </w:r>
      <w:r w:rsidR="00650E01" w:rsidRPr="00B91686">
        <w:rPr>
          <w:rFonts w:asciiTheme="majorHAnsi" w:hAnsiTheme="majorHAnsi"/>
        </w:rPr>
        <w:t>.</w:t>
      </w:r>
    </w:p>
    <w:p w14:paraId="33767E1C" w14:textId="77777777" w:rsidR="00650E01" w:rsidRDefault="00650E01" w:rsidP="000B5A31">
      <w:pPr>
        <w:spacing w:line="480" w:lineRule="auto"/>
        <w:rPr>
          <w:rFonts w:asciiTheme="majorHAnsi" w:hAnsiTheme="majorHAnsi" w:cs="Arial"/>
        </w:rPr>
      </w:pPr>
    </w:p>
    <w:p w14:paraId="57868D58" w14:textId="7C80C5A9" w:rsidR="00A33B2E" w:rsidRPr="000B5A31" w:rsidRDefault="007A536F" w:rsidP="000B5A31">
      <w:pPr>
        <w:spacing w:line="480" w:lineRule="auto"/>
        <w:rPr>
          <w:rFonts w:asciiTheme="majorHAnsi" w:hAnsiTheme="majorHAnsi" w:cs="Arial"/>
        </w:rPr>
      </w:pPr>
      <w:r>
        <w:rPr>
          <w:rFonts w:asciiTheme="majorHAnsi" w:hAnsiTheme="majorHAnsi" w:cs="Arial"/>
        </w:rPr>
        <w:t>To assess the contribution that a revolving fund could make to the financing of an extensive retrofit programme in the UK, w</w:t>
      </w:r>
      <w:r w:rsidR="00091900" w:rsidRPr="000B5A31">
        <w:rPr>
          <w:rFonts w:asciiTheme="majorHAnsi" w:hAnsiTheme="majorHAnsi" w:cs="Arial"/>
        </w:rPr>
        <w:t xml:space="preserve">e </w:t>
      </w:r>
      <w:r w:rsidR="000159CA" w:rsidRPr="000B5A31">
        <w:rPr>
          <w:rFonts w:asciiTheme="majorHAnsi" w:hAnsiTheme="majorHAnsi" w:cs="Arial"/>
        </w:rPr>
        <w:t xml:space="preserve">draw </w:t>
      </w:r>
      <w:r w:rsidR="007E37E3" w:rsidRPr="000B5A31">
        <w:rPr>
          <w:rFonts w:asciiTheme="majorHAnsi" w:hAnsiTheme="majorHAnsi" w:cs="Arial"/>
        </w:rPr>
        <w:t xml:space="preserve">input </w:t>
      </w:r>
      <w:r w:rsidR="000159CA" w:rsidRPr="000B5A31">
        <w:rPr>
          <w:rFonts w:asciiTheme="majorHAnsi" w:hAnsiTheme="majorHAnsi" w:cs="Arial"/>
        </w:rPr>
        <w:t xml:space="preserve">data on the costs, performance and scope for deployment of a range of </w:t>
      </w:r>
      <w:r w:rsidR="006C3343" w:rsidRPr="000B5A31">
        <w:rPr>
          <w:rFonts w:asciiTheme="majorHAnsi" w:hAnsiTheme="majorHAnsi" w:cs="Arial"/>
        </w:rPr>
        <w:t>these</w:t>
      </w:r>
      <w:r w:rsidR="000159CA" w:rsidRPr="000B5A31">
        <w:rPr>
          <w:rFonts w:asciiTheme="majorHAnsi" w:hAnsiTheme="majorHAnsi" w:cs="Arial"/>
        </w:rPr>
        <w:t xml:space="preserve"> measures from </w:t>
      </w:r>
      <w:r w:rsidR="00091900" w:rsidRPr="000B5A31">
        <w:rPr>
          <w:rFonts w:asciiTheme="majorHAnsi" w:hAnsiTheme="majorHAnsi" w:cs="Arial"/>
        </w:rPr>
        <w:t xml:space="preserve">a model </w:t>
      </w:r>
      <w:r w:rsidR="000159CA" w:rsidRPr="000B5A31">
        <w:rPr>
          <w:rFonts w:asciiTheme="majorHAnsi" w:hAnsiTheme="majorHAnsi" w:cs="Arial"/>
        </w:rPr>
        <w:t xml:space="preserve">that </w:t>
      </w:r>
      <w:r w:rsidR="00091900" w:rsidRPr="000B5A31">
        <w:rPr>
          <w:rFonts w:asciiTheme="majorHAnsi" w:hAnsiTheme="majorHAnsi" w:cs="Arial"/>
        </w:rPr>
        <w:t xml:space="preserve">was developed by </w:t>
      </w:r>
      <w:r w:rsidR="000159CA" w:rsidRPr="000B5A31">
        <w:rPr>
          <w:rFonts w:asciiTheme="majorHAnsi" w:hAnsiTheme="majorHAnsi" w:cs="Arial"/>
        </w:rPr>
        <w:t xml:space="preserve">the UK </w:t>
      </w:r>
      <w:r w:rsidR="00091900" w:rsidRPr="000B5A31">
        <w:rPr>
          <w:rFonts w:asciiTheme="majorHAnsi" w:hAnsiTheme="majorHAnsi" w:cs="Arial"/>
        </w:rPr>
        <w:t>Building Research Establishment for the UK Committee on Climate Change</w:t>
      </w:r>
      <w:r w:rsidR="006F1ABC" w:rsidRPr="000B5A31">
        <w:rPr>
          <w:rFonts w:asciiTheme="majorHAnsi" w:hAnsiTheme="majorHAnsi" w:cs="Arial"/>
        </w:rPr>
        <w:t xml:space="preserve"> (BRE, 2008)</w:t>
      </w:r>
      <w:r w:rsidR="00A33B2E" w:rsidRPr="000B5A31">
        <w:rPr>
          <w:rFonts w:asciiTheme="majorHAnsi" w:hAnsiTheme="majorHAnsi" w:cs="Arial"/>
        </w:rPr>
        <w:t xml:space="preserve">. </w:t>
      </w:r>
      <w:r w:rsidR="007A23EF" w:rsidRPr="000B5A31">
        <w:rPr>
          <w:rFonts w:asciiTheme="majorHAnsi" w:hAnsiTheme="majorHAnsi" w:cs="Arial"/>
        </w:rPr>
        <w:t xml:space="preserve">This </w:t>
      </w:r>
      <w:r w:rsidR="00A33B2E" w:rsidRPr="000B5A31">
        <w:rPr>
          <w:rFonts w:asciiTheme="majorHAnsi" w:hAnsiTheme="majorHAnsi" w:cs="Arial"/>
        </w:rPr>
        <w:t xml:space="preserve">is the most comprehensive </w:t>
      </w:r>
      <w:r w:rsidR="00FD1DEB" w:rsidRPr="000B5A31">
        <w:rPr>
          <w:rFonts w:asciiTheme="majorHAnsi" w:hAnsiTheme="majorHAnsi" w:cs="Arial"/>
        </w:rPr>
        <w:t xml:space="preserve">publically available </w:t>
      </w:r>
      <w:r w:rsidR="00A33B2E" w:rsidRPr="000B5A31">
        <w:rPr>
          <w:rFonts w:asciiTheme="majorHAnsi" w:hAnsiTheme="majorHAnsi" w:cs="Arial"/>
        </w:rPr>
        <w:t xml:space="preserve">data set that </w:t>
      </w:r>
      <w:r w:rsidR="000B39A0" w:rsidRPr="000B5A31">
        <w:rPr>
          <w:rFonts w:asciiTheme="majorHAnsi" w:hAnsiTheme="majorHAnsi" w:cs="Arial"/>
        </w:rPr>
        <w:t xml:space="preserve">is </w:t>
      </w:r>
      <w:r w:rsidR="007E37E3" w:rsidRPr="000B5A31">
        <w:rPr>
          <w:rFonts w:asciiTheme="majorHAnsi" w:hAnsiTheme="majorHAnsi" w:cs="Arial"/>
        </w:rPr>
        <w:t xml:space="preserve">currently </w:t>
      </w:r>
      <w:r w:rsidR="000B39A0" w:rsidRPr="000B5A31">
        <w:rPr>
          <w:rFonts w:asciiTheme="majorHAnsi" w:hAnsiTheme="majorHAnsi" w:cs="Arial"/>
        </w:rPr>
        <w:t>available;</w:t>
      </w:r>
      <w:r w:rsidR="00A33B2E" w:rsidRPr="000B5A31">
        <w:rPr>
          <w:rFonts w:asciiTheme="majorHAnsi" w:hAnsiTheme="majorHAnsi" w:cs="Arial"/>
        </w:rPr>
        <w:t xml:space="preserve"> </w:t>
      </w:r>
      <w:r w:rsidR="00833186" w:rsidRPr="000B5A31">
        <w:rPr>
          <w:rFonts w:asciiTheme="majorHAnsi" w:hAnsiTheme="majorHAnsi" w:cs="Arial"/>
        </w:rPr>
        <w:t xml:space="preserve">in the analysis below </w:t>
      </w:r>
      <w:r w:rsidR="00A33B2E" w:rsidRPr="000B5A31">
        <w:rPr>
          <w:rFonts w:asciiTheme="majorHAnsi" w:hAnsiTheme="majorHAnsi" w:cs="Arial"/>
        </w:rPr>
        <w:t xml:space="preserve">some </w:t>
      </w:r>
      <w:r w:rsidR="00833186" w:rsidRPr="000B5A31">
        <w:rPr>
          <w:rFonts w:asciiTheme="majorHAnsi" w:hAnsiTheme="majorHAnsi" w:cs="Arial"/>
        </w:rPr>
        <w:t xml:space="preserve">key </w:t>
      </w:r>
      <w:r w:rsidR="00A33B2E" w:rsidRPr="000B5A31">
        <w:rPr>
          <w:rFonts w:asciiTheme="majorHAnsi" w:hAnsiTheme="majorHAnsi" w:cs="Arial"/>
        </w:rPr>
        <w:t>aspects of it (particularly energy prices</w:t>
      </w:r>
      <w:r w:rsidR="007D4941" w:rsidRPr="000B5A31">
        <w:rPr>
          <w:rFonts w:asciiTheme="majorHAnsi" w:hAnsiTheme="majorHAnsi" w:cs="Arial"/>
        </w:rPr>
        <w:t xml:space="preserve">, </w:t>
      </w:r>
      <w:r w:rsidR="00A33B2E" w:rsidRPr="000B5A31">
        <w:rPr>
          <w:rFonts w:asciiTheme="majorHAnsi" w:hAnsiTheme="majorHAnsi" w:cs="Arial"/>
        </w:rPr>
        <w:t>carbon intensities of electricity</w:t>
      </w:r>
      <w:r w:rsidR="007D4941" w:rsidRPr="000B5A31">
        <w:rPr>
          <w:rFonts w:asciiTheme="majorHAnsi" w:hAnsiTheme="majorHAnsi" w:cs="Arial"/>
        </w:rPr>
        <w:t xml:space="preserve"> and level</w:t>
      </w:r>
      <w:r w:rsidR="00292BB4" w:rsidRPr="000B5A31">
        <w:rPr>
          <w:rFonts w:asciiTheme="majorHAnsi" w:hAnsiTheme="majorHAnsi" w:cs="Arial"/>
        </w:rPr>
        <w:t>s of subsidy and feed-in-tariff</w:t>
      </w:r>
      <w:r w:rsidR="007D4941" w:rsidRPr="000B5A31">
        <w:rPr>
          <w:rFonts w:asciiTheme="majorHAnsi" w:hAnsiTheme="majorHAnsi" w:cs="Arial"/>
        </w:rPr>
        <w:t>s</w:t>
      </w:r>
      <w:r w:rsidR="00A33B2E" w:rsidRPr="000B5A31">
        <w:rPr>
          <w:rFonts w:asciiTheme="majorHAnsi" w:hAnsiTheme="majorHAnsi" w:cs="Arial"/>
        </w:rPr>
        <w:t xml:space="preserve">) are updated to reflect </w:t>
      </w:r>
      <w:r w:rsidR="007D4941" w:rsidRPr="000B5A31">
        <w:rPr>
          <w:rFonts w:asciiTheme="majorHAnsi" w:hAnsiTheme="majorHAnsi" w:cs="Arial"/>
        </w:rPr>
        <w:t>current</w:t>
      </w:r>
      <w:r w:rsidR="00A33B2E" w:rsidRPr="000B5A31">
        <w:rPr>
          <w:rFonts w:asciiTheme="majorHAnsi" w:hAnsiTheme="majorHAnsi" w:cs="Arial"/>
        </w:rPr>
        <w:t xml:space="preserve"> conditions</w:t>
      </w:r>
      <w:r w:rsidR="007D4941" w:rsidRPr="000B5A31">
        <w:rPr>
          <w:rFonts w:asciiTheme="majorHAnsi" w:hAnsiTheme="majorHAnsi" w:cs="Arial"/>
        </w:rPr>
        <w:t xml:space="preserve"> and the most recent forecasts</w:t>
      </w:r>
      <w:r w:rsidR="0069570E" w:rsidRPr="000B5A31">
        <w:rPr>
          <w:rFonts w:asciiTheme="majorHAnsi" w:hAnsiTheme="majorHAnsi" w:cs="Arial"/>
        </w:rPr>
        <w:t xml:space="preserve">. We also </w:t>
      </w:r>
      <w:r w:rsidR="00FD1DEB" w:rsidRPr="000B5A31">
        <w:rPr>
          <w:rFonts w:asciiTheme="majorHAnsi" w:hAnsiTheme="majorHAnsi" w:cs="Arial"/>
        </w:rPr>
        <w:t>test the sensitivity of the findings to key assumptions within the data</w:t>
      </w:r>
      <w:r w:rsidR="0069570E" w:rsidRPr="000B5A31">
        <w:rPr>
          <w:rFonts w:asciiTheme="majorHAnsi" w:hAnsiTheme="majorHAnsi" w:cs="Arial"/>
        </w:rPr>
        <w:t xml:space="preserve">, including </w:t>
      </w:r>
      <w:r w:rsidR="00FD1DEB" w:rsidRPr="000B5A31">
        <w:rPr>
          <w:rFonts w:asciiTheme="majorHAnsi" w:hAnsiTheme="majorHAnsi" w:cs="Arial"/>
        </w:rPr>
        <w:t>performance gaps and rebound effects</w:t>
      </w:r>
      <w:r w:rsidR="00292BB4" w:rsidRPr="000B5A31">
        <w:rPr>
          <w:rFonts w:asciiTheme="majorHAnsi" w:hAnsiTheme="majorHAnsi" w:cs="Arial"/>
        </w:rPr>
        <w:t>.</w:t>
      </w:r>
      <w:r w:rsidR="00405830" w:rsidRPr="000B5A31">
        <w:rPr>
          <w:rFonts w:asciiTheme="majorHAnsi" w:hAnsiTheme="majorHAnsi" w:cs="Arial"/>
        </w:rPr>
        <w:t xml:space="preserve"> </w:t>
      </w:r>
    </w:p>
    <w:p w14:paraId="5FE95277" w14:textId="77777777" w:rsidR="00A33B2E" w:rsidRPr="000B5A31" w:rsidRDefault="00A33B2E" w:rsidP="00AB0182">
      <w:pPr>
        <w:spacing w:line="480" w:lineRule="auto"/>
        <w:ind w:left="360"/>
        <w:rPr>
          <w:rFonts w:asciiTheme="majorHAnsi" w:hAnsiTheme="majorHAnsi" w:cs="Arial"/>
        </w:rPr>
      </w:pPr>
    </w:p>
    <w:p w14:paraId="150D95D8" w14:textId="77777777" w:rsidR="00F90F96" w:rsidRPr="000B5A31" w:rsidRDefault="00833186" w:rsidP="000B5A31">
      <w:pPr>
        <w:spacing w:line="480" w:lineRule="auto"/>
        <w:rPr>
          <w:rFonts w:asciiTheme="majorHAnsi" w:hAnsiTheme="majorHAnsi" w:cs="Arial"/>
        </w:rPr>
      </w:pPr>
      <w:r w:rsidRPr="000B5A31">
        <w:rPr>
          <w:rFonts w:asciiTheme="majorHAnsi" w:hAnsiTheme="majorHAnsi" w:cs="Arial"/>
        </w:rPr>
        <w:t xml:space="preserve">We </w:t>
      </w:r>
      <w:r w:rsidR="007E37E3" w:rsidRPr="000B5A31">
        <w:rPr>
          <w:rFonts w:asciiTheme="majorHAnsi" w:hAnsiTheme="majorHAnsi" w:cs="Arial"/>
        </w:rPr>
        <w:t xml:space="preserve">use input </w:t>
      </w:r>
      <w:r w:rsidRPr="000B5A31">
        <w:rPr>
          <w:rFonts w:asciiTheme="majorHAnsi" w:hAnsiTheme="majorHAnsi" w:cs="Arial"/>
        </w:rPr>
        <w:t>data on 23</w:t>
      </w:r>
      <w:r w:rsidR="006F1ABC" w:rsidRPr="000B5A31">
        <w:rPr>
          <w:rFonts w:asciiTheme="majorHAnsi" w:hAnsiTheme="majorHAnsi" w:cs="Arial"/>
        </w:rPr>
        <w:t xml:space="preserve"> </w:t>
      </w:r>
      <w:r w:rsidR="009E3EFB" w:rsidRPr="000B5A31">
        <w:rPr>
          <w:rFonts w:asciiTheme="majorHAnsi" w:hAnsiTheme="majorHAnsi" w:cs="Arial"/>
        </w:rPr>
        <w:t>e</w:t>
      </w:r>
      <w:r w:rsidR="006F1ABC" w:rsidRPr="000B5A31">
        <w:rPr>
          <w:rFonts w:asciiTheme="majorHAnsi" w:hAnsiTheme="majorHAnsi" w:cs="Arial"/>
        </w:rPr>
        <w:t xml:space="preserve">nergy efficiency </w:t>
      </w:r>
      <w:r w:rsidR="009E3EFB" w:rsidRPr="000B5A31">
        <w:rPr>
          <w:rFonts w:asciiTheme="majorHAnsi" w:hAnsiTheme="majorHAnsi" w:cs="Arial"/>
        </w:rPr>
        <w:t xml:space="preserve">and low carbon </w:t>
      </w:r>
      <w:r w:rsidR="006F1ABC" w:rsidRPr="000B5A31">
        <w:rPr>
          <w:rFonts w:asciiTheme="majorHAnsi" w:hAnsiTheme="majorHAnsi" w:cs="Arial"/>
        </w:rPr>
        <w:t>measures</w:t>
      </w:r>
      <w:r w:rsidR="00A33B2E" w:rsidRPr="000B5A31">
        <w:rPr>
          <w:rFonts w:asciiTheme="majorHAnsi" w:hAnsiTheme="majorHAnsi" w:cs="Arial"/>
        </w:rPr>
        <w:t xml:space="preserve"> including different levels of loft, cavity, solid wall and floor insulation, improved lighting and appliances and micro-generation from solar photo</w:t>
      </w:r>
      <w:r w:rsidR="009E3EFB" w:rsidRPr="000B5A31">
        <w:rPr>
          <w:rFonts w:asciiTheme="majorHAnsi" w:hAnsiTheme="majorHAnsi" w:cs="Arial"/>
        </w:rPr>
        <w:t>-</w:t>
      </w:r>
      <w:r w:rsidR="00A33B2E" w:rsidRPr="000B5A31">
        <w:rPr>
          <w:rFonts w:asciiTheme="majorHAnsi" w:hAnsiTheme="majorHAnsi" w:cs="Arial"/>
        </w:rPr>
        <w:t xml:space="preserve">voltaics and </w:t>
      </w:r>
      <w:r w:rsidR="009E3EFB" w:rsidRPr="000B5A31">
        <w:rPr>
          <w:rFonts w:asciiTheme="majorHAnsi" w:hAnsiTheme="majorHAnsi" w:cs="Arial"/>
        </w:rPr>
        <w:t xml:space="preserve">small wind turbines. A </w:t>
      </w:r>
      <w:r w:rsidR="00A33B2E" w:rsidRPr="000B5A31">
        <w:rPr>
          <w:rFonts w:asciiTheme="majorHAnsi" w:hAnsiTheme="majorHAnsi" w:cs="Arial"/>
        </w:rPr>
        <w:t xml:space="preserve">full list of the measures </w:t>
      </w:r>
      <w:r w:rsidR="00A5376B" w:rsidRPr="000B5A31">
        <w:rPr>
          <w:rFonts w:asciiTheme="majorHAnsi" w:hAnsiTheme="majorHAnsi" w:cs="Arial"/>
        </w:rPr>
        <w:t>– including their estimated</w:t>
      </w:r>
      <w:r w:rsidR="0037004C" w:rsidRPr="000B5A31">
        <w:rPr>
          <w:rFonts w:asciiTheme="majorHAnsi" w:hAnsiTheme="majorHAnsi" w:cs="Arial"/>
        </w:rPr>
        <w:t xml:space="preserve"> </w:t>
      </w:r>
      <w:r w:rsidR="004C653F" w:rsidRPr="000B5A31">
        <w:rPr>
          <w:rFonts w:asciiTheme="majorHAnsi" w:hAnsiTheme="majorHAnsi" w:cs="Arial"/>
        </w:rPr>
        <w:t xml:space="preserve">lifespans and </w:t>
      </w:r>
      <w:r w:rsidR="0037004C" w:rsidRPr="000B5A31">
        <w:rPr>
          <w:rFonts w:asciiTheme="majorHAnsi" w:hAnsiTheme="majorHAnsi" w:cs="Arial"/>
        </w:rPr>
        <w:t xml:space="preserve">payback periods – is </w:t>
      </w:r>
      <w:r w:rsidR="00A33B2E" w:rsidRPr="000B5A31">
        <w:rPr>
          <w:rFonts w:asciiTheme="majorHAnsi" w:hAnsiTheme="majorHAnsi" w:cs="Arial"/>
        </w:rPr>
        <w:t>included</w:t>
      </w:r>
      <w:r w:rsidR="006F1ABC" w:rsidRPr="000B5A31">
        <w:rPr>
          <w:rFonts w:asciiTheme="majorHAnsi" w:hAnsiTheme="majorHAnsi" w:cs="Arial"/>
        </w:rPr>
        <w:t xml:space="preserve"> in Table 1.</w:t>
      </w:r>
      <w:r w:rsidR="00A33B2E" w:rsidRPr="000B5A31">
        <w:rPr>
          <w:rFonts w:asciiTheme="majorHAnsi" w:hAnsiTheme="majorHAnsi" w:cs="Arial"/>
        </w:rPr>
        <w:t xml:space="preserve"> </w:t>
      </w:r>
      <w:r w:rsidR="007E37E3" w:rsidRPr="000B5A31">
        <w:rPr>
          <w:rFonts w:asciiTheme="majorHAnsi" w:hAnsiTheme="majorHAnsi" w:cs="Arial"/>
        </w:rPr>
        <w:t>Input d</w:t>
      </w:r>
      <w:r w:rsidR="00A33B2E" w:rsidRPr="000B5A31">
        <w:rPr>
          <w:rFonts w:asciiTheme="majorHAnsi" w:hAnsiTheme="majorHAnsi" w:cs="Arial"/>
        </w:rPr>
        <w:t>ata on the costs of the different measures takes into account the purchase, installation, running and maintenance costs</w:t>
      </w:r>
      <w:r w:rsidR="00F90F96" w:rsidRPr="000B5A31">
        <w:rPr>
          <w:rFonts w:asciiTheme="majorHAnsi" w:hAnsiTheme="majorHAnsi" w:cs="Arial"/>
        </w:rPr>
        <w:t xml:space="preserve"> and the different lifespans of each measure</w:t>
      </w:r>
      <w:r w:rsidR="00A33B2E" w:rsidRPr="000B5A31">
        <w:rPr>
          <w:rFonts w:asciiTheme="majorHAnsi" w:hAnsiTheme="majorHAnsi" w:cs="Arial"/>
        </w:rPr>
        <w:t xml:space="preserve">. </w:t>
      </w:r>
    </w:p>
    <w:p w14:paraId="453A478D" w14:textId="77777777" w:rsidR="00F90F96" w:rsidRPr="000B5A31" w:rsidRDefault="00F90F96" w:rsidP="00AB0182">
      <w:pPr>
        <w:spacing w:line="480" w:lineRule="auto"/>
        <w:ind w:left="360"/>
        <w:rPr>
          <w:rFonts w:asciiTheme="majorHAnsi" w:hAnsiTheme="majorHAnsi" w:cs="Arial"/>
        </w:rPr>
      </w:pPr>
    </w:p>
    <w:p w14:paraId="67D7BC05" w14:textId="43DDF207" w:rsidR="004A33BA" w:rsidRPr="000B5A31" w:rsidRDefault="00A33B2E" w:rsidP="000B5A31">
      <w:pPr>
        <w:spacing w:line="480" w:lineRule="auto"/>
        <w:rPr>
          <w:rFonts w:asciiTheme="majorHAnsi" w:hAnsiTheme="majorHAnsi" w:cs="Arial"/>
        </w:rPr>
      </w:pPr>
      <w:r w:rsidRPr="000B5A31">
        <w:rPr>
          <w:rFonts w:asciiTheme="majorHAnsi" w:hAnsiTheme="majorHAnsi" w:cs="Arial"/>
        </w:rPr>
        <w:t xml:space="preserve">To </w:t>
      </w:r>
      <w:r w:rsidR="009E3EFB" w:rsidRPr="000B5A31">
        <w:rPr>
          <w:rFonts w:asciiTheme="majorHAnsi" w:hAnsiTheme="majorHAnsi" w:cs="Arial"/>
        </w:rPr>
        <w:t xml:space="preserve">assess the </w:t>
      </w:r>
      <w:r w:rsidRPr="000B5A31">
        <w:rPr>
          <w:rFonts w:asciiTheme="majorHAnsi" w:hAnsiTheme="majorHAnsi" w:cs="Arial"/>
        </w:rPr>
        <w:t xml:space="preserve">performance of each measure, the </w:t>
      </w:r>
      <w:r w:rsidR="007E37E3" w:rsidRPr="000B5A31">
        <w:rPr>
          <w:rFonts w:asciiTheme="majorHAnsi" w:hAnsiTheme="majorHAnsi" w:cs="Arial"/>
        </w:rPr>
        <w:t xml:space="preserve">input data considers </w:t>
      </w:r>
      <w:r w:rsidR="00091900" w:rsidRPr="000B5A31">
        <w:rPr>
          <w:rFonts w:asciiTheme="majorHAnsi" w:hAnsiTheme="majorHAnsi" w:cs="Arial"/>
        </w:rPr>
        <w:t>the</w:t>
      </w:r>
      <w:r w:rsidRPr="000B5A31">
        <w:rPr>
          <w:rFonts w:asciiTheme="majorHAnsi" w:hAnsiTheme="majorHAnsi" w:cs="Arial"/>
        </w:rPr>
        <w:t>ir impact</w:t>
      </w:r>
      <w:r w:rsidR="00091900" w:rsidRPr="000B5A31">
        <w:rPr>
          <w:rFonts w:asciiTheme="majorHAnsi" w:hAnsiTheme="majorHAnsi" w:cs="Arial"/>
        </w:rPr>
        <w:t xml:space="preserve"> </w:t>
      </w:r>
      <w:r w:rsidR="006F1ABC" w:rsidRPr="000B5A31">
        <w:rPr>
          <w:rFonts w:asciiTheme="majorHAnsi" w:hAnsiTheme="majorHAnsi" w:cs="Arial"/>
        </w:rPr>
        <w:t>in</w:t>
      </w:r>
      <w:r w:rsidR="00091900" w:rsidRPr="000B5A31">
        <w:rPr>
          <w:rFonts w:asciiTheme="majorHAnsi" w:hAnsiTheme="majorHAnsi" w:cs="Arial"/>
        </w:rPr>
        <w:t xml:space="preserve"> a standard</w:t>
      </w:r>
      <w:r w:rsidR="009E3EFB" w:rsidRPr="000B5A31">
        <w:rPr>
          <w:rFonts w:asciiTheme="majorHAnsi" w:hAnsiTheme="majorHAnsi" w:cs="Arial"/>
        </w:rPr>
        <w:t xml:space="preserve"> or</w:t>
      </w:r>
      <w:r w:rsidR="00091900" w:rsidRPr="000B5A31">
        <w:rPr>
          <w:rFonts w:asciiTheme="majorHAnsi" w:hAnsiTheme="majorHAnsi" w:cs="Arial"/>
        </w:rPr>
        <w:t xml:space="preserve"> ‘average’ UK house</w:t>
      </w:r>
      <w:r w:rsidRPr="000B5A31">
        <w:rPr>
          <w:rFonts w:asciiTheme="majorHAnsi" w:hAnsiTheme="majorHAnsi" w:cs="Arial"/>
        </w:rPr>
        <w:t xml:space="preserve"> that </w:t>
      </w:r>
      <w:r w:rsidR="006F1ABC" w:rsidRPr="000B5A31">
        <w:rPr>
          <w:rFonts w:asciiTheme="majorHAnsi" w:hAnsiTheme="majorHAnsi" w:cs="Arial"/>
        </w:rPr>
        <w:t>has</w:t>
      </w:r>
      <w:r w:rsidR="00091900" w:rsidRPr="000B5A31">
        <w:rPr>
          <w:rFonts w:asciiTheme="majorHAnsi" w:hAnsiTheme="majorHAnsi" w:cs="Arial"/>
        </w:rPr>
        <w:t xml:space="preserve"> </w:t>
      </w:r>
      <w:r w:rsidR="006F1ABC" w:rsidRPr="000B5A31">
        <w:rPr>
          <w:rFonts w:asciiTheme="majorHAnsi" w:hAnsiTheme="majorHAnsi" w:cs="Arial"/>
        </w:rPr>
        <w:t xml:space="preserve">already </w:t>
      </w:r>
      <w:r w:rsidR="00091900" w:rsidRPr="000B5A31">
        <w:rPr>
          <w:rFonts w:asciiTheme="majorHAnsi" w:hAnsiTheme="majorHAnsi" w:cs="Arial"/>
        </w:rPr>
        <w:t>been upgraded to a good standard of energy efficiency</w:t>
      </w:r>
      <w:r w:rsidR="006F1ABC" w:rsidRPr="000B5A31">
        <w:rPr>
          <w:rFonts w:asciiTheme="majorHAnsi" w:hAnsiTheme="majorHAnsi" w:cs="Arial"/>
        </w:rPr>
        <w:t xml:space="preserve">. </w:t>
      </w:r>
      <w:r w:rsidR="009E3EFB" w:rsidRPr="000B5A31">
        <w:rPr>
          <w:rFonts w:asciiTheme="majorHAnsi" w:hAnsiTheme="majorHAnsi" w:cs="Arial"/>
        </w:rPr>
        <w:t>As</w:t>
      </w:r>
      <w:r w:rsidRPr="000B5A31">
        <w:rPr>
          <w:rFonts w:asciiTheme="majorHAnsi" w:hAnsiTheme="majorHAnsi" w:cs="Arial"/>
        </w:rPr>
        <w:t xml:space="preserve"> many </w:t>
      </w:r>
      <w:r w:rsidR="00292BB4" w:rsidRPr="000B5A31">
        <w:rPr>
          <w:rFonts w:asciiTheme="majorHAnsi" w:hAnsiTheme="majorHAnsi" w:cs="Arial"/>
        </w:rPr>
        <w:t xml:space="preserve">UK </w:t>
      </w:r>
      <w:r w:rsidRPr="000B5A31">
        <w:rPr>
          <w:rFonts w:asciiTheme="majorHAnsi" w:hAnsiTheme="majorHAnsi" w:cs="Arial"/>
        </w:rPr>
        <w:t xml:space="preserve">houses are not yet at this level of efficiency, </w:t>
      </w:r>
      <w:r w:rsidR="00861C5C" w:rsidRPr="000B5A31">
        <w:rPr>
          <w:rFonts w:asciiTheme="majorHAnsi" w:hAnsiTheme="majorHAnsi" w:cs="Arial"/>
        </w:rPr>
        <w:t>and as energy prices could</w:t>
      </w:r>
      <w:r w:rsidR="006C3343" w:rsidRPr="000B5A31">
        <w:rPr>
          <w:rFonts w:asciiTheme="majorHAnsi" w:hAnsiTheme="majorHAnsi" w:cs="Arial"/>
        </w:rPr>
        <w:t xml:space="preserve"> be higher than predicted, </w:t>
      </w:r>
      <w:r w:rsidRPr="000B5A31">
        <w:rPr>
          <w:rFonts w:asciiTheme="majorHAnsi" w:hAnsiTheme="majorHAnsi" w:cs="Arial"/>
        </w:rPr>
        <w:t>each measure could have a greater impact</w:t>
      </w:r>
      <w:r w:rsidR="009E3EFB" w:rsidRPr="000B5A31">
        <w:rPr>
          <w:rFonts w:asciiTheme="majorHAnsi" w:hAnsiTheme="majorHAnsi" w:cs="Arial"/>
        </w:rPr>
        <w:t xml:space="preserve"> than is </w:t>
      </w:r>
      <w:r w:rsidR="00E92568" w:rsidRPr="000B5A31">
        <w:rPr>
          <w:rFonts w:asciiTheme="majorHAnsi" w:hAnsiTheme="majorHAnsi" w:cs="Arial"/>
        </w:rPr>
        <w:lastRenderedPageBreak/>
        <w:t>inco</w:t>
      </w:r>
      <w:r w:rsidR="000B39A0" w:rsidRPr="000B5A31">
        <w:rPr>
          <w:rFonts w:asciiTheme="majorHAnsi" w:hAnsiTheme="majorHAnsi" w:cs="Arial"/>
        </w:rPr>
        <w:t>r</w:t>
      </w:r>
      <w:r w:rsidR="00E92568" w:rsidRPr="000B5A31">
        <w:rPr>
          <w:rFonts w:asciiTheme="majorHAnsi" w:hAnsiTheme="majorHAnsi" w:cs="Arial"/>
        </w:rPr>
        <w:t>porated in our calibrations</w:t>
      </w:r>
      <w:r w:rsidR="006C3343" w:rsidRPr="000B5A31">
        <w:rPr>
          <w:rFonts w:asciiTheme="majorHAnsi" w:hAnsiTheme="majorHAnsi" w:cs="Arial"/>
        </w:rPr>
        <w:t xml:space="preserve">. </w:t>
      </w:r>
      <w:r w:rsidR="004A33BA" w:rsidRPr="000B5A31">
        <w:rPr>
          <w:rFonts w:asciiTheme="majorHAnsi" w:hAnsiTheme="majorHAnsi" w:cs="Arial"/>
        </w:rPr>
        <w:t xml:space="preserve">Savings are </w:t>
      </w:r>
      <w:r w:rsidR="007E37E3" w:rsidRPr="000B5A31">
        <w:rPr>
          <w:rFonts w:asciiTheme="majorHAnsi" w:hAnsiTheme="majorHAnsi" w:cs="Arial"/>
        </w:rPr>
        <w:t xml:space="preserve">then </w:t>
      </w:r>
      <w:r w:rsidR="004A33BA" w:rsidRPr="000B5A31">
        <w:rPr>
          <w:rFonts w:asciiTheme="majorHAnsi" w:hAnsiTheme="majorHAnsi" w:cs="Arial"/>
        </w:rPr>
        <w:t xml:space="preserve">calculated using up-to-date energy prices </w:t>
      </w:r>
      <w:r w:rsidR="004B54DC" w:rsidRPr="000B5A31">
        <w:rPr>
          <w:rFonts w:asciiTheme="majorHAnsi" w:hAnsiTheme="majorHAnsi" w:cs="Arial"/>
        </w:rPr>
        <w:t xml:space="preserve">for multiple scenarios </w:t>
      </w:r>
      <w:r w:rsidR="00AD0E48" w:rsidRPr="000B5A31">
        <w:rPr>
          <w:rFonts w:asciiTheme="majorHAnsi" w:hAnsiTheme="majorHAnsi" w:cs="Arial"/>
        </w:rPr>
        <w:t>integrating</w:t>
      </w:r>
      <w:r w:rsidR="004B54DC" w:rsidRPr="000B5A31">
        <w:rPr>
          <w:rFonts w:asciiTheme="majorHAnsi" w:hAnsiTheme="majorHAnsi" w:cs="Arial"/>
        </w:rPr>
        <w:t xml:space="preserve"> low, </w:t>
      </w:r>
      <w:r w:rsidR="00BC6379" w:rsidRPr="000B5A31">
        <w:rPr>
          <w:rFonts w:asciiTheme="majorHAnsi" w:hAnsiTheme="majorHAnsi" w:cs="Arial"/>
        </w:rPr>
        <w:t>central</w:t>
      </w:r>
      <w:r w:rsidR="004B54DC" w:rsidRPr="000B5A31">
        <w:rPr>
          <w:rFonts w:asciiTheme="majorHAnsi" w:hAnsiTheme="majorHAnsi" w:cs="Arial"/>
        </w:rPr>
        <w:t xml:space="preserve"> and high</w:t>
      </w:r>
      <w:r w:rsidR="00BC6379" w:rsidRPr="000B5A31">
        <w:rPr>
          <w:rFonts w:asciiTheme="majorHAnsi" w:hAnsiTheme="majorHAnsi" w:cs="Arial"/>
        </w:rPr>
        <w:t xml:space="preserve"> </w:t>
      </w:r>
      <w:r w:rsidR="004A33BA" w:rsidRPr="000B5A31">
        <w:rPr>
          <w:rFonts w:asciiTheme="majorHAnsi" w:hAnsiTheme="majorHAnsi" w:cs="Arial"/>
        </w:rPr>
        <w:t xml:space="preserve">projections of future energy prices (DECC, </w:t>
      </w:r>
      <w:r w:rsidR="00BC6379" w:rsidRPr="000B5A31">
        <w:rPr>
          <w:rFonts w:asciiTheme="majorHAnsi" w:hAnsiTheme="majorHAnsi" w:cs="Arial"/>
        </w:rPr>
        <w:t>2012</w:t>
      </w:r>
      <w:r w:rsidR="00405830" w:rsidRPr="000B5A31">
        <w:rPr>
          <w:rFonts w:asciiTheme="majorHAnsi" w:hAnsiTheme="majorHAnsi" w:cs="Arial"/>
        </w:rPr>
        <w:t>b</w:t>
      </w:r>
      <w:r w:rsidR="004A33BA" w:rsidRPr="000B5A31">
        <w:rPr>
          <w:rFonts w:asciiTheme="majorHAnsi" w:hAnsiTheme="majorHAnsi" w:cs="Arial"/>
        </w:rPr>
        <w:t xml:space="preserve">). </w:t>
      </w:r>
      <w:r w:rsidR="00DE62AE">
        <w:rPr>
          <w:rFonts w:asciiTheme="majorHAnsi" w:hAnsiTheme="majorHAnsi" w:cs="Arial"/>
        </w:rPr>
        <w:t>We</w:t>
      </w:r>
      <w:r w:rsidR="00D43368">
        <w:rPr>
          <w:rFonts w:asciiTheme="majorHAnsi" w:hAnsiTheme="majorHAnsi" w:cs="Arial"/>
        </w:rPr>
        <w:t xml:space="preserve"> assume that both technology prices and current levels of feed</w:t>
      </w:r>
      <w:r w:rsidR="00B91686">
        <w:rPr>
          <w:rFonts w:asciiTheme="majorHAnsi" w:hAnsiTheme="majorHAnsi" w:cs="Arial"/>
        </w:rPr>
        <w:t>-in-ta</w:t>
      </w:r>
      <w:r w:rsidR="00D43368">
        <w:rPr>
          <w:rFonts w:asciiTheme="majorHAnsi" w:hAnsiTheme="majorHAnsi" w:cs="Arial"/>
        </w:rPr>
        <w:t>riff stay constant throughout the analysis. Carbon savings</w:t>
      </w:r>
      <w:r w:rsidR="004A33BA" w:rsidRPr="000B5A31">
        <w:rPr>
          <w:rFonts w:asciiTheme="majorHAnsi" w:hAnsiTheme="majorHAnsi" w:cs="Arial"/>
        </w:rPr>
        <w:t xml:space="preserve"> are calculated using </w:t>
      </w:r>
      <w:r w:rsidR="00763187" w:rsidRPr="000B5A31">
        <w:rPr>
          <w:rFonts w:asciiTheme="majorHAnsi" w:hAnsiTheme="majorHAnsi" w:cs="Arial"/>
        </w:rPr>
        <w:t>the most recent assessments and forecasts of the</w:t>
      </w:r>
      <w:r w:rsidR="004A33BA" w:rsidRPr="000B5A31">
        <w:rPr>
          <w:rFonts w:asciiTheme="majorHAnsi" w:hAnsiTheme="majorHAnsi" w:cs="Arial"/>
        </w:rPr>
        <w:t xml:space="preserve"> carbon intensities for electricity generation (DECC, </w:t>
      </w:r>
      <w:r w:rsidR="00BC6379" w:rsidRPr="000B5A31">
        <w:rPr>
          <w:rFonts w:asciiTheme="majorHAnsi" w:hAnsiTheme="majorHAnsi" w:cs="Arial"/>
        </w:rPr>
        <w:t>2012</w:t>
      </w:r>
      <w:r w:rsidR="00405830" w:rsidRPr="000B5A31">
        <w:rPr>
          <w:rFonts w:asciiTheme="majorHAnsi" w:hAnsiTheme="majorHAnsi" w:cs="Arial"/>
        </w:rPr>
        <w:t>b</w:t>
      </w:r>
      <w:r w:rsidR="004A33BA" w:rsidRPr="000B5A31">
        <w:rPr>
          <w:rFonts w:asciiTheme="majorHAnsi" w:hAnsiTheme="majorHAnsi" w:cs="Arial"/>
        </w:rPr>
        <w:t>). The scope for deploying each of the measures in suitable houses across the entire UK housing stock is also assessed in the</w:t>
      </w:r>
      <w:r w:rsidR="00763187" w:rsidRPr="000B5A31">
        <w:rPr>
          <w:rFonts w:asciiTheme="majorHAnsi" w:hAnsiTheme="majorHAnsi" w:cs="Arial"/>
        </w:rPr>
        <w:t xml:space="preserve"> model, based on data from</w:t>
      </w:r>
      <w:r w:rsidR="00BC6379" w:rsidRPr="000B5A31">
        <w:rPr>
          <w:rFonts w:asciiTheme="majorHAnsi" w:hAnsiTheme="majorHAnsi" w:cs="Arial"/>
        </w:rPr>
        <w:t xml:space="preserve"> the UK Committee on Climate Change</w:t>
      </w:r>
      <w:r w:rsidR="00763187" w:rsidRPr="000B5A31">
        <w:rPr>
          <w:rFonts w:asciiTheme="majorHAnsi" w:hAnsiTheme="majorHAnsi" w:cs="Arial"/>
        </w:rPr>
        <w:t xml:space="preserve">. This data takes </w:t>
      </w:r>
      <w:r w:rsidR="00FC61B3" w:rsidRPr="000B5A31">
        <w:rPr>
          <w:rFonts w:asciiTheme="majorHAnsi" w:hAnsiTheme="majorHAnsi" w:cs="Arial"/>
        </w:rPr>
        <w:t xml:space="preserve">into account the proportion of homes that may be hard to reach, it adjusts for </w:t>
      </w:r>
      <w:r w:rsidR="00763187" w:rsidRPr="000B5A31">
        <w:rPr>
          <w:rFonts w:asciiTheme="majorHAnsi" w:hAnsiTheme="majorHAnsi" w:cs="Arial"/>
        </w:rPr>
        <w:t xml:space="preserve">background trends in the take-up of different measures and </w:t>
      </w:r>
      <w:r w:rsidR="00FC61B3" w:rsidRPr="000B5A31">
        <w:rPr>
          <w:rFonts w:asciiTheme="majorHAnsi" w:hAnsiTheme="majorHAnsi" w:cs="Arial"/>
        </w:rPr>
        <w:t xml:space="preserve">it </w:t>
      </w:r>
      <w:r w:rsidR="00763187" w:rsidRPr="000B5A31">
        <w:rPr>
          <w:rFonts w:asciiTheme="majorHAnsi" w:hAnsiTheme="majorHAnsi" w:cs="Arial"/>
        </w:rPr>
        <w:t>has been up-dated</w:t>
      </w:r>
      <w:r w:rsidR="00861C5C" w:rsidRPr="000B5A31">
        <w:rPr>
          <w:rFonts w:asciiTheme="majorHAnsi" w:hAnsiTheme="majorHAnsi" w:cs="Arial"/>
        </w:rPr>
        <w:t xml:space="preserve"> to 2012 levels</w:t>
      </w:r>
      <w:r w:rsidR="00763187" w:rsidRPr="000B5A31">
        <w:rPr>
          <w:rFonts w:asciiTheme="majorHAnsi" w:hAnsiTheme="majorHAnsi" w:cs="Arial"/>
        </w:rPr>
        <w:t xml:space="preserve">. By considering the total scope for deployment of each measure across the UK, </w:t>
      </w:r>
      <w:r w:rsidR="004A33BA" w:rsidRPr="000B5A31">
        <w:rPr>
          <w:rFonts w:asciiTheme="majorHAnsi" w:hAnsiTheme="majorHAnsi" w:cs="Arial"/>
        </w:rPr>
        <w:t xml:space="preserve">assessments of </w:t>
      </w:r>
      <w:r w:rsidR="00763187" w:rsidRPr="000B5A31">
        <w:rPr>
          <w:rFonts w:asciiTheme="majorHAnsi" w:hAnsiTheme="majorHAnsi" w:cs="Arial"/>
        </w:rPr>
        <w:t xml:space="preserve">each individual measure can </w:t>
      </w:r>
      <w:r w:rsidR="004A33BA" w:rsidRPr="000B5A31">
        <w:rPr>
          <w:rFonts w:asciiTheme="majorHAnsi" w:hAnsiTheme="majorHAnsi" w:cs="Arial"/>
        </w:rPr>
        <w:t xml:space="preserve">be scaled up to consider aggregated costs and benefits if </w:t>
      </w:r>
      <w:r w:rsidR="00763187" w:rsidRPr="000B5A31">
        <w:rPr>
          <w:rFonts w:asciiTheme="majorHAnsi" w:hAnsiTheme="majorHAnsi" w:cs="Arial"/>
        </w:rPr>
        <w:t xml:space="preserve">all measures are </w:t>
      </w:r>
      <w:r w:rsidR="004A33BA" w:rsidRPr="000B5A31">
        <w:rPr>
          <w:rFonts w:asciiTheme="majorHAnsi" w:hAnsiTheme="majorHAnsi" w:cs="Arial"/>
        </w:rPr>
        <w:t>installed in every suitable property in the UK.</w:t>
      </w:r>
    </w:p>
    <w:p w14:paraId="2CA759E5" w14:textId="77777777" w:rsidR="000B5A31" w:rsidRDefault="000B5A31" w:rsidP="000B5A31">
      <w:pPr>
        <w:spacing w:line="480" w:lineRule="auto"/>
        <w:rPr>
          <w:rFonts w:asciiTheme="majorHAnsi" w:hAnsiTheme="majorHAnsi" w:cs="Arial"/>
        </w:rPr>
      </w:pPr>
    </w:p>
    <w:p w14:paraId="355E9EBE" w14:textId="5041A2D3" w:rsidR="00C61594" w:rsidRPr="00B91686" w:rsidRDefault="00105CE3" w:rsidP="00B91686">
      <w:pPr>
        <w:pStyle w:val="ListParagraph"/>
        <w:numPr>
          <w:ilvl w:val="1"/>
          <w:numId w:val="37"/>
        </w:numPr>
        <w:spacing w:line="480" w:lineRule="auto"/>
        <w:rPr>
          <w:rFonts w:asciiTheme="majorHAnsi" w:hAnsiTheme="majorHAnsi"/>
        </w:rPr>
      </w:pPr>
      <w:r>
        <w:rPr>
          <w:rFonts w:asciiTheme="majorHAnsi" w:hAnsiTheme="majorHAnsi"/>
        </w:rPr>
        <w:t>Default s</w:t>
      </w:r>
      <w:r w:rsidR="008D2326" w:rsidRPr="00B91686">
        <w:rPr>
          <w:rFonts w:asciiTheme="majorHAnsi" w:hAnsiTheme="majorHAnsi"/>
        </w:rPr>
        <w:t>ettings</w:t>
      </w:r>
      <w:r>
        <w:rPr>
          <w:rFonts w:asciiTheme="majorHAnsi" w:hAnsiTheme="majorHAnsi"/>
        </w:rPr>
        <w:t xml:space="preserve"> and v</w:t>
      </w:r>
      <w:r w:rsidR="001202CD" w:rsidRPr="00B91686">
        <w:rPr>
          <w:rFonts w:asciiTheme="majorHAnsi" w:hAnsiTheme="majorHAnsi"/>
        </w:rPr>
        <w:t>ariations</w:t>
      </w:r>
    </w:p>
    <w:p w14:paraId="09FCB652" w14:textId="77777777" w:rsidR="00C61594" w:rsidRPr="000B5A31" w:rsidRDefault="00C61594" w:rsidP="000B5A31">
      <w:pPr>
        <w:spacing w:line="480" w:lineRule="auto"/>
        <w:rPr>
          <w:rFonts w:asciiTheme="majorHAnsi" w:hAnsiTheme="majorHAnsi" w:cs="Arial"/>
        </w:rPr>
      </w:pPr>
      <w:r w:rsidRPr="000B5A31">
        <w:rPr>
          <w:rFonts w:asciiTheme="majorHAnsi" w:hAnsiTheme="majorHAnsi" w:cs="Arial"/>
        </w:rPr>
        <w:t xml:space="preserve">To run the model using the input data described above, we use a series of default settings for each of the key variables. These are presented in Table 2. These default settings </w:t>
      </w:r>
      <w:r w:rsidR="00BC6379" w:rsidRPr="000B5A31">
        <w:rPr>
          <w:rFonts w:asciiTheme="majorHAnsi" w:hAnsiTheme="majorHAnsi" w:cs="Arial"/>
        </w:rPr>
        <w:t xml:space="preserve">are </w:t>
      </w:r>
      <w:r w:rsidR="00405830" w:rsidRPr="000B5A31">
        <w:rPr>
          <w:rFonts w:asciiTheme="majorHAnsi" w:hAnsiTheme="majorHAnsi" w:cs="Arial"/>
        </w:rPr>
        <w:t>based on a series of assumptions that have been informed b</w:t>
      </w:r>
      <w:r w:rsidR="00344EAF" w:rsidRPr="000B5A31">
        <w:rPr>
          <w:rFonts w:asciiTheme="majorHAnsi" w:hAnsiTheme="majorHAnsi" w:cs="Arial"/>
        </w:rPr>
        <w:t xml:space="preserve">y, for example, </w:t>
      </w:r>
      <w:r w:rsidR="00405830" w:rsidRPr="000B5A31">
        <w:rPr>
          <w:rFonts w:asciiTheme="majorHAnsi" w:hAnsiTheme="majorHAnsi" w:cs="Arial"/>
        </w:rPr>
        <w:t xml:space="preserve">the UK Green Deal impact assessment </w:t>
      </w:r>
      <w:r w:rsidR="000E7151" w:rsidRPr="000B5A31">
        <w:rPr>
          <w:rFonts w:asciiTheme="majorHAnsi" w:hAnsiTheme="majorHAnsi" w:cs="Arial"/>
        </w:rPr>
        <w:t xml:space="preserve">(DECC, 2012c) </w:t>
      </w:r>
      <w:r w:rsidR="00405830" w:rsidRPr="000B5A31">
        <w:rPr>
          <w:rFonts w:asciiTheme="majorHAnsi" w:hAnsiTheme="majorHAnsi" w:cs="Arial"/>
        </w:rPr>
        <w:t xml:space="preserve">and the adoption of domestic energy efficiency schemes in cities such as the Birmingham Energy Savers scheme </w:t>
      </w:r>
      <w:r w:rsidR="000E7151" w:rsidRPr="000B5A31">
        <w:rPr>
          <w:rFonts w:asciiTheme="majorHAnsi" w:hAnsiTheme="majorHAnsi" w:cs="Arial"/>
        </w:rPr>
        <w:t>(BES, undated) and the Leeds City R</w:t>
      </w:r>
      <w:r w:rsidR="00405830" w:rsidRPr="000B5A31">
        <w:rPr>
          <w:rFonts w:asciiTheme="majorHAnsi" w:hAnsiTheme="majorHAnsi" w:cs="Arial"/>
        </w:rPr>
        <w:t>egion Domestic Energy Efficiency Programme (</w:t>
      </w:r>
      <w:r w:rsidR="000E7151" w:rsidRPr="000B5A31">
        <w:rPr>
          <w:rFonts w:asciiTheme="majorHAnsi" w:hAnsiTheme="majorHAnsi" w:cs="Arial"/>
        </w:rPr>
        <w:t>LCR, undated). W</w:t>
      </w:r>
      <w:r w:rsidR="00405830" w:rsidRPr="000B5A31">
        <w:rPr>
          <w:rFonts w:asciiTheme="majorHAnsi" w:hAnsiTheme="majorHAnsi" w:cs="Arial"/>
        </w:rPr>
        <w:t xml:space="preserve">e </w:t>
      </w:r>
      <w:r w:rsidR="000B6627" w:rsidRPr="000B5A31">
        <w:rPr>
          <w:rFonts w:asciiTheme="majorHAnsi" w:hAnsiTheme="majorHAnsi" w:cs="Arial"/>
        </w:rPr>
        <w:t xml:space="preserve">therefore believe that </w:t>
      </w:r>
      <w:r w:rsidR="000E7151" w:rsidRPr="000B5A31">
        <w:rPr>
          <w:rFonts w:asciiTheme="majorHAnsi" w:hAnsiTheme="majorHAnsi" w:cs="Arial"/>
        </w:rPr>
        <w:t xml:space="preserve">the default settings </w:t>
      </w:r>
      <w:r w:rsidR="001202CD" w:rsidRPr="000B5A31">
        <w:rPr>
          <w:rFonts w:asciiTheme="majorHAnsi" w:hAnsiTheme="majorHAnsi" w:cs="Arial"/>
        </w:rPr>
        <w:t xml:space="preserve">realistically </w:t>
      </w:r>
      <w:r w:rsidR="00405830" w:rsidRPr="000B5A31">
        <w:rPr>
          <w:rFonts w:asciiTheme="majorHAnsi" w:hAnsiTheme="majorHAnsi" w:cs="Arial"/>
        </w:rPr>
        <w:t xml:space="preserve">reflect the conditions under which a </w:t>
      </w:r>
      <w:r w:rsidR="000E7151" w:rsidRPr="000B5A31">
        <w:rPr>
          <w:rFonts w:asciiTheme="majorHAnsi" w:hAnsiTheme="majorHAnsi" w:cs="Arial"/>
        </w:rPr>
        <w:t xml:space="preserve">large-scale revolving </w:t>
      </w:r>
      <w:r w:rsidR="00405830" w:rsidRPr="000B5A31">
        <w:rPr>
          <w:rFonts w:asciiTheme="majorHAnsi" w:hAnsiTheme="majorHAnsi" w:cs="Arial"/>
        </w:rPr>
        <w:t>fund might operate</w:t>
      </w:r>
      <w:r w:rsidR="009E5F56" w:rsidRPr="000B5A31">
        <w:rPr>
          <w:rFonts w:asciiTheme="majorHAnsi" w:hAnsiTheme="majorHAnsi" w:cs="Arial"/>
        </w:rPr>
        <w:t xml:space="preserve"> in the UK</w:t>
      </w:r>
      <w:r w:rsidR="00405830" w:rsidRPr="000B5A31">
        <w:rPr>
          <w:rFonts w:asciiTheme="majorHAnsi" w:hAnsiTheme="majorHAnsi" w:cs="Arial"/>
        </w:rPr>
        <w:t xml:space="preserve">, whether at the national or the city scales. </w:t>
      </w:r>
    </w:p>
    <w:p w14:paraId="3EEB0C5B" w14:textId="77777777" w:rsidR="000E7151" w:rsidRPr="000B5A31" w:rsidRDefault="000E7151" w:rsidP="00AB0182">
      <w:pPr>
        <w:spacing w:line="480" w:lineRule="auto"/>
        <w:ind w:left="360"/>
        <w:rPr>
          <w:rFonts w:asciiTheme="majorHAnsi" w:hAnsiTheme="majorHAnsi" w:cs="Arial"/>
        </w:rPr>
      </w:pPr>
    </w:p>
    <w:p w14:paraId="5A45CB1C" w14:textId="56BCDD91" w:rsidR="000E7151" w:rsidRPr="000B5A31" w:rsidRDefault="00344EAF" w:rsidP="000B5A31">
      <w:pPr>
        <w:spacing w:line="480" w:lineRule="auto"/>
        <w:rPr>
          <w:rFonts w:asciiTheme="majorHAnsi" w:hAnsiTheme="majorHAnsi" w:cs="Arial"/>
        </w:rPr>
      </w:pPr>
      <w:r w:rsidRPr="000B5A31">
        <w:rPr>
          <w:rFonts w:asciiTheme="majorHAnsi" w:hAnsiTheme="majorHAnsi" w:cs="Arial"/>
        </w:rPr>
        <w:lastRenderedPageBreak/>
        <w:t>T</w:t>
      </w:r>
      <w:r w:rsidR="000E7151" w:rsidRPr="000B5A31">
        <w:rPr>
          <w:rFonts w:asciiTheme="majorHAnsi" w:hAnsiTheme="majorHAnsi" w:cs="Arial"/>
        </w:rPr>
        <w:t xml:space="preserve">he default settings </w:t>
      </w:r>
      <w:r w:rsidR="009E5F56" w:rsidRPr="000B5A31">
        <w:rPr>
          <w:rFonts w:asciiTheme="majorHAnsi" w:hAnsiTheme="majorHAnsi" w:cs="Arial"/>
        </w:rPr>
        <w:t xml:space="preserve">assume that the SPV at the heart of the revolving fund </w:t>
      </w:r>
      <w:r w:rsidR="00723595" w:rsidRPr="000B5A31">
        <w:rPr>
          <w:rFonts w:asciiTheme="majorHAnsi" w:hAnsiTheme="majorHAnsi" w:cs="Arial"/>
        </w:rPr>
        <w:t xml:space="preserve">can, in any one year, </w:t>
      </w:r>
      <w:r w:rsidR="009E5F56" w:rsidRPr="000B5A31">
        <w:rPr>
          <w:rFonts w:asciiTheme="majorHAnsi" w:hAnsiTheme="majorHAnsi" w:cs="Arial"/>
        </w:rPr>
        <w:t>borrow a maximum of 5% of the total investment required to exploit the full potential of all measures</w:t>
      </w:r>
      <w:r w:rsidR="00723595" w:rsidRPr="000B5A31">
        <w:rPr>
          <w:rFonts w:asciiTheme="majorHAnsi" w:hAnsiTheme="majorHAnsi" w:cs="Arial"/>
        </w:rPr>
        <w:t xml:space="preserve">.  This is </w:t>
      </w:r>
      <w:r w:rsidR="009E5F56" w:rsidRPr="000B5A31">
        <w:rPr>
          <w:rFonts w:asciiTheme="majorHAnsi" w:hAnsiTheme="majorHAnsi" w:cs="Arial"/>
        </w:rPr>
        <w:t>at a real interest rate of 3%</w:t>
      </w:r>
      <w:r w:rsidR="00723595" w:rsidRPr="000B5A31">
        <w:rPr>
          <w:rFonts w:asciiTheme="majorHAnsi" w:hAnsiTheme="majorHAnsi" w:cs="Arial"/>
        </w:rPr>
        <w:t>.</w:t>
      </w:r>
      <w:r w:rsidR="005430D7" w:rsidRPr="000B5A31">
        <w:rPr>
          <w:rFonts w:asciiTheme="majorHAnsi" w:hAnsiTheme="majorHAnsi" w:cs="Arial"/>
        </w:rPr>
        <w:t xml:space="preserve"> </w:t>
      </w:r>
      <w:r w:rsidR="009E7FF3" w:rsidRPr="000B5A31">
        <w:rPr>
          <w:rFonts w:asciiTheme="majorHAnsi" w:hAnsiTheme="majorHAnsi" w:cs="Arial"/>
        </w:rPr>
        <w:t>We</w:t>
      </w:r>
      <w:r w:rsidR="009E5F56" w:rsidRPr="000B5A31">
        <w:rPr>
          <w:rFonts w:asciiTheme="majorHAnsi" w:hAnsiTheme="majorHAnsi" w:cs="Arial"/>
        </w:rPr>
        <w:t xml:space="preserve"> also assume that the SPV would repay 5% of its </w:t>
      </w:r>
      <w:r w:rsidR="0055723F" w:rsidRPr="000B5A31">
        <w:rPr>
          <w:rFonts w:asciiTheme="majorHAnsi" w:hAnsiTheme="majorHAnsi" w:cs="Arial"/>
        </w:rPr>
        <w:t xml:space="preserve">existing </w:t>
      </w:r>
      <w:r w:rsidR="009E5F56" w:rsidRPr="000B5A31">
        <w:rPr>
          <w:rFonts w:asciiTheme="majorHAnsi" w:hAnsiTheme="majorHAnsi" w:cs="Arial"/>
        </w:rPr>
        <w:t xml:space="preserve">total borrowing in any year, </w:t>
      </w:r>
      <w:r w:rsidR="005430D7" w:rsidRPr="000B5A31">
        <w:rPr>
          <w:rFonts w:asciiTheme="majorHAnsi" w:hAnsiTheme="majorHAnsi" w:cs="Arial"/>
        </w:rPr>
        <w:t>until the point where all investments would be made when any surplus funds generated through on-going savings are used to clear any remaining debts. We also assume that the SPVs</w:t>
      </w:r>
      <w:r w:rsidR="009E5F56" w:rsidRPr="000B5A31">
        <w:rPr>
          <w:rFonts w:asciiTheme="majorHAnsi" w:hAnsiTheme="majorHAnsi" w:cs="Arial"/>
        </w:rPr>
        <w:t xml:space="preserve"> running costs would equate to 3% of its </w:t>
      </w:r>
      <w:r w:rsidR="006512C0" w:rsidRPr="000B5A31">
        <w:rPr>
          <w:rFonts w:asciiTheme="majorHAnsi" w:hAnsiTheme="majorHAnsi" w:cs="Arial"/>
        </w:rPr>
        <w:t xml:space="preserve">annual level of investment </w:t>
      </w:r>
      <w:r w:rsidR="009E5F56" w:rsidRPr="000B5A31">
        <w:rPr>
          <w:rFonts w:asciiTheme="majorHAnsi" w:hAnsiTheme="majorHAnsi" w:cs="Arial"/>
        </w:rPr>
        <w:t>and that it</w:t>
      </w:r>
      <w:r w:rsidR="0055723F" w:rsidRPr="000B5A31">
        <w:rPr>
          <w:rFonts w:asciiTheme="majorHAnsi" w:hAnsiTheme="majorHAnsi" w:cs="Arial"/>
        </w:rPr>
        <w:t xml:space="preserve">s threshold </w:t>
      </w:r>
      <w:r w:rsidR="007A4EB7" w:rsidRPr="000B5A31">
        <w:rPr>
          <w:rFonts w:asciiTheme="majorHAnsi" w:hAnsiTheme="majorHAnsi" w:cs="Arial"/>
        </w:rPr>
        <w:t>IRR</w:t>
      </w:r>
      <w:r w:rsidR="0055723F" w:rsidRPr="000B5A31">
        <w:rPr>
          <w:rFonts w:asciiTheme="majorHAnsi" w:hAnsiTheme="majorHAnsi" w:cs="Arial"/>
        </w:rPr>
        <w:t xml:space="preserve"> is 4% real.</w:t>
      </w:r>
      <w:r w:rsidR="009E5F56" w:rsidRPr="000B5A31">
        <w:rPr>
          <w:rFonts w:asciiTheme="majorHAnsi" w:hAnsiTheme="majorHAnsi" w:cs="Arial"/>
        </w:rPr>
        <w:t xml:space="preserve"> </w:t>
      </w:r>
      <w:r w:rsidR="0055723F" w:rsidRPr="000B5A31">
        <w:rPr>
          <w:rFonts w:asciiTheme="majorHAnsi" w:hAnsiTheme="majorHAnsi" w:cs="Arial"/>
        </w:rPr>
        <w:t xml:space="preserve">We </w:t>
      </w:r>
      <w:r w:rsidR="009E5F56" w:rsidRPr="000B5A31">
        <w:rPr>
          <w:rFonts w:asciiTheme="majorHAnsi" w:hAnsiTheme="majorHAnsi" w:cs="Arial"/>
        </w:rPr>
        <w:t xml:space="preserve">assume that the SPV </w:t>
      </w:r>
      <w:r w:rsidR="00AD27D7" w:rsidRPr="000B5A31">
        <w:rPr>
          <w:rFonts w:asciiTheme="majorHAnsi" w:hAnsiTheme="majorHAnsi" w:cs="Arial"/>
        </w:rPr>
        <w:t>may</w:t>
      </w:r>
      <w:r w:rsidR="0055723F" w:rsidRPr="000B5A31">
        <w:rPr>
          <w:rFonts w:asciiTheme="majorHAnsi" w:hAnsiTheme="majorHAnsi" w:cs="Arial"/>
        </w:rPr>
        <w:t xml:space="preserve">, over time, invest the full amount required </w:t>
      </w:r>
      <w:r w:rsidR="001640A2" w:rsidRPr="000B5A31">
        <w:rPr>
          <w:rFonts w:asciiTheme="majorHAnsi" w:hAnsiTheme="majorHAnsi" w:cs="Arial"/>
        </w:rPr>
        <w:t xml:space="preserve">for the full deployment </w:t>
      </w:r>
      <w:r w:rsidR="001202CD" w:rsidRPr="000B5A31">
        <w:rPr>
          <w:rFonts w:asciiTheme="majorHAnsi" w:hAnsiTheme="majorHAnsi" w:cs="Arial"/>
        </w:rPr>
        <w:t xml:space="preserve">of all </w:t>
      </w:r>
      <w:r w:rsidR="00833186" w:rsidRPr="000B5A31">
        <w:rPr>
          <w:rFonts w:asciiTheme="majorHAnsi" w:hAnsiTheme="majorHAnsi" w:cs="Arial"/>
        </w:rPr>
        <w:t>23</w:t>
      </w:r>
      <w:r w:rsidR="005B1D07" w:rsidRPr="000B5A31">
        <w:rPr>
          <w:rFonts w:asciiTheme="majorHAnsi" w:hAnsiTheme="majorHAnsi" w:cs="Arial"/>
        </w:rPr>
        <w:t xml:space="preserve"> </w:t>
      </w:r>
      <w:r w:rsidR="001202CD" w:rsidRPr="000B5A31">
        <w:rPr>
          <w:rFonts w:asciiTheme="majorHAnsi" w:hAnsiTheme="majorHAnsi" w:cs="Arial"/>
        </w:rPr>
        <w:t>measures</w:t>
      </w:r>
      <w:r w:rsidR="005B1D07" w:rsidRPr="000B5A31">
        <w:rPr>
          <w:rFonts w:asciiTheme="majorHAnsi" w:hAnsiTheme="majorHAnsi" w:cs="Arial"/>
        </w:rPr>
        <w:t xml:space="preserve"> included in the assessment</w:t>
      </w:r>
      <w:r w:rsidR="0055723F" w:rsidRPr="000B5A31">
        <w:rPr>
          <w:rFonts w:asciiTheme="majorHAnsi" w:hAnsiTheme="majorHAnsi" w:cs="Arial"/>
        </w:rPr>
        <w:t>. Because of limited availability of installers</w:t>
      </w:r>
      <w:r w:rsidR="001640A2" w:rsidRPr="000B5A31">
        <w:rPr>
          <w:rFonts w:asciiTheme="majorHAnsi" w:hAnsiTheme="majorHAnsi" w:cs="Arial"/>
        </w:rPr>
        <w:t xml:space="preserve"> and limited levels of take-up</w:t>
      </w:r>
      <w:r w:rsidR="0055723F" w:rsidRPr="000B5A31">
        <w:rPr>
          <w:rFonts w:asciiTheme="majorHAnsi" w:hAnsiTheme="majorHAnsi" w:cs="Arial"/>
        </w:rPr>
        <w:t>,</w:t>
      </w:r>
      <w:r w:rsidR="001640A2" w:rsidRPr="000B5A31">
        <w:rPr>
          <w:rFonts w:asciiTheme="majorHAnsi" w:hAnsiTheme="majorHAnsi" w:cs="Arial"/>
        </w:rPr>
        <w:t xml:space="preserve"> we assume that</w:t>
      </w:r>
      <w:r w:rsidR="001202CD" w:rsidRPr="000B5A31">
        <w:rPr>
          <w:rFonts w:asciiTheme="majorHAnsi" w:hAnsiTheme="majorHAnsi" w:cs="Arial"/>
        </w:rPr>
        <w:t xml:space="preserve"> in any year a maximum of 20% of the potential take-up of any one measure </w:t>
      </w:r>
      <w:r w:rsidR="0055723F" w:rsidRPr="000B5A31">
        <w:rPr>
          <w:rFonts w:asciiTheme="majorHAnsi" w:hAnsiTheme="majorHAnsi" w:cs="Arial"/>
        </w:rPr>
        <w:t xml:space="preserve">can </w:t>
      </w:r>
      <w:r w:rsidR="001202CD" w:rsidRPr="000B5A31">
        <w:rPr>
          <w:rFonts w:asciiTheme="majorHAnsi" w:hAnsiTheme="majorHAnsi" w:cs="Arial"/>
        </w:rPr>
        <w:t>be exploited</w:t>
      </w:r>
      <w:r w:rsidR="001640A2" w:rsidRPr="000B5A31">
        <w:rPr>
          <w:rFonts w:asciiTheme="majorHAnsi" w:hAnsiTheme="majorHAnsi" w:cs="Arial"/>
        </w:rPr>
        <w:t xml:space="preserve">. We also assume that </w:t>
      </w:r>
      <w:r w:rsidR="001202CD" w:rsidRPr="000B5A31">
        <w:rPr>
          <w:rFonts w:asciiTheme="majorHAnsi" w:hAnsiTheme="majorHAnsi" w:cs="Arial"/>
        </w:rPr>
        <w:t>installers charge 10% of the capital cost of any measure</w:t>
      </w:r>
      <w:r w:rsidR="00AD0E48" w:rsidRPr="000B5A31">
        <w:rPr>
          <w:rFonts w:asciiTheme="majorHAnsi" w:hAnsiTheme="majorHAnsi" w:cs="Arial"/>
        </w:rPr>
        <w:t>.</w:t>
      </w:r>
      <w:r w:rsidR="001202CD" w:rsidRPr="000B5A31">
        <w:rPr>
          <w:rFonts w:asciiTheme="majorHAnsi" w:hAnsiTheme="majorHAnsi" w:cs="Arial"/>
        </w:rPr>
        <w:t xml:space="preserve"> </w:t>
      </w:r>
      <w:r w:rsidR="0055723F" w:rsidRPr="000B5A31">
        <w:rPr>
          <w:rFonts w:asciiTheme="majorHAnsi" w:hAnsiTheme="majorHAnsi" w:cs="Arial"/>
        </w:rPr>
        <w:t xml:space="preserve">It is </w:t>
      </w:r>
      <w:r w:rsidR="00AD0E48" w:rsidRPr="000B5A31">
        <w:rPr>
          <w:rFonts w:asciiTheme="majorHAnsi" w:hAnsiTheme="majorHAnsi" w:cs="Arial"/>
        </w:rPr>
        <w:t>assume</w:t>
      </w:r>
      <w:r w:rsidR="0055723F" w:rsidRPr="000B5A31">
        <w:rPr>
          <w:rFonts w:asciiTheme="majorHAnsi" w:hAnsiTheme="majorHAnsi" w:cs="Arial"/>
        </w:rPr>
        <w:t>d</w:t>
      </w:r>
      <w:r w:rsidR="001202CD" w:rsidRPr="000B5A31">
        <w:rPr>
          <w:rFonts w:asciiTheme="majorHAnsi" w:hAnsiTheme="majorHAnsi" w:cs="Arial"/>
        </w:rPr>
        <w:t xml:space="preserve"> that</w:t>
      </w:r>
      <w:r w:rsidR="0055723F" w:rsidRPr="000B5A31">
        <w:rPr>
          <w:rFonts w:asciiTheme="majorHAnsi" w:hAnsiTheme="majorHAnsi" w:cs="Arial"/>
        </w:rPr>
        <w:t>,</w:t>
      </w:r>
      <w:r w:rsidR="001202CD" w:rsidRPr="000B5A31">
        <w:rPr>
          <w:rFonts w:asciiTheme="majorHAnsi" w:hAnsiTheme="majorHAnsi" w:cs="Arial"/>
        </w:rPr>
        <w:t xml:space="preserve"> as an incentive to participate</w:t>
      </w:r>
      <w:r w:rsidR="0055723F" w:rsidRPr="000B5A31">
        <w:rPr>
          <w:rFonts w:asciiTheme="majorHAnsi" w:hAnsiTheme="majorHAnsi" w:cs="Arial"/>
        </w:rPr>
        <w:t>,</w:t>
      </w:r>
      <w:r w:rsidR="001202CD" w:rsidRPr="000B5A31">
        <w:rPr>
          <w:rFonts w:asciiTheme="majorHAnsi" w:hAnsiTheme="majorHAnsi" w:cs="Arial"/>
        </w:rPr>
        <w:t xml:space="preserve"> householders retain 25% of the savings arising from any measures installed</w:t>
      </w:r>
      <w:r w:rsidR="00AD0E48" w:rsidRPr="000B5A31">
        <w:rPr>
          <w:rFonts w:asciiTheme="majorHAnsi" w:hAnsiTheme="majorHAnsi" w:cs="Arial"/>
        </w:rPr>
        <w:t xml:space="preserve"> </w:t>
      </w:r>
      <w:r w:rsidR="0055723F" w:rsidRPr="000B5A31">
        <w:rPr>
          <w:rFonts w:asciiTheme="majorHAnsi" w:hAnsiTheme="majorHAnsi" w:cs="Arial"/>
        </w:rPr>
        <w:t xml:space="preserve">during the repayment period, </w:t>
      </w:r>
      <w:r w:rsidR="00AD0E48" w:rsidRPr="000B5A31">
        <w:rPr>
          <w:rFonts w:asciiTheme="majorHAnsi" w:hAnsiTheme="majorHAnsi" w:cs="Arial"/>
        </w:rPr>
        <w:t>with the remaining 75% diverted to the SPV</w:t>
      </w:r>
      <w:r w:rsidR="001202CD" w:rsidRPr="000B5A31">
        <w:rPr>
          <w:rFonts w:asciiTheme="majorHAnsi" w:hAnsiTheme="majorHAnsi" w:cs="Arial"/>
        </w:rPr>
        <w:t>.</w:t>
      </w:r>
      <w:r w:rsidR="0055723F" w:rsidRPr="000B5A31">
        <w:rPr>
          <w:rFonts w:asciiTheme="majorHAnsi" w:hAnsiTheme="majorHAnsi" w:cs="Arial"/>
        </w:rPr>
        <w:t xml:space="preserve">  Thereafter, households retain all of the savings.</w:t>
      </w:r>
      <w:r w:rsidR="001202CD" w:rsidRPr="000B5A31">
        <w:rPr>
          <w:rFonts w:asciiTheme="majorHAnsi" w:hAnsiTheme="majorHAnsi" w:cs="Arial"/>
        </w:rPr>
        <w:t xml:space="preserve"> Reflecting the base settings in the model</w:t>
      </w:r>
      <w:r w:rsidR="001640A2" w:rsidRPr="000B5A31">
        <w:rPr>
          <w:rFonts w:asciiTheme="majorHAnsi" w:hAnsiTheme="majorHAnsi" w:cs="Arial"/>
        </w:rPr>
        <w:t xml:space="preserve"> that generated the input data</w:t>
      </w:r>
      <w:r w:rsidR="001202CD" w:rsidRPr="000B5A31">
        <w:rPr>
          <w:rFonts w:asciiTheme="majorHAnsi" w:hAnsiTheme="majorHAnsi" w:cs="Arial"/>
        </w:rPr>
        <w:t xml:space="preserve">, </w:t>
      </w:r>
      <w:r w:rsidR="0055723F" w:rsidRPr="000B5A31">
        <w:rPr>
          <w:rFonts w:asciiTheme="majorHAnsi" w:hAnsiTheme="majorHAnsi" w:cs="Arial"/>
        </w:rPr>
        <w:t>it is assumed</w:t>
      </w:r>
      <w:r w:rsidR="001202CD" w:rsidRPr="000B5A31">
        <w:rPr>
          <w:rFonts w:asciiTheme="majorHAnsi" w:hAnsiTheme="majorHAnsi" w:cs="Arial"/>
        </w:rPr>
        <w:t xml:space="preserve"> that performance gaps are 41.6% and that rebound effects are 15% - in other words they assume that 56.6% of the technical energy savings potential of any measure is lost. </w:t>
      </w:r>
      <w:r w:rsidR="005B1D07" w:rsidRPr="000B5A31">
        <w:rPr>
          <w:rFonts w:asciiTheme="majorHAnsi" w:hAnsiTheme="majorHAnsi" w:cs="Arial"/>
        </w:rPr>
        <w:t xml:space="preserve">As more recent assessments have found that performance gaps and rebound effects are much lower than these levels (see Webber et al, </w:t>
      </w:r>
      <w:r w:rsidR="00F23029">
        <w:rPr>
          <w:rFonts w:asciiTheme="majorHAnsi" w:hAnsiTheme="majorHAnsi" w:cs="Arial"/>
        </w:rPr>
        <w:t>2015</w:t>
      </w:r>
      <w:r w:rsidR="005B1D07" w:rsidRPr="000B5A31">
        <w:rPr>
          <w:rFonts w:asciiTheme="majorHAnsi" w:hAnsiTheme="majorHAnsi" w:cs="Arial"/>
        </w:rPr>
        <w:t>), this means that the model may generate conservative predictions both of the financial viability of the revolving fund and the carbon savings that it might generate. The default settings</w:t>
      </w:r>
      <w:r w:rsidR="001202CD" w:rsidRPr="000B5A31">
        <w:rPr>
          <w:rFonts w:asciiTheme="majorHAnsi" w:hAnsiTheme="majorHAnsi" w:cs="Arial"/>
        </w:rPr>
        <w:t xml:space="preserve"> also assume that 5% of all households </w:t>
      </w:r>
      <w:r w:rsidR="00042397" w:rsidRPr="000B5A31">
        <w:rPr>
          <w:rFonts w:asciiTheme="majorHAnsi" w:hAnsiTheme="majorHAnsi" w:cs="Arial"/>
        </w:rPr>
        <w:t>default on their financial obligations</w:t>
      </w:r>
      <w:r w:rsidR="001202CD" w:rsidRPr="000B5A31">
        <w:rPr>
          <w:rFonts w:asciiTheme="majorHAnsi" w:hAnsiTheme="majorHAnsi" w:cs="Arial"/>
        </w:rPr>
        <w:t xml:space="preserve">, but that the SPV is still responsible for repaying any finance provided to these households. Finally, </w:t>
      </w:r>
      <w:r w:rsidR="00042397" w:rsidRPr="000B5A31">
        <w:rPr>
          <w:rFonts w:asciiTheme="majorHAnsi" w:hAnsiTheme="majorHAnsi" w:cs="Arial"/>
        </w:rPr>
        <w:t>it is assumed</w:t>
      </w:r>
      <w:r w:rsidR="001202CD" w:rsidRPr="000B5A31">
        <w:rPr>
          <w:rFonts w:asciiTheme="majorHAnsi" w:hAnsiTheme="majorHAnsi" w:cs="Arial"/>
        </w:rPr>
        <w:t xml:space="preserve"> that energy companies are paid 0.1% of the </w:t>
      </w:r>
      <w:r w:rsidR="001202CD" w:rsidRPr="000B5A31">
        <w:rPr>
          <w:rFonts w:asciiTheme="majorHAnsi" w:hAnsiTheme="majorHAnsi" w:cs="Arial"/>
        </w:rPr>
        <w:lastRenderedPageBreak/>
        <w:t xml:space="preserve">savings to pay for the administrative costs associated with collecting </w:t>
      </w:r>
      <w:r w:rsidR="00042397" w:rsidRPr="000B5A31">
        <w:rPr>
          <w:rFonts w:asciiTheme="majorHAnsi" w:hAnsiTheme="majorHAnsi" w:cs="Arial"/>
        </w:rPr>
        <w:t xml:space="preserve">repayments </w:t>
      </w:r>
      <w:r w:rsidR="001202CD" w:rsidRPr="000B5A31">
        <w:rPr>
          <w:rFonts w:asciiTheme="majorHAnsi" w:hAnsiTheme="majorHAnsi" w:cs="Arial"/>
        </w:rPr>
        <w:t>and feeding them back to the SPV.</w:t>
      </w:r>
    </w:p>
    <w:p w14:paraId="428DD906" w14:textId="77777777" w:rsidR="001202CD" w:rsidRPr="000B5A31" w:rsidRDefault="001202CD" w:rsidP="00AB0182">
      <w:pPr>
        <w:spacing w:line="480" w:lineRule="auto"/>
        <w:ind w:left="360"/>
        <w:rPr>
          <w:rFonts w:asciiTheme="majorHAnsi" w:hAnsiTheme="majorHAnsi" w:cs="Arial"/>
        </w:rPr>
      </w:pPr>
    </w:p>
    <w:p w14:paraId="56CB8B94" w14:textId="77777777" w:rsidR="00833186" w:rsidRPr="000B5A31" w:rsidRDefault="00344EAF" w:rsidP="000B5A31">
      <w:pPr>
        <w:spacing w:line="480" w:lineRule="auto"/>
        <w:rPr>
          <w:rFonts w:asciiTheme="majorHAnsi" w:hAnsiTheme="majorHAnsi" w:cs="Arial"/>
        </w:rPr>
      </w:pPr>
      <w:r w:rsidRPr="000B5A31">
        <w:rPr>
          <w:rFonts w:asciiTheme="majorHAnsi" w:hAnsiTheme="majorHAnsi" w:cs="Arial"/>
        </w:rPr>
        <w:t xml:space="preserve">While these values are adopted in the </w:t>
      </w:r>
      <w:r w:rsidR="00E512B5" w:rsidRPr="000B5A31">
        <w:rPr>
          <w:rFonts w:asciiTheme="majorHAnsi" w:hAnsiTheme="majorHAnsi" w:cs="Arial"/>
        </w:rPr>
        <w:t xml:space="preserve">baseline </w:t>
      </w:r>
      <w:r w:rsidRPr="000B5A31">
        <w:rPr>
          <w:rFonts w:asciiTheme="majorHAnsi" w:hAnsiTheme="majorHAnsi" w:cs="Arial"/>
        </w:rPr>
        <w:t>run of the model, w</w:t>
      </w:r>
      <w:r w:rsidR="00547CF0" w:rsidRPr="000B5A31">
        <w:rPr>
          <w:rFonts w:asciiTheme="majorHAnsi" w:hAnsiTheme="majorHAnsi" w:cs="Arial"/>
        </w:rPr>
        <w:t xml:space="preserve">e also examine some of the sensitivities in the analysis to help us to understand the most significant factors shaping these outcomes. </w:t>
      </w:r>
      <w:r w:rsidR="00833186" w:rsidRPr="000B5A31">
        <w:rPr>
          <w:rFonts w:asciiTheme="majorHAnsi" w:hAnsiTheme="majorHAnsi" w:cs="Arial"/>
        </w:rPr>
        <w:t>Specifically, we examine the effects of altering 5 key variables both individually</w:t>
      </w:r>
      <w:r w:rsidR="00E512B5" w:rsidRPr="000B5A31">
        <w:rPr>
          <w:rFonts w:asciiTheme="majorHAnsi" w:hAnsiTheme="majorHAnsi" w:cs="Arial"/>
        </w:rPr>
        <w:t>,</w:t>
      </w:r>
      <w:r w:rsidR="00833186" w:rsidRPr="000B5A31">
        <w:rPr>
          <w:rFonts w:asciiTheme="majorHAnsi" w:hAnsiTheme="majorHAnsi" w:cs="Arial"/>
        </w:rPr>
        <w:t xml:space="preserve"> whilst holding all other factors constant</w:t>
      </w:r>
      <w:r w:rsidR="00E512B5" w:rsidRPr="000B5A31">
        <w:rPr>
          <w:rFonts w:asciiTheme="majorHAnsi" w:hAnsiTheme="majorHAnsi" w:cs="Arial"/>
        </w:rPr>
        <w:t>,</w:t>
      </w:r>
      <w:r w:rsidR="00833186" w:rsidRPr="000B5A31">
        <w:rPr>
          <w:rFonts w:asciiTheme="majorHAnsi" w:hAnsiTheme="majorHAnsi" w:cs="Arial"/>
        </w:rPr>
        <w:t xml:space="preserve"> and in combination; </w:t>
      </w:r>
    </w:p>
    <w:p w14:paraId="59B682C8" w14:textId="77777777" w:rsidR="00833186" w:rsidRPr="000B5A31" w:rsidRDefault="00833186" w:rsidP="00AB0182">
      <w:pPr>
        <w:spacing w:line="480" w:lineRule="auto"/>
        <w:ind w:left="360"/>
        <w:rPr>
          <w:rFonts w:asciiTheme="majorHAnsi" w:hAnsiTheme="majorHAnsi" w:cs="Arial"/>
        </w:rPr>
      </w:pPr>
    </w:p>
    <w:p w14:paraId="49C42093" w14:textId="77777777" w:rsidR="00833186" w:rsidRPr="000B5A31" w:rsidRDefault="00833186" w:rsidP="00AB0182">
      <w:pPr>
        <w:pStyle w:val="ListParagraph"/>
        <w:numPr>
          <w:ilvl w:val="0"/>
          <w:numId w:val="32"/>
        </w:numPr>
        <w:spacing w:line="480" w:lineRule="auto"/>
        <w:rPr>
          <w:rFonts w:asciiTheme="majorHAnsi" w:hAnsiTheme="majorHAnsi"/>
        </w:rPr>
      </w:pPr>
      <w:r w:rsidRPr="000B5A31">
        <w:rPr>
          <w:rFonts w:asciiTheme="majorHAnsi" w:hAnsiTheme="majorHAnsi"/>
        </w:rPr>
        <w:t>Increasing (and reducing) energy prices from the central to the high and low energy price forecasts provided by DECC (2012b)</w:t>
      </w:r>
      <w:r w:rsidR="007A1B9C" w:rsidRPr="000B5A31">
        <w:rPr>
          <w:rFonts w:asciiTheme="majorHAnsi" w:hAnsiTheme="majorHAnsi"/>
        </w:rPr>
        <w:t>;</w:t>
      </w:r>
    </w:p>
    <w:p w14:paraId="04229327" w14:textId="77777777" w:rsidR="00833186" w:rsidRPr="000B5A31" w:rsidRDefault="009D766A" w:rsidP="00AB0182">
      <w:pPr>
        <w:pStyle w:val="ListParagraph"/>
        <w:numPr>
          <w:ilvl w:val="0"/>
          <w:numId w:val="32"/>
        </w:numPr>
        <w:spacing w:line="480" w:lineRule="auto"/>
        <w:rPr>
          <w:rFonts w:asciiTheme="majorHAnsi" w:hAnsiTheme="majorHAnsi"/>
        </w:rPr>
      </w:pPr>
      <w:r w:rsidRPr="000B5A31">
        <w:rPr>
          <w:rFonts w:asciiTheme="majorHAnsi" w:hAnsiTheme="majorHAnsi"/>
        </w:rPr>
        <w:t>I</w:t>
      </w:r>
      <w:r w:rsidR="00833186" w:rsidRPr="000B5A31">
        <w:rPr>
          <w:rFonts w:asciiTheme="majorHAnsi" w:hAnsiTheme="majorHAnsi"/>
        </w:rPr>
        <w:t xml:space="preserve">ncreasing (and reducing) the difference or spread between the SPV’s borrowing and </w:t>
      </w:r>
      <w:r w:rsidRPr="000B5A31">
        <w:rPr>
          <w:rFonts w:asciiTheme="majorHAnsi" w:hAnsiTheme="majorHAnsi"/>
        </w:rPr>
        <w:t>threshold</w:t>
      </w:r>
      <w:r w:rsidR="00833186" w:rsidRPr="000B5A31">
        <w:rPr>
          <w:rFonts w:asciiTheme="majorHAnsi" w:hAnsiTheme="majorHAnsi"/>
        </w:rPr>
        <w:t xml:space="preserve"> </w:t>
      </w:r>
      <w:r w:rsidR="007A4EB7" w:rsidRPr="000B5A31">
        <w:rPr>
          <w:rFonts w:asciiTheme="majorHAnsi" w:hAnsiTheme="majorHAnsi"/>
        </w:rPr>
        <w:t xml:space="preserve">IRR </w:t>
      </w:r>
      <w:r w:rsidR="00833186" w:rsidRPr="000B5A31">
        <w:rPr>
          <w:rFonts w:asciiTheme="majorHAnsi" w:hAnsiTheme="majorHAnsi"/>
        </w:rPr>
        <w:t>to 2%</w:t>
      </w:r>
      <w:r w:rsidR="00A4625B" w:rsidRPr="000B5A31">
        <w:rPr>
          <w:rFonts w:asciiTheme="majorHAnsi" w:hAnsiTheme="majorHAnsi"/>
        </w:rPr>
        <w:t xml:space="preserve"> (and 0%)</w:t>
      </w:r>
      <w:r w:rsidR="00FD1DEB" w:rsidRPr="000B5A31">
        <w:rPr>
          <w:rFonts w:asciiTheme="majorHAnsi" w:hAnsiTheme="majorHAnsi"/>
        </w:rPr>
        <w:t xml:space="preserve">; </w:t>
      </w:r>
    </w:p>
    <w:p w14:paraId="3D73FA49" w14:textId="77777777" w:rsidR="00833186" w:rsidRPr="000B5A31" w:rsidRDefault="002023CA" w:rsidP="00AB0182">
      <w:pPr>
        <w:pStyle w:val="ListParagraph"/>
        <w:numPr>
          <w:ilvl w:val="0"/>
          <w:numId w:val="32"/>
        </w:numPr>
        <w:spacing w:line="480" w:lineRule="auto"/>
        <w:rPr>
          <w:rFonts w:asciiTheme="majorHAnsi" w:hAnsiTheme="majorHAnsi"/>
        </w:rPr>
      </w:pPr>
      <w:r w:rsidRPr="000B5A31">
        <w:rPr>
          <w:rFonts w:asciiTheme="majorHAnsi" w:hAnsiTheme="majorHAnsi"/>
        </w:rPr>
        <w:t>I</w:t>
      </w:r>
      <w:r w:rsidR="00833186" w:rsidRPr="000B5A31">
        <w:rPr>
          <w:rFonts w:asciiTheme="majorHAnsi" w:hAnsiTheme="majorHAnsi"/>
        </w:rPr>
        <w:t>ncreasing (and reducing) performance</w:t>
      </w:r>
      <w:r w:rsidR="007A1B9C" w:rsidRPr="000B5A31">
        <w:rPr>
          <w:rFonts w:asciiTheme="majorHAnsi" w:hAnsiTheme="majorHAnsi"/>
        </w:rPr>
        <w:t xml:space="preserve"> gaps from 41.6% to 50% </w:t>
      </w:r>
      <w:r w:rsidR="004A0861" w:rsidRPr="000B5A31">
        <w:rPr>
          <w:rFonts w:asciiTheme="majorHAnsi" w:hAnsiTheme="majorHAnsi"/>
        </w:rPr>
        <w:t>(</w:t>
      </w:r>
      <w:r w:rsidR="007A1B9C" w:rsidRPr="000B5A31">
        <w:rPr>
          <w:rFonts w:asciiTheme="majorHAnsi" w:hAnsiTheme="majorHAnsi"/>
        </w:rPr>
        <w:t>and 30%</w:t>
      </w:r>
      <w:r w:rsidR="004A0861" w:rsidRPr="000B5A31">
        <w:rPr>
          <w:rFonts w:asciiTheme="majorHAnsi" w:hAnsiTheme="majorHAnsi"/>
        </w:rPr>
        <w:t>)</w:t>
      </w:r>
      <w:r w:rsidR="007A1B9C" w:rsidRPr="000B5A31">
        <w:rPr>
          <w:rFonts w:asciiTheme="majorHAnsi" w:hAnsiTheme="majorHAnsi"/>
        </w:rPr>
        <w:t>;</w:t>
      </w:r>
    </w:p>
    <w:p w14:paraId="2555A86D" w14:textId="77777777" w:rsidR="00833186" w:rsidRPr="000B5A31" w:rsidRDefault="002023CA" w:rsidP="00AB0182">
      <w:pPr>
        <w:pStyle w:val="ListParagraph"/>
        <w:numPr>
          <w:ilvl w:val="0"/>
          <w:numId w:val="32"/>
        </w:numPr>
        <w:spacing w:line="480" w:lineRule="auto"/>
        <w:rPr>
          <w:rFonts w:asciiTheme="majorHAnsi" w:hAnsiTheme="majorHAnsi"/>
        </w:rPr>
      </w:pPr>
      <w:r w:rsidRPr="000B5A31">
        <w:rPr>
          <w:rFonts w:asciiTheme="majorHAnsi" w:hAnsiTheme="majorHAnsi"/>
        </w:rPr>
        <w:t>I</w:t>
      </w:r>
      <w:r w:rsidR="00833186" w:rsidRPr="000B5A31">
        <w:rPr>
          <w:rFonts w:asciiTheme="majorHAnsi" w:hAnsiTheme="majorHAnsi"/>
        </w:rPr>
        <w:t xml:space="preserve">ncreasing (and reducing) </w:t>
      </w:r>
      <w:r w:rsidR="007A1B9C" w:rsidRPr="000B5A31">
        <w:rPr>
          <w:rFonts w:asciiTheme="majorHAnsi" w:hAnsiTheme="majorHAnsi"/>
        </w:rPr>
        <w:t xml:space="preserve">the level of savings retained by </w:t>
      </w:r>
      <w:r w:rsidR="00833186" w:rsidRPr="000B5A31">
        <w:rPr>
          <w:rFonts w:asciiTheme="majorHAnsi" w:hAnsiTheme="majorHAnsi"/>
        </w:rPr>
        <w:t xml:space="preserve">householders </w:t>
      </w:r>
      <w:r w:rsidR="007A1B9C" w:rsidRPr="000B5A31">
        <w:rPr>
          <w:rFonts w:asciiTheme="majorHAnsi" w:hAnsiTheme="majorHAnsi"/>
        </w:rPr>
        <w:t xml:space="preserve">whilst loans to the SPV are being repaid </w:t>
      </w:r>
      <w:r w:rsidR="00833186" w:rsidRPr="000B5A31">
        <w:rPr>
          <w:rFonts w:asciiTheme="majorHAnsi" w:hAnsiTheme="majorHAnsi"/>
        </w:rPr>
        <w:t xml:space="preserve">from 25% </w:t>
      </w:r>
      <w:r w:rsidR="007A1B9C" w:rsidRPr="000B5A31">
        <w:rPr>
          <w:rFonts w:asciiTheme="majorHAnsi" w:hAnsiTheme="majorHAnsi"/>
        </w:rPr>
        <w:t xml:space="preserve">to 30% </w:t>
      </w:r>
      <w:r w:rsidR="004A0861" w:rsidRPr="000B5A31">
        <w:rPr>
          <w:rFonts w:asciiTheme="majorHAnsi" w:hAnsiTheme="majorHAnsi"/>
        </w:rPr>
        <w:t>(</w:t>
      </w:r>
      <w:r w:rsidR="007A1B9C" w:rsidRPr="000B5A31">
        <w:rPr>
          <w:rFonts w:asciiTheme="majorHAnsi" w:hAnsiTheme="majorHAnsi"/>
        </w:rPr>
        <w:t>and 20%</w:t>
      </w:r>
      <w:r w:rsidR="004A0861" w:rsidRPr="000B5A31">
        <w:rPr>
          <w:rFonts w:asciiTheme="majorHAnsi" w:hAnsiTheme="majorHAnsi"/>
        </w:rPr>
        <w:t>)</w:t>
      </w:r>
      <w:r w:rsidR="007A1B9C" w:rsidRPr="000B5A31">
        <w:rPr>
          <w:rFonts w:asciiTheme="majorHAnsi" w:hAnsiTheme="majorHAnsi"/>
        </w:rPr>
        <w:t xml:space="preserve"> of estimated savings;</w:t>
      </w:r>
      <w:r w:rsidR="00833186" w:rsidRPr="000B5A31">
        <w:rPr>
          <w:rFonts w:asciiTheme="majorHAnsi" w:hAnsiTheme="majorHAnsi"/>
        </w:rPr>
        <w:t xml:space="preserve"> and </w:t>
      </w:r>
    </w:p>
    <w:p w14:paraId="622B1245" w14:textId="77777777" w:rsidR="00833186" w:rsidRPr="000B5A31" w:rsidRDefault="002023CA" w:rsidP="00AB0182">
      <w:pPr>
        <w:pStyle w:val="ListParagraph"/>
        <w:numPr>
          <w:ilvl w:val="0"/>
          <w:numId w:val="32"/>
        </w:numPr>
        <w:spacing w:line="480" w:lineRule="auto"/>
        <w:rPr>
          <w:rFonts w:asciiTheme="majorHAnsi" w:hAnsiTheme="majorHAnsi"/>
        </w:rPr>
      </w:pPr>
      <w:r w:rsidRPr="000B5A31">
        <w:rPr>
          <w:rFonts w:asciiTheme="majorHAnsi" w:hAnsiTheme="majorHAnsi"/>
        </w:rPr>
        <w:t>I</w:t>
      </w:r>
      <w:r w:rsidR="00833186" w:rsidRPr="000B5A31">
        <w:rPr>
          <w:rFonts w:asciiTheme="majorHAnsi" w:hAnsiTheme="majorHAnsi"/>
        </w:rPr>
        <w:t xml:space="preserve">ncreasing (and reducing) </w:t>
      </w:r>
      <w:r w:rsidRPr="000B5A31">
        <w:rPr>
          <w:rFonts w:asciiTheme="majorHAnsi" w:hAnsiTheme="majorHAnsi"/>
        </w:rPr>
        <w:t xml:space="preserve">the </w:t>
      </w:r>
      <w:r w:rsidR="00833186" w:rsidRPr="000B5A31">
        <w:rPr>
          <w:rFonts w:asciiTheme="majorHAnsi" w:hAnsiTheme="majorHAnsi"/>
        </w:rPr>
        <w:t xml:space="preserve">level of </w:t>
      </w:r>
      <w:r w:rsidRPr="000B5A31">
        <w:rPr>
          <w:rFonts w:asciiTheme="majorHAnsi" w:hAnsiTheme="majorHAnsi"/>
        </w:rPr>
        <w:t xml:space="preserve">household </w:t>
      </w:r>
      <w:r w:rsidR="00833186" w:rsidRPr="000B5A31">
        <w:rPr>
          <w:rFonts w:asciiTheme="majorHAnsi" w:hAnsiTheme="majorHAnsi"/>
        </w:rPr>
        <w:t xml:space="preserve">defaults from 5% to 7% </w:t>
      </w:r>
      <w:r w:rsidR="004A0861" w:rsidRPr="000B5A31">
        <w:rPr>
          <w:rFonts w:asciiTheme="majorHAnsi" w:hAnsiTheme="majorHAnsi"/>
        </w:rPr>
        <w:t>(</w:t>
      </w:r>
      <w:r w:rsidR="00833186" w:rsidRPr="000B5A31">
        <w:rPr>
          <w:rFonts w:asciiTheme="majorHAnsi" w:hAnsiTheme="majorHAnsi"/>
        </w:rPr>
        <w:t>and 3%</w:t>
      </w:r>
      <w:r w:rsidR="004A0861" w:rsidRPr="000B5A31">
        <w:rPr>
          <w:rFonts w:asciiTheme="majorHAnsi" w:hAnsiTheme="majorHAnsi"/>
        </w:rPr>
        <w:t>)</w:t>
      </w:r>
      <w:r w:rsidR="00833186" w:rsidRPr="000B5A31">
        <w:rPr>
          <w:rFonts w:asciiTheme="majorHAnsi" w:hAnsiTheme="majorHAnsi"/>
        </w:rPr>
        <w:t>.</w:t>
      </w:r>
    </w:p>
    <w:p w14:paraId="2968D582" w14:textId="77777777" w:rsidR="00547CF0" w:rsidRPr="000B5A31" w:rsidRDefault="00547CF0" w:rsidP="00AB0182">
      <w:pPr>
        <w:spacing w:line="480" w:lineRule="auto"/>
        <w:rPr>
          <w:rFonts w:asciiTheme="majorHAnsi" w:hAnsiTheme="majorHAnsi" w:cs="Arial"/>
        </w:rPr>
      </w:pPr>
    </w:p>
    <w:p w14:paraId="35D39A0B" w14:textId="77777777" w:rsidR="007A1B9C" w:rsidRPr="000B5A31" w:rsidRDefault="007A1B9C" w:rsidP="00AB0182">
      <w:pPr>
        <w:spacing w:line="480" w:lineRule="auto"/>
        <w:ind w:left="360"/>
        <w:rPr>
          <w:rFonts w:asciiTheme="majorHAnsi" w:hAnsiTheme="majorHAnsi" w:cs="Arial"/>
        </w:rPr>
      </w:pPr>
      <w:r w:rsidRPr="000B5A31">
        <w:rPr>
          <w:rFonts w:asciiTheme="majorHAnsi" w:hAnsiTheme="majorHAnsi" w:cs="Arial"/>
        </w:rPr>
        <w:t xml:space="preserve">Finally, to explore the potential for the fund to run in different ways, using the default settings we examine the impacts of three key variants in the design and operation of the fund on investment needs, financial viability and on the carbon savings it could achieve. </w:t>
      </w:r>
    </w:p>
    <w:p w14:paraId="11C96C38" w14:textId="77777777" w:rsidR="007A1B9C" w:rsidRPr="000B5A31" w:rsidRDefault="007A1B9C" w:rsidP="00AB0182">
      <w:pPr>
        <w:spacing w:line="480" w:lineRule="auto"/>
        <w:rPr>
          <w:rFonts w:asciiTheme="majorHAnsi" w:hAnsiTheme="majorHAnsi" w:cs="Arial"/>
        </w:rPr>
      </w:pPr>
    </w:p>
    <w:p w14:paraId="77495A1C" w14:textId="77777777" w:rsidR="007A1B9C" w:rsidRPr="000B5A31" w:rsidRDefault="007A1B9C" w:rsidP="00AB0182">
      <w:pPr>
        <w:spacing w:line="480" w:lineRule="auto"/>
        <w:ind w:left="360"/>
        <w:rPr>
          <w:rFonts w:asciiTheme="majorHAnsi" w:hAnsiTheme="majorHAnsi" w:cs="Arial"/>
        </w:rPr>
      </w:pPr>
      <w:r w:rsidRPr="000B5A31">
        <w:rPr>
          <w:rFonts w:asciiTheme="majorHAnsi" w:hAnsiTheme="majorHAnsi" w:cs="Arial"/>
        </w:rPr>
        <w:t xml:space="preserve">The first variant considers the implications of only funding measures with a particular payback period. Rather than funding all of the 23 measures mentioned above, we limit the measures that can be funded to those with 15, 10 and 5 year payback periods. </w:t>
      </w:r>
      <w:r w:rsidRPr="000B5A31">
        <w:rPr>
          <w:rFonts w:asciiTheme="majorHAnsi" w:hAnsiTheme="majorHAnsi" w:cs="Arial"/>
        </w:rPr>
        <w:lastRenderedPageBreak/>
        <w:t>Whi</w:t>
      </w:r>
      <w:r w:rsidR="00A10AAA" w:rsidRPr="000B5A31">
        <w:rPr>
          <w:rFonts w:asciiTheme="majorHAnsi" w:hAnsiTheme="majorHAnsi" w:cs="Arial"/>
        </w:rPr>
        <w:t>l</w:t>
      </w:r>
      <w:r w:rsidRPr="000B5A31">
        <w:rPr>
          <w:rFonts w:asciiTheme="majorHAnsi" w:hAnsiTheme="majorHAnsi" w:cs="Arial"/>
        </w:rPr>
        <w:t xml:space="preserve">st a fund seeking maximum carbon savings might fund all measures, a fund that seeks to minimize investment needs or maximize payback may focus only on measures with short payback periods. </w:t>
      </w:r>
    </w:p>
    <w:p w14:paraId="5412E619" w14:textId="77777777" w:rsidR="007A1B9C" w:rsidRPr="000B5A31" w:rsidRDefault="007A1B9C" w:rsidP="00AB0182">
      <w:pPr>
        <w:spacing w:line="480" w:lineRule="auto"/>
        <w:ind w:left="360"/>
        <w:rPr>
          <w:rFonts w:asciiTheme="majorHAnsi" w:hAnsiTheme="majorHAnsi" w:cs="Arial"/>
        </w:rPr>
      </w:pPr>
    </w:p>
    <w:p w14:paraId="741225B8" w14:textId="77777777" w:rsidR="007A1B9C" w:rsidRPr="000B5A31" w:rsidRDefault="007A1B9C" w:rsidP="00AB0182">
      <w:pPr>
        <w:spacing w:line="480" w:lineRule="auto"/>
        <w:ind w:left="360"/>
        <w:rPr>
          <w:rFonts w:asciiTheme="majorHAnsi" w:hAnsiTheme="majorHAnsi" w:cs="Arial"/>
        </w:rPr>
      </w:pPr>
      <w:r w:rsidRPr="000B5A31">
        <w:rPr>
          <w:rFonts w:asciiTheme="majorHAnsi" w:hAnsiTheme="majorHAnsi" w:cs="Arial"/>
        </w:rPr>
        <w:t xml:space="preserve">The second variant considers the impacts of changing the affordability of different inducements to householders. As participation in domestic retrofit schemes may be restricted by short-termism and risk aversity, we consider the implications of a voucher scheme that gives householders 10% of the total costs </w:t>
      </w:r>
      <w:r w:rsidR="00FD1DEB" w:rsidRPr="000B5A31">
        <w:rPr>
          <w:rFonts w:asciiTheme="majorHAnsi" w:hAnsiTheme="majorHAnsi" w:cs="Arial"/>
        </w:rPr>
        <w:t xml:space="preserve">of the measures installed </w:t>
      </w:r>
      <w:r w:rsidRPr="000B5A31">
        <w:rPr>
          <w:rFonts w:asciiTheme="majorHAnsi" w:hAnsiTheme="majorHAnsi" w:cs="Arial"/>
        </w:rPr>
        <w:t xml:space="preserve">as ‘cash-back’ when they agree to participate. This is in addition to the 25% of the value of the energy savings that they are assumed to retain </w:t>
      </w:r>
      <w:r w:rsidR="00C555FF" w:rsidRPr="000B5A31">
        <w:rPr>
          <w:rFonts w:asciiTheme="majorHAnsi" w:hAnsiTheme="majorHAnsi" w:cs="Arial"/>
        </w:rPr>
        <w:t>during the repayment period</w:t>
      </w:r>
      <w:r w:rsidRPr="000B5A31">
        <w:rPr>
          <w:rFonts w:asciiTheme="majorHAnsi" w:hAnsiTheme="majorHAnsi" w:cs="Arial"/>
        </w:rPr>
        <w:t xml:space="preserve"> and the 100% of savings that they retain </w:t>
      </w:r>
      <w:r w:rsidR="00C555FF" w:rsidRPr="000B5A31">
        <w:rPr>
          <w:rFonts w:asciiTheme="majorHAnsi" w:hAnsiTheme="majorHAnsi" w:cs="Arial"/>
        </w:rPr>
        <w:t>thereafter</w:t>
      </w:r>
      <w:r w:rsidRPr="000B5A31">
        <w:rPr>
          <w:rFonts w:asciiTheme="majorHAnsi" w:hAnsiTheme="majorHAnsi" w:cs="Arial"/>
        </w:rPr>
        <w:t xml:space="preserve">. To find ways of paying for such inducements, we also consider the implications of asking householders to pay back 10% of the energy savings estimated after </w:t>
      </w:r>
      <w:r w:rsidR="00C555FF" w:rsidRPr="000B5A31">
        <w:rPr>
          <w:rFonts w:asciiTheme="majorHAnsi" w:hAnsiTheme="majorHAnsi" w:cs="Arial"/>
        </w:rPr>
        <w:t>the repayment period</w:t>
      </w:r>
      <w:r w:rsidRPr="000B5A31">
        <w:rPr>
          <w:rFonts w:asciiTheme="majorHAnsi" w:hAnsiTheme="majorHAnsi" w:cs="Arial"/>
        </w:rPr>
        <w:t xml:space="preserve"> but for a maximum of ten years from the date of the initial </w:t>
      </w:r>
      <w:r w:rsidR="001640A2" w:rsidRPr="000B5A31">
        <w:rPr>
          <w:rFonts w:asciiTheme="majorHAnsi" w:hAnsiTheme="majorHAnsi" w:cs="Arial"/>
        </w:rPr>
        <w:t>investment</w:t>
      </w:r>
      <w:r w:rsidRPr="000B5A31">
        <w:rPr>
          <w:rFonts w:asciiTheme="majorHAnsi" w:hAnsiTheme="majorHAnsi" w:cs="Arial"/>
        </w:rPr>
        <w:t xml:space="preserve">. </w:t>
      </w:r>
    </w:p>
    <w:p w14:paraId="773DFF79" w14:textId="77777777" w:rsidR="007A1B9C" w:rsidRPr="000B5A31" w:rsidRDefault="007A1B9C" w:rsidP="00AB0182">
      <w:pPr>
        <w:spacing w:line="480" w:lineRule="auto"/>
        <w:ind w:left="360"/>
        <w:rPr>
          <w:rFonts w:asciiTheme="majorHAnsi" w:hAnsiTheme="majorHAnsi" w:cs="Arial"/>
        </w:rPr>
      </w:pPr>
    </w:p>
    <w:p w14:paraId="207EBA12" w14:textId="77777777" w:rsidR="007A1B9C" w:rsidRPr="000B5A31" w:rsidRDefault="007A1B9C" w:rsidP="00AB0182">
      <w:pPr>
        <w:spacing w:line="480" w:lineRule="auto"/>
        <w:ind w:left="360"/>
        <w:rPr>
          <w:rFonts w:asciiTheme="majorHAnsi" w:hAnsiTheme="majorHAnsi" w:cs="Arial"/>
        </w:rPr>
      </w:pPr>
      <w:r w:rsidRPr="000B5A31">
        <w:rPr>
          <w:rFonts w:asciiTheme="majorHAnsi" w:hAnsiTheme="majorHAnsi" w:cs="Arial"/>
        </w:rPr>
        <w:t xml:space="preserve">The third variant considers the implications of </w:t>
      </w:r>
      <w:r w:rsidR="00C555FF" w:rsidRPr="000B5A31">
        <w:rPr>
          <w:rFonts w:asciiTheme="majorHAnsi" w:hAnsiTheme="majorHAnsi" w:cs="Arial"/>
        </w:rPr>
        <w:t>assuming that</w:t>
      </w:r>
      <w:r w:rsidR="00623937" w:rsidRPr="000B5A31">
        <w:rPr>
          <w:rFonts w:asciiTheme="majorHAnsi" w:hAnsiTheme="majorHAnsi" w:cs="Arial"/>
        </w:rPr>
        <w:t xml:space="preserve"> households only pay back the capital that they have received, with no additional financing component. In this case, the government provides a subsidy to cover the financing costs of the SPV</w:t>
      </w:r>
      <w:r w:rsidR="00AD27D7" w:rsidRPr="000B5A31">
        <w:rPr>
          <w:rFonts w:asciiTheme="majorHAnsi" w:hAnsiTheme="majorHAnsi" w:cs="Arial"/>
        </w:rPr>
        <w:t>.</w:t>
      </w:r>
      <w:r w:rsidR="00623937" w:rsidRPr="000B5A31">
        <w:rPr>
          <w:rFonts w:asciiTheme="majorHAnsi" w:hAnsiTheme="majorHAnsi" w:cs="Arial"/>
        </w:rPr>
        <w:t xml:space="preserve"> In each period, </w:t>
      </w:r>
      <w:r w:rsidR="001640A2" w:rsidRPr="000B5A31">
        <w:rPr>
          <w:rFonts w:asciiTheme="majorHAnsi" w:hAnsiTheme="majorHAnsi" w:cs="Arial"/>
        </w:rPr>
        <w:t>government thus</w:t>
      </w:r>
      <w:r w:rsidR="00623937" w:rsidRPr="000B5A31">
        <w:rPr>
          <w:rFonts w:asciiTheme="majorHAnsi" w:hAnsiTheme="majorHAnsi" w:cs="Arial"/>
        </w:rPr>
        <w:t xml:space="preserve"> pays interest on the outstanding capital component of each measure to the SPV at the threshold IRR rate.</w:t>
      </w:r>
      <w:r w:rsidR="001640A2" w:rsidRPr="000B5A31">
        <w:rPr>
          <w:rFonts w:asciiTheme="majorHAnsi" w:hAnsiTheme="majorHAnsi" w:cs="Arial"/>
        </w:rPr>
        <w:t xml:space="preserve"> </w:t>
      </w:r>
      <w:r w:rsidRPr="000B5A31">
        <w:rPr>
          <w:rFonts w:asciiTheme="majorHAnsi" w:hAnsiTheme="majorHAnsi" w:cs="Arial"/>
        </w:rPr>
        <w:t xml:space="preserve">The case for such a subsidy comes from the public interest benefits that such investments would realize – for example in helping to reduce fuel poverty, improve public heath and reduce carbon emissions. </w:t>
      </w:r>
    </w:p>
    <w:p w14:paraId="38B51AC8" w14:textId="77777777" w:rsidR="007A1B9C" w:rsidRPr="000B5A31" w:rsidRDefault="007A1B9C" w:rsidP="00AB0182">
      <w:pPr>
        <w:spacing w:line="480" w:lineRule="auto"/>
        <w:ind w:left="360"/>
        <w:rPr>
          <w:rFonts w:asciiTheme="majorHAnsi" w:hAnsiTheme="majorHAnsi" w:cs="Arial"/>
        </w:rPr>
      </w:pPr>
    </w:p>
    <w:p w14:paraId="75A22947" w14:textId="748820F7" w:rsidR="00B2074B" w:rsidRDefault="0069412A" w:rsidP="00F23029">
      <w:pPr>
        <w:spacing w:line="480" w:lineRule="auto"/>
        <w:ind w:left="360"/>
        <w:rPr>
          <w:rFonts w:asciiTheme="majorHAnsi" w:hAnsiTheme="majorHAnsi" w:cs="Arial"/>
          <w:b/>
        </w:rPr>
      </w:pPr>
      <w:r>
        <w:rPr>
          <w:rFonts w:asciiTheme="majorHAnsi" w:hAnsiTheme="majorHAnsi" w:cs="Arial"/>
          <w:b/>
        </w:rPr>
        <w:t>3</w:t>
      </w:r>
      <w:r w:rsidR="000B5A31">
        <w:rPr>
          <w:rFonts w:asciiTheme="majorHAnsi" w:hAnsiTheme="majorHAnsi" w:cs="Arial"/>
          <w:b/>
        </w:rPr>
        <w:t xml:space="preserve">. </w:t>
      </w:r>
      <w:r w:rsidR="00B54288" w:rsidRPr="000B5A31">
        <w:rPr>
          <w:rFonts w:asciiTheme="majorHAnsi" w:hAnsiTheme="majorHAnsi" w:cs="Arial"/>
          <w:b/>
        </w:rPr>
        <w:t xml:space="preserve">Results </w:t>
      </w:r>
    </w:p>
    <w:p w14:paraId="2565885C" w14:textId="77777777" w:rsidR="00F23029" w:rsidRPr="00B91686" w:rsidRDefault="00F23029" w:rsidP="00F23029">
      <w:pPr>
        <w:spacing w:line="480" w:lineRule="auto"/>
        <w:ind w:left="360"/>
        <w:rPr>
          <w:rFonts w:asciiTheme="majorHAnsi" w:hAnsiTheme="majorHAnsi" w:cs="Arial"/>
        </w:rPr>
      </w:pPr>
    </w:p>
    <w:p w14:paraId="65BC1B2F" w14:textId="6A421D0E" w:rsidR="00664FB5" w:rsidRPr="00B91686" w:rsidRDefault="00105CE3" w:rsidP="00AB0182">
      <w:pPr>
        <w:spacing w:line="480" w:lineRule="auto"/>
        <w:ind w:left="360"/>
        <w:rPr>
          <w:rFonts w:asciiTheme="majorHAnsi" w:hAnsiTheme="majorHAnsi" w:cs="Arial"/>
        </w:rPr>
      </w:pPr>
      <w:r>
        <w:rPr>
          <w:rFonts w:asciiTheme="majorHAnsi" w:hAnsiTheme="majorHAnsi" w:cs="Arial"/>
        </w:rPr>
        <w:t>3.1 Main f</w:t>
      </w:r>
      <w:r w:rsidR="00664FB5" w:rsidRPr="00B91686">
        <w:rPr>
          <w:rFonts w:asciiTheme="majorHAnsi" w:hAnsiTheme="majorHAnsi" w:cs="Arial"/>
        </w:rPr>
        <w:t xml:space="preserve">indings </w:t>
      </w:r>
    </w:p>
    <w:p w14:paraId="691691C2" w14:textId="7C6BC6F1" w:rsidR="007A4EB7" w:rsidRPr="000B5A31" w:rsidRDefault="00FA29CF" w:rsidP="00AB0182">
      <w:pPr>
        <w:spacing w:line="480" w:lineRule="auto"/>
        <w:ind w:left="360"/>
        <w:rPr>
          <w:rFonts w:asciiTheme="majorHAnsi" w:hAnsiTheme="majorHAnsi" w:cs="Arial"/>
        </w:rPr>
      </w:pPr>
      <w:r w:rsidRPr="000B5A31">
        <w:rPr>
          <w:rFonts w:asciiTheme="majorHAnsi" w:hAnsiTheme="majorHAnsi" w:cs="Arial"/>
        </w:rPr>
        <w:t xml:space="preserve">Under the </w:t>
      </w:r>
      <w:r w:rsidR="001D6A3D" w:rsidRPr="000B5A31">
        <w:rPr>
          <w:rFonts w:asciiTheme="majorHAnsi" w:hAnsiTheme="majorHAnsi" w:cs="Arial"/>
        </w:rPr>
        <w:t>default</w:t>
      </w:r>
      <w:r w:rsidR="00D42E45" w:rsidRPr="000B5A31">
        <w:rPr>
          <w:rFonts w:asciiTheme="majorHAnsi" w:hAnsiTheme="majorHAnsi" w:cs="Arial"/>
        </w:rPr>
        <w:t xml:space="preserve"> </w:t>
      </w:r>
      <w:r w:rsidRPr="000B5A31">
        <w:rPr>
          <w:rFonts w:asciiTheme="majorHAnsi" w:hAnsiTheme="majorHAnsi" w:cs="Arial"/>
        </w:rPr>
        <w:t>settings</w:t>
      </w:r>
      <w:r w:rsidR="001D6A3D" w:rsidRPr="000B5A31">
        <w:rPr>
          <w:rFonts w:asciiTheme="majorHAnsi" w:hAnsiTheme="majorHAnsi" w:cs="Arial"/>
        </w:rPr>
        <w:t xml:space="preserve"> set out above</w:t>
      </w:r>
      <w:r w:rsidR="00D42E45" w:rsidRPr="000B5A31">
        <w:rPr>
          <w:rFonts w:asciiTheme="majorHAnsi" w:hAnsiTheme="majorHAnsi" w:cs="Arial"/>
        </w:rPr>
        <w:t>, t</w:t>
      </w:r>
      <w:r w:rsidR="00344EAF" w:rsidRPr="000B5A31">
        <w:rPr>
          <w:rFonts w:asciiTheme="majorHAnsi" w:hAnsiTheme="majorHAnsi" w:cs="Arial"/>
        </w:rPr>
        <w:t xml:space="preserve">he results show that </w:t>
      </w:r>
      <w:r w:rsidR="00D128F0" w:rsidRPr="000B5A31">
        <w:rPr>
          <w:rFonts w:asciiTheme="majorHAnsi" w:hAnsiTheme="majorHAnsi" w:cs="Arial"/>
        </w:rPr>
        <w:t xml:space="preserve">the </w:t>
      </w:r>
      <w:r w:rsidR="00344EAF" w:rsidRPr="000B5A31">
        <w:rPr>
          <w:rFonts w:asciiTheme="majorHAnsi" w:hAnsiTheme="majorHAnsi" w:cs="Arial"/>
        </w:rPr>
        <w:t xml:space="preserve">total </w:t>
      </w:r>
      <w:r w:rsidR="00310AE6" w:rsidRPr="000B5A31">
        <w:rPr>
          <w:rFonts w:asciiTheme="majorHAnsi" w:hAnsiTheme="majorHAnsi" w:cs="Arial"/>
        </w:rPr>
        <w:t xml:space="preserve">funding </w:t>
      </w:r>
      <w:r w:rsidR="00FC61B3" w:rsidRPr="000B5A31">
        <w:rPr>
          <w:rFonts w:asciiTheme="majorHAnsi" w:hAnsiTheme="majorHAnsi" w:cs="Arial"/>
        </w:rPr>
        <w:t>required</w:t>
      </w:r>
      <w:r w:rsidR="00344EAF" w:rsidRPr="000B5A31">
        <w:rPr>
          <w:rFonts w:asciiTheme="majorHAnsi" w:hAnsiTheme="majorHAnsi" w:cs="Arial"/>
        </w:rPr>
        <w:t xml:space="preserve"> to exploit the full realistic potential of all </w:t>
      </w:r>
      <w:r w:rsidR="00B86246" w:rsidRPr="000B5A31">
        <w:rPr>
          <w:rFonts w:asciiTheme="majorHAnsi" w:hAnsiTheme="majorHAnsi" w:cs="Arial"/>
        </w:rPr>
        <w:t>2</w:t>
      </w:r>
      <w:r w:rsidR="004A0861" w:rsidRPr="000B5A31">
        <w:rPr>
          <w:rFonts w:asciiTheme="majorHAnsi" w:hAnsiTheme="majorHAnsi" w:cs="Arial"/>
        </w:rPr>
        <w:t>3</w:t>
      </w:r>
      <w:r w:rsidR="00B86246" w:rsidRPr="000B5A31">
        <w:rPr>
          <w:rFonts w:asciiTheme="majorHAnsi" w:hAnsiTheme="majorHAnsi" w:cs="Arial"/>
        </w:rPr>
        <w:t xml:space="preserve"> </w:t>
      </w:r>
      <w:r w:rsidR="00344EAF" w:rsidRPr="000B5A31">
        <w:rPr>
          <w:rFonts w:asciiTheme="majorHAnsi" w:hAnsiTheme="majorHAnsi" w:cs="Arial"/>
        </w:rPr>
        <w:t xml:space="preserve">measures </w:t>
      </w:r>
      <w:r w:rsidR="00B86246" w:rsidRPr="000B5A31">
        <w:rPr>
          <w:rFonts w:asciiTheme="majorHAnsi" w:hAnsiTheme="majorHAnsi" w:cs="Arial"/>
        </w:rPr>
        <w:t xml:space="preserve">shown in Table 1 </w:t>
      </w:r>
      <w:r w:rsidR="00344EAF" w:rsidRPr="000B5A31">
        <w:rPr>
          <w:rFonts w:asciiTheme="majorHAnsi" w:hAnsiTheme="majorHAnsi" w:cs="Arial"/>
        </w:rPr>
        <w:t>acro</w:t>
      </w:r>
      <w:r w:rsidR="004427B9" w:rsidRPr="000B5A31">
        <w:rPr>
          <w:rFonts w:asciiTheme="majorHAnsi" w:hAnsiTheme="majorHAnsi" w:cs="Arial"/>
        </w:rPr>
        <w:t>ss the UK would be £3</w:t>
      </w:r>
      <w:r w:rsidR="001A01C8" w:rsidRPr="000B5A31">
        <w:rPr>
          <w:rFonts w:asciiTheme="majorHAnsi" w:hAnsiTheme="majorHAnsi" w:cs="Arial"/>
        </w:rPr>
        <w:t>3</w:t>
      </w:r>
      <w:r w:rsidR="002F1B13" w:rsidRPr="000B5A31">
        <w:rPr>
          <w:rFonts w:asciiTheme="majorHAnsi" w:hAnsiTheme="majorHAnsi" w:cs="Arial"/>
        </w:rPr>
        <w:t>.</w:t>
      </w:r>
      <w:r w:rsidR="004427B9" w:rsidRPr="000B5A31">
        <w:rPr>
          <w:rFonts w:asciiTheme="majorHAnsi" w:hAnsiTheme="majorHAnsi" w:cs="Arial"/>
        </w:rPr>
        <w:t>7</w:t>
      </w:r>
      <w:r w:rsidR="00344EAF" w:rsidRPr="000B5A31">
        <w:rPr>
          <w:rFonts w:asciiTheme="majorHAnsi" w:hAnsiTheme="majorHAnsi" w:cs="Arial"/>
        </w:rPr>
        <w:t xml:space="preserve"> billion. </w:t>
      </w:r>
      <w:r w:rsidR="00D128F0" w:rsidRPr="000B5A31">
        <w:rPr>
          <w:rFonts w:asciiTheme="majorHAnsi" w:hAnsiTheme="majorHAnsi" w:cs="Arial"/>
        </w:rPr>
        <w:t xml:space="preserve">Obviously this is a very substantial level of investment, but critically </w:t>
      </w:r>
      <w:r w:rsidR="00942AA0" w:rsidRPr="000B5A31">
        <w:rPr>
          <w:rFonts w:asciiTheme="majorHAnsi" w:hAnsiTheme="majorHAnsi" w:cs="Arial"/>
        </w:rPr>
        <w:t xml:space="preserve">the results suggest that </w:t>
      </w:r>
      <w:r w:rsidR="00B86246" w:rsidRPr="000B5A31">
        <w:rPr>
          <w:rFonts w:asciiTheme="majorHAnsi" w:hAnsiTheme="majorHAnsi" w:cs="Arial"/>
        </w:rPr>
        <w:t xml:space="preserve">while </w:t>
      </w:r>
      <w:r w:rsidR="004427B9" w:rsidRPr="000B5A31">
        <w:rPr>
          <w:rFonts w:asciiTheme="majorHAnsi" w:hAnsiTheme="majorHAnsi" w:cs="Arial"/>
        </w:rPr>
        <w:t>£2</w:t>
      </w:r>
      <w:r w:rsidR="001A01C8" w:rsidRPr="000B5A31">
        <w:rPr>
          <w:rFonts w:asciiTheme="majorHAnsi" w:hAnsiTheme="majorHAnsi" w:cs="Arial"/>
        </w:rPr>
        <w:t>4.8</w:t>
      </w:r>
      <w:r w:rsidR="00942AA0" w:rsidRPr="000B5A31">
        <w:rPr>
          <w:rFonts w:asciiTheme="majorHAnsi" w:hAnsiTheme="majorHAnsi" w:cs="Arial"/>
        </w:rPr>
        <w:t xml:space="preserve"> billion of this total would need </w:t>
      </w:r>
      <w:r w:rsidR="004427B9" w:rsidRPr="000B5A31">
        <w:rPr>
          <w:rFonts w:asciiTheme="majorHAnsi" w:hAnsiTheme="majorHAnsi" w:cs="Arial"/>
        </w:rPr>
        <w:t>to come from new capital, £</w:t>
      </w:r>
      <w:r w:rsidR="001A01C8" w:rsidRPr="000B5A31">
        <w:rPr>
          <w:rFonts w:asciiTheme="majorHAnsi" w:hAnsiTheme="majorHAnsi" w:cs="Arial"/>
        </w:rPr>
        <w:t>8.</w:t>
      </w:r>
      <w:r w:rsidR="004427B9" w:rsidRPr="000B5A31">
        <w:rPr>
          <w:rFonts w:asciiTheme="majorHAnsi" w:hAnsiTheme="majorHAnsi" w:cs="Arial"/>
        </w:rPr>
        <w:t>9</w:t>
      </w:r>
      <w:r w:rsidR="00942AA0" w:rsidRPr="000B5A31">
        <w:rPr>
          <w:rFonts w:asciiTheme="majorHAnsi" w:hAnsiTheme="majorHAnsi" w:cs="Arial"/>
        </w:rPr>
        <w:t xml:space="preserve"> billion could come from recycled investment based on savings that were recovered and reinvested. </w:t>
      </w:r>
      <w:r w:rsidR="00547CF0" w:rsidRPr="000B5A31">
        <w:rPr>
          <w:rFonts w:asciiTheme="majorHAnsi" w:hAnsiTheme="majorHAnsi" w:cs="Arial"/>
        </w:rPr>
        <w:t>The results show that r</w:t>
      </w:r>
      <w:r w:rsidR="00942AA0" w:rsidRPr="000B5A31">
        <w:rPr>
          <w:rFonts w:asciiTheme="majorHAnsi" w:hAnsiTheme="majorHAnsi" w:cs="Arial"/>
        </w:rPr>
        <w:t>ecycled inve</w:t>
      </w:r>
      <w:r w:rsidR="00A25427" w:rsidRPr="000B5A31">
        <w:rPr>
          <w:rFonts w:asciiTheme="majorHAnsi" w:hAnsiTheme="majorHAnsi" w:cs="Arial"/>
        </w:rPr>
        <w:t>stm</w:t>
      </w:r>
      <w:r w:rsidR="004427B9" w:rsidRPr="000B5A31">
        <w:rPr>
          <w:rFonts w:asciiTheme="majorHAnsi" w:hAnsiTheme="majorHAnsi" w:cs="Arial"/>
        </w:rPr>
        <w:t>ent could therefore make up 2</w:t>
      </w:r>
      <w:r w:rsidR="001A01C8" w:rsidRPr="000B5A31">
        <w:rPr>
          <w:rFonts w:asciiTheme="majorHAnsi" w:hAnsiTheme="majorHAnsi" w:cs="Arial"/>
        </w:rPr>
        <w:t>6</w:t>
      </w:r>
      <w:r w:rsidR="004427B9" w:rsidRPr="000B5A31">
        <w:rPr>
          <w:rFonts w:asciiTheme="majorHAnsi" w:hAnsiTheme="majorHAnsi" w:cs="Arial"/>
        </w:rPr>
        <w:t>.4</w:t>
      </w:r>
      <w:r w:rsidR="00942AA0" w:rsidRPr="000B5A31">
        <w:rPr>
          <w:rFonts w:asciiTheme="majorHAnsi" w:hAnsiTheme="majorHAnsi" w:cs="Arial"/>
        </w:rPr>
        <w:t>% of the total investment needs</w:t>
      </w:r>
      <w:r w:rsidR="00B86246" w:rsidRPr="000B5A31">
        <w:rPr>
          <w:rFonts w:asciiTheme="majorHAnsi" w:hAnsiTheme="majorHAnsi" w:cs="Arial"/>
        </w:rPr>
        <w:t xml:space="preserve"> over the lifetime of the fund</w:t>
      </w:r>
      <w:r w:rsidR="00942AA0" w:rsidRPr="000B5A31">
        <w:rPr>
          <w:rFonts w:asciiTheme="majorHAnsi" w:hAnsiTheme="majorHAnsi" w:cs="Arial"/>
        </w:rPr>
        <w:t>.</w:t>
      </w:r>
      <w:r w:rsidR="00D128F0" w:rsidRPr="000B5A31">
        <w:rPr>
          <w:rFonts w:asciiTheme="majorHAnsi" w:hAnsiTheme="majorHAnsi" w:cs="Arial"/>
        </w:rPr>
        <w:t xml:space="preserve"> </w:t>
      </w:r>
    </w:p>
    <w:p w14:paraId="21E2C12E" w14:textId="77777777" w:rsidR="00810D34" w:rsidRPr="000B5A31" w:rsidRDefault="00810D34" w:rsidP="00AB0182">
      <w:pPr>
        <w:spacing w:line="480" w:lineRule="auto"/>
        <w:ind w:left="360"/>
        <w:rPr>
          <w:rFonts w:asciiTheme="majorHAnsi" w:hAnsiTheme="majorHAnsi" w:cs="Arial"/>
        </w:rPr>
      </w:pPr>
    </w:p>
    <w:p w14:paraId="1319C54D" w14:textId="3E0B91F8" w:rsidR="00B86246" w:rsidRPr="000B5A31" w:rsidRDefault="00A25427" w:rsidP="00AB0182">
      <w:pPr>
        <w:spacing w:line="480" w:lineRule="auto"/>
        <w:ind w:left="360"/>
        <w:rPr>
          <w:rFonts w:asciiTheme="majorHAnsi" w:hAnsiTheme="majorHAnsi" w:cs="Arial"/>
        </w:rPr>
      </w:pPr>
      <w:r w:rsidRPr="000B5A31">
        <w:rPr>
          <w:rFonts w:asciiTheme="majorHAnsi" w:hAnsiTheme="majorHAnsi" w:cs="Arial"/>
        </w:rPr>
        <w:t xml:space="preserve">The capital flows associated with this </w:t>
      </w:r>
      <w:r w:rsidR="009E7FF3" w:rsidRPr="000B5A31">
        <w:rPr>
          <w:rFonts w:asciiTheme="majorHAnsi" w:hAnsiTheme="majorHAnsi" w:cs="Arial"/>
        </w:rPr>
        <w:t>calibration</w:t>
      </w:r>
      <w:r w:rsidRPr="000B5A31">
        <w:rPr>
          <w:rFonts w:asciiTheme="majorHAnsi" w:hAnsiTheme="majorHAnsi" w:cs="Arial"/>
        </w:rPr>
        <w:t xml:space="preserve"> </w:t>
      </w:r>
      <w:r w:rsidR="00A541BB" w:rsidRPr="000B5A31">
        <w:rPr>
          <w:rFonts w:asciiTheme="majorHAnsi" w:hAnsiTheme="majorHAnsi" w:cs="Arial"/>
        </w:rPr>
        <w:t xml:space="preserve">of the model </w:t>
      </w:r>
      <w:r w:rsidRPr="000B5A31">
        <w:rPr>
          <w:rFonts w:asciiTheme="majorHAnsi" w:hAnsiTheme="majorHAnsi" w:cs="Arial"/>
        </w:rPr>
        <w:t xml:space="preserve">are presented in Figure 2. This shows that new investment of £1.5 billion </w:t>
      </w:r>
      <w:r w:rsidR="001640A2" w:rsidRPr="000B5A31">
        <w:rPr>
          <w:rFonts w:asciiTheme="majorHAnsi" w:hAnsiTheme="majorHAnsi" w:cs="Arial"/>
        </w:rPr>
        <w:t xml:space="preserve">of new capital </w:t>
      </w:r>
      <w:r w:rsidRPr="000B5A31">
        <w:rPr>
          <w:rFonts w:asciiTheme="majorHAnsi" w:hAnsiTheme="majorHAnsi" w:cs="Arial"/>
        </w:rPr>
        <w:t>would be required every year for the first 1</w:t>
      </w:r>
      <w:r w:rsidR="009448A2" w:rsidRPr="000B5A31">
        <w:rPr>
          <w:rFonts w:asciiTheme="majorHAnsi" w:hAnsiTheme="majorHAnsi" w:cs="Arial"/>
        </w:rPr>
        <w:t>2</w:t>
      </w:r>
      <w:r w:rsidRPr="000B5A31">
        <w:rPr>
          <w:rFonts w:asciiTheme="majorHAnsi" w:hAnsiTheme="majorHAnsi" w:cs="Arial"/>
        </w:rPr>
        <w:t xml:space="preserve"> years, but that the savings that these investments generate </w:t>
      </w:r>
      <w:r w:rsidR="00A541BB" w:rsidRPr="000B5A31">
        <w:rPr>
          <w:rFonts w:asciiTheme="majorHAnsi" w:hAnsiTheme="majorHAnsi" w:cs="Arial"/>
        </w:rPr>
        <w:t xml:space="preserve">– that would total </w:t>
      </w:r>
      <w:r w:rsidR="001A5CC0" w:rsidRPr="000B5A31">
        <w:rPr>
          <w:rFonts w:asciiTheme="majorHAnsi" w:hAnsiTheme="majorHAnsi" w:cs="Arial"/>
        </w:rPr>
        <w:t xml:space="preserve">over </w:t>
      </w:r>
      <w:r w:rsidR="00A541BB" w:rsidRPr="000B5A31">
        <w:rPr>
          <w:rFonts w:asciiTheme="majorHAnsi" w:hAnsiTheme="majorHAnsi" w:cs="Arial"/>
        </w:rPr>
        <w:t>£</w:t>
      </w:r>
      <w:r w:rsidR="001A5CC0" w:rsidRPr="000B5A31">
        <w:rPr>
          <w:rFonts w:asciiTheme="majorHAnsi" w:hAnsiTheme="majorHAnsi" w:cs="Arial"/>
        </w:rPr>
        <w:t>3</w:t>
      </w:r>
      <w:r w:rsidR="00A541BB" w:rsidRPr="000B5A31">
        <w:rPr>
          <w:rFonts w:asciiTheme="majorHAnsi" w:hAnsiTheme="majorHAnsi" w:cs="Arial"/>
        </w:rPr>
        <w:t xml:space="preserve"> billion </w:t>
      </w:r>
      <w:r w:rsidR="001A5CC0" w:rsidRPr="000B5A31">
        <w:rPr>
          <w:rFonts w:asciiTheme="majorHAnsi" w:hAnsiTheme="majorHAnsi" w:cs="Arial"/>
        </w:rPr>
        <w:t xml:space="preserve">from </w:t>
      </w:r>
      <w:r w:rsidR="00A541BB" w:rsidRPr="000B5A31">
        <w:rPr>
          <w:rFonts w:asciiTheme="majorHAnsi" w:hAnsiTheme="majorHAnsi" w:cs="Arial"/>
        </w:rPr>
        <w:t xml:space="preserve">year 5 </w:t>
      </w:r>
      <w:r w:rsidR="005430D7" w:rsidRPr="000B5A31">
        <w:rPr>
          <w:rFonts w:asciiTheme="majorHAnsi" w:hAnsiTheme="majorHAnsi" w:cs="Arial"/>
        </w:rPr>
        <w:t xml:space="preserve">and for much of the 40 years of its functional life </w:t>
      </w:r>
      <w:r w:rsidR="00A541BB" w:rsidRPr="000B5A31">
        <w:rPr>
          <w:rFonts w:asciiTheme="majorHAnsi" w:hAnsiTheme="majorHAnsi" w:cs="Arial"/>
        </w:rPr>
        <w:t xml:space="preserve">- </w:t>
      </w:r>
      <w:r w:rsidRPr="000B5A31">
        <w:rPr>
          <w:rFonts w:asciiTheme="majorHAnsi" w:hAnsiTheme="majorHAnsi" w:cs="Arial"/>
        </w:rPr>
        <w:t xml:space="preserve">would allow </w:t>
      </w:r>
      <w:r w:rsidR="001A5CC0" w:rsidRPr="000B5A31">
        <w:rPr>
          <w:rFonts w:asciiTheme="majorHAnsi" w:hAnsiTheme="majorHAnsi" w:cs="Arial"/>
        </w:rPr>
        <w:t xml:space="preserve">the proportion of the total savings captured and reinvested by the SPV </w:t>
      </w:r>
      <w:r w:rsidRPr="000B5A31">
        <w:rPr>
          <w:rFonts w:asciiTheme="majorHAnsi" w:hAnsiTheme="majorHAnsi" w:cs="Arial"/>
        </w:rPr>
        <w:t xml:space="preserve">to grow to a peak of nearly £1.2 billion in year 5. Critically, all available opportunities </w:t>
      </w:r>
      <w:r w:rsidR="005430D7" w:rsidRPr="000B5A31">
        <w:rPr>
          <w:rFonts w:asciiTheme="majorHAnsi" w:hAnsiTheme="majorHAnsi" w:cs="Arial"/>
        </w:rPr>
        <w:t xml:space="preserve">for investment in the 23 energy efficiency and low carbon measures in the domestic sector </w:t>
      </w:r>
      <w:r w:rsidRPr="000B5A31">
        <w:rPr>
          <w:rFonts w:asciiTheme="majorHAnsi" w:hAnsiTheme="majorHAnsi" w:cs="Arial"/>
        </w:rPr>
        <w:t>wo</w:t>
      </w:r>
      <w:r w:rsidR="004427B9" w:rsidRPr="000B5A31">
        <w:rPr>
          <w:rFonts w:asciiTheme="majorHAnsi" w:hAnsiTheme="majorHAnsi" w:cs="Arial"/>
        </w:rPr>
        <w:t>uld be fully exploited within 1</w:t>
      </w:r>
      <w:r w:rsidR="009448A2" w:rsidRPr="000B5A31">
        <w:rPr>
          <w:rFonts w:asciiTheme="majorHAnsi" w:hAnsiTheme="majorHAnsi" w:cs="Arial"/>
        </w:rPr>
        <w:t>8</w:t>
      </w:r>
      <w:r w:rsidRPr="000B5A31">
        <w:rPr>
          <w:rFonts w:asciiTheme="majorHAnsi" w:hAnsiTheme="majorHAnsi" w:cs="Arial"/>
        </w:rPr>
        <w:t xml:space="preserve"> years</w:t>
      </w:r>
      <w:r w:rsidR="005430D7" w:rsidRPr="000B5A31">
        <w:rPr>
          <w:rFonts w:asciiTheme="majorHAnsi" w:hAnsiTheme="majorHAnsi" w:cs="Arial"/>
        </w:rPr>
        <w:t xml:space="preserve">. </w:t>
      </w:r>
      <w:r w:rsidR="00105CE3">
        <w:rPr>
          <w:rFonts w:asciiTheme="majorHAnsi" w:hAnsiTheme="majorHAnsi"/>
        </w:rPr>
        <w:t xml:space="preserve">Annual savings increase after 15 years once expensive measures such as solid wall insulation have been fully exploited. After this point, investment is diverted to more cost-effective options with more rapid economic paybacks. </w:t>
      </w:r>
      <w:r w:rsidR="005430D7" w:rsidRPr="000B5A31">
        <w:rPr>
          <w:rFonts w:asciiTheme="majorHAnsi" w:hAnsiTheme="majorHAnsi" w:cs="Arial"/>
        </w:rPr>
        <w:t>A</w:t>
      </w:r>
      <w:r w:rsidR="00A541BB" w:rsidRPr="000B5A31">
        <w:rPr>
          <w:rFonts w:asciiTheme="majorHAnsi" w:hAnsiTheme="majorHAnsi" w:cs="Arial"/>
        </w:rPr>
        <w:t xml:space="preserve">fter </w:t>
      </w:r>
      <w:r w:rsidR="00895B96" w:rsidRPr="000B5A31">
        <w:rPr>
          <w:rFonts w:asciiTheme="majorHAnsi" w:hAnsiTheme="majorHAnsi" w:cs="Arial"/>
        </w:rPr>
        <w:t>this time,</w:t>
      </w:r>
      <w:r w:rsidR="00A541BB" w:rsidRPr="000B5A31">
        <w:rPr>
          <w:rFonts w:asciiTheme="majorHAnsi" w:hAnsiTheme="majorHAnsi" w:cs="Arial"/>
        </w:rPr>
        <w:t xml:space="preserve"> the SPV would not need either any new capital or to retain and reinvest any on-going savings. This would allow it to significantly accelerate its repayments to its original investors and to become debt free after </w:t>
      </w:r>
      <w:r w:rsidR="004427B9" w:rsidRPr="000B5A31">
        <w:rPr>
          <w:rFonts w:asciiTheme="majorHAnsi" w:hAnsiTheme="majorHAnsi" w:cs="Arial"/>
        </w:rPr>
        <w:t>38</w:t>
      </w:r>
      <w:r w:rsidR="0068068F" w:rsidRPr="000B5A31">
        <w:rPr>
          <w:rFonts w:asciiTheme="majorHAnsi" w:hAnsiTheme="majorHAnsi" w:cs="Arial"/>
        </w:rPr>
        <w:t xml:space="preserve"> years. </w:t>
      </w:r>
    </w:p>
    <w:p w14:paraId="5EB2C84D" w14:textId="77777777" w:rsidR="00C71C04" w:rsidRPr="000B5A31" w:rsidRDefault="00C71C04" w:rsidP="00AB0182">
      <w:pPr>
        <w:spacing w:line="480" w:lineRule="auto"/>
        <w:rPr>
          <w:rFonts w:asciiTheme="majorHAnsi" w:hAnsiTheme="majorHAnsi" w:cs="Arial"/>
        </w:rPr>
      </w:pPr>
    </w:p>
    <w:p w14:paraId="0BBB2E0F" w14:textId="64660C44" w:rsidR="00B86246" w:rsidRDefault="00547CF0" w:rsidP="00AB0182">
      <w:pPr>
        <w:spacing w:line="480" w:lineRule="auto"/>
        <w:ind w:left="360"/>
        <w:rPr>
          <w:rFonts w:asciiTheme="majorHAnsi" w:hAnsiTheme="majorHAnsi" w:cs="Arial"/>
        </w:rPr>
      </w:pPr>
      <w:r w:rsidRPr="000B5A31">
        <w:rPr>
          <w:rFonts w:asciiTheme="majorHAnsi" w:hAnsiTheme="majorHAnsi" w:cs="Arial"/>
        </w:rPr>
        <w:lastRenderedPageBreak/>
        <w:t>The</w:t>
      </w:r>
      <w:r w:rsidR="008C1A6A" w:rsidRPr="000B5A31">
        <w:rPr>
          <w:rFonts w:asciiTheme="majorHAnsi" w:hAnsiTheme="majorHAnsi" w:cs="Arial"/>
        </w:rPr>
        <w:t xml:space="preserve"> </w:t>
      </w:r>
      <w:r w:rsidRPr="000B5A31">
        <w:rPr>
          <w:rFonts w:asciiTheme="majorHAnsi" w:hAnsiTheme="majorHAnsi" w:cs="Arial"/>
        </w:rPr>
        <w:t xml:space="preserve">levels of </w:t>
      </w:r>
      <w:r w:rsidR="008C1A6A" w:rsidRPr="000B5A31">
        <w:rPr>
          <w:rFonts w:asciiTheme="majorHAnsi" w:hAnsiTheme="majorHAnsi" w:cs="Arial"/>
        </w:rPr>
        <w:t>carbon savings arising from these investments are depicted in Figure 3.</w:t>
      </w:r>
      <w:r w:rsidRPr="000B5A31">
        <w:rPr>
          <w:rFonts w:asciiTheme="majorHAnsi" w:hAnsiTheme="majorHAnsi" w:cs="Arial"/>
        </w:rPr>
        <w:t xml:space="preserve"> </w:t>
      </w:r>
      <w:r w:rsidR="00B86246" w:rsidRPr="000B5A31">
        <w:rPr>
          <w:rFonts w:asciiTheme="majorHAnsi" w:hAnsiTheme="majorHAnsi" w:cs="Arial"/>
        </w:rPr>
        <w:t xml:space="preserve">The </w:t>
      </w:r>
      <w:r w:rsidR="008C1A6A" w:rsidRPr="000B5A31">
        <w:rPr>
          <w:rFonts w:asciiTheme="majorHAnsi" w:hAnsiTheme="majorHAnsi" w:cs="Arial"/>
        </w:rPr>
        <w:t xml:space="preserve">graph shows </w:t>
      </w:r>
      <w:r w:rsidR="00B86246" w:rsidRPr="000B5A31">
        <w:rPr>
          <w:rFonts w:asciiTheme="majorHAnsi" w:hAnsiTheme="majorHAnsi" w:cs="Arial"/>
        </w:rPr>
        <w:t>that</w:t>
      </w:r>
      <w:r w:rsidR="008C1A6A" w:rsidRPr="000B5A31">
        <w:rPr>
          <w:rFonts w:asciiTheme="majorHAnsi" w:hAnsiTheme="majorHAnsi" w:cs="Arial"/>
        </w:rPr>
        <w:t xml:space="preserve"> </w:t>
      </w:r>
      <w:r w:rsidR="00B86246" w:rsidRPr="000B5A31">
        <w:rPr>
          <w:rFonts w:asciiTheme="majorHAnsi" w:hAnsiTheme="majorHAnsi" w:cs="Arial"/>
        </w:rPr>
        <w:t xml:space="preserve">these investments would reduce domestic carbon emissions in the UK by </w:t>
      </w:r>
      <w:r w:rsidR="0015171F" w:rsidRPr="000B5A31">
        <w:rPr>
          <w:rFonts w:asciiTheme="majorHAnsi" w:hAnsiTheme="majorHAnsi" w:cs="Arial"/>
        </w:rPr>
        <w:t xml:space="preserve">up to </w:t>
      </w:r>
      <w:r w:rsidR="00C8204B" w:rsidRPr="000B5A31">
        <w:rPr>
          <w:rFonts w:asciiTheme="majorHAnsi" w:hAnsiTheme="majorHAnsi" w:cs="Arial"/>
        </w:rPr>
        <w:t>9</w:t>
      </w:r>
      <w:r w:rsidR="0015171F" w:rsidRPr="000B5A31">
        <w:rPr>
          <w:rFonts w:asciiTheme="majorHAnsi" w:hAnsiTheme="majorHAnsi" w:cs="Arial"/>
        </w:rPr>
        <w:t>.3</w:t>
      </w:r>
      <w:r w:rsidR="00C8204B" w:rsidRPr="000B5A31">
        <w:rPr>
          <w:rFonts w:asciiTheme="majorHAnsi" w:hAnsiTheme="majorHAnsi" w:cs="Arial"/>
        </w:rPr>
        <w:t xml:space="preserve"> megatonnes</w:t>
      </w:r>
      <w:r w:rsidR="00B86246" w:rsidRPr="000B5A31">
        <w:rPr>
          <w:rFonts w:asciiTheme="majorHAnsi" w:hAnsiTheme="majorHAnsi" w:cs="Arial"/>
        </w:rPr>
        <w:t xml:space="preserve"> </w:t>
      </w:r>
      <w:r w:rsidR="00C8204B" w:rsidRPr="000B5A31">
        <w:rPr>
          <w:rFonts w:asciiTheme="majorHAnsi" w:hAnsiTheme="majorHAnsi" w:cs="Arial"/>
        </w:rPr>
        <w:t xml:space="preserve">(MT) </w:t>
      </w:r>
      <w:r w:rsidR="00B86246" w:rsidRPr="000B5A31">
        <w:rPr>
          <w:rFonts w:asciiTheme="majorHAnsi" w:hAnsiTheme="majorHAnsi" w:cs="Arial"/>
        </w:rPr>
        <w:t>per year, which equates to c6.</w:t>
      </w:r>
      <w:r w:rsidR="0015171F" w:rsidRPr="000B5A31">
        <w:rPr>
          <w:rFonts w:asciiTheme="majorHAnsi" w:hAnsiTheme="majorHAnsi" w:cs="Arial"/>
        </w:rPr>
        <w:t>7</w:t>
      </w:r>
      <w:r w:rsidR="00B86246" w:rsidRPr="000B5A31">
        <w:rPr>
          <w:rFonts w:asciiTheme="majorHAnsi" w:hAnsiTheme="majorHAnsi" w:cs="Arial"/>
        </w:rPr>
        <w:t>% of their 2012 level</w:t>
      </w:r>
      <w:r w:rsidR="006D6328">
        <w:rPr>
          <w:rFonts w:asciiTheme="majorHAnsi" w:hAnsiTheme="majorHAnsi" w:cs="Arial"/>
        </w:rPr>
        <w:t>. In 2012, the average level of emissions per home was 5 tonnes (DECC, 2013</w:t>
      </w:r>
      <w:r w:rsidR="00C42E9F">
        <w:rPr>
          <w:rFonts w:asciiTheme="majorHAnsi" w:hAnsiTheme="majorHAnsi" w:cs="Arial"/>
        </w:rPr>
        <w:t>a</w:t>
      </w:r>
      <w:r w:rsidR="006D6328">
        <w:rPr>
          <w:rFonts w:asciiTheme="majorHAnsi" w:hAnsiTheme="majorHAnsi" w:cs="Arial"/>
        </w:rPr>
        <w:t xml:space="preserve">), and so the </w:t>
      </w:r>
      <w:r w:rsidR="00B066A1">
        <w:rPr>
          <w:rFonts w:asciiTheme="majorHAnsi" w:hAnsiTheme="majorHAnsi" w:cs="Arial"/>
        </w:rPr>
        <w:t xml:space="preserve">peak </w:t>
      </w:r>
      <w:r w:rsidR="006D6328">
        <w:rPr>
          <w:rFonts w:asciiTheme="majorHAnsi" w:hAnsiTheme="majorHAnsi" w:cs="Arial"/>
        </w:rPr>
        <w:t xml:space="preserve">annual savings generated from these investments would be </w:t>
      </w:r>
      <w:r w:rsidR="006F698D">
        <w:rPr>
          <w:rFonts w:asciiTheme="majorHAnsi" w:hAnsiTheme="majorHAnsi" w:cs="Arial"/>
        </w:rPr>
        <w:t xml:space="preserve">equivalent to the </w:t>
      </w:r>
      <w:r w:rsidR="00107D17">
        <w:rPr>
          <w:rFonts w:asciiTheme="majorHAnsi" w:hAnsiTheme="majorHAnsi" w:cs="Arial"/>
        </w:rPr>
        <w:t>2012 level of</w:t>
      </w:r>
      <w:r w:rsidR="006F698D">
        <w:rPr>
          <w:rFonts w:asciiTheme="majorHAnsi" w:hAnsiTheme="majorHAnsi" w:cs="Arial"/>
        </w:rPr>
        <w:t xml:space="preserve"> emissions from </w:t>
      </w:r>
      <w:r w:rsidR="006D6328">
        <w:rPr>
          <w:rFonts w:asciiTheme="majorHAnsi" w:hAnsiTheme="majorHAnsi" w:cs="Arial"/>
        </w:rPr>
        <w:t xml:space="preserve">1.86 million </w:t>
      </w:r>
      <w:r w:rsidR="006F698D">
        <w:rPr>
          <w:rFonts w:asciiTheme="majorHAnsi" w:hAnsiTheme="majorHAnsi" w:cs="Arial"/>
        </w:rPr>
        <w:t>homes</w:t>
      </w:r>
      <w:r w:rsidR="00B86246" w:rsidRPr="000B5A31">
        <w:rPr>
          <w:rFonts w:asciiTheme="majorHAnsi" w:hAnsiTheme="majorHAnsi" w:cs="Arial"/>
        </w:rPr>
        <w:t xml:space="preserve">. </w:t>
      </w:r>
      <w:r w:rsidR="008C1A6A" w:rsidRPr="000B5A31">
        <w:rPr>
          <w:rFonts w:asciiTheme="majorHAnsi" w:hAnsiTheme="majorHAnsi" w:cs="Arial"/>
        </w:rPr>
        <w:t xml:space="preserve">This level of reduction would be approached after 12 years when most investments have been made – however it would decline over time </w:t>
      </w:r>
      <w:r w:rsidR="003B2FD0" w:rsidRPr="000B5A31">
        <w:rPr>
          <w:rFonts w:asciiTheme="majorHAnsi" w:hAnsiTheme="majorHAnsi" w:cs="Arial"/>
        </w:rPr>
        <w:t xml:space="preserve">as the carbon intensity of electricity falls and </w:t>
      </w:r>
      <w:r w:rsidR="008C1A6A" w:rsidRPr="000B5A31">
        <w:rPr>
          <w:rFonts w:asciiTheme="majorHAnsi" w:hAnsiTheme="majorHAnsi" w:cs="Arial"/>
        </w:rPr>
        <w:t>as some of the measures reach the</w:t>
      </w:r>
      <w:r w:rsidR="003B2FD0" w:rsidRPr="000B5A31">
        <w:rPr>
          <w:rFonts w:asciiTheme="majorHAnsi" w:hAnsiTheme="majorHAnsi" w:cs="Arial"/>
        </w:rPr>
        <w:t xml:space="preserve"> end of their operating life</w:t>
      </w:r>
      <w:r w:rsidR="007A4EB7" w:rsidRPr="000B5A31">
        <w:rPr>
          <w:rFonts w:asciiTheme="majorHAnsi" w:hAnsiTheme="majorHAnsi" w:cs="Arial"/>
        </w:rPr>
        <w:t xml:space="preserve">; a feature that is </w:t>
      </w:r>
      <w:r w:rsidR="003B2FD0" w:rsidRPr="000B5A31">
        <w:rPr>
          <w:rFonts w:asciiTheme="majorHAnsi" w:hAnsiTheme="majorHAnsi" w:cs="Arial"/>
        </w:rPr>
        <w:t>particularly evident after 40 years</w:t>
      </w:r>
      <w:r w:rsidR="008C1A6A" w:rsidRPr="000B5A31">
        <w:rPr>
          <w:rFonts w:asciiTheme="majorHAnsi" w:hAnsiTheme="majorHAnsi" w:cs="Arial"/>
        </w:rPr>
        <w:t xml:space="preserve">. </w:t>
      </w:r>
      <w:r w:rsidR="00A6719B" w:rsidRPr="000B5A31">
        <w:rPr>
          <w:rFonts w:asciiTheme="majorHAnsi" w:hAnsiTheme="majorHAnsi" w:cs="Arial"/>
        </w:rPr>
        <w:t>The results also show that over the lifetime of the investments, total carbon savings of 3</w:t>
      </w:r>
      <w:r w:rsidR="0015171F" w:rsidRPr="000B5A31">
        <w:rPr>
          <w:rFonts w:asciiTheme="majorHAnsi" w:hAnsiTheme="majorHAnsi" w:cs="Arial"/>
        </w:rPr>
        <w:t>5</w:t>
      </w:r>
      <w:r w:rsidR="00A6719B" w:rsidRPr="000B5A31">
        <w:rPr>
          <w:rFonts w:asciiTheme="majorHAnsi" w:hAnsiTheme="majorHAnsi" w:cs="Arial"/>
        </w:rPr>
        <w:t>3 MT would be generated.</w:t>
      </w:r>
    </w:p>
    <w:p w14:paraId="7F7B0675" w14:textId="77777777" w:rsidR="00664FB5" w:rsidRDefault="00664FB5" w:rsidP="00AB0182">
      <w:pPr>
        <w:spacing w:line="480" w:lineRule="auto"/>
        <w:ind w:left="360"/>
        <w:rPr>
          <w:rFonts w:asciiTheme="majorHAnsi" w:hAnsiTheme="majorHAnsi" w:cs="Arial"/>
        </w:rPr>
      </w:pPr>
    </w:p>
    <w:p w14:paraId="26E2A122" w14:textId="56F5A942" w:rsidR="00B86246" w:rsidRPr="00B91686" w:rsidRDefault="00105CE3" w:rsidP="00664FB5">
      <w:pPr>
        <w:spacing w:line="480" w:lineRule="auto"/>
        <w:ind w:left="360"/>
        <w:rPr>
          <w:rFonts w:asciiTheme="majorHAnsi" w:hAnsiTheme="majorHAnsi" w:cs="Arial"/>
        </w:rPr>
      </w:pPr>
      <w:r>
        <w:rPr>
          <w:rFonts w:asciiTheme="majorHAnsi" w:hAnsiTheme="majorHAnsi" w:cs="Arial"/>
        </w:rPr>
        <w:t>3.2 Sensitivity a</w:t>
      </w:r>
      <w:r w:rsidR="00664FB5" w:rsidRPr="00B91686">
        <w:rPr>
          <w:rFonts w:asciiTheme="majorHAnsi" w:hAnsiTheme="majorHAnsi" w:cs="Arial"/>
        </w:rPr>
        <w:t>nalysis</w:t>
      </w:r>
    </w:p>
    <w:p w14:paraId="5F4C6B38" w14:textId="77777777" w:rsidR="006D10BA" w:rsidRPr="000B5A31" w:rsidRDefault="00547CF0" w:rsidP="00AB0182">
      <w:pPr>
        <w:spacing w:line="480" w:lineRule="auto"/>
        <w:ind w:left="360"/>
        <w:rPr>
          <w:rFonts w:asciiTheme="majorHAnsi" w:hAnsiTheme="majorHAnsi" w:cs="Arial"/>
        </w:rPr>
      </w:pPr>
      <w:r w:rsidRPr="000B5A31">
        <w:rPr>
          <w:rFonts w:asciiTheme="majorHAnsi" w:hAnsiTheme="majorHAnsi" w:cs="Arial"/>
        </w:rPr>
        <w:t xml:space="preserve">The results of the sensitivity analysis described above are </w:t>
      </w:r>
      <w:r w:rsidR="00C8204B" w:rsidRPr="000B5A31">
        <w:rPr>
          <w:rFonts w:asciiTheme="majorHAnsi" w:hAnsiTheme="majorHAnsi" w:cs="Arial"/>
        </w:rPr>
        <w:t xml:space="preserve">set out in Table 3. As can be seen, </w:t>
      </w:r>
      <w:r w:rsidR="006504EC" w:rsidRPr="000B5A31">
        <w:rPr>
          <w:rFonts w:asciiTheme="majorHAnsi" w:hAnsiTheme="majorHAnsi" w:cs="Arial"/>
        </w:rPr>
        <w:t xml:space="preserve">increasing energy prices, widening the spread between borrowing and </w:t>
      </w:r>
      <w:r w:rsidR="007A4EB7" w:rsidRPr="000B5A31">
        <w:rPr>
          <w:rFonts w:asciiTheme="majorHAnsi" w:hAnsiTheme="majorHAnsi" w:cs="Arial"/>
        </w:rPr>
        <w:t>the SPV</w:t>
      </w:r>
      <w:r w:rsidR="001640A2" w:rsidRPr="000B5A31">
        <w:rPr>
          <w:rFonts w:asciiTheme="majorHAnsi" w:hAnsiTheme="majorHAnsi" w:cs="Arial"/>
        </w:rPr>
        <w:t xml:space="preserve"> </w:t>
      </w:r>
      <w:r w:rsidR="00F91A0D" w:rsidRPr="000B5A31">
        <w:rPr>
          <w:rFonts w:asciiTheme="majorHAnsi" w:hAnsiTheme="majorHAnsi" w:cs="Arial"/>
        </w:rPr>
        <w:t>thre</w:t>
      </w:r>
      <w:r w:rsidR="007A4EB7" w:rsidRPr="000B5A31">
        <w:rPr>
          <w:rFonts w:asciiTheme="majorHAnsi" w:hAnsiTheme="majorHAnsi" w:cs="Arial"/>
        </w:rPr>
        <w:t>shold IRR,</w:t>
      </w:r>
      <w:r w:rsidR="00AF11D6" w:rsidRPr="000B5A31">
        <w:rPr>
          <w:rFonts w:asciiTheme="majorHAnsi" w:hAnsiTheme="majorHAnsi" w:cs="Arial"/>
        </w:rPr>
        <w:t xml:space="preserve"> </w:t>
      </w:r>
      <w:r w:rsidR="007A4EB7" w:rsidRPr="000B5A31">
        <w:rPr>
          <w:rFonts w:asciiTheme="majorHAnsi" w:hAnsiTheme="majorHAnsi" w:cs="Arial"/>
        </w:rPr>
        <w:t xml:space="preserve">and </w:t>
      </w:r>
      <w:r w:rsidR="006504EC" w:rsidRPr="000B5A31">
        <w:rPr>
          <w:rFonts w:asciiTheme="majorHAnsi" w:hAnsiTheme="majorHAnsi" w:cs="Arial"/>
        </w:rPr>
        <w:t xml:space="preserve">lowering performance gaps </w:t>
      </w:r>
      <w:r w:rsidR="007A4EB7" w:rsidRPr="000B5A31">
        <w:rPr>
          <w:rFonts w:asciiTheme="majorHAnsi" w:hAnsiTheme="majorHAnsi" w:cs="Arial"/>
        </w:rPr>
        <w:t xml:space="preserve">all </w:t>
      </w:r>
      <w:r w:rsidR="006504EC" w:rsidRPr="000B5A31">
        <w:rPr>
          <w:rFonts w:asciiTheme="majorHAnsi" w:hAnsiTheme="majorHAnsi" w:cs="Arial"/>
        </w:rPr>
        <w:t xml:space="preserve">result in shorter </w:t>
      </w:r>
      <w:r w:rsidR="00AF11D6" w:rsidRPr="000B5A31">
        <w:rPr>
          <w:rFonts w:asciiTheme="majorHAnsi" w:hAnsiTheme="majorHAnsi" w:cs="Arial"/>
        </w:rPr>
        <w:t>payback times from the SPV</w:t>
      </w:r>
      <w:r w:rsidR="006504EC" w:rsidRPr="000B5A31">
        <w:rPr>
          <w:rFonts w:asciiTheme="majorHAnsi" w:hAnsiTheme="majorHAnsi" w:cs="Arial"/>
        </w:rPr>
        <w:t xml:space="preserve"> to the investors</w:t>
      </w:r>
      <w:r w:rsidR="007A4EB7" w:rsidRPr="000B5A31">
        <w:rPr>
          <w:rFonts w:asciiTheme="majorHAnsi" w:hAnsiTheme="majorHAnsi" w:cs="Arial"/>
        </w:rPr>
        <w:t>.  These are now</w:t>
      </w:r>
      <w:r w:rsidR="006504EC" w:rsidRPr="000B5A31">
        <w:rPr>
          <w:rFonts w:asciiTheme="majorHAnsi" w:hAnsiTheme="majorHAnsi" w:cs="Arial"/>
        </w:rPr>
        <w:t xml:space="preserve"> 32, 34</w:t>
      </w:r>
      <w:r w:rsidR="00AF11D6" w:rsidRPr="000B5A31">
        <w:rPr>
          <w:rFonts w:asciiTheme="majorHAnsi" w:hAnsiTheme="majorHAnsi" w:cs="Arial"/>
        </w:rPr>
        <w:t xml:space="preserve"> </w:t>
      </w:r>
      <w:r w:rsidR="007A4EB7" w:rsidRPr="000B5A31">
        <w:rPr>
          <w:rFonts w:asciiTheme="majorHAnsi" w:hAnsiTheme="majorHAnsi" w:cs="Arial"/>
        </w:rPr>
        <w:t xml:space="preserve">and </w:t>
      </w:r>
      <w:r w:rsidR="006504EC" w:rsidRPr="000B5A31">
        <w:rPr>
          <w:rFonts w:asciiTheme="majorHAnsi" w:hAnsiTheme="majorHAnsi" w:cs="Arial"/>
        </w:rPr>
        <w:t xml:space="preserve">30 years respectively. </w:t>
      </w:r>
      <w:r w:rsidR="00632FCD" w:rsidRPr="000B5A31">
        <w:rPr>
          <w:rFonts w:asciiTheme="majorHAnsi" w:hAnsiTheme="majorHAnsi" w:cs="Arial"/>
        </w:rPr>
        <w:t xml:space="preserve">However, </w:t>
      </w:r>
      <w:r w:rsidR="004E15AF" w:rsidRPr="000B5A31">
        <w:rPr>
          <w:rFonts w:asciiTheme="majorHAnsi" w:hAnsiTheme="majorHAnsi" w:cs="Arial"/>
        </w:rPr>
        <w:t xml:space="preserve">increasing </w:t>
      </w:r>
      <w:r w:rsidR="00F91A0D" w:rsidRPr="000B5A31">
        <w:rPr>
          <w:rFonts w:asciiTheme="majorHAnsi" w:hAnsiTheme="majorHAnsi" w:cs="Arial"/>
        </w:rPr>
        <w:t>the thre</w:t>
      </w:r>
      <w:r w:rsidR="007A4EB7" w:rsidRPr="000B5A31">
        <w:rPr>
          <w:rFonts w:asciiTheme="majorHAnsi" w:hAnsiTheme="majorHAnsi" w:cs="Arial"/>
        </w:rPr>
        <w:t xml:space="preserve">shold IRR </w:t>
      </w:r>
      <w:r w:rsidR="004E15AF" w:rsidRPr="000B5A31">
        <w:rPr>
          <w:rFonts w:asciiTheme="majorHAnsi" w:hAnsiTheme="majorHAnsi" w:cs="Arial"/>
        </w:rPr>
        <w:t xml:space="preserve">may have a significant effect on householder participation. There may therefore be </w:t>
      </w:r>
      <w:r w:rsidR="00C8204B" w:rsidRPr="000B5A31">
        <w:rPr>
          <w:rFonts w:asciiTheme="majorHAnsi" w:hAnsiTheme="majorHAnsi" w:cs="Arial"/>
        </w:rPr>
        <w:t xml:space="preserve">a </w:t>
      </w:r>
      <w:r w:rsidR="004E15AF" w:rsidRPr="000B5A31">
        <w:rPr>
          <w:rFonts w:asciiTheme="majorHAnsi" w:hAnsiTheme="majorHAnsi" w:cs="Arial"/>
        </w:rPr>
        <w:t xml:space="preserve">case for public support for </w:t>
      </w:r>
      <w:r w:rsidR="00C8204B" w:rsidRPr="000B5A31">
        <w:rPr>
          <w:rFonts w:asciiTheme="majorHAnsi" w:hAnsiTheme="majorHAnsi" w:cs="Arial"/>
        </w:rPr>
        <w:t xml:space="preserve">the </w:t>
      </w:r>
      <w:r w:rsidR="00CD2298" w:rsidRPr="000B5A31">
        <w:rPr>
          <w:rFonts w:asciiTheme="majorHAnsi" w:hAnsiTheme="majorHAnsi" w:cs="Arial"/>
        </w:rPr>
        <w:t>government</w:t>
      </w:r>
      <w:r w:rsidR="00C8204B" w:rsidRPr="000B5A31">
        <w:rPr>
          <w:rFonts w:asciiTheme="majorHAnsi" w:hAnsiTheme="majorHAnsi" w:cs="Arial"/>
        </w:rPr>
        <w:t xml:space="preserve"> to make </w:t>
      </w:r>
      <w:r w:rsidR="00CD2298" w:rsidRPr="000B5A31">
        <w:rPr>
          <w:rFonts w:asciiTheme="majorHAnsi" w:hAnsiTheme="majorHAnsi" w:cs="Arial"/>
        </w:rPr>
        <w:t>financial support</w:t>
      </w:r>
      <w:r w:rsidR="004E15AF" w:rsidRPr="000B5A31">
        <w:rPr>
          <w:rFonts w:asciiTheme="majorHAnsi" w:hAnsiTheme="majorHAnsi" w:cs="Arial"/>
        </w:rPr>
        <w:t xml:space="preserve"> that </w:t>
      </w:r>
      <w:r w:rsidR="00C8204B" w:rsidRPr="000B5A31">
        <w:rPr>
          <w:rFonts w:asciiTheme="majorHAnsi" w:hAnsiTheme="majorHAnsi" w:cs="Arial"/>
        </w:rPr>
        <w:t>enhance</w:t>
      </w:r>
      <w:r w:rsidR="00CD2298" w:rsidRPr="000B5A31">
        <w:rPr>
          <w:rFonts w:asciiTheme="majorHAnsi" w:hAnsiTheme="majorHAnsi" w:cs="Arial"/>
        </w:rPr>
        <w:t>s</w:t>
      </w:r>
      <w:r w:rsidR="00C8204B" w:rsidRPr="000B5A31">
        <w:rPr>
          <w:rFonts w:asciiTheme="majorHAnsi" w:hAnsiTheme="majorHAnsi" w:cs="Arial"/>
        </w:rPr>
        <w:t xml:space="preserve"> the viability of </w:t>
      </w:r>
      <w:r w:rsidR="00CD2298" w:rsidRPr="000B5A31">
        <w:rPr>
          <w:rFonts w:asciiTheme="majorHAnsi" w:hAnsiTheme="majorHAnsi" w:cs="Arial"/>
        </w:rPr>
        <w:t xml:space="preserve">the revolving </w:t>
      </w:r>
      <w:r w:rsidR="00C8204B" w:rsidRPr="000B5A31">
        <w:rPr>
          <w:rFonts w:asciiTheme="majorHAnsi" w:hAnsiTheme="majorHAnsi" w:cs="Arial"/>
        </w:rPr>
        <w:t>fund without reducing levels of participation</w:t>
      </w:r>
      <w:r w:rsidR="00CD2298" w:rsidRPr="000B5A31">
        <w:rPr>
          <w:rFonts w:asciiTheme="majorHAnsi" w:hAnsiTheme="majorHAnsi" w:cs="Arial"/>
        </w:rPr>
        <w:t>. We consider this further below</w:t>
      </w:r>
      <w:r w:rsidR="00C8204B" w:rsidRPr="000B5A31">
        <w:rPr>
          <w:rFonts w:asciiTheme="majorHAnsi" w:hAnsiTheme="majorHAnsi" w:cs="Arial"/>
        </w:rPr>
        <w:t>. Reducing performance gaps has a significant effect on new lending requirements that are reduced by £</w:t>
      </w:r>
      <w:r w:rsidR="00AF11D6" w:rsidRPr="000B5A31">
        <w:rPr>
          <w:rFonts w:asciiTheme="majorHAnsi" w:hAnsiTheme="majorHAnsi" w:cs="Arial"/>
        </w:rPr>
        <w:t>3</w:t>
      </w:r>
      <w:r w:rsidR="00C8204B" w:rsidRPr="000B5A31">
        <w:rPr>
          <w:rFonts w:asciiTheme="majorHAnsi" w:hAnsiTheme="majorHAnsi" w:cs="Arial"/>
        </w:rPr>
        <w:t xml:space="preserve"> billion and on recycled investment levels that are increased by the same level. </w:t>
      </w:r>
      <w:r w:rsidR="00AF11D6" w:rsidRPr="000B5A31">
        <w:rPr>
          <w:rFonts w:asciiTheme="majorHAnsi" w:hAnsiTheme="majorHAnsi" w:cs="Arial"/>
        </w:rPr>
        <w:t xml:space="preserve">In contrast, lowering energy prices, decreasing the spread between borrowing </w:t>
      </w:r>
      <w:r w:rsidR="00140C06" w:rsidRPr="000B5A31">
        <w:rPr>
          <w:rFonts w:asciiTheme="majorHAnsi" w:hAnsiTheme="majorHAnsi" w:cs="Arial"/>
        </w:rPr>
        <w:t xml:space="preserve">rate </w:t>
      </w:r>
      <w:r w:rsidR="00AF11D6" w:rsidRPr="000B5A31">
        <w:rPr>
          <w:rFonts w:asciiTheme="majorHAnsi" w:hAnsiTheme="majorHAnsi" w:cs="Arial"/>
        </w:rPr>
        <w:t xml:space="preserve">and </w:t>
      </w:r>
      <w:r w:rsidR="006D10BA" w:rsidRPr="000B5A31">
        <w:rPr>
          <w:rFonts w:asciiTheme="majorHAnsi" w:hAnsiTheme="majorHAnsi" w:cs="Arial"/>
        </w:rPr>
        <w:t>the threshold IRR,</w:t>
      </w:r>
      <w:r w:rsidR="00AF11D6" w:rsidRPr="000B5A31">
        <w:rPr>
          <w:rFonts w:asciiTheme="majorHAnsi" w:hAnsiTheme="majorHAnsi" w:cs="Arial"/>
        </w:rPr>
        <w:t xml:space="preserve"> or </w:t>
      </w:r>
      <w:r w:rsidR="00AF11D6" w:rsidRPr="000B5A31">
        <w:rPr>
          <w:rFonts w:asciiTheme="majorHAnsi" w:hAnsiTheme="majorHAnsi" w:cs="Arial"/>
        </w:rPr>
        <w:lastRenderedPageBreak/>
        <w:t>increasing performance gaps</w:t>
      </w:r>
      <w:r w:rsidR="006D10BA" w:rsidRPr="000B5A31">
        <w:rPr>
          <w:rFonts w:asciiTheme="majorHAnsi" w:hAnsiTheme="majorHAnsi" w:cs="Arial"/>
        </w:rPr>
        <w:t xml:space="preserve"> all have</w:t>
      </w:r>
      <w:r w:rsidR="00AF11D6" w:rsidRPr="000B5A31">
        <w:rPr>
          <w:rFonts w:asciiTheme="majorHAnsi" w:hAnsiTheme="majorHAnsi" w:cs="Arial"/>
        </w:rPr>
        <w:t xml:space="preserve"> the effect of leaving the SPV unable to </w:t>
      </w:r>
      <w:r w:rsidR="006D10BA" w:rsidRPr="000B5A31">
        <w:rPr>
          <w:rFonts w:asciiTheme="majorHAnsi" w:hAnsiTheme="majorHAnsi" w:cs="Arial"/>
        </w:rPr>
        <w:t xml:space="preserve">fully </w:t>
      </w:r>
      <w:r w:rsidR="00AF11D6" w:rsidRPr="000B5A31">
        <w:rPr>
          <w:rFonts w:asciiTheme="majorHAnsi" w:hAnsiTheme="majorHAnsi" w:cs="Arial"/>
        </w:rPr>
        <w:t xml:space="preserve">repay investors. </w:t>
      </w:r>
    </w:p>
    <w:p w14:paraId="11BA2354" w14:textId="77777777" w:rsidR="006D10BA" w:rsidRPr="000B5A31" w:rsidRDefault="006D10BA" w:rsidP="00AB0182">
      <w:pPr>
        <w:spacing w:line="480" w:lineRule="auto"/>
        <w:ind w:left="360"/>
        <w:rPr>
          <w:rFonts w:asciiTheme="majorHAnsi" w:hAnsiTheme="majorHAnsi" w:cs="Arial"/>
        </w:rPr>
      </w:pPr>
    </w:p>
    <w:p w14:paraId="2CEA1B25" w14:textId="77777777" w:rsidR="00B44EB4" w:rsidRPr="000B5A31" w:rsidRDefault="00C8204B" w:rsidP="00AB0182">
      <w:pPr>
        <w:spacing w:line="480" w:lineRule="auto"/>
        <w:ind w:left="360"/>
        <w:rPr>
          <w:rFonts w:asciiTheme="majorHAnsi" w:hAnsiTheme="majorHAnsi" w:cs="Arial"/>
        </w:rPr>
      </w:pPr>
      <w:r w:rsidRPr="000B5A31">
        <w:rPr>
          <w:rFonts w:asciiTheme="majorHAnsi" w:hAnsiTheme="majorHAnsi" w:cs="Arial"/>
        </w:rPr>
        <w:t>Each of the other variations has a smaller impact on all outputs, but varying them all together</w:t>
      </w:r>
      <w:r w:rsidR="00576F83" w:rsidRPr="000B5A31">
        <w:rPr>
          <w:rFonts w:asciiTheme="majorHAnsi" w:hAnsiTheme="majorHAnsi" w:cs="Arial"/>
        </w:rPr>
        <w:t xml:space="preserve"> towards a best business case scenario</w:t>
      </w:r>
      <w:r w:rsidRPr="000B5A31">
        <w:rPr>
          <w:rFonts w:asciiTheme="majorHAnsi" w:hAnsiTheme="majorHAnsi" w:cs="Arial"/>
        </w:rPr>
        <w:t xml:space="preserve"> reduces new lending requirements by £</w:t>
      </w:r>
      <w:r w:rsidR="00AF11D6" w:rsidRPr="000B5A31">
        <w:rPr>
          <w:rFonts w:asciiTheme="majorHAnsi" w:hAnsiTheme="majorHAnsi" w:cs="Arial"/>
        </w:rPr>
        <w:t>6.6</w:t>
      </w:r>
      <w:r w:rsidRPr="000B5A31">
        <w:rPr>
          <w:rFonts w:asciiTheme="majorHAnsi" w:hAnsiTheme="majorHAnsi" w:cs="Arial"/>
        </w:rPr>
        <w:t xml:space="preserve"> billion, increases recycled investment by </w:t>
      </w:r>
      <w:r w:rsidR="00576F83" w:rsidRPr="000B5A31">
        <w:rPr>
          <w:rFonts w:asciiTheme="majorHAnsi" w:hAnsiTheme="majorHAnsi" w:cs="Arial"/>
        </w:rPr>
        <w:t>the same level</w:t>
      </w:r>
      <w:r w:rsidRPr="000B5A31">
        <w:rPr>
          <w:rFonts w:asciiTheme="majorHAnsi" w:hAnsiTheme="majorHAnsi" w:cs="Arial"/>
        </w:rPr>
        <w:t>, increases peak carbon savings by 2.</w:t>
      </w:r>
      <w:r w:rsidR="00576F83" w:rsidRPr="000B5A31">
        <w:rPr>
          <w:rFonts w:asciiTheme="majorHAnsi" w:hAnsiTheme="majorHAnsi" w:cs="Arial"/>
        </w:rPr>
        <w:t>8</w:t>
      </w:r>
      <w:r w:rsidRPr="000B5A31">
        <w:rPr>
          <w:rFonts w:asciiTheme="majorHAnsi" w:hAnsiTheme="majorHAnsi" w:cs="Arial"/>
        </w:rPr>
        <w:t xml:space="preserve"> MT </w:t>
      </w:r>
      <w:r w:rsidR="0063507D" w:rsidRPr="000B5A31">
        <w:rPr>
          <w:rFonts w:asciiTheme="majorHAnsi" w:hAnsiTheme="majorHAnsi" w:cs="Arial"/>
        </w:rPr>
        <w:t xml:space="preserve">per year </w:t>
      </w:r>
      <w:r w:rsidRPr="000B5A31">
        <w:rPr>
          <w:rFonts w:asciiTheme="majorHAnsi" w:hAnsiTheme="majorHAnsi" w:cs="Arial"/>
        </w:rPr>
        <w:t>and reduces the time take</w:t>
      </w:r>
      <w:r w:rsidR="001A5CC0" w:rsidRPr="000B5A31">
        <w:rPr>
          <w:rFonts w:asciiTheme="majorHAnsi" w:hAnsiTheme="majorHAnsi" w:cs="Arial"/>
        </w:rPr>
        <w:t>n</w:t>
      </w:r>
      <w:r w:rsidRPr="000B5A31">
        <w:rPr>
          <w:rFonts w:asciiTheme="majorHAnsi" w:hAnsiTheme="majorHAnsi" w:cs="Arial"/>
        </w:rPr>
        <w:t xml:space="preserve"> for the SPV to repay all loans to investors by 1</w:t>
      </w:r>
      <w:r w:rsidR="00576F83" w:rsidRPr="000B5A31">
        <w:rPr>
          <w:rFonts w:asciiTheme="majorHAnsi" w:hAnsiTheme="majorHAnsi" w:cs="Arial"/>
        </w:rPr>
        <w:t>5</w:t>
      </w:r>
      <w:r w:rsidRPr="000B5A31">
        <w:rPr>
          <w:rFonts w:asciiTheme="majorHAnsi" w:hAnsiTheme="majorHAnsi" w:cs="Arial"/>
        </w:rPr>
        <w:t xml:space="preserve"> years. </w:t>
      </w:r>
      <w:r w:rsidR="00576F83" w:rsidRPr="000B5A31">
        <w:rPr>
          <w:rFonts w:asciiTheme="majorHAnsi" w:hAnsiTheme="majorHAnsi" w:cs="Arial"/>
        </w:rPr>
        <w:t>Co</w:t>
      </w:r>
      <w:r w:rsidR="007D57F1" w:rsidRPr="000B5A31">
        <w:rPr>
          <w:rFonts w:asciiTheme="majorHAnsi" w:hAnsiTheme="majorHAnsi" w:cs="Arial"/>
        </w:rPr>
        <w:t>mparative outputs for the worst-</w:t>
      </w:r>
      <w:r w:rsidR="00576F83" w:rsidRPr="000B5A31">
        <w:rPr>
          <w:rFonts w:asciiTheme="majorHAnsi" w:hAnsiTheme="majorHAnsi" w:cs="Arial"/>
        </w:rPr>
        <w:t xml:space="preserve">case scenario are an increase of £4.6 billion in new capital requirements, a decrease in recycled investment of the same level, a decrease in peak carbon savings of 2 MT per year and a failure of the SPV to </w:t>
      </w:r>
      <w:r w:rsidR="006D10BA" w:rsidRPr="000B5A31">
        <w:rPr>
          <w:rFonts w:asciiTheme="majorHAnsi" w:hAnsiTheme="majorHAnsi" w:cs="Arial"/>
        </w:rPr>
        <w:t xml:space="preserve">fully </w:t>
      </w:r>
      <w:r w:rsidR="00576F83" w:rsidRPr="000B5A31">
        <w:rPr>
          <w:rFonts w:asciiTheme="majorHAnsi" w:hAnsiTheme="majorHAnsi" w:cs="Arial"/>
        </w:rPr>
        <w:t xml:space="preserve">repay </w:t>
      </w:r>
      <w:r w:rsidR="006D10BA" w:rsidRPr="000B5A31">
        <w:rPr>
          <w:rFonts w:asciiTheme="majorHAnsi" w:hAnsiTheme="majorHAnsi" w:cs="Arial"/>
        </w:rPr>
        <w:t xml:space="preserve">its </w:t>
      </w:r>
      <w:r w:rsidR="00576F83" w:rsidRPr="000B5A31">
        <w:rPr>
          <w:rFonts w:asciiTheme="majorHAnsi" w:hAnsiTheme="majorHAnsi" w:cs="Arial"/>
        </w:rPr>
        <w:t>debt</w:t>
      </w:r>
      <w:r w:rsidR="006D10BA" w:rsidRPr="000B5A31">
        <w:rPr>
          <w:rFonts w:asciiTheme="majorHAnsi" w:hAnsiTheme="majorHAnsi" w:cs="Arial"/>
        </w:rPr>
        <w:t>s</w:t>
      </w:r>
      <w:r w:rsidR="00576F83" w:rsidRPr="000B5A31">
        <w:rPr>
          <w:rFonts w:asciiTheme="majorHAnsi" w:hAnsiTheme="majorHAnsi" w:cs="Arial"/>
        </w:rPr>
        <w:t xml:space="preserve"> to investors.</w:t>
      </w:r>
      <w:r w:rsidR="002F1B13" w:rsidRPr="000B5A31">
        <w:rPr>
          <w:rFonts w:asciiTheme="majorHAnsi" w:hAnsiTheme="majorHAnsi" w:cs="Arial"/>
        </w:rPr>
        <w:t xml:space="preserve"> This highlights the need for the adoption of risk mitigation measures, perhaps in the form of government underwriting or the introduction of supporting policies.</w:t>
      </w:r>
    </w:p>
    <w:p w14:paraId="2C2014D0" w14:textId="77777777" w:rsidR="00632FCD" w:rsidRDefault="00632FCD" w:rsidP="00AB0182">
      <w:pPr>
        <w:spacing w:line="480" w:lineRule="auto"/>
        <w:ind w:left="360"/>
        <w:rPr>
          <w:rFonts w:asciiTheme="majorHAnsi" w:hAnsiTheme="majorHAnsi" w:cs="Arial"/>
        </w:rPr>
      </w:pPr>
    </w:p>
    <w:p w14:paraId="222201D5" w14:textId="0D884496" w:rsidR="00664FB5" w:rsidRPr="00B91686" w:rsidRDefault="00105CE3" w:rsidP="00AB0182">
      <w:pPr>
        <w:spacing w:line="480" w:lineRule="auto"/>
        <w:ind w:left="360"/>
        <w:rPr>
          <w:rFonts w:asciiTheme="majorHAnsi" w:hAnsiTheme="majorHAnsi" w:cs="Arial"/>
        </w:rPr>
      </w:pPr>
      <w:r>
        <w:rPr>
          <w:rFonts w:asciiTheme="majorHAnsi" w:hAnsiTheme="majorHAnsi" w:cs="Arial"/>
        </w:rPr>
        <w:t>3.3 Wider o</w:t>
      </w:r>
      <w:r w:rsidR="00664FB5" w:rsidRPr="00B91686">
        <w:rPr>
          <w:rFonts w:asciiTheme="majorHAnsi" w:hAnsiTheme="majorHAnsi" w:cs="Arial"/>
        </w:rPr>
        <w:t>ptions</w:t>
      </w:r>
    </w:p>
    <w:p w14:paraId="65CB3625" w14:textId="77777777" w:rsidR="0099572E" w:rsidRPr="000B5A31" w:rsidRDefault="00632FCD" w:rsidP="00AB0182">
      <w:pPr>
        <w:spacing w:line="480" w:lineRule="auto"/>
        <w:ind w:left="360"/>
        <w:rPr>
          <w:rFonts w:asciiTheme="majorHAnsi" w:hAnsiTheme="majorHAnsi" w:cs="Arial"/>
        </w:rPr>
      </w:pPr>
      <w:r w:rsidRPr="000B5A31">
        <w:rPr>
          <w:rFonts w:asciiTheme="majorHAnsi" w:hAnsiTheme="majorHAnsi" w:cs="Arial"/>
        </w:rPr>
        <w:t>After reverting to the default settings, we also examine the impacts of</w:t>
      </w:r>
      <w:r w:rsidR="007D57F1" w:rsidRPr="000B5A31">
        <w:rPr>
          <w:rFonts w:asciiTheme="majorHAnsi" w:hAnsiTheme="majorHAnsi" w:cs="Arial"/>
        </w:rPr>
        <w:t xml:space="preserve"> </w:t>
      </w:r>
      <w:r w:rsidR="00140C06" w:rsidRPr="000B5A31">
        <w:rPr>
          <w:rFonts w:asciiTheme="majorHAnsi" w:hAnsiTheme="majorHAnsi" w:cs="Arial"/>
        </w:rPr>
        <w:t xml:space="preserve">the other changes outlined above. </w:t>
      </w:r>
      <w:r w:rsidR="000823E1" w:rsidRPr="000B5A31">
        <w:rPr>
          <w:rFonts w:asciiTheme="majorHAnsi" w:hAnsiTheme="majorHAnsi" w:cs="Arial"/>
        </w:rPr>
        <w:t>The impacts of these changes are presented in Table 4. As is shown, total investment costs could be reduced if the range of measures that could be funded was restricted to those with paybacks of 15, 10 or 5 years. If the fund onl</w:t>
      </w:r>
      <w:r w:rsidR="007D57F1" w:rsidRPr="000B5A31">
        <w:rPr>
          <w:rFonts w:asciiTheme="majorHAnsi" w:hAnsiTheme="majorHAnsi" w:cs="Arial"/>
        </w:rPr>
        <w:t xml:space="preserve">y invested in measures with a 5 </w:t>
      </w:r>
      <w:r w:rsidR="000823E1" w:rsidRPr="000B5A31">
        <w:rPr>
          <w:rFonts w:asciiTheme="majorHAnsi" w:hAnsiTheme="majorHAnsi" w:cs="Arial"/>
        </w:rPr>
        <w:t xml:space="preserve">year payback period or less, total investment costs could be cut from £33.7 bn to £8.8 bn, but the lifetime carbon savings generated would be more than halved from 354 to 175 MT. If a voucher scheme was adopted to encourage participation, total investment costs would increase by £3.4 billion, and new lending needs would increase by £3.8bn, however this increase could be </w:t>
      </w:r>
      <w:r w:rsidR="00140C06" w:rsidRPr="000B5A31">
        <w:rPr>
          <w:rFonts w:asciiTheme="majorHAnsi" w:hAnsiTheme="majorHAnsi" w:cs="Arial"/>
        </w:rPr>
        <w:t xml:space="preserve">partly </w:t>
      </w:r>
      <w:r w:rsidR="000823E1" w:rsidRPr="000B5A31">
        <w:rPr>
          <w:rFonts w:asciiTheme="majorHAnsi" w:hAnsiTheme="majorHAnsi" w:cs="Arial"/>
        </w:rPr>
        <w:t xml:space="preserve">offset by asking </w:t>
      </w:r>
      <w:r w:rsidR="000823E1" w:rsidRPr="000B5A31">
        <w:rPr>
          <w:rFonts w:asciiTheme="majorHAnsi" w:hAnsiTheme="majorHAnsi" w:cs="Arial"/>
        </w:rPr>
        <w:lastRenderedPageBreak/>
        <w:t xml:space="preserve">householders to pay back 10% of the energy savings realized after </w:t>
      </w:r>
      <w:r w:rsidR="0079411B" w:rsidRPr="000B5A31">
        <w:rPr>
          <w:rFonts w:asciiTheme="majorHAnsi" w:hAnsiTheme="majorHAnsi" w:cs="Arial"/>
        </w:rPr>
        <w:t>the repayment period</w:t>
      </w:r>
      <w:r w:rsidR="000823E1" w:rsidRPr="000B5A31">
        <w:rPr>
          <w:rFonts w:asciiTheme="majorHAnsi" w:hAnsiTheme="majorHAnsi" w:cs="Arial"/>
        </w:rPr>
        <w:t xml:space="preserve"> but for a maximum of ten years from the date of the initial loan as this would save £</w:t>
      </w:r>
      <w:r w:rsidR="007D51E2" w:rsidRPr="000B5A31">
        <w:rPr>
          <w:rFonts w:asciiTheme="majorHAnsi" w:hAnsiTheme="majorHAnsi" w:cs="Arial"/>
        </w:rPr>
        <w:t>2</w:t>
      </w:r>
      <w:r w:rsidR="000823E1" w:rsidRPr="000B5A31">
        <w:rPr>
          <w:rFonts w:asciiTheme="majorHAnsi" w:hAnsiTheme="majorHAnsi" w:cs="Arial"/>
        </w:rPr>
        <w:t xml:space="preserve"> billion in new investment needs. </w:t>
      </w:r>
    </w:p>
    <w:p w14:paraId="3FE90754" w14:textId="77777777" w:rsidR="002F1B13" w:rsidRPr="000B5A31" w:rsidRDefault="002F1B13" w:rsidP="00AB0182">
      <w:pPr>
        <w:spacing w:line="480" w:lineRule="auto"/>
        <w:ind w:left="360"/>
        <w:rPr>
          <w:rFonts w:asciiTheme="majorHAnsi" w:hAnsiTheme="majorHAnsi" w:cs="Arial"/>
        </w:rPr>
      </w:pPr>
    </w:p>
    <w:p w14:paraId="69CAEBD8" w14:textId="77777777" w:rsidR="007D51E2" w:rsidRPr="000B5A31" w:rsidRDefault="007D51E2" w:rsidP="00AB0182">
      <w:pPr>
        <w:spacing w:line="480" w:lineRule="auto"/>
        <w:ind w:left="360"/>
        <w:rPr>
          <w:rFonts w:asciiTheme="majorHAnsi" w:hAnsiTheme="majorHAnsi" w:cs="Arial"/>
        </w:rPr>
      </w:pPr>
      <w:r w:rsidRPr="000B5A31">
        <w:rPr>
          <w:rFonts w:asciiTheme="majorHAnsi" w:hAnsiTheme="majorHAnsi" w:cs="Arial"/>
        </w:rPr>
        <w:t xml:space="preserve">If the </w:t>
      </w:r>
      <w:r w:rsidR="00140C06" w:rsidRPr="000B5A31">
        <w:rPr>
          <w:rFonts w:asciiTheme="majorHAnsi" w:hAnsiTheme="majorHAnsi" w:cs="Arial"/>
        </w:rPr>
        <w:t>g</w:t>
      </w:r>
      <w:r w:rsidRPr="000B5A31">
        <w:rPr>
          <w:rFonts w:asciiTheme="majorHAnsi" w:hAnsiTheme="majorHAnsi" w:cs="Arial"/>
        </w:rPr>
        <w:t xml:space="preserve">overnment were to </w:t>
      </w:r>
      <w:r w:rsidR="0079411B" w:rsidRPr="000B5A31">
        <w:rPr>
          <w:rFonts w:asciiTheme="majorHAnsi" w:hAnsiTheme="majorHAnsi" w:cs="Arial"/>
        </w:rPr>
        <w:t xml:space="preserve">fully </w:t>
      </w:r>
      <w:r w:rsidRPr="000B5A31">
        <w:rPr>
          <w:rFonts w:asciiTheme="majorHAnsi" w:hAnsiTheme="majorHAnsi" w:cs="Arial"/>
        </w:rPr>
        <w:t xml:space="preserve">subsidise the </w:t>
      </w:r>
      <w:r w:rsidR="007B44E7" w:rsidRPr="000B5A31">
        <w:rPr>
          <w:rFonts w:asciiTheme="majorHAnsi" w:hAnsiTheme="majorHAnsi" w:cs="Arial"/>
        </w:rPr>
        <w:t>financing requirements of the SPV</w:t>
      </w:r>
      <w:r w:rsidR="002F1B13" w:rsidRPr="000B5A31">
        <w:rPr>
          <w:rFonts w:asciiTheme="majorHAnsi" w:hAnsiTheme="majorHAnsi" w:cs="Arial"/>
        </w:rPr>
        <w:t>,</w:t>
      </w:r>
      <w:r w:rsidRPr="000B5A31">
        <w:rPr>
          <w:rFonts w:asciiTheme="majorHAnsi" w:hAnsiTheme="majorHAnsi" w:cs="Arial"/>
        </w:rPr>
        <w:t xml:space="preserve"> this would significantly decrease new lending requirements (by £4.3 bn)</w:t>
      </w:r>
      <w:r w:rsidR="00140C06" w:rsidRPr="000B5A31">
        <w:rPr>
          <w:rFonts w:asciiTheme="majorHAnsi" w:hAnsiTheme="majorHAnsi" w:cs="Arial"/>
        </w:rPr>
        <w:t xml:space="preserve"> whilst increasing </w:t>
      </w:r>
      <w:r w:rsidRPr="000B5A31">
        <w:rPr>
          <w:rFonts w:asciiTheme="majorHAnsi" w:hAnsiTheme="majorHAnsi" w:cs="Arial"/>
        </w:rPr>
        <w:t>recycled investment by an equal amount</w:t>
      </w:r>
      <w:r w:rsidR="00623D6F" w:rsidRPr="000B5A31">
        <w:rPr>
          <w:rFonts w:asciiTheme="majorHAnsi" w:hAnsiTheme="majorHAnsi" w:cs="Arial"/>
        </w:rPr>
        <w:t>.</w:t>
      </w:r>
      <w:r w:rsidRPr="000B5A31">
        <w:rPr>
          <w:rFonts w:asciiTheme="majorHAnsi" w:hAnsiTheme="majorHAnsi" w:cs="Arial"/>
        </w:rPr>
        <w:t xml:space="preserve"> </w:t>
      </w:r>
      <w:r w:rsidR="00623D6F" w:rsidRPr="000B5A31">
        <w:rPr>
          <w:rFonts w:asciiTheme="majorHAnsi" w:hAnsiTheme="majorHAnsi" w:cs="Arial"/>
        </w:rPr>
        <w:t xml:space="preserve">The </w:t>
      </w:r>
      <w:r w:rsidRPr="000B5A31">
        <w:rPr>
          <w:rFonts w:asciiTheme="majorHAnsi" w:hAnsiTheme="majorHAnsi" w:cs="Arial"/>
        </w:rPr>
        <w:t>time for the householders to repay the SPV</w:t>
      </w:r>
      <w:r w:rsidR="00623D6F" w:rsidRPr="000B5A31">
        <w:rPr>
          <w:rFonts w:asciiTheme="majorHAnsi" w:hAnsiTheme="majorHAnsi" w:cs="Arial"/>
        </w:rPr>
        <w:t xml:space="preserve"> would</w:t>
      </w:r>
      <w:r w:rsidRPr="000B5A31">
        <w:rPr>
          <w:rFonts w:asciiTheme="majorHAnsi" w:hAnsiTheme="majorHAnsi" w:cs="Arial"/>
        </w:rPr>
        <w:t xml:space="preserve"> </w:t>
      </w:r>
      <w:r w:rsidR="00623D6F" w:rsidRPr="000B5A31">
        <w:rPr>
          <w:rFonts w:asciiTheme="majorHAnsi" w:hAnsiTheme="majorHAnsi" w:cs="Arial"/>
        </w:rPr>
        <w:t xml:space="preserve">decrease </w:t>
      </w:r>
      <w:r w:rsidRPr="000B5A31">
        <w:rPr>
          <w:rFonts w:asciiTheme="majorHAnsi" w:hAnsiTheme="majorHAnsi" w:cs="Arial"/>
        </w:rPr>
        <w:t xml:space="preserve">to 24 years, at a cost to the </w:t>
      </w:r>
      <w:r w:rsidR="00084633" w:rsidRPr="000B5A31">
        <w:rPr>
          <w:rFonts w:asciiTheme="majorHAnsi" w:hAnsiTheme="majorHAnsi" w:cs="Arial"/>
        </w:rPr>
        <w:t>g</w:t>
      </w:r>
      <w:r w:rsidRPr="000B5A31">
        <w:rPr>
          <w:rFonts w:asciiTheme="majorHAnsi" w:hAnsiTheme="majorHAnsi" w:cs="Arial"/>
        </w:rPr>
        <w:t xml:space="preserve">overnment of £6.3 bn, as can be seen on Figure 4. </w:t>
      </w:r>
      <w:r w:rsidR="0035015D" w:rsidRPr="000B5A31">
        <w:rPr>
          <w:rFonts w:asciiTheme="majorHAnsi" w:hAnsiTheme="majorHAnsi" w:cs="Arial"/>
        </w:rPr>
        <w:t>H</w:t>
      </w:r>
      <w:r w:rsidRPr="000B5A31">
        <w:rPr>
          <w:rFonts w:asciiTheme="majorHAnsi" w:hAnsiTheme="majorHAnsi" w:cs="Arial"/>
        </w:rPr>
        <w:t>owever,</w:t>
      </w:r>
      <w:r w:rsidR="0035015D" w:rsidRPr="000B5A31">
        <w:rPr>
          <w:rFonts w:asciiTheme="majorHAnsi" w:hAnsiTheme="majorHAnsi" w:cs="Arial"/>
        </w:rPr>
        <w:t xml:space="preserve"> this would have </w:t>
      </w:r>
      <w:r w:rsidR="00625F6C" w:rsidRPr="000B5A31">
        <w:rPr>
          <w:rFonts w:asciiTheme="majorHAnsi" w:hAnsiTheme="majorHAnsi" w:cs="Arial"/>
        </w:rPr>
        <w:t xml:space="preserve">unintended consequences for the </w:t>
      </w:r>
      <w:r w:rsidR="0035015D" w:rsidRPr="000B5A31">
        <w:rPr>
          <w:rFonts w:asciiTheme="majorHAnsi" w:hAnsiTheme="majorHAnsi" w:cs="Arial"/>
        </w:rPr>
        <w:t xml:space="preserve">long-term viability of the fund. This is because the </w:t>
      </w:r>
      <w:r w:rsidR="00140C06" w:rsidRPr="000B5A31">
        <w:rPr>
          <w:rFonts w:asciiTheme="majorHAnsi" w:hAnsiTheme="majorHAnsi" w:cs="Arial"/>
        </w:rPr>
        <w:t>subsidies</w:t>
      </w:r>
      <w:r w:rsidR="0035015D" w:rsidRPr="000B5A31">
        <w:rPr>
          <w:rFonts w:asciiTheme="majorHAnsi" w:hAnsiTheme="majorHAnsi" w:cs="Arial"/>
        </w:rPr>
        <w:t xml:space="preserve"> from government to the SPV </w:t>
      </w:r>
      <w:r w:rsidR="00140C06" w:rsidRPr="000B5A31">
        <w:rPr>
          <w:rFonts w:asciiTheme="majorHAnsi" w:hAnsiTheme="majorHAnsi" w:cs="Arial"/>
        </w:rPr>
        <w:t xml:space="preserve">would </w:t>
      </w:r>
      <w:r w:rsidR="00625F6C" w:rsidRPr="000B5A31">
        <w:rPr>
          <w:rFonts w:asciiTheme="majorHAnsi" w:hAnsiTheme="majorHAnsi" w:cs="Arial"/>
        </w:rPr>
        <w:t xml:space="preserve">be conditional on the </w:t>
      </w:r>
      <w:r w:rsidR="00140C06" w:rsidRPr="000B5A31">
        <w:rPr>
          <w:rFonts w:asciiTheme="majorHAnsi" w:hAnsiTheme="majorHAnsi" w:cs="Arial"/>
        </w:rPr>
        <w:t xml:space="preserve">repayments from householders to the SPV </w:t>
      </w:r>
      <w:r w:rsidR="0035015D" w:rsidRPr="000B5A31">
        <w:rPr>
          <w:rFonts w:asciiTheme="majorHAnsi" w:hAnsiTheme="majorHAnsi" w:cs="Arial"/>
        </w:rPr>
        <w:t>not includ</w:t>
      </w:r>
      <w:r w:rsidR="00895B96" w:rsidRPr="000B5A31">
        <w:rPr>
          <w:rFonts w:asciiTheme="majorHAnsi" w:hAnsiTheme="majorHAnsi" w:cs="Arial"/>
        </w:rPr>
        <w:t>ing</w:t>
      </w:r>
      <w:r w:rsidR="0035015D" w:rsidRPr="000B5A31">
        <w:rPr>
          <w:rFonts w:asciiTheme="majorHAnsi" w:hAnsiTheme="majorHAnsi" w:cs="Arial"/>
        </w:rPr>
        <w:t xml:space="preserve"> a financing component</w:t>
      </w:r>
      <w:r w:rsidR="00625F6C" w:rsidRPr="000B5A31">
        <w:rPr>
          <w:rFonts w:asciiTheme="majorHAnsi" w:hAnsiTheme="majorHAnsi" w:cs="Arial"/>
        </w:rPr>
        <w:t xml:space="preserve">. This </w:t>
      </w:r>
      <w:r w:rsidR="0035015D" w:rsidRPr="000B5A31">
        <w:rPr>
          <w:rFonts w:asciiTheme="majorHAnsi" w:hAnsiTheme="majorHAnsi" w:cs="Arial"/>
        </w:rPr>
        <w:t>would shorten payback times and reduce income to the SPV</w:t>
      </w:r>
      <w:r w:rsidR="00625F6C" w:rsidRPr="000B5A31">
        <w:rPr>
          <w:rFonts w:asciiTheme="majorHAnsi" w:hAnsiTheme="majorHAnsi" w:cs="Arial"/>
        </w:rPr>
        <w:t xml:space="preserve">, and this </w:t>
      </w:r>
      <w:r w:rsidR="0035015D" w:rsidRPr="000B5A31">
        <w:rPr>
          <w:rFonts w:asciiTheme="majorHAnsi" w:hAnsiTheme="majorHAnsi" w:cs="Arial"/>
        </w:rPr>
        <w:t xml:space="preserve">would alter the cash flow of the SPV </w:t>
      </w:r>
      <w:r w:rsidR="00625F6C" w:rsidRPr="000B5A31">
        <w:rPr>
          <w:rFonts w:asciiTheme="majorHAnsi" w:hAnsiTheme="majorHAnsi" w:cs="Arial"/>
        </w:rPr>
        <w:t xml:space="preserve">to such an extent that it could not cover its debts. </w:t>
      </w:r>
      <w:r w:rsidR="007D57F1" w:rsidRPr="000B5A31">
        <w:rPr>
          <w:rFonts w:asciiTheme="majorHAnsi" w:hAnsiTheme="majorHAnsi" w:cs="Arial"/>
        </w:rPr>
        <w:t>At its lowest level</w:t>
      </w:r>
      <w:r w:rsidR="00625F6C" w:rsidRPr="000B5A31">
        <w:rPr>
          <w:rFonts w:asciiTheme="majorHAnsi" w:hAnsiTheme="majorHAnsi" w:cs="Arial"/>
        </w:rPr>
        <w:t xml:space="preserve"> after 24 years</w:t>
      </w:r>
      <w:r w:rsidR="007D57F1" w:rsidRPr="000B5A31">
        <w:rPr>
          <w:rFonts w:asciiTheme="majorHAnsi" w:hAnsiTheme="majorHAnsi" w:cs="Arial"/>
        </w:rPr>
        <w:t>, th</w:t>
      </w:r>
      <w:r w:rsidR="00625F6C" w:rsidRPr="000B5A31">
        <w:rPr>
          <w:rFonts w:asciiTheme="majorHAnsi" w:hAnsiTheme="majorHAnsi" w:cs="Arial"/>
        </w:rPr>
        <w:t>e SPV’s outstanding</w:t>
      </w:r>
      <w:r w:rsidR="007D57F1" w:rsidRPr="000B5A31">
        <w:rPr>
          <w:rFonts w:asciiTheme="majorHAnsi" w:hAnsiTheme="majorHAnsi" w:cs="Arial"/>
        </w:rPr>
        <w:t xml:space="preserve"> debt would be</w:t>
      </w:r>
      <w:r w:rsidR="0035015D" w:rsidRPr="000B5A31">
        <w:rPr>
          <w:rFonts w:asciiTheme="majorHAnsi" w:hAnsiTheme="majorHAnsi" w:cs="Arial"/>
        </w:rPr>
        <w:t xml:space="preserve"> £7bn</w:t>
      </w:r>
      <w:r w:rsidR="00625F6C" w:rsidRPr="000B5A31">
        <w:rPr>
          <w:rFonts w:asciiTheme="majorHAnsi" w:hAnsiTheme="majorHAnsi" w:cs="Arial"/>
        </w:rPr>
        <w:t>. I</w:t>
      </w:r>
      <w:r w:rsidR="007D57F1" w:rsidRPr="000B5A31">
        <w:rPr>
          <w:rFonts w:asciiTheme="majorHAnsi" w:hAnsiTheme="majorHAnsi" w:cs="Arial"/>
        </w:rPr>
        <w:t>f this debt was</w:t>
      </w:r>
      <w:r w:rsidR="00625F6C" w:rsidRPr="000B5A31">
        <w:rPr>
          <w:rFonts w:asciiTheme="majorHAnsi" w:hAnsiTheme="majorHAnsi" w:cs="Arial"/>
        </w:rPr>
        <w:t xml:space="preserve"> also</w:t>
      </w:r>
      <w:r w:rsidR="007D57F1" w:rsidRPr="000B5A31">
        <w:rPr>
          <w:rFonts w:asciiTheme="majorHAnsi" w:hAnsiTheme="majorHAnsi" w:cs="Arial"/>
        </w:rPr>
        <w:t xml:space="preserve"> to be paid by the government</w:t>
      </w:r>
      <w:r w:rsidR="00625F6C" w:rsidRPr="000B5A31">
        <w:rPr>
          <w:rFonts w:asciiTheme="majorHAnsi" w:hAnsiTheme="majorHAnsi" w:cs="Arial"/>
        </w:rPr>
        <w:t>,</w:t>
      </w:r>
      <w:r w:rsidR="007D57F1" w:rsidRPr="000B5A31">
        <w:rPr>
          <w:rFonts w:asciiTheme="majorHAnsi" w:hAnsiTheme="majorHAnsi" w:cs="Arial"/>
        </w:rPr>
        <w:t xml:space="preserve"> then the total cost of the subsidy </w:t>
      </w:r>
      <w:r w:rsidR="00084633" w:rsidRPr="000B5A31">
        <w:rPr>
          <w:rFonts w:asciiTheme="majorHAnsi" w:hAnsiTheme="majorHAnsi" w:cs="Arial"/>
        </w:rPr>
        <w:t xml:space="preserve">from government </w:t>
      </w:r>
      <w:r w:rsidR="007D57F1" w:rsidRPr="000B5A31">
        <w:rPr>
          <w:rFonts w:asciiTheme="majorHAnsi" w:hAnsiTheme="majorHAnsi" w:cs="Arial"/>
        </w:rPr>
        <w:t>would approach £14 bn</w:t>
      </w:r>
      <w:r w:rsidR="00625F6C" w:rsidRPr="000B5A31">
        <w:rPr>
          <w:rFonts w:asciiTheme="majorHAnsi" w:hAnsiTheme="majorHAnsi" w:cs="Arial"/>
        </w:rPr>
        <w:t xml:space="preserve">. This is </w:t>
      </w:r>
      <w:r w:rsidR="00900EA9" w:rsidRPr="000B5A31">
        <w:rPr>
          <w:rFonts w:asciiTheme="majorHAnsi" w:hAnsiTheme="majorHAnsi" w:cs="Arial"/>
        </w:rPr>
        <w:t xml:space="preserve">obviously </w:t>
      </w:r>
      <w:r w:rsidR="00625F6C" w:rsidRPr="000B5A31">
        <w:rPr>
          <w:rFonts w:asciiTheme="majorHAnsi" w:hAnsiTheme="majorHAnsi" w:cs="Arial"/>
        </w:rPr>
        <w:t xml:space="preserve">a </w:t>
      </w:r>
      <w:r w:rsidR="00900EA9" w:rsidRPr="000B5A31">
        <w:rPr>
          <w:rFonts w:asciiTheme="majorHAnsi" w:hAnsiTheme="majorHAnsi" w:cs="Arial"/>
        </w:rPr>
        <w:t xml:space="preserve">very </w:t>
      </w:r>
      <w:r w:rsidR="00625F6C" w:rsidRPr="000B5A31">
        <w:rPr>
          <w:rFonts w:asciiTheme="majorHAnsi" w:hAnsiTheme="majorHAnsi" w:cs="Arial"/>
        </w:rPr>
        <w:t>considerable amount</w:t>
      </w:r>
      <w:r w:rsidR="00900EA9" w:rsidRPr="000B5A31">
        <w:rPr>
          <w:rFonts w:asciiTheme="majorHAnsi" w:hAnsiTheme="majorHAnsi" w:cs="Arial"/>
        </w:rPr>
        <w:t>, both in aggregate and as a proportion of the £33.7bn total investment needed to fund the retrofit scheme in its entir</w:t>
      </w:r>
      <w:r w:rsidR="00625F6C" w:rsidRPr="000B5A31">
        <w:rPr>
          <w:rFonts w:asciiTheme="majorHAnsi" w:hAnsiTheme="majorHAnsi" w:cs="Arial"/>
        </w:rPr>
        <w:t>e</w:t>
      </w:r>
      <w:r w:rsidR="00900EA9" w:rsidRPr="000B5A31">
        <w:rPr>
          <w:rFonts w:asciiTheme="majorHAnsi" w:hAnsiTheme="majorHAnsi" w:cs="Arial"/>
        </w:rPr>
        <w:t>ty</w:t>
      </w:r>
      <w:r w:rsidR="007D57F1" w:rsidRPr="000B5A31">
        <w:rPr>
          <w:rFonts w:asciiTheme="majorHAnsi" w:hAnsiTheme="majorHAnsi" w:cs="Arial"/>
        </w:rPr>
        <w:t>.</w:t>
      </w:r>
    </w:p>
    <w:p w14:paraId="28C69E81" w14:textId="77777777" w:rsidR="002F1B13" w:rsidRPr="000B5A31" w:rsidRDefault="002F1B13" w:rsidP="00AB0182">
      <w:pPr>
        <w:spacing w:line="480" w:lineRule="auto"/>
        <w:ind w:left="360"/>
        <w:rPr>
          <w:rFonts w:asciiTheme="majorHAnsi" w:hAnsiTheme="majorHAnsi" w:cs="Arial"/>
        </w:rPr>
      </w:pPr>
    </w:p>
    <w:p w14:paraId="66BB76F4" w14:textId="77777777" w:rsidR="0099572E" w:rsidRPr="000B5A31" w:rsidRDefault="0099572E" w:rsidP="00AB0182">
      <w:pPr>
        <w:spacing w:line="480" w:lineRule="auto"/>
        <w:ind w:left="360"/>
        <w:rPr>
          <w:rFonts w:asciiTheme="majorHAnsi" w:hAnsiTheme="majorHAnsi" w:cs="Arial"/>
          <w:b/>
        </w:rPr>
      </w:pPr>
    </w:p>
    <w:p w14:paraId="40CF6268" w14:textId="1A795827" w:rsidR="00F237B6" w:rsidRPr="000B5A31" w:rsidRDefault="0069412A" w:rsidP="00AB0182">
      <w:pPr>
        <w:spacing w:line="480" w:lineRule="auto"/>
        <w:ind w:left="360"/>
        <w:rPr>
          <w:rFonts w:asciiTheme="majorHAnsi" w:hAnsiTheme="majorHAnsi" w:cs="Arial"/>
          <w:b/>
        </w:rPr>
      </w:pPr>
      <w:r>
        <w:rPr>
          <w:rFonts w:asciiTheme="majorHAnsi" w:hAnsiTheme="majorHAnsi" w:cs="Arial"/>
          <w:b/>
        </w:rPr>
        <w:t>4</w:t>
      </w:r>
      <w:r w:rsidR="000B5A31">
        <w:rPr>
          <w:rFonts w:asciiTheme="majorHAnsi" w:hAnsiTheme="majorHAnsi" w:cs="Arial"/>
          <w:b/>
        </w:rPr>
        <w:t xml:space="preserve">. </w:t>
      </w:r>
      <w:r w:rsidR="00F237B6" w:rsidRPr="000B5A31">
        <w:rPr>
          <w:rFonts w:asciiTheme="majorHAnsi" w:hAnsiTheme="majorHAnsi" w:cs="Arial"/>
          <w:b/>
        </w:rPr>
        <w:t>Discussion</w:t>
      </w:r>
      <w:r w:rsidR="000B5A31">
        <w:rPr>
          <w:rFonts w:asciiTheme="majorHAnsi" w:hAnsiTheme="majorHAnsi" w:cs="Arial"/>
          <w:b/>
        </w:rPr>
        <w:t xml:space="preserve"> </w:t>
      </w:r>
    </w:p>
    <w:p w14:paraId="6EFEFB9B" w14:textId="77777777" w:rsidR="00F237B6" w:rsidRPr="000B5A31" w:rsidRDefault="00F237B6" w:rsidP="00AB0182">
      <w:pPr>
        <w:spacing w:line="480" w:lineRule="auto"/>
        <w:ind w:left="360"/>
        <w:rPr>
          <w:rFonts w:asciiTheme="majorHAnsi" w:hAnsiTheme="majorHAnsi" w:cs="Arial"/>
          <w:b/>
        </w:rPr>
      </w:pPr>
    </w:p>
    <w:p w14:paraId="4707629E" w14:textId="77777777" w:rsidR="006E7F67" w:rsidRPr="000B5A31" w:rsidRDefault="00797EA8" w:rsidP="00AB0182">
      <w:pPr>
        <w:spacing w:line="480" w:lineRule="auto"/>
        <w:ind w:left="360"/>
        <w:rPr>
          <w:rFonts w:asciiTheme="majorHAnsi" w:hAnsiTheme="majorHAnsi" w:cs="Arial"/>
        </w:rPr>
      </w:pPr>
      <w:r w:rsidRPr="000B5A31">
        <w:rPr>
          <w:rFonts w:asciiTheme="majorHAnsi" w:hAnsiTheme="majorHAnsi" w:cs="Arial"/>
        </w:rPr>
        <w:t xml:space="preserve">The results presented above </w:t>
      </w:r>
      <w:r w:rsidR="006E7F67" w:rsidRPr="000B5A31">
        <w:rPr>
          <w:rFonts w:asciiTheme="majorHAnsi" w:hAnsiTheme="majorHAnsi" w:cs="Arial"/>
        </w:rPr>
        <w:t>have important implications that relate to the specific case</w:t>
      </w:r>
      <w:r w:rsidR="00802A4A" w:rsidRPr="000B5A31">
        <w:rPr>
          <w:rFonts w:asciiTheme="majorHAnsi" w:hAnsiTheme="majorHAnsi" w:cs="Arial"/>
        </w:rPr>
        <w:t xml:space="preserve"> of revolving funds</w:t>
      </w:r>
      <w:r w:rsidR="00E8394E" w:rsidRPr="000B5A31">
        <w:rPr>
          <w:rFonts w:asciiTheme="majorHAnsi" w:hAnsiTheme="majorHAnsi" w:cs="Arial"/>
        </w:rPr>
        <w:t xml:space="preserve">, </w:t>
      </w:r>
      <w:r w:rsidR="006E7F67" w:rsidRPr="000B5A31">
        <w:rPr>
          <w:rFonts w:asciiTheme="majorHAnsi" w:hAnsiTheme="majorHAnsi" w:cs="Arial"/>
        </w:rPr>
        <w:t xml:space="preserve">to wider </w:t>
      </w:r>
      <w:r w:rsidR="00802A4A" w:rsidRPr="000B5A31">
        <w:rPr>
          <w:rFonts w:asciiTheme="majorHAnsi" w:hAnsiTheme="majorHAnsi" w:cs="Arial"/>
        </w:rPr>
        <w:t xml:space="preserve">discussions </w:t>
      </w:r>
      <w:r w:rsidR="006E7F67" w:rsidRPr="000B5A31">
        <w:rPr>
          <w:rFonts w:asciiTheme="majorHAnsi" w:hAnsiTheme="majorHAnsi" w:cs="Arial"/>
        </w:rPr>
        <w:t>about climate change finance and investment</w:t>
      </w:r>
      <w:r w:rsidR="00802A4A" w:rsidRPr="000B5A31">
        <w:rPr>
          <w:rFonts w:asciiTheme="majorHAnsi" w:hAnsiTheme="majorHAnsi" w:cs="Arial"/>
        </w:rPr>
        <w:t>,</w:t>
      </w:r>
      <w:r w:rsidR="00E8394E" w:rsidRPr="000B5A31">
        <w:rPr>
          <w:rFonts w:asciiTheme="majorHAnsi" w:hAnsiTheme="majorHAnsi" w:cs="Arial"/>
        </w:rPr>
        <w:t xml:space="preserve"> </w:t>
      </w:r>
      <w:r w:rsidR="00E8394E" w:rsidRPr="000B5A31">
        <w:rPr>
          <w:rFonts w:asciiTheme="majorHAnsi" w:hAnsiTheme="majorHAnsi" w:cs="Arial"/>
        </w:rPr>
        <w:lastRenderedPageBreak/>
        <w:t>and</w:t>
      </w:r>
      <w:r w:rsidR="006E7F67" w:rsidRPr="000B5A31">
        <w:rPr>
          <w:rFonts w:asciiTheme="majorHAnsi" w:hAnsiTheme="majorHAnsi" w:cs="Arial"/>
        </w:rPr>
        <w:t xml:space="preserve"> to much broader debates on the changing roles and limited capacities of the state, particularly in an age of austerity.</w:t>
      </w:r>
    </w:p>
    <w:p w14:paraId="015F243D" w14:textId="77777777" w:rsidR="006E7F67" w:rsidRPr="000B5A31" w:rsidRDefault="006E7F67" w:rsidP="00AB0182">
      <w:pPr>
        <w:spacing w:line="480" w:lineRule="auto"/>
        <w:ind w:left="360"/>
        <w:rPr>
          <w:rFonts w:asciiTheme="majorHAnsi" w:hAnsiTheme="majorHAnsi" w:cs="Arial"/>
        </w:rPr>
      </w:pPr>
    </w:p>
    <w:p w14:paraId="39FDEDA9" w14:textId="77777777" w:rsidR="00801D75" w:rsidRPr="000B5A31" w:rsidRDefault="00810D34" w:rsidP="00AB0182">
      <w:pPr>
        <w:spacing w:line="480" w:lineRule="auto"/>
        <w:ind w:left="360"/>
        <w:rPr>
          <w:rFonts w:asciiTheme="majorHAnsi" w:hAnsiTheme="majorHAnsi" w:cs="Arial"/>
        </w:rPr>
      </w:pPr>
      <w:r w:rsidRPr="000B5A31">
        <w:rPr>
          <w:rFonts w:asciiTheme="majorHAnsi" w:hAnsiTheme="majorHAnsi" w:cs="Arial"/>
        </w:rPr>
        <w:t>Specifically, t</w:t>
      </w:r>
      <w:r w:rsidR="00547CF0" w:rsidRPr="000B5A31">
        <w:rPr>
          <w:rFonts w:asciiTheme="majorHAnsi" w:hAnsiTheme="majorHAnsi" w:cs="Arial"/>
        </w:rPr>
        <w:t>he analysis has highlighted the need</w:t>
      </w:r>
      <w:r w:rsidR="003C0787" w:rsidRPr="000B5A31">
        <w:rPr>
          <w:rFonts w:asciiTheme="majorHAnsi" w:hAnsiTheme="majorHAnsi" w:cs="Arial"/>
        </w:rPr>
        <w:t xml:space="preserve">, </w:t>
      </w:r>
      <w:r w:rsidR="00547CF0" w:rsidRPr="000B5A31">
        <w:rPr>
          <w:rFonts w:asciiTheme="majorHAnsi" w:hAnsiTheme="majorHAnsi" w:cs="Arial"/>
        </w:rPr>
        <w:t xml:space="preserve">or </w:t>
      </w:r>
      <w:r w:rsidRPr="000B5A31">
        <w:rPr>
          <w:rFonts w:asciiTheme="majorHAnsi" w:hAnsiTheme="majorHAnsi" w:cs="Arial"/>
        </w:rPr>
        <w:t xml:space="preserve">alternatively </w:t>
      </w:r>
      <w:r w:rsidR="00801D75" w:rsidRPr="000B5A31">
        <w:rPr>
          <w:rFonts w:asciiTheme="majorHAnsi" w:hAnsiTheme="majorHAnsi" w:cs="Arial"/>
        </w:rPr>
        <w:t xml:space="preserve">the </w:t>
      </w:r>
      <w:r w:rsidR="00547CF0" w:rsidRPr="000B5A31">
        <w:rPr>
          <w:rFonts w:asciiTheme="majorHAnsi" w:hAnsiTheme="majorHAnsi" w:cs="Arial"/>
        </w:rPr>
        <w:t>opportunity</w:t>
      </w:r>
      <w:r w:rsidR="003C0787" w:rsidRPr="000B5A31">
        <w:rPr>
          <w:rFonts w:asciiTheme="majorHAnsi" w:hAnsiTheme="majorHAnsi" w:cs="Arial"/>
        </w:rPr>
        <w:t>,</w:t>
      </w:r>
      <w:r w:rsidR="00547CF0" w:rsidRPr="000B5A31">
        <w:rPr>
          <w:rFonts w:asciiTheme="majorHAnsi" w:hAnsiTheme="majorHAnsi" w:cs="Arial"/>
        </w:rPr>
        <w:t xml:space="preserve"> for very significant levels of investment to </w:t>
      </w:r>
      <w:r w:rsidRPr="000B5A31">
        <w:rPr>
          <w:rFonts w:asciiTheme="majorHAnsi" w:hAnsiTheme="majorHAnsi" w:cs="Arial"/>
        </w:rPr>
        <w:t xml:space="preserve">be undertaken that </w:t>
      </w:r>
      <w:r w:rsidR="00547CF0" w:rsidRPr="000B5A31">
        <w:rPr>
          <w:rFonts w:asciiTheme="majorHAnsi" w:hAnsiTheme="majorHAnsi" w:cs="Arial"/>
        </w:rPr>
        <w:t>improve the energy efficiency and reduce the carbon emissions of the UK housing stock. T</w:t>
      </w:r>
      <w:r w:rsidR="00101F0B" w:rsidRPr="000B5A31">
        <w:rPr>
          <w:rFonts w:asciiTheme="majorHAnsi" w:hAnsiTheme="majorHAnsi" w:cs="Arial"/>
        </w:rPr>
        <w:t xml:space="preserve">he results show that the total level of </w:t>
      </w:r>
      <w:r w:rsidR="003C0787" w:rsidRPr="000B5A31">
        <w:rPr>
          <w:rFonts w:asciiTheme="majorHAnsi" w:hAnsiTheme="majorHAnsi" w:cs="Arial"/>
        </w:rPr>
        <w:t xml:space="preserve">funding </w:t>
      </w:r>
      <w:r w:rsidR="00033D46" w:rsidRPr="000B5A31">
        <w:rPr>
          <w:rFonts w:asciiTheme="majorHAnsi" w:hAnsiTheme="majorHAnsi" w:cs="Arial"/>
        </w:rPr>
        <w:t>needed to deploy all 23</w:t>
      </w:r>
      <w:r w:rsidR="00101F0B" w:rsidRPr="000B5A31">
        <w:rPr>
          <w:rFonts w:asciiTheme="majorHAnsi" w:hAnsiTheme="majorHAnsi" w:cs="Arial"/>
        </w:rPr>
        <w:t xml:space="preserve"> measures included in the analysis across the entire U</w:t>
      </w:r>
      <w:r w:rsidR="00033D46" w:rsidRPr="000B5A31">
        <w:rPr>
          <w:rFonts w:asciiTheme="majorHAnsi" w:hAnsiTheme="majorHAnsi" w:cs="Arial"/>
        </w:rPr>
        <w:t>K housing stock is £33</w:t>
      </w:r>
      <w:r w:rsidR="00101F0B" w:rsidRPr="000B5A31">
        <w:rPr>
          <w:rFonts w:asciiTheme="majorHAnsi" w:hAnsiTheme="majorHAnsi" w:cs="Arial"/>
        </w:rPr>
        <w:t xml:space="preserve">.7 billion. Obviously this is a vast amount of money, but it is worth pointing out that it represents 1.4% of the UK’s 2012 level of GDP and that the investment could be spread over many years. </w:t>
      </w:r>
    </w:p>
    <w:p w14:paraId="5D933A65" w14:textId="77777777" w:rsidR="00801D75" w:rsidRPr="000B5A31" w:rsidRDefault="00801D75" w:rsidP="00AB0182">
      <w:pPr>
        <w:spacing w:line="480" w:lineRule="auto"/>
        <w:ind w:left="360"/>
        <w:rPr>
          <w:rFonts w:asciiTheme="majorHAnsi" w:hAnsiTheme="majorHAnsi" w:cs="Arial"/>
        </w:rPr>
      </w:pPr>
    </w:p>
    <w:p w14:paraId="74341D5D" w14:textId="3BCAA314" w:rsidR="006E7F67" w:rsidRPr="000B5A31" w:rsidRDefault="00801D75" w:rsidP="00AB0182">
      <w:pPr>
        <w:spacing w:line="480" w:lineRule="auto"/>
        <w:ind w:left="360"/>
        <w:rPr>
          <w:rFonts w:asciiTheme="majorHAnsi" w:hAnsiTheme="majorHAnsi" w:cs="Arial"/>
        </w:rPr>
      </w:pPr>
      <w:r w:rsidRPr="000B5A31">
        <w:rPr>
          <w:rFonts w:asciiTheme="majorHAnsi" w:hAnsiTheme="majorHAnsi" w:cs="Arial"/>
        </w:rPr>
        <w:t>Perhaps m</w:t>
      </w:r>
      <w:r w:rsidR="00547CF0" w:rsidRPr="000B5A31">
        <w:rPr>
          <w:rFonts w:asciiTheme="majorHAnsi" w:hAnsiTheme="majorHAnsi" w:cs="Arial"/>
        </w:rPr>
        <w:t>ore importantly, t</w:t>
      </w:r>
      <w:r w:rsidR="00101F0B" w:rsidRPr="000B5A31">
        <w:rPr>
          <w:rFonts w:asciiTheme="majorHAnsi" w:hAnsiTheme="majorHAnsi" w:cs="Arial"/>
        </w:rPr>
        <w:t xml:space="preserve">he analysis has shown that </w:t>
      </w:r>
      <w:r w:rsidR="00547CF0" w:rsidRPr="000B5A31">
        <w:rPr>
          <w:rFonts w:asciiTheme="majorHAnsi" w:hAnsiTheme="majorHAnsi" w:cs="Arial"/>
        </w:rPr>
        <w:t>with a revolving fund such an</w:t>
      </w:r>
      <w:r w:rsidR="00101F0B" w:rsidRPr="000B5A31">
        <w:rPr>
          <w:rFonts w:asciiTheme="majorHAnsi" w:hAnsiTheme="majorHAnsi" w:cs="Arial"/>
        </w:rPr>
        <w:t xml:space="preserve"> extensive </w:t>
      </w:r>
      <w:r w:rsidR="00E8394E" w:rsidRPr="000B5A31">
        <w:rPr>
          <w:rFonts w:asciiTheme="majorHAnsi" w:hAnsiTheme="majorHAnsi" w:cs="Arial"/>
        </w:rPr>
        <w:t xml:space="preserve">domestic sector </w:t>
      </w:r>
      <w:r w:rsidR="00101F0B" w:rsidRPr="000B5A31">
        <w:rPr>
          <w:rFonts w:asciiTheme="majorHAnsi" w:hAnsiTheme="majorHAnsi" w:cs="Arial"/>
        </w:rPr>
        <w:t>retrofit scheme could be</w:t>
      </w:r>
      <w:r w:rsidR="00547CF0" w:rsidRPr="000B5A31">
        <w:rPr>
          <w:rFonts w:asciiTheme="majorHAnsi" w:hAnsiTheme="majorHAnsi" w:cs="Arial"/>
        </w:rPr>
        <w:t xml:space="preserve"> made</w:t>
      </w:r>
      <w:r w:rsidR="00101F0B" w:rsidRPr="000B5A31">
        <w:rPr>
          <w:rFonts w:asciiTheme="majorHAnsi" w:hAnsiTheme="majorHAnsi" w:cs="Arial"/>
        </w:rPr>
        <w:t xml:space="preserve"> essentially cost-neutral, albeit with significant up-front investments that would only pay for themselves over an </w:t>
      </w:r>
      <w:r w:rsidR="00E8394E" w:rsidRPr="000B5A31">
        <w:rPr>
          <w:rFonts w:asciiTheme="majorHAnsi" w:hAnsiTheme="majorHAnsi" w:cs="Arial"/>
        </w:rPr>
        <w:t>extended period of time</w:t>
      </w:r>
      <w:r w:rsidR="002264A6" w:rsidRPr="000B5A31">
        <w:rPr>
          <w:rFonts w:asciiTheme="majorHAnsi" w:hAnsiTheme="majorHAnsi" w:cs="Arial"/>
        </w:rPr>
        <w:t xml:space="preserve"> as energy savings come through</w:t>
      </w:r>
      <w:r w:rsidR="00E8394E" w:rsidRPr="000B5A31">
        <w:rPr>
          <w:rFonts w:asciiTheme="majorHAnsi" w:hAnsiTheme="majorHAnsi" w:cs="Arial"/>
        </w:rPr>
        <w:t xml:space="preserve">. It has also shown </w:t>
      </w:r>
      <w:r w:rsidR="00101F0B" w:rsidRPr="000B5A31">
        <w:rPr>
          <w:rFonts w:asciiTheme="majorHAnsi" w:hAnsiTheme="majorHAnsi" w:cs="Arial"/>
        </w:rPr>
        <w:t xml:space="preserve">that the </w:t>
      </w:r>
      <w:r w:rsidR="00547CF0" w:rsidRPr="000B5A31">
        <w:rPr>
          <w:rFonts w:asciiTheme="majorHAnsi" w:hAnsiTheme="majorHAnsi" w:cs="Arial"/>
        </w:rPr>
        <w:t xml:space="preserve">up-front </w:t>
      </w:r>
      <w:r w:rsidR="00101F0B" w:rsidRPr="000B5A31">
        <w:rPr>
          <w:rFonts w:asciiTheme="majorHAnsi" w:hAnsiTheme="majorHAnsi" w:cs="Arial"/>
        </w:rPr>
        <w:t xml:space="preserve">investment costs </w:t>
      </w:r>
      <w:r w:rsidR="00E8394E" w:rsidRPr="000B5A31">
        <w:rPr>
          <w:rFonts w:asciiTheme="majorHAnsi" w:hAnsiTheme="majorHAnsi" w:cs="Arial"/>
        </w:rPr>
        <w:t xml:space="preserve">of such a scheme </w:t>
      </w:r>
      <w:r w:rsidR="00101F0B" w:rsidRPr="000B5A31">
        <w:rPr>
          <w:rFonts w:asciiTheme="majorHAnsi" w:hAnsiTheme="majorHAnsi" w:cs="Arial"/>
        </w:rPr>
        <w:t xml:space="preserve">could be significantly reduced </w:t>
      </w:r>
      <w:r w:rsidR="00547CF0" w:rsidRPr="000B5A31">
        <w:rPr>
          <w:rFonts w:asciiTheme="majorHAnsi" w:hAnsiTheme="majorHAnsi" w:cs="Arial"/>
        </w:rPr>
        <w:t>(</w:t>
      </w:r>
      <w:r w:rsidR="00E8394E" w:rsidRPr="000B5A31">
        <w:rPr>
          <w:rFonts w:asciiTheme="majorHAnsi" w:hAnsiTheme="majorHAnsi" w:cs="Arial"/>
        </w:rPr>
        <w:t xml:space="preserve">in this case </w:t>
      </w:r>
      <w:r w:rsidR="00547CF0" w:rsidRPr="000B5A31">
        <w:rPr>
          <w:rFonts w:asciiTheme="majorHAnsi" w:hAnsiTheme="majorHAnsi" w:cs="Arial"/>
        </w:rPr>
        <w:t>by £</w:t>
      </w:r>
      <w:r w:rsidR="00357C2E" w:rsidRPr="000B5A31">
        <w:rPr>
          <w:rFonts w:asciiTheme="majorHAnsi" w:hAnsiTheme="majorHAnsi" w:cs="Arial"/>
        </w:rPr>
        <w:t>8.9</w:t>
      </w:r>
      <w:r w:rsidR="00547CF0" w:rsidRPr="000B5A31">
        <w:rPr>
          <w:rFonts w:asciiTheme="majorHAnsi" w:hAnsiTheme="majorHAnsi" w:cs="Arial"/>
        </w:rPr>
        <w:t xml:space="preserve"> billion) </w:t>
      </w:r>
      <w:r w:rsidR="00101F0B" w:rsidRPr="000B5A31">
        <w:rPr>
          <w:rFonts w:asciiTheme="majorHAnsi" w:hAnsiTheme="majorHAnsi" w:cs="Arial"/>
        </w:rPr>
        <w:t>through the creation of a revolving fund.</w:t>
      </w:r>
      <w:r w:rsidR="006E7F67" w:rsidRPr="000B5A31">
        <w:rPr>
          <w:rFonts w:asciiTheme="majorHAnsi" w:hAnsiTheme="majorHAnsi" w:cs="Arial"/>
        </w:rPr>
        <w:t xml:space="preserve"> </w:t>
      </w:r>
      <w:r w:rsidR="00547CF0" w:rsidRPr="000B5A31">
        <w:rPr>
          <w:rFonts w:asciiTheme="majorHAnsi" w:hAnsiTheme="majorHAnsi" w:cs="Arial"/>
        </w:rPr>
        <w:t xml:space="preserve">The analysis has also revealed the extent of the reduction in carbon emissions that could be generated through such investments. Although </w:t>
      </w:r>
      <w:r w:rsidR="00E8394E" w:rsidRPr="000B5A31">
        <w:rPr>
          <w:rFonts w:asciiTheme="majorHAnsi" w:hAnsiTheme="majorHAnsi" w:cs="Arial"/>
        </w:rPr>
        <w:t xml:space="preserve">in this case </w:t>
      </w:r>
      <w:r w:rsidR="00547CF0" w:rsidRPr="000B5A31">
        <w:rPr>
          <w:rFonts w:asciiTheme="majorHAnsi" w:hAnsiTheme="majorHAnsi" w:cs="Arial"/>
        </w:rPr>
        <w:t>a 6.</w:t>
      </w:r>
      <w:r w:rsidR="00357C2E" w:rsidRPr="000B5A31">
        <w:rPr>
          <w:rFonts w:asciiTheme="majorHAnsi" w:hAnsiTheme="majorHAnsi" w:cs="Arial"/>
        </w:rPr>
        <w:t>7</w:t>
      </w:r>
      <w:r w:rsidR="00547CF0" w:rsidRPr="000B5A31">
        <w:rPr>
          <w:rFonts w:asciiTheme="majorHAnsi" w:hAnsiTheme="majorHAnsi" w:cs="Arial"/>
        </w:rPr>
        <w:t>%</w:t>
      </w:r>
      <w:r w:rsidR="00810D34" w:rsidRPr="000B5A31">
        <w:rPr>
          <w:rFonts w:asciiTheme="majorHAnsi" w:hAnsiTheme="majorHAnsi" w:cs="Arial"/>
        </w:rPr>
        <w:t xml:space="preserve"> drop in domestic emissions</w:t>
      </w:r>
      <w:r w:rsidR="00547CF0" w:rsidRPr="000B5A31">
        <w:rPr>
          <w:rFonts w:asciiTheme="majorHAnsi" w:hAnsiTheme="majorHAnsi" w:cs="Arial"/>
        </w:rPr>
        <w:t xml:space="preserve"> is a relatively small reduction, </w:t>
      </w:r>
      <w:r w:rsidR="00595A07">
        <w:rPr>
          <w:rFonts w:asciiTheme="majorHAnsi" w:hAnsiTheme="majorHAnsi" w:cs="Arial"/>
        </w:rPr>
        <w:t>the carbon savings are equivalent to the emissions of 1.86 million houses</w:t>
      </w:r>
      <w:r w:rsidR="00A6719B" w:rsidRPr="000B5A31">
        <w:rPr>
          <w:rFonts w:asciiTheme="majorHAnsi" w:hAnsiTheme="majorHAnsi" w:cs="Arial"/>
        </w:rPr>
        <w:t xml:space="preserve">. </w:t>
      </w:r>
      <w:r w:rsidR="000F769E">
        <w:rPr>
          <w:rFonts w:asciiTheme="majorHAnsi" w:hAnsiTheme="majorHAnsi" w:cs="Arial"/>
        </w:rPr>
        <w:t>Previous research has found that the impact</w:t>
      </w:r>
      <w:r w:rsidR="00B91686">
        <w:rPr>
          <w:rFonts w:asciiTheme="majorHAnsi" w:hAnsiTheme="majorHAnsi" w:cs="Arial"/>
        </w:rPr>
        <w:t>s</w:t>
      </w:r>
      <w:r w:rsidR="000F769E">
        <w:rPr>
          <w:rFonts w:asciiTheme="majorHAnsi" w:hAnsiTheme="majorHAnsi" w:cs="Arial"/>
        </w:rPr>
        <w:t xml:space="preserve"> of implementing the </w:t>
      </w:r>
      <w:r w:rsidR="00B91686">
        <w:rPr>
          <w:rFonts w:asciiTheme="majorHAnsi" w:hAnsiTheme="majorHAnsi" w:cs="Arial"/>
        </w:rPr>
        <w:t>key energy efficiency</w:t>
      </w:r>
      <w:r w:rsidR="000F769E">
        <w:rPr>
          <w:rFonts w:asciiTheme="majorHAnsi" w:hAnsiTheme="majorHAnsi" w:cs="Arial"/>
        </w:rPr>
        <w:t xml:space="preserve"> and small scale renewable mea</w:t>
      </w:r>
      <w:r w:rsidR="00B91686">
        <w:rPr>
          <w:rFonts w:asciiTheme="majorHAnsi" w:hAnsiTheme="majorHAnsi" w:cs="Arial"/>
        </w:rPr>
        <w:t>sures included in this study have</w:t>
      </w:r>
      <w:r w:rsidR="000F769E">
        <w:rPr>
          <w:rFonts w:asciiTheme="majorHAnsi" w:hAnsiTheme="majorHAnsi" w:cs="Arial"/>
        </w:rPr>
        <w:t xml:space="preserve"> been higher than forecast (see Webber et al, 2015). </w:t>
      </w:r>
    </w:p>
    <w:p w14:paraId="0E576F7A" w14:textId="77777777" w:rsidR="006E7F67" w:rsidRPr="000B5A31" w:rsidRDefault="006E7F67" w:rsidP="00AB0182">
      <w:pPr>
        <w:spacing w:line="480" w:lineRule="auto"/>
        <w:ind w:left="360"/>
        <w:rPr>
          <w:rFonts w:asciiTheme="majorHAnsi" w:hAnsiTheme="majorHAnsi" w:cs="Arial"/>
        </w:rPr>
      </w:pPr>
    </w:p>
    <w:p w14:paraId="4B5C4402" w14:textId="77777777" w:rsidR="006E7F67" w:rsidRPr="000B5A31" w:rsidRDefault="00A6719B" w:rsidP="00AB0182">
      <w:pPr>
        <w:spacing w:line="480" w:lineRule="auto"/>
        <w:ind w:left="360"/>
        <w:rPr>
          <w:rFonts w:asciiTheme="majorHAnsi" w:hAnsiTheme="majorHAnsi" w:cs="Arial"/>
        </w:rPr>
      </w:pPr>
      <w:r w:rsidRPr="000B5A31">
        <w:rPr>
          <w:rFonts w:asciiTheme="majorHAnsi" w:hAnsiTheme="majorHAnsi" w:cs="Arial"/>
        </w:rPr>
        <w:lastRenderedPageBreak/>
        <w:t>I</w:t>
      </w:r>
      <w:r w:rsidR="00547CF0" w:rsidRPr="000B5A31">
        <w:rPr>
          <w:rFonts w:asciiTheme="majorHAnsi" w:hAnsiTheme="majorHAnsi" w:cs="Arial"/>
        </w:rPr>
        <w:t xml:space="preserve">t is </w:t>
      </w:r>
      <w:r w:rsidRPr="000B5A31">
        <w:rPr>
          <w:rFonts w:asciiTheme="majorHAnsi" w:hAnsiTheme="majorHAnsi" w:cs="Arial"/>
        </w:rPr>
        <w:t xml:space="preserve">also </w:t>
      </w:r>
      <w:r w:rsidR="00547CF0" w:rsidRPr="000B5A31">
        <w:rPr>
          <w:rFonts w:asciiTheme="majorHAnsi" w:hAnsiTheme="majorHAnsi" w:cs="Arial"/>
        </w:rPr>
        <w:t xml:space="preserve">important to point out that the results are based on figures that assume the financing and deployment of a sub-set of the wider range of energy efficiency and low carbon measures available for the domestic sector and that a large proportion of the savings that are technically achievable from these measures are lost through significant performance gaps and rebound effects. </w:t>
      </w:r>
      <w:r w:rsidRPr="000B5A31">
        <w:rPr>
          <w:rFonts w:asciiTheme="majorHAnsi" w:hAnsiTheme="majorHAnsi" w:cs="Arial"/>
        </w:rPr>
        <w:t>Indeed, we see elsewhere in the analysis that addressing performance gaps can have a very significant effect on the financial viability of the scheme by reducing new investment needs and replacing them with recycled investments.</w:t>
      </w:r>
      <w:r w:rsidR="00810D34" w:rsidRPr="000B5A31">
        <w:rPr>
          <w:rFonts w:asciiTheme="majorHAnsi" w:hAnsiTheme="majorHAnsi" w:cs="Arial"/>
        </w:rPr>
        <w:t xml:space="preserve"> </w:t>
      </w:r>
      <w:r w:rsidR="008D2A62" w:rsidRPr="000B5A31">
        <w:rPr>
          <w:rFonts w:asciiTheme="majorHAnsi" w:hAnsiTheme="majorHAnsi" w:cs="Arial"/>
        </w:rPr>
        <w:t>If initiatives to reduce performance gaps were combined with, for example, subsidized lending from the SPV, then the results suggest that further substantial reductions in new investment costs could be achieved</w:t>
      </w:r>
      <w:r w:rsidR="002F1B13" w:rsidRPr="000B5A31">
        <w:rPr>
          <w:rFonts w:asciiTheme="majorHAnsi" w:hAnsiTheme="majorHAnsi" w:cs="Arial"/>
        </w:rPr>
        <w:t xml:space="preserve"> but at </w:t>
      </w:r>
      <w:r w:rsidR="00900EA9" w:rsidRPr="000B5A31">
        <w:rPr>
          <w:rFonts w:asciiTheme="majorHAnsi" w:hAnsiTheme="majorHAnsi" w:cs="Arial"/>
        </w:rPr>
        <w:t>a very substantial</w:t>
      </w:r>
      <w:r w:rsidR="002F1B13" w:rsidRPr="000B5A31">
        <w:rPr>
          <w:rFonts w:asciiTheme="majorHAnsi" w:hAnsiTheme="majorHAnsi" w:cs="Arial"/>
        </w:rPr>
        <w:t xml:space="preserve"> cost to the government</w:t>
      </w:r>
      <w:r w:rsidR="008D2A62" w:rsidRPr="000B5A31">
        <w:rPr>
          <w:rFonts w:asciiTheme="majorHAnsi" w:hAnsiTheme="majorHAnsi" w:cs="Arial"/>
        </w:rPr>
        <w:t xml:space="preserve">. </w:t>
      </w:r>
    </w:p>
    <w:p w14:paraId="2DA9CC68" w14:textId="77777777" w:rsidR="008D2A62" w:rsidRPr="000B5A31" w:rsidRDefault="008D2A62" w:rsidP="00AB0182">
      <w:pPr>
        <w:spacing w:line="480" w:lineRule="auto"/>
        <w:rPr>
          <w:rFonts w:asciiTheme="majorHAnsi" w:hAnsiTheme="majorHAnsi" w:cs="Arial"/>
        </w:rPr>
      </w:pPr>
    </w:p>
    <w:p w14:paraId="661376CA" w14:textId="38F2BEC1" w:rsidR="008B09D6" w:rsidRPr="000B5A31" w:rsidRDefault="008D2A62" w:rsidP="00AB0182">
      <w:pPr>
        <w:spacing w:line="480" w:lineRule="auto"/>
        <w:ind w:left="360"/>
        <w:rPr>
          <w:rFonts w:asciiTheme="majorHAnsi" w:hAnsiTheme="majorHAnsi" w:cs="Arial"/>
        </w:rPr>
      </w:pPr>
      <w:r w:rsidRPr="000B5A31">
        <w:rPr>
          <w:rFonts w:asciiTheme="majorHAnsi" w:hAnsiTheme="majorHAnsi" w:cs="Arial"/>
        </w:rPr>
        <w:t xml:space="preserve">The results </w:t>
      </w:r>
      <w:r w:rsidR="00E8394E" w:rsidRPr="000B5A31">
        <w:rPr>
          <w:rFonts w:asciiTheme="majorHAnsi" w:hAnsiTheme="majorHAnsi" w:cs="Arial"/>
        </w:rPr>
        <w:t xml:space="preserve">have </w:t>
      </w:r>
      <w:r w:rsidRPr="000B5A31">
        <w:rPr>
          <w:rFonts w:asciiTheme="majorHAnsi" w:hAnsiTheme="majorHAnsi" w:cs="Arial"/>
        </w:rPr>
        <w:t>also highlight</w:t>
      </w:r>
      <w:r w:rsidR="00E8394E" w:rsidRPr="000B5A31">
        <w:rPr>
          <w:rFonts w:asciiTheme="majorHAnsi" w:hAnsiTheme="majorHAnsi" w:cs="Arial"/>
        </w:rPr>
        <w:t>ed</w:t>
      </w:r>
      <w:r w:rsidRPr="000B5A31">
        <w:rPr>
          <w:rFonts w:asciiTheme="majorHAnsi" w:hAnsiTheme="majorHAnsi" w:cs="Arial"/>
        </w:rPr>
        <w:t xml:space="preserve"> the ways in which the design of a revolving fund could be varied to make it more financially viable </w:t>
      </w:r>
      <w:r w:rsidR="002F1B13" w:rsidRPr="000B5A31">
        <w:rPr>
          <w:rFonts w:asciiTheme="majorHAnsi" w:hAnsiTheme="majorHAnsi" w:cs="Arial"/>
        </w:rPr>
        <w:t xml:space="preserve">and less risky, and </w:t>
      </w:r>
      <w:r w:rsidRPr="000B5A31">
        <w:rPr>
          <w:rFonts w:asciiTheme="majorHAnsi" w:hAnsiTheme="majorHAnsi" w:cs="Arial"/>
        </w:rPr>
        <w:t xml:space="preserve">to further incentivize participation in such a scheme. </w:t>
      </w:r>
      <w:r w:rsidR="00453094" w:rsidRPr="000B5A31">
        <w:rPr>
          <w:rFonts w:asciiTheme="majorHAnsi" w:hAnsiTheme="majorHAnsi" w:cs="Arial"/>
        </w:rPr>
        <w:t xml:space="preserve">We </w:t>
      </w:r>
      <w:r w:rsidR="00E8394E" w:rsidRPr="000B5A31">
        <w:rPr>
          <w:rFonts w:asciiTheme="majorHAnsi" w:hAnsiTheme="majorHAnsi" w:cs="Arial"/>
        </w:rPr>
        <w:t xml:space="preserve">have </w:t>
      </w:r>
      <w:r w:rsidRPr="000B5A31">
        <w:rPr>
          <w:rFonts w:asciiTheme="majorHAnsi" w:hAnsiTheme="majorHAnsi" w:cs="Arial"/>
        </w:rPr>
        <w:t>show</w:t>
      </w:r>
      <w:r w:rsidR="00E8394E" w:rsidRPr="000B5A31">
        <w:rPr>
          <w:rFonts w:asciiTheme="majorHAnsi" w:hAnsiTheme="majorHAnsi" w:cs="Arial"/>
        </w:rPr>
        <w:t>n</w:t>
      </w:r>
      <w:r w:rsidRPr="000B5A31">
        <w:rPr>
          <w:rFonts w:asciiTheme="majorHAnsi" w:hAnsiTheme="majorHAnsi" w:cs="Arial"/>
        </w:rPr>
        <w:t xml:space="preserve"> that </w:t>
      </w:r>
      <w:r w:rsidR="00E8394E" w:rsidRPr="000B5A31">
        <w:rPr>
          <w:rFonts w:asciiTheme="majorHAnsi" w:hAnsiTheme="majorHAnsi" w:cs="Arial"/>
        </w:rPr>
        <w:t>focusing a</w:t>
      </w:r>
      <w:r w:rsidRPr="000B5A31">
        <w:rPr>
          <w:rFonts w:asciiTheme="majorHAnsi" w:hAnsiTheme="majorHAnsi" w:cs="Arial"/>
        </w:rPr>
        <w:t xml:space="preserve"> fund so that it only invests in measures with short payback periods might make the scheme much more financially attractive, but that this would be </w:t>
      </w:r>
      <w:r w:rsidR="00C91247" w:rsidRPr="000B5A31">
        <w:rPr>
          <w:rFonts w:asciiTheme="majorHAnsi" w:hAnsiTheme="majorHAnsi" w:cs="Arial"/>
        </w:rPr>
        <w:t xml:space="preserve">achieved </w:t>
      </w:r>
      <w:r w:rsidRPr="000B5A31">
        <w:rPr>
          <w:rFonts w:asciiTheme="majorHAnsi" w:hAnsiTheme="majorHAnsi" w:cs="Arial"/>
        </w:rPr>
        <w:t xml:space="preserve">at the expense of significant cuts in the carbon savings </w:t>
      </w:r>
      <w:r w:rsidR="00C91247" w:rsidRPr="000B5A31">
        <w:rPr>
          <w:rFonts w:asciiTheme="majorHAnsi" w:hAnsiTheme="majorHAnsi" w:cs="Arial"/>
        </w:rPr>
        <w:t>that can be realised</w:t>
      </w:r>
      <w:r w:rsidRPr="000B5A31">
        <w:rPr>
          <w:rFonts w:asciiTheme="majorHAnsi" w:hAnsiTheme="majorHAnsi" w:cs="Arial"/>
        </w:rPr>
        <w:t xml:space="preserve">. More positively, the results show that there could be innovative ways of incentivizing </w:t>
      </w:r>
      <w:r w:rsidR="0096169A" w:rsidRPr="000B5A31">
        <w:rPr>
          <w:rFonts w:asciiTheme="majorHAnsi" w:hAnsiTheme="majorHAnsi" w:cs="Arial"/>
        </w:rPr>
        <w:t xml:space="preserve">householder participation that again could be cost-neutral over time. </w:t>
      </w:r>
      <w:r w:rsidR="006E7F67" w:rsidRPr="000B5A31">
        <w:rPr>
          <w:rFonts w:asciiTheme="majorHAnsi" w:hAnsiTheme="majorHAnsi" w:cs="Arial"/>
        </w:rPr>
        <w:t xml:space="preserve">Other forms of policy support </w:t>
      </w:r>
      <w:r w:rsidR="00C91247" w:rsidRPr="000B5A31">
        <w:rPr>
          <w:rFonts w:asciiTheme="majorHAnsi" w:hAnsiTheme="majorHAnsi" w:cs="Arial"/>
        </w:rPr>
        <w:t xml:space="preserve">for a revolving fund </w:t>
      </w:r>
      <w:r w:rsidR="006E7F67" w:rsidRPr="000B5A31">
        <w:rPr>
          <w:rFonts w:asciiTheme="majorHAnsi" w:hAnsiTheme="majorHAnsi" w:cs="Arial"/>
        </w:rPr>
        <w:t>could also be envisaged</w:t>
      </w:r>
      <w:r w:rsidR="00453094" w:rsidRPr="000B5A31">
        <w:rPr>
          <w:rFonts w:asciiTheme="majorHAnsi" w:hAnsiTheme="majorHAnsi" w:cs="Arial"/>
        </w:rPr>
        <w:t>;</w:t>
      </w:r>
      <w:r w:rsidR="006E7F67" w:rsidRPr="000B5A31">
        <w:rPr>
          <w:rFonts w:asciiTheme="majorHAnsi" w:hAnsiTheme="majorHAnsi" w:cs="Arial"/>
        </w:rPr>
        <w:t xml:space="preserve"> governments could enable the emergence and effective operation of revolving funds by underwriting their borrowing to reduce </w:t>
      </w:r>
      <w:r w:rsidR="00453094" w:rsidRPr="000B5A31">
        <w:rPr>
          <w:rFonts w:asciiTheme="majorHAnsi" w:hAnsiTheme="majorHAnsi" w:cs="Arial"/>
        </w:rPr>
        <w:t>default risk</w:t>
      </w:r>
      <w:r w:rsidR="006E7F67" w:rsidRPr="000B5A31">
        <w:rPr>
          <w:rFonts w:asciiTheme="majorHAnsi" w:hAnsiTheme="majorHAnsi" w:cs="Arial"/>
        </w:rPr>
        <w:t xml:space="preserve"> and creating stable policy climates to </w:t>
      </w:r>
      <w:r w:rsidR="00453094" w:rsidRPr="000B5A31">
        <w:rPr>
          <w:rFonts w:asciiTheme="majorHAnsi" w:hAnsiTheme="majorHAnsi" w:cs="Arial"/>
        </w:rPr>
        <w:t xml:space="preserve">further </w:t>
      </w:r>
      <w:r w:rsidR="006E7F67" w:rsidRPr="000B5A31">
        <w:rPr>
          <w:rFonts w:asciiTheme="majorHAnsi" w:hAnsiTheme="majorHAnsi" w:cs="Arial"/>
        </w:rPr>
        <w:t xml:space="preserve">reduce levels of uncertainty. They could also establish supporting incentive structures and provide guarantees, assurance and supporting </w:t>
      </w:r>
      <w:r w:rsidR="006E7F67" w:rsidRPr="000B5A31">
        <w:rPr>
          <w:rFonts w:asciiTheme="majorHAnsi" w:hAnsiTheme="majorHAnsi" w:cs="Arial"/>
        </w:rPr>
        <w:lastRenderedPageBreak/>
        <w:t xml:space="preserve">regulations that encourage participation and ensure that public interest objectives are met. </w:t>
      </w:r>
    </w:p>
    <w:p w14:paraId="13C10864" w14:textId="77777777" w:rsidR="008B09D6" w:rsidRPr="000B5A31" w:rsidRDefault="008B09D6" w:rsidP="00AB0182">
      <w:pPr>
        <w:spacing w:line="480" w:lineRule="auto"/>
        <w:rPr>
          <w:rFonts w:asciiTheme="majorHAnsi" w:hAnsiTheme="majorHAnsi" w:cs="Arial"/>
        </w:rPr>
      </w:pPr>
    </w:p>
    <w:p w14:paraId="6F6B921B" w14:textId="2C3C84F2" w:rsidR="00F85FBD" w:rsidRPr="000B5A31" w:rsidRDefault="006E7F67" w:rsidP="00AB0182">
      <w:pPr>
        <w:spacing w:line="480" w:lineRule="auto"/>
        <w:ind w:left="360"/>
        <w:rPr>
          <w:rFonts w:asciiTheme="majorHAnsi" w:hAnsiTheme="majorHAnsi" w:cs="Arial"/>
          <w:color w:val="F79646" w:themeColor="accent6"/>
        </w:rPr>
      </w:pPr>
      <w:r w:rsidRPr="000B5A31">
        <w:rPr>
          <w:rFonts w:asciiTheme="majorHAnsi" w:hAnsiTheme="majorHAnsi" w:cs="Arial"/>
        </w:rPr>
        <w:t xml:space="preserve">All of these findings are also relevant to broader </w:t>
      </w:r>
      <w:r w:rsidR="000B5A31">
        <w:rPr>
          <w:rFonts w:asciiTheme="majorHAnsi" w:hAnsiTheme="majorHAnsi" w:cs="Arial"/>
        </w:rPr>
        <w:t xml:space="preserve">policy </w:t>
      </w:r>
      <w:r w:rsidRPr="000B5A31">
        <w:rPr>
          <w:rFonts w:asciiTheme="majorHAnsi" w:hAnsiTheme="majorHAnsi" w:cs="Arial"/>
        </w:rPr>
        <w:t xml:space="preserve">debates on climate finance and investment in low carbon development. The results suggest that the investment needs and the associated investment gaps </w:t>
      </w:r>
      <w:r w:rsidR="00C91247" w:rsidRPr="000B5A31">
        <w:rPr>
          <w:rFonts w:asciiTheme="majorHAnsi" w:hAnsiTheme="majorHAnsi" w:cs="Arial"/>
        </w:rPr>
        <w:t xml:space="preserve">discussed at the beginning of this paper </w:t>
      </w:r>
      <w:r w:rsidRPr="000B5A31">
        <w:rPr>
          <w:rFonts w:asciiTheme="majorHAnsi" w:hAnsiTheme="majorHAnsi" w:cs="Arial"/>
        </w:rPr>
        <w:t>might be significantly reduced if revolving funds were widely deployed. However, given the lack of research on climate finance in general and revolving funds in particular, more work needs to be done to consider the contexts in which and the extent to which revolving funds can make a useful contribution.</w:t>
      </w:r>
      <w:r w:rsidR="00F84167">
        <w:rPr>
          <w:rFonts w:asciiTheme="majorHAnsi" w:hAnsiTheme="majorHAnsi" w:cs="Arial"/>
        </w:rPr>
        <w:t xml:space="preserve"> </w:t>
      </w:r>
      <w:r w:rsidR="00C91247" w:rsidRPr="000B5A31">
        <w:rPr>
          <w:rFonts w:asciiTheme="majorHAnsi" w:hAnsiTheme="majorHAnsi" w:cs="Arial"/>
        </w:rPr>
        <w:t>A</w:t>
      </w:r>
      <w:r w:rsidR="00F84167">
        <w:rPr>
          <w:rFonts w:asciiTheme="majorHAnsi" w:hAnsiTheme="majorHAnsi" w:cs="Arial"/>
        </w:rPr>
        <w:t xml:space="preserve">n </w:t>
      </w:r>
      <w:r w:rsidR="00C91247" w:rsidRPr="000B5A31">
        <w:rPr>
          <w:rFonts w:asciiTheme="majorHAnsi" w:hAnsiTheme="majorHAnsi" w:cs="Arial"/>
        </w:rPr>
        <w:t xml:space="preserve">important issue </w:t>
      </w:r>
      <w:r w:rsidRPr="000B5A31">
        <w:rPr>
          <w:rFonts w:asciiTheme="majorHAnsi" w:hAnsiTheme="majorHAnsi" w:cs="Arial"/>
        </w:rPr>
        <w:t>relate</w:t>
      </w:r>
      <w:r w:rsidR="00C91247" w:rsidRPr="000B5A31">
        <w:rPr>
          <w:rFonts w:asciiTheme="majorHAnsi" w:hAnsiTheme="majorHAnsi" w:cs="Arial"/>
        </w:rPr>
        <w:t>s</w:t>
      </w:r>
      <w:r w:rsidRPr="000B5A31">
        <w:rPr>
          <w:rFonts w:asciiTheme="majorHAnsi" w:hAnsiTheme="majorHAnsi" w:cs="Arial"/>
        </w:rPr>
        <w:t xml:space="preserve"> to </w:t>
      </w:r>
      <w:r w:rsidR="00A73091" w:rsidRPr="000B5A31">
        <w:rPr>
          <w:rFonts w:asciiTheme="majorHAnsi" w:hAnsiTheme="majorHAnsi" w:cs="Arial"/>
        </w:rPr>
        <w:t>whether revolving funds have the ability to fund ‘deep retrofit’ initiatives that deliver much more significant cuts in energy use and carbon emissions than those demonstrated here. There are also questions about whether, how and to what extent revolving funds could be applied to new build</w:t>
      </w:r>
      <w:r w:rsidR="00C91247" w:rsidRPr="000B5A31">
        <w:rPr>
          <w:rFonts w:asciiTheme="majorHAnsi" w:hAnsiTheme="majorHAnsi" w:cs="Arial"/>
        </w:rPr>
        <w:t>ings</w:t>
      </w:r>
      <w:r w:rsidR="00A73091" w:rsidRPr="000B5A31">
        <w:rPr>
          <w:rFonts w:asciiTheme="majorHAnsi" w:hAnsiTheme="majorHAnsi" w:cs="Arial"/>
        </w:rPr>
        <w:t xml:space="preserve"> as well as </w:t>
      </w:r>
      <w:r w:rsidR="00C91247" w:rsidRPr="000B5A31">
        <w:rPr>
          <w:rFonts w:asciiTheme="majorHAnsi" w:hAnsiTheme="majorHAnsi" w:cs="Arial"/>
        </w:rPr>
        <w:t xml:space="preserve">the </w:t>
      </w:r>
      <w:r w:rsidR="00A73091" w:rsidRPr="000B5A31">
        <w:rPr>
          <w:rFonts w:asciiTheme="majorHAnsi" w:hAnsiTheme="majorHAnsi" w:cs="Arial"/>
        </w:rPr>
        <w:t>retrofit</w:t>
      </w:r>
      <w:r w:rsidR="00C91247" w:rsidRPr="000B5A31">
        <w:rPr>
          <w:rFonts w:asciiTheme="majorHAnsi" w:hAnsiTheme="majorHAnsi" w:cs="Arial"/>
        </w:rPr>
        <w:t xml:space="preserve"> of existing buildings, to commercial and industrial as well as domestic</w:t>
      </w:r>
      <w:r w:rsidR="00A73091" w:rsidRPr="000B5A31">
        <w:rPr>
          <w:rFonts w:asciiTheme="majorHAnsi" w:hAnsiTheme="majorHAnsi" w:cs="Arial"/>
        </w:rPr>
        <w:t xml:space="preserve"> buildings and to other sectors such as energy or transport.</w:t>
      </w:r>
      <w:r w:rsidR="00F84167">
        <w:rPr>
          <w:rFonts w:asciiTheme="majorHAnsi" w:hAnsiTheme="majorHAnsi" w:cs="Arial"/>
        </w:rPr>
        <w:t xml:space="preserve"> And more broadly there are important issues about the extent to which revolving funds could be adopted, the ways in which they should be designed and governed and the extent to which they can perform in different social, political and economic conditions.</w:t>
      </w:r>
    </w:p>
    <w:p w14:paraId="0CD11557" w14:textId="77777777" w:rsidR="008D2A62" w:rsidRPr="000B5A31" w:rsidRDefault="008D2A62" w:rsidP="00AB0182">
      <w:pPr>
        <w:spacing w:line="480" w:lineRule="auto"/>
        <w:rPr>
          <w:rFonts w:asciiTheme="majorHAnsi" w:hAnsiTheme="majorHAnsi" w:cs="Arial"/>
        </w:rPr>
      </w:pPr>
    </w:p>
    <w:p w14:paraId="4C2C6413" w14:textId="77777777" w:rsidR="00A73091" w:rsidRPr="000B5A31" w:rsidRDefault="0096169A" w:rsidP="00AB0182">
      <w:pPr>
        <w:spacing w:line="480" w:lineRule="auto"/>
        <w:ind w:left="360"/>
        <w:rPr>
          <w:rFonts w:asciiTheme="majorHAnsi" w:hAnsiTheme="majorHAnsi" w:cs="Arial"/>
        </w:rPr>
      </w:pPr>
      <w:r w:rsidRPr="000B5A31">
        <w:rPr>
          <w:rFonts w:asciiTheme="majorHAnsi" w:hAnsiTheme="majorHAnsi" w:cs="Arial"/>
        </w:rPr>
        <w:t xml:space="preserve">More generally, </w:t>
      </w:r>
      <w:r w:rsidR="00A73091" w:rsidRPr="000B5A31">
        <w:rPr>
          <w:rFonts w:asciiTheme="majorHAnsi" w:hAnsiTheme="majorHAnsi" w:cs="Arial"/>
        </w:rPr>
        <w:t xml:space="preserve">the </w:t>
      </w:r>
      <w:r w:rsidRPr="000B5A31">
        <w:rPr>
          <w:rFonts w:asciiTheme="majorHAnsi" w:hAnsiTheme="majorHAnsi" w:cs="Arial"/>
        </w:rPr>
        <w:t xml:space="preserve">broad finding that revolving funds could enable major public interest programmes to be undertaken in ways that both significantly reduce the </w:t>
      </w:r>
      <w:r w:rsidR="00801D75" w:rsidRPr="000B5A31">
        <w:rPr>
          <w:rFonts w:asciiTheme="majorHAnsi" w:hAnsiTheme="majorHAnsi" w:cs="Arial"/>
        </w:rPr>
        <w:t xml:space="preserve">need for new investment </w:t>
      </w:r>
      <w:r w:rsidRPr="000B5A31">
        <w:rPr>
          <w:rFonts w:asciiTheme="majorHAnsi" w:hAnsiTheme="majorHAnsi" w:cs="Arial"/>
        </w:rPr>
        <w:t xml:space="preserve">and that </w:t>
      </w:r>
      <w:r w:rsidR="00801D75" w:rsidRPr="000B5A31">
        <w:rPr>
          <w:rFonts w:asciiTheme="majorHAnsi" w:hAnsiTheme="majorHAnsi" w:cs="Arial"/>
        </w:rPr>
        <w:t xml:space="preserve">even </w:t>
      </w:r>
      <w:r w:rsidRPr="000B5A31">
        <w:rPr>
          <w:rFonts w:asciiTheme="majorHAnsi" w:hAnsiTheme="majorHAnsi" w:cs="Arial"/>
        </w:rPr>
        <w:t xml:space="preserve">render substantial programmes cost-neutral over time could be of great importance. </w:t>
      </w:r>
      <w:r w:rsidR="006664DA" w:rsidRPr="000B5A31">
        <w:rPr>
          <w:rFonts w:asciiTheme="majorHAnsi" w:hAnsiTheme="majorHAnsi" w:cs="Arial"/>
        </w:rPr>
        <w:t xml:space="preserve">This </w:t>
      </w:r>
      <w:r w:rsidR="00F85FBD" w:rsidRPr="000B5A31">
        <w:rPr>
          <w:rFonts w:asciiTheme="majorHAnsi" w:hAnsiTheme="majorHAnsi" w:cs="Arial"/>
        </w:rPr>
        <w:t xml:space="preserve">finding suggests that innovative financing </w:t>
      </w:r>
      <w:r w:rsidR="00F85FBD" w:rsidRPr="000B5A31">
        <w:rPr>
          <w:rFonts w:asciiTheme="majorHAnsi" w:hAnsiTheme="majorHAnsi" w:cs="Arial"/>
        </w:rPr>
        <w:lastRenderedPageBreak/>
        <w:t xml:space="preserve">arrangements such as revolving funds </w:t>
      </w:r>
      <w:r w:rsidR="006664DA" w:rsidRPr="000B5A31">
        <w:rPr>
          <w:rFonts w:asciiTheme="majorHAnsi" w:hAnsiTheme="majorHAnsi" w:cs="Arial"/>
        </w:rPr>
        <w:t>could</w:t>
      </w:r>
      <w:r w:rsidR="00F85FBD" w:rsidRPr="000B5A31">
        <w:rPr>
          <w:rFonts w:asciiTheme="majorHAnsi" w:hAnsiTheme="majorHAnsi" w:cs="Arial"/>
        </w:rPr>
        <w:t xml:space="preserve"> enable states with limited capacities and resources to act in contexts and on issues where action might otherwise be impossible. Pragmatically, therefore, it seems that revolving funds could have massive potential, particularly in an era of austerity. </w:t>
      </w:r>
    </w:p>
    <w:p w14:paraId="5E0812F4" w14:textId="77777777" w:rsidR="00264EEF" w:rsidRPr="000B5A31" w:rsidRDefault="00264EEF" w:rsidP="00AB0182">
      <w:pPr>
        <w:spacing w:line="480" w:lineRule="auto"/>
        <w:ind w:left="360"/>
        <w:rPr>
          <w:rFonts w:asciiTheme="majorHAnsi" w:hAnsiTheme="majorHAnsi" w:cs="Arial"/>
        </w:rPr>
      </w:pPr>
    </w:p>
    <w:p w14:paraId="76CC039D" w14:textId="77777777" w:rsidR="00442D9A" w:rsidRPr="000B5A31" w:rsidRDefault="00264EEF" w:rsidP="00AB0182">
      <w:pPr>
        <w:spacing w:line="480" w:lineRule="auto"/>
        <w:ind w:left="360"/>
        <w:rPr>
          <w:rFonts w:asciiTheme="majorHAnsi" w:hAnsiTheme="majorHAnsi" w:cs="Arial"/>
        </w:rPr>
      </w:pPr>
      <w:r w:rsidRPr="000B5A31">
        <w:rPr>
          <w:rFonts w:asciiTheme="majorHAnsi" w:hAnsiTheme="majorHAnsi" w:cs="Arial"/>
        </w:rPr>
        <w:t xml:space="preserve">The model presented here allows us to </w:t>
      </w:r>
      <w:r w:rsidR="00D5406F" w:rsidRPr="000B5A31">
        <w:rPr>
          <w:rFonts w:asciiTheme="majorHAnsi" w:hAnsiTheme="majorHAnsi" w:cs="Arial"/>
        </w:rPr>
        <w:t xml:space="preserve">start to consider </w:t>
      </w:r>
      <w:r w:rsidRPr="000B5A31">
        <w:rPr>
          <w:rFonts w:asciiTheme="majorHAnsi" w:hAnsiTheme="majorHAnsi" w:cs="Arial"/>
        </w:rPr>
        <w:t xml:space="preserve">the potential contribution of different sources and types of finance. For example, if the revolving fund is </w:t>
      </w:r>
      <w:r w:rsidR="00033D46" w:rsidRPr="000B5A31">
        <w:rPr>
          <w:rFonts w:asciiTheme="majorHAnsi" w:hAnsiTheme="majorHAnsi" w:cs="Arial"/>
        </w:rPr>
        <w:t>financed</w:t>
      </w:r>
      <w:r w:rsidRPr="000B5A31">
        <w:rPr>
          <w:rFonts w:asciiTheme="majorHAnsi" w:hAnsiTheme="majorHAnsi" w:cs="Arial"/>
        </w:rPr>
        <w:t xml:space="preserve"> by the private sector, this </w:t>
      </w:r>
      <w:r w:rsidR="002A1708" w:rsidRPr="000B5A31">
        <w:rPr>
          <w:rFonts w:asciiTheme="majorHAnsi" w:hAnsiTheme="majorHAnsi" w:cs="Arial"/>
        </w:rPr>
        <w:t>is likely to require the interest rate to be higher than if the capital was provided by the public sector and</w:t>
      </w:r>
      <w:r w:rsidR="00D5406F" w:rsidRPr="000B5A31">
        <w:rPr>
          <w:rFonts w:asciiTheme="majorHAnsi" w:hAnsiTheme="majorHAnsi" w:cs="Arial"/>
        </w:rPr>
        <w:t xml:space="preserve"> it</w:t>
      </w:r>
      <w:r w:rsidR="002A1708" w:rsidRPr="000B5A31">
        <w:rPr>
          <w:rFonts w:asciiTheme="majorHAnsi" w:hAnsiTheme="majorHAnsi" w:cs="Arial"/>
        </w:rPr>
        <w:t xml:space="preserve"> may also require the capital to be repaid over a shorter period</w:t>
      </w:r>
      <w:r w:rsidR="00442D9A" w:rsidRPr="000B5A31">
        <w:rPr>
          <w:rFonts w:asciiTheme="majorHAnsi" w:hAnsiTheme="majorHAnsi" w:cs="Arial"/>
        </w:rPr>
        <w:t xml:space="preserve"> (Sullivan </w:t>
      </w:r>
      <w:r w:rsidR="00442D9A" w:rsidRPr="000B5A31">
        <w:rPr>
          <w:rFonts w:asciiTheme="majorHAnsi" w:hAnsiTheme="majorHAnsi" w:cs="Arial"/>
          <w:i/>
        </w:rPr>
        <w:t>et. a</w:t>
      </w:r>
      <w:r w:rsidR="00D5406F" w:rsidRPr="000B5A31">
        <w:rPr>
          <w:rFonts w:asciiTheme="majorHAnsi" w:hAnsiTheme="majorHAnsi" w:cs="Arial"/>
          <w:i/>
        </w:rPr>
        <w:t>l</w:t>
      </w:r>
      <w:r w:rsidR="00442D9A" w:rsidRPr="000B5A31">
        <w:rPr>
          <w:rFonts w:asciiTheme="majorHAnsi" w:hAnsiTheme="majorHAnsi" w:cs="Arial"/>
        </w:rPr>
        <w:t>, 2013)</w:t>
      </w:r>
      <w:r w:rsidR="002A1708" w:rsidRPr="000B5A31">
        <w:rPr>
          <w:rFonts w:asciiTheme="majorHAnsi" w:hAnsiTheme="majorHAnsi" w:cs="Arial"/>
        </w:rPr>
        <w:t xml:space="preserve">. In relation to this latter point, we note that there is significant institutional investor interest in long-term (20+ years) investment structures </w:t>
      </w:r>
      <w:r w:rsidR="00D5406F" w:rsidRPr="000B5A31">
        <w:rPr>
          <w:rFonts w:asciiTheme="majorHAnsi" w:hAnsiTheme="majorHAnsi" w:cs="Arial"/>
        </w:rPr>
        <w:t xml:space="preserve">and opportunities </w:t>
      </w:r>
      <w:r w:rsidR="002A1708" w:rsidRPr="000B5A31">
        <w:rPr>
          <w:rFonts w:asciiTheme="majorHAnsi" w:hAnsiTheme="majorHAnsi" w:cs="Arial"/>
        </w:rPr>
        <w:t>(see, for example, OECD, 2013), and so there may be good alignment between these investors’ timeframes and the investment and repayment periods of such a fund. Similarly, when we look at the role of government funding, the model allows us to explore how different funding interventions may be deployed. For example</w:t>
      </w:r>
      <w:r w:rsidR="00DB5EA5" w:rsidRPr="000B5A31">
        <w:rPr>
          <w:rFonts w:asciiTheme="majorHAnsi" w:hAnsiTheme="majorHAnsi" w:cs="Arial"/>
        </w:rPr>
        <w:t>, government funding could be used to provide some level of insurance against defaults, to reduce the cost of capital, to reduce the level of capital required (through debt or equity financing), to provide direct incentives to households, or to cover some of the setup and transaction costs for the SPV or the installers. In each case, the effect of these on the revolving fund’s cash</w:t>
      </w:r>
      <w:r w:rsidR="00033D46" w:rsidRPr="000B5A31">
        <w:rPr>
          <w:rFonts w:asciiTheme="majorHAnsi" w:hAnsiTheme="majorHAnsi" w:cs="Arial"/>
        </w:rPr>
        <w:t xml:space="preserve"> </w:t>
      </w:r>
      <w:r w:rsidR="00DB5EA5" w:rsidRPr="000B5A31">
        <w:rPr>
          <w:rFonts w:asciiTheme="majorHAnsi" w:hAnsiTheme="majorHAnsi" w:cs="Arial"/>
        </w:rPr>
        <w:t xml:space="preserve">flows, revenues, profits and repayments can be explicitly modelled and assessed. </w:t>
      </w:r>
      <w:r w:rsidR="00442D9A" w:rsidRPr="000B5A31">
        <w:rPr>
          <w:rFonts w:asciiTheme="majorHAnsi" w:hAnsiTheme="majorHAnsi" w:cs="Arial"/>
        </w:rPr>
        <w:t>It</w:t>
      </w:r>
      <w:r w:rsidR="0098719F" w:rsidRPr="000B5A31">
        <w:rPr>
          <w:rFonts w:asciiTheme="majorHAnsi" w:hAnsiTheme="majorHAnsi" w:cs="Arial"/>
        </w:rPr>
        <w:t xml:space="preserve"> </w:t>
      </w:r>
      <w:r w:rsidR="00442D9A" w:rsidRPr="000B5A31">
        <w:rPr>
          <w:rFonts w:asciiTheme="majorHAnsi" w:hAnsiTheme="majorHAnsi" w:cs="Arial"/>
        </w:rPr>
        <w:t>also enables the financial impacts on the other actors involved, which may include central and local government, capital providers, energy providers and service companies, businesses and households, to be assessed.</w:t>
      </w:r>
      <w:r w:rsidR="0098719F" w:rsidRPr="000B5A31">
        <w:rPr>
          <w:rFonts w:asciiTheme="majorHAnsi" w:hAnsiTheme="majorHAnsi" w:cs="Arial"/>
        </w:rPr>
        <w:t xml:space="preserve"> Finally, the </w:t>
      </w:r>
      <w:r w:rsidR="0098719F" w:rsidRPr="000B5A31">
        <w:rPr>
          <w:rFonts w:asciiTheme="majorHAnsi" w:hAnsiTheme="majorHAnsi" w:cs="Arial"/>
        </w:rPr>
        <w:lastRenderedPageBreak/>
        <w:t xml:space="preserve">model enables the effect of transaction costs, e.g. SPV fees, set up costs, on investment returns and capital deployment to be </w:t>
      </w:r>
      <w:r w:rsidR="00D5406F" w:rsidRPr="000B5A31">
        <w:rPr>
          <w:rFonts w:asciiTheme="majorHAnsi" w:hAnsiTheme="majorHAnsi" w:cs="Arial"/>
        </w:rPr>
        <w:t>evaluated</w:t>
      </w:r>
      <w:r w:rsidR="0098719F" w:rsidRPr="000B5A31">
        <w:rPr>
          <w:rFonts w:asciiTheme="majorHAnsi" w:hAnsiTheme="majorHAnsi" w:cs="Arial"/>
        </w:rPr>
        <w:t>.</w:t>
      </w:r>
    </w:p>
    <w:p w14:paraId="0BB38A3C" w14:textId="77777777" w:rsidR="00442D9A" w:rsidRPr="000B5A31" w:rsidRDefault="00442D9A" w:rsidP="00AB0182">
      <w:pPr>
        <w:spacing w:line="480" w:lineRule="auto"/>
        <w:ind w:left="360"/>
        <w:rPr>
          <w:rFonts w:asciiTheme="majorHAnsi" w:hAnsiTheme="majorHAnsi" w:cs="Arial"/>
        </w:rPr>
      </w:pPr>
    </w:p>
    <w:p w14:paraId="01CADE5E" w14:textId="77777777" w:rsidR="00264EEF" w:rsidRPr="000B5A31" w:rsidRDefault="00DB5EA5" w:rsidP="00AB0182">
      <w:pPr>
        <w:spacing w:line="480" w:lineRule="auto"/>
        <w:ind w:left="360"/>
        <w:rPr>
          <w:rFonts w:asciiTheme="majorHAnsi" w:hAnsiTheme="majorHAnsi" w:cs="Arial"/>
        </w:rPr>
      </w:pPr>
      <w:r w:rsidRPr="000B5A31">
        <w:rPr>
          <w:rFonts w:asciiTheme="majorHAnsi" w:hAnsiTheme="majorHAnsi" w:cs="Arial"/>
        </w:rPr>
        <w:t xml:space="preserve">Returning to our earlier comment about the financing of energy efficiency in an era of austerity, </w:t>
      </w:r>
      <w:r w:rsidR="00442D9A" w:rsidRPr="000B5A31">
        <w:rPr>
          <w:rFonts w:asciiTheme="majorHAnsi" w:hAnsiTheme="majorHAnsi" w:cs="Arial"/>
        </w:rPr>
        <w:t xml:space="preserve">the analysis presented here </w:t>
      </w:r>
      <w:r w:rsidRPr="000B5A31">
        <w:rPr>
          <w:rFonts w:asciiTheme="majorHAnsi" w:hAnsiTheme="majorHAnsi" w:cs="Arial"/>
        </w:rPr>
        <w:t>suggests that central government can help stimulate these investments in a whole host of ways and a</w:t>
      </w:r>
      <w:r w:rsidR="005F3843" w:rsidRPr="000B5A31">
        <w:rPr>
          <w:rFonts w:asciiTheme="majorHAnsi" w:hAnsiTheme="majorHAnsi" w:cs="Arial"/>
        </w:rPr>
        <w:t>t</w:t>
      </w:r>
      <w:r w:rsidRPr="000B5A31">
        <w:rPr>
          <w:rFonts w:asciiTheme="majorHAnsi" w:hAnsiTheme="majorHAnsi" w:cs="Arial"/>
        </w:rPr>
        <w:t xml:space="preserve"> much lower </w:t>
      </w:r>
      <w:r w:rsidR="005F3843" w:rsidRPr="000B5A31">
        <w:rPr>
          <w:rFonts w:asciiTheme="majorHAnsi" w:hAnsiTheme="majorHAnsi" w:cs="Arial"/>
        </w:rPr>
        <w:t>cost</w:t>
      </w:r>
      <w:r w:rsidRPr="000B5A31">
        <w:rPr>
          <w:rFonts w:asciiTheme="majorHAnsi" w:hAnsiTheme="majorHAnsi" w:cs="Arial"/>
        </w:rPr>
        <w:t xml:space="preserve"> than central government looking to </w:t>
      </w:r>
      <w:r w:rsidR="00D5406F" w:rsidRPr="000B5A31">
        <w:rPr>
          <w:rFonts w:asciiTheme="majorHAnsi" w:hAnsiTheme="majorHAnsi" w:cs="Arial"/>
        </w:rPr>
        <w:t xml:space="preserve">actually </w:t>
      </w:r>
      <w:r w:rsidRPr="000B5A31">
        <w:rPr>
          <w:rFonts w:asciiTheme="majorHAnsi" w:hAnsiTheme="majorHAnsi" w:cs="Arial"/>
        </w:rPr>
        <w:t>fund such investments</w:t>
      </w:r>
      <w:r w:rsidR="00033D46" w:rsidRPr="000B5A31">
        <w:rPr>
          <w:rFonts w:asciiTheme="majorHAnsi" w:hAnsiTheme="majorHAnsi" w:cs="Arial"/>
        </w:rPr>
        <w:t xml:space="preserve"> directly</w:t>
      </w:r>
      <w:r w:rsidRPr="000B5A31">
        <w:rPr>
          <w:rFonts w:asciiTheme="majorHAnsi" w:hAnsiTheme="majorHAnsi" w:cs="Arial"/>
        </w:rPr>
        <w:t>. It suggests that gover</w:t>
      </w:r>
      <w:r w:rsidR="00442D9A" w:rsidRPr="000B5A31">
        <w:rPr>
          <w:rFonts w:asciiTheme="majorHAnsi" w:hAnsiTheme="majorHAnsi" w:cs="Arial"/>
        </w:rPr>
        <w:t>n</w:t>
      </w:r>
      <w:r w:rsidRPr="000B5A31">
        <w:rPr>
          <w:rFonts w:asciiTheme="majorHAnsi" w:hAnsiTheme="majorHAnsi" w:cs="Arial"/>
        </w:rPr>
        <w:t>ments can encourage and provide practical support to local authorities</w:t>
      </w:r>
      <w:r w:rsidR="00033D46" w:rsidRPr="000B5A31">
        <w:rPr>
          <w:rFonts w:asciiTheme="majorHAnsi" w:hAnsiTheme="majorHAnsi" w:cs="Arial"/>
        </w:rPr>
        <w:t>, community groups</w:t>
      </w:r>
      <w:r w:rsidRPr="000B5A31">
        <w:rPr>
          <w:rFonts w:asciiTheme="majorHAnsi" w:hAnsiTheme="majorHAnsi" w:cs="Arial"/>
        </w:rPr>
        <w:t xml:space="preserve"> </w:t>
      </w:r>
      <w:r w:rsidR="00D5406F" w:rsidRPr="000B5A31">
        <w:rPr>
          <w:rFonts w:asciiTheme="majorHAnsi" w:hAnsiTheme="majorHAnsi" w:cs="Arial"/>
        </w:rPr>
        <w:t xml:space="preserve">or other bodies </w:t>
      </w:r>
      <w:r w:rsidRPr="000B5A31">
        <w:rPr>
          <w:rFonts w:asciiTheme="majorHAnsi" w:hAnsiTheme="majorHAnsi" w:cs="Arial"/>
        </w:rPr>
        <w:t xml:space="preserve">looking to </w:t>
      </w:r>
      <w:r w:rsidR="005F3843" w:rsidRPr="000B5A31">
        <w:rPr>
          <w:rFonts w:asciiTheme="majorHAnsi" w:hAnsiTheme="majorHAnsi" w:cs="Arial"/>
        </w:rPr>
        <w:t xml:space="preserve">invest in energy efficiency within their areas, and that government can help address some of the key investment risks associated with these investments (see Sullivan, 2011, Sullivan </w:t>
      </w:r>
      <w:r w:rsidR="005F3843" w:rsidRPr="000B5A31">
        <w:rPr>
          <w:rFonts w:asciiTheme="majorHAnsi" w:hAnsiTheme="majorHAnsi" w:cs="Arial"/>
          <w:i/>
        </w:rPr>
        <w:t xml:space="preserve">et al, </w:t>
      </w:r>
      <w:r w:rsidR="005F3843" w:rsidRPr="000B5A31">
        <w:rPr>
          <w:rFonts w:asciiTheme="majorHAnsi" w:hAnsiTheme="majorHAnsi" w:cs="Arial"/>
        </w:rPr>
        <w:t>2013) and thereby encourage the private sector to invest in energy efficiency.</w:t>
      </w:r>
      <w:r w:rsidR="00B86988" w:rsidRPr="000B5A31">
        <w:rPr>
          <w:rFonts w:asciiTheme="majorHAnsi" w:hAnsiTheme="majorHAnsi" w:cs="Arial"/>
        </w:rPr>
        <w:t xml:space="preserve"> Within this, it is important to recognize that many investment risks relate to, or are informed by, investors’ views on the dependability of public policy measures such as carbon taxes and their views on governments’ long-term commitment to action on climate change and energy efficiency. The fact that central and/or local government provides some level of financial support for the revolving fund is, in itself, likely to be seen as mitigating some of the financial risks and, in turn, may see private investors being happy to receive lower rates of return on their investments.</w:t>
      </w:r>
    </w:p>
    <w:p w14:paraId="5EC162F6" w14:textId="77777777" w:rsidR="005F3843" w:rsidRPr="000B5A31" w:rsidRDefault="005F3843" w:rsidP="00AB0182">
      <w:pPr>
        <w:spacing w:line="480" w:lineRule="auto"/>
        <w:ind w:left="360"/>
        <w:rPr>
          <w:rFonts w:asciiTheme="majorHAnsi" w:hAnsiTheme="majorHAnsi" w:cs="Arial"/>
        </w:rPr>
      </w:pPr>
    </w:p>
    <w:p w14:paraId="3BFE54A8" w14:textId="77777777" w:rsidR="00884B21" w:rsidRPr="000B5A31" w:rsidRDefault="00442D9A" w:rsidP="00AB0182">
      <w:pPr>
        <w:spacing w:line="480" w:lineRule="auto"/>
        <w:ind w:left="360"/>
        <w:rPr>
          <w:rFonts w:asciiTheme="majorHAnsi" w:hAnsiTheme="majorHAnsi" w:cs="Arial"/>
        </w:rPr>
      </w:pPr>
      <w:r w:rsidRPr="000B5A31">
        <w:rPr>
          <w:rFonts w:asciiTheme="majorHAnsi" w:hAnsiTheme="majorHAnsi" w:cs="Arial"/>
        </w:rPr>
        <w:t xml:space="preserve">While the broad case for using revolving funds to support the financing of energy efficiency is clear, they also raise profound questions around governance, accountability and legitimacy. </w:t>
      </w:r>
      <w:r w:rsidR="00D5406F" w:rsidRPr="000B5A31">
        <w:rPr>
          <w:rFonts w:asciiTheme="majorHAnsi" w:hAnsiTheme="majorHAnsi" w:cs="Arial"/>
        </w:rPr>
        <w:t>Some of these issues are critically important in public policy debates:</w:t>
      </w:r>
      <w:r w:rsidR="00B86988" w:rsidRPr="000B5A31">
        <w:rPr>
          <w:rFonts w:asciiTheme="majorHAnsi" w:hAnsiTheme="majorHAnsi" w:cs="Arial"/>
        </w:rPr>
        <w:t xml:space="preserve"> measures to mitigate financial risks may be seen as effectively being a form of subsidy to </w:t>
      </w:r>
      <w:r w:rsidR="00B86988" w:rsidRPr="000B5A31">
        <w:rPr>
          <w:rFonts w:asciiTheme="majorHAnsi" w:hAnsiTheme="majorHAnsi" w:cs="Arial"/>
        </w:rPr>
        <w:lastRenderedPageBreak/>
        <w:t xml:space="preserve">the private sector; a </w:t>
      </w:r>
      <w:r w:rsidR="00D5406F" w:rsidRPr="000B5A31">
        <w:rPr>
          <w:rFonts w:asciiTheme="majorHAnsi" w:hAnsiTheme="majorHAnsi" w:cs="Arial"/>
        </w:rPr>
        <w:t xml:space="preserve">limited </w:t>
      </w:r>
      <w:r w:rsidR="00B86988" w:rsidRPr="000B5A31">
        <w:rPr>
          <w:rFonts w:asciiTheme="majorHAnsi" w:hAnsiTheme="majorHAnsi" w:cs="Arial"/>
        </w:rPr>
        <w:t>focus on economically attractive options may mean that governments do not achieve their wider climate change commitments; the involvement of central government or of the private sector may limit the autonomy of local government</w:t>
      </w:r>
      <w:r w:rsidR="00884B21" w:rsidRPr="000B5A31">
        <w:rPr>
          <w:rFonts w:asciiTheme="majorHAnsi" w:hAnsiTheme="majorHAnsi" w:cs="Arial"/>
        </w:rPr>
        <w:t xml:space="preserve"> or community groups</w:t>
      </w:r>
      <w:r w:rsidR="00B86988" w:rsidRPr="000B5A31">
        <w:rPr>
          <w:rFonts w:asciiTheme="majorHAnsi" w:hAnsiTheme="majorHAnsi" w:cs="Arial"/>
        </w:rPr>
        <w:t xml:space="preserve"> to develop fund</w:t>
      </w:r>
      <w:r w:rsidR="00884B21" w:rsidRPr="000B5A31">
        <w:rPr>
          <w:rFonts w:asciiTheme="majorHAnsi" w:hAnsiTheme="majorHAnsi" w:cs="Arial"/>
        </w:rPr>
        <w:t>s that deliver</w:t>
      </w:r>
      <w:r w:rsidR="00B86988" w:rsidRPr="000B5A31">
        <w:rPr>
          <w:rFonts w:asciiTheme="majorHAnsi" w:hAnsiTheme="majorHAnsi" w:cs="Arial"/>
        </w:rPr>
        <w:t xml:space="preserve"> on </w:t>
      </w:r>
      <w:r w:rsidR="00884B21" w:rsidRPr="000B5A31">
        <w:rPr>
          <w:rFonts w:asciiTheme="majorHAnsi" w:hAnsiTheme="majorHAnsi" w:cs="Arial"/>
        </w:rPr>
        <w:t xml:space="preserve">wider </w:t>
      </w:r>
      <w:r w:rsidR="00B86988" w:rsidRPr="000B5A31">
        <w:rPr>
          <w:rFonts w:asciiTheme="majorHAnsi" w:hAnsiTheme="majorHAnsi" w:cs="Arial"/>
        </w:rPr>
        <w:t xml:space="preserve">local priorities </w:t>
      </w:r>
      <w:r w:rsidR="00884B21" w:rsidRPr="000B5A31">
        <w:rPr>
          <w:rFonts w:asciiTheme="majorHAnsi" w:hAnsiTheme="majorHAnsi" w:cs="Arial"/>
        </w:rPr>
        <w:t>and concerns</w:t>
      </w:r>
      <w:r w:rsidR="00B86988" w:rsidRPr="000B5A31">
        <w:rPr>
          <w:rFonts w:asciiTheme="majorHAnsi" w:hAnsiTheme="majorHAnsi" w:cs="Arial"/>
        </w:rPr>
        <w:t xml:space="preserve">. </w:t>
      </w:r>
    </w:p>
    <w:p w14:paraId="270280FB" w14:textId="77777777" w:rsidR="00884B21" w:rsidRPr="000B5A31" w:rsidRDefault="00884B21" w:rsidP="00AB0182">
      <w:pPr>
        <w:spacing w:line="480" w:lineRule="auto"/>
        <w:ind w:left="360"/>
        <w:rPr>
          <w:rFonts w:asciiTheme="majorHAnsi" w:hAnsiTheme="majorHAnsi" w:cs="Arial"/>
        </w:rPr>
      </w:pPr>
    </w:p>
    <w:p w14:paraId="261AEFC2" w14:textId="24A246BC" w:rsidR="006D7B76" w:rsidRPr="000B5A31" w:rsidRDefault="00B86988" w:rsidP="00AB0182">
      <w:pPr>
        <w:spacing w:line="480" w:lineRule="auto"/>
        <w:ind w:left="360"/>
        <w:rPr>
          <w:rFonts w:asciiTheme="majorHAnsi" w:hAnsiTheme="majorHAnsi" w:cs="Arial"/>
        </w:rPr>
      </w:pPr>
      <w:r w:rsidRPr="000B5A31">
        <w:rPr>
          <w:rFonts w:asciiTheme="majorHAnsi" w:hAnsiTheme="majorHAnsi" w:cs="Arial"/>
        </w:rPr>
        <w:t xml:space="preserve">More generally, </w:t>
      </w:r>
      <w:r w:rsidR="006D7B76" w:rsidRPr="000B5A31">
        <w:rPr>
          <w:rFonts w:asciiTheme="majorHAnsi" w:hAnsiTheme="majorHAnsi" w:cs="Arial"/>
        </w:rPr>
        <w:t xml:space="preserve">there is also what many would see as a danger that revolving funds </w:t>
      </w:r>
      <w:r w:rsidR="0098719F" w:rsidRPr="000B5A31">
        <w:rPr>
          <w:rFonts w:asciiTheme="majorHAnsi" w:hAnsiTheme="majorHAnsi" w:cs="Arial"/>
        </w:rPr>
        <w:t xml:space="preserve">– and the greater involvement of </w:t>
      </w:r>
      <w:r w:rsidR="00884B21" w:rsidRPr="000B5A31">
        <w:rPr>
          <w:rFonts w:asciiTheme="majorHAnsi" w:hAnsiTheme="majorHAnsi" w:cs="Arial"/>
        </w:rPr>
        <w:t>non-state actors</w:t>
      </w:r>
      <w:r w:rsidR="0098719F" w:rsidRPr="000B5A31">
        <w:rPr>
          <w:rFonts w:asciiTheme="majorHAnsi" w:hAnsiTheme="majorHAnsi" w:cs="Arial"/>
        </w:rPr>
        <w:t xml:space="preserve"> in providing the capital needed for the delivery of public goods benefits such as reducing greenhouse gas emissions or improving energy efficiency and strengthening energy security and resilience - </w:t>
      </w:r>
      <w:r w:rsidR="006D7B76" w:rsidRPr="000B5A31">
        <w:rPr>
          <w:rFonts w:asciiTheme="majorHAnsi" w:hAnsiTheme="majorHAnsi" w:cs="Arial"/>
        </w:rPr>
        <w:t>could be used by some to argue for the further curtailment of the powers of the state</w:t>
      </w:r>
      <w:r w:rsidR="0098719F" w:rsidRPr="000B5A31">
        <w:rPr>
          <w:rFonts w:asciiTheme="majorHAnsi" w:hAnsiTheme="majorHAnsi" w:cs="Arial"/>
        </w:rPr>
        <w:t xml:space="preserve">. This is particularly relevant </w:t>
      </w:r>
      <w:r w:rsidR="00A6036E" w:rsidRPr="000B5A31">
        <w:rPr>
          <w:rFonts w:asciiTheme="majorHAnsi" w:hAnsiTheme="majorHAnsi" w:cs="Arial"/>
        </w:rPr>
        <w:t>in contexts where</w:t>
      </w:r>
      <w:r w:rsidR="0098719F" w:rsidRPr="000B5A31">
        <w:rPr>
          <w:rFonts w:asciiTheme="majorHAnsi" w:hAnsiTheme="majorHAnsi" w:cs="Arial"/>
        </w:rPr>
        <w:t>, in a climate of austerity</w:t>
      </w:r>
      <w:r w:rsidR="00A6036E" w:rsidRPr="000B5A31">
        <w:rPr>
          <w:rFonts w:asciiTheme="majorHAnsi" w:hAnsiTheme="majorHAnsi" w:cs="Arial"/>
        </w:rPr>
        <w:t xml:space="preserve"> or neoliberalism</w:t>
      </w:r>
      <w:r w:rsidR="0098719F" w:rsidRPr="000B5A31">
        <w:rPr>
          <w:rFonts w:asciiTheme="majorHAnsi" w:hAnsiTheme="majorHAnsi" w:cs="Arial"/>
        </w:rPr>
        <w:t xml:space="preserve">, many governments are moving away from being the provider of public goods and instead acting as facilitators or enablers for </w:t>
      </w:r>
      <w:r w:rsidR="00A6036E" w:rsidRPr="000B5A31">
        <w:rPr>
          <w:rFonts w:asciiTheme="majorHAnsi" w:hAnsiTheme="majorHAnsi" w:cs="Arial"/>
        </w:rPr>
        <w:t>other private or civic actors to deliver</w:t>
      </w:r>
      <w:r w:rsidR="0098719F" w:rsidRPr="000B5A31">
        <w:rPr>
          <w:rFonts w:asciiTheme="majorHAnsi" w:hAnsiTheme="majorHAnsi" w:cs="Arial"/>
        </w:rPr>
        <w:t xml:space="preserve"> these public goods (Gouldson and Sullivan, </w:t>
      </w:r>
      <w:r w:rsidR="00F07135">
        <w:rPr>
          <w:rFonts w:asciiTheme="majorHAnsi" w:hAnsiTheme="majorHAnsi" w:cs="Arial"/>
        </w:rPr>
        <w:t>2014</w:t>
      </w:r>
      <w:r w:rsidR="0098719F" w:rsidRPr="000B5A31">
        <w:rPr>
          <w:rFonts w:asciiTheme="majorHAnsi" w:hAnsiTheme="majorHAnsi" w:cs="Arial"/>
        </w:rPr>
        <w:t xml:space="preserve">). </w:t>
      </w:r>
      <w:r w:rsidR="006D7B76" w:rsidRPr="000B5A31">
        <w:rPr>
          <w:rFonts w:asciiTheme="majorHAnsi" w:hAnsiTheme="majorHAnsi" w:cs="Arial"/>
        </w:rPr>
        <w:t xml:space="preserve">Whether or not this is a </w:t>
      </w:r>
      <w:r w:rsidR="00F07135">
        <w:rPr>
          <w:rFonts w:asciiTheme="majorHAnsi" w:hAnsiTheme="majorHAnsi" w:cs="Arial"/>
        </w:rPr>
        <w:t xml:space="preserve">politically </w:t>
      </w:r>
      <w:r w:rsidR="006D7B76" w:rsidRPr="000B5A31">
        <w:rPr>
          <w:rFonts w:asciiTheme="majorHAnsi" w:hAnsiTheme="majorHAnsi" w:cs="Arial"/>
        </w:rPr>
        <w:t>desirable outcome is</w:t>
      </w:r>
      <w:r w:rsidR="00F07135">
        <w:rPr>
          <w:rFonts w:asciiTheme="majorHAnsi" w:hAnsiTheme="majorHAnsi" w:cs="Arial"/>
        </w:rPr>
        <w:t xml:space="preserve"> </w:t>
      </w:r>
      <w:r w:rsidR="003D3C9E">
        <w:rPr>
          <w:rFonts w:asciiTheme="majorHAnsi" w:hAnsiTheme="majorHAnsi" w:cs="Arial"/>
        </w:rPr>
        <w:t>to some extent</w:t>
      </w:r>
      <w:r w:rsidR="00F07135">
        <w:rPr>
          <w:rFonts w:asciiTheme="majorHAnsi" w:hAnsiTheme="majorHAnsi" w:cs="Arial"/>
        </w:rPr>
        <w:t xml:space="preserve"> open to debate, but it is important to note that some important variables considered in the analysis above are likely to vary depending on how a scheme is both funded and governed</w:t>
      </w:r>
      <w:r w:rsidR="0098719F" w:rsidRPr="000B5A31">
        <w:rPr>
          <w:rFonts w:asciiTheme="majorHAnsi" w:hAnsiTheme="majorHAnsi" w:cs="Arial"/>
        </w:rPr>
        <w:t xml:space="preserve">. </w:t>
      </w:r>
      <w:r w:rsidR="00F07135">
        <w:rPr>
          <w:rFonts w:asciiTheme="majorHAnsi" w:hAnsiTheme="majorHAnsi" w:cs="Arial"/>
        </w:rPr>
        <w:t>A privately funded</w:t>
      </w:r>
      <w:r w:rsidR="00105CE3">
        <w:rPr>
          <w:rFonts w:asciiTheme="majorHAnsi" w:hAnsiTheme="majorHAnsi" w:cs="Arial"/>
        </w:rPr>
        <w:t>,</w:t>
      </w:r>
      <w:r w:rsidR="00F07135">
        <w:rPr>
          <w:rFonts w:asciiTheme="majorHAnsi" w:hAnsiTheme="majorHAnsi" w:cs="Arial"/>
        </w:rPr>
        <w:t xml:space="preserve"> </w:t>
      </w:r>
      <w:r w:rsidR="00F66B81">
        <w:rPr>
          <w:rFonts w:asciiTheme="majorHAnsi" w:hAnsiTheme="majorHAnsi" w:cs="Arial"/>
        </w:rPr>
        <w:t xml:space="preserve">profit-driven </w:t>
      </w:r>
      <w:r w:rsidR="00F07135">
        <w:rPr>
          <w:rFonts w:asciiTheme="majorHAnsi" w:hAnsiTheme="majorHAnsi" w:cs="Arial"/>
        </w:rPr>
        <w:t xml:space="preserve">scheme that is </w:t>
      </w:r>
      <w:r w:rsidR="00F66B81">
        <w:rPr>
          <w:rFonts w:asciiTheme="majorHAnsi" w:hAnsiTheme="majorHAnsi" w:cs="Arial"/>
        </w:rPr>
        <w:t xml:space="preserve">poorly supported or </w:t>
      </w:r>
      <w:r w:rsidR="00F07135">
        <w:rPr>
          <w:rFonts w:asciiTheme="majorHAnsi" w:hAnsiTheme="majorHAnsi" w:cs="Arial"/>
        </w:rPr>
        <w:t xml:space="preserve">loosely </w:t>
      </w:r>
      <w:r w:rsidR="00F66B81">
        <w:rPr>
          <w:rFonts w:asciiTheme="majorHAnsi" w:hAnsiTheme="majorHAnsi" w:cs="Arial"/>
        </w:rPr>
        <w:t>regulated</w:t>
      </w:r>
      <w:r w:rsidR="00F07135">
        <w:rPr>
          <w:rFonts w:asciiTheme="majorHAnsi" w:hAnsiTheme="majorHAnsi" w:cs="Arial"/>
        </w:rPr>
        <w:t xml:space="preserve"> is likely to have a narrower focus and to generate fewer savings than a publically or civically funded</w:t>
      </w:r>
      <w:r w:rsidR="00105CE3">
        <w:rPr>
          <w:rFonts w:asciiTheme="majorHAnsi" w:hAnsiTheme="majorHAnsi" w:cs="Arial"/>
        </w:rPr>
        <w:t>,</w:t>
      </w:r>
      <w:r w:rsidR="00F07135">
        <w:rPr>
          <w:rFonts w:asciiTheme="majorHAnsi" w:hAnsiTheme="majorHAnsi" w:cs="Arial"/>
        </w:rPr>
        <w:t xml:space="preserve"> </w:t>
      </w:r>
      <w:r w:rsidR="00F66B81">
        <w:rPr>
          <w:rFonts w:asciiTheme="majorHAnsi" w:hAnsiTheme="majorHAnsi" w:cs="Arial"/>
        </w:rPr>
        <w:t xml:space="preserve">not-for-profit </w:t>
      </w:r>
      <w:r w:rsidR="00F07135">
        <w:rPr>
          <w:rFonts w:asciiTheme="majorHAnsi" w:hAnsiTheme="majorHAnsi" w:cs="Arial"/>
        </w:rPr>
        <w:t>scheme that is</w:t>
      </w:r>
      <w:r w:rsidR="00F66B81">
        <w:rPr>
          <w:rFonts w:asciiTheme="majorHAnsi" w:hAnsiTheme="majorHAnsi" w:cs="Arial"/>
        </w:rPr>
        <w:t xml:space="preserve"> more actively supported or</w:t>
      </w:r>
      <w:r w:rsidR="00F07135">
        <w:rPr>
          <w:rFonts w:asciiTheme="majorHAnsi" w:hAnsiTheme="majorHAnsi" w:cs="Arial"/>
        </w:rPr>
        <w:t xml:space="preserve"> more closely regulated</w:t>
      </w:r>
      <w:r w:rsidR="003D3C9E">
        <w:rPr>
          <w:rFonts w:asciiTheme="majorHAnsi" w:hAnsiTheme="majorHAnsi" w:cs="Arial"/>
        </w:rPr>
        <w:t xml:space="preserve"> to ensure that it generates wider social and environmental benefits</w:t>
      </w:r>
      <w:r w:rsidR="00F07135">
        <w:rPr>
          <w:rFonts w:asciiTheme="majorHAnsi" w:hAnsiTheme="majorHAnsi" w:cs="Arial"/>
        </w:rPr>
        <w:t xml:space="preserve">. </w:t>
      </w:r>
      <w:r w:rsidR="0098719F" w:rsidRPr="000B5A31">
        <w:rPr>
          <w:rFonts w:asciiTheme="majorHAnsi" w:hAnsiTheme="majorHAnsi" w:cs="Arial"/>
        </w:rPr>
        <w:t xml:space="preserve">One of the contributions of this article </w:t>
      </w:r>
      <w:r w:rsidR="00F07135">
        <w:rPr>
          <w:rFonts w:asciiTheme="majorHAnsi" w:hAnsiTheme="majorHAnsi" w:cs="Arial"/>
        </w:rPr>
        <w:t xml:space="preserve">– and a focus of our on-going research - </w:t>
      </w:r>
      <w:r w:rsidR="0098719F" w:rsidRPr="000B5A31">
        <w:rPr>
          <w:rFonts w:asciiTheme="majorHAnsi" w:hAnsiTheme="majorHAnsi" w:cs="Arial"/>
        </w:rPr>
        <w:t xml:space="preserve">is that </w:t>
      </w:r>
      <w:r w:rsidR="00F07135">
        <w:rPr>
          <w:rFonts w:asciiTheme="majorHAnsi" w:hAnsiTheme="majorHAnsi" w:cs="Arial"/>
        </w:rPr>
        <w:t xml:space="preserve">the </w:t>
      </w:r>
      <w:r w:rsidR="003D3C9E">
        <w:rPr>
          <w:rFonts w:asciiTheme="majorHAnsi" w:hAnsiTheme="majorHAnsi" w:cs="Arial"/>
        </w:rPr>
        <w:t>r</w:t>
      </w:r>
      <w:r w:rsidR="00F07135">
        <w:rPr>
          <w:rFonts w:asciiTheme="majorHAnsi" w:hAnsiTheme="majorHAnsi" w:cs="Arial"/>
        </w:rPr>
        <w:t>evolving funds model presented</w:t>
      </w:r>
      <w:r w:rsidR="00F07135" w:rsidRPr="000B5A31">
        <w:rPr>
          <w:rFonts w:asciiTheme="majorHAnsi" w:hAnsiTheme="majorHAnsi" w:cs="Arial"/>
        </w:rPr>
        <w:t xml:space="preserve"> </w:t>
      </w:r>
      <w:r w:rsidR="0098719F" w:rsidRPr="000B5A31">
        <w:rPr>
          <w:rFonts w:asciiTheme="majorHAnsi" w:hAnsiTheme="majorHAnsi" w:cs="Arial"/>
        </w:rPr>
        <w:t xml:space="preserve">enables the financial costs and benefits and the public goods outcomes (in terms of energy savings </w:t>
      </w:r>
      <w:r w:rsidR="0098719F" w:rsidRPr="000B5A31">
        <w:rPr>
          <w:rFonts w:asciiTheme="majorHAnsi" w:hAnsiTheme="majorHAnsi" w:cs="Arial"/>
        </w:rPr>
        <w:lastRenderedPageBreak/>
        <w:t>or greenhouse gas emission reductions) to be explicitly identified and assessed, thereby enabling</w:t>
      </w:r>
      <w:r w:rsidR="006D7B76" w:rsidRPr="000B5A31">
        <w:rPr>
          <w:rFonts w:asciiTheme="majorHAnsi" w:hAnsiTheme="majorHAnsi" w:cs="Arial"/>
        </w:rPr>
        <w:t xml:space="preserve"> a more informed debate</w:t>
      </w:r>
      <w:r w:rsidR="0098719F" w:rsidRPr="000B5A31">
        <w:rPr>
          <w:rFonts w:asciiTheme="majorHAnsi" w:hAnsiTheme="majorHAnsi" w:cs="Arial"/>
        </w:rPr>
        <w:t xml:space="preserve"> on the costs, benefits and implications of this type of innovative financing mechanism</w:t>
      </w:r>
      <w:r w:rsidR="006D7B76" w:rsidRPr="000B5A31">
        <w:rPr>
          <w:rFonts w:asciiTheme="majorHAnsi" w:hAnsiTheme="majorHAnsi" w:cs="Arial"/>
        </w:rPr>
        <w:t>.</w:t>
      </w:r>
    </w:p>
    <w:p w14:paraId="726C9F65" w14:textId="77777777" w:rsidR="0099572E" w:rsidRPr="000B5A31" w:rsidRDefault="0099572E" w:rsidP="00AB0182">
      <w:pPr>
        <w:spacing w:line="480" w:lineRule="auto"/>
        <w:rPr>
          <w:rFonts w:asciiTheme="majorHAnsi" w:hAnsiTheme="majorHAnsi" w:cs="Arial"/>
        </w:rPr>
      </w:pPr>
    </w:p>
    <w:p w14:paraId="4C2BCF31" w14:textId="77777777" w:rsidR="004C78F8" w:rsidRPr="000B5A31" w:rsidRDefault="004C78F8" w:rsidP="00AB0182">
      <w:pPr>
        <w:spacing w:line="480" w:lineRule="auto"/>
        <w:ind w:left="360"/>
        <w:rPr>
          <w:rFonts w:asciiTheme="majorHAnsi" w:hAnsiTheme="majorHAnsi" w:cs="Arial"/>
        </w:rPr>
      </w:pPr>
    </w:p>
    <w:p w14:paraId="47B85B0D" w14:textId="1DE97F75" w:rsidR="0099572E" w:rsidRPr="000B5A31" w:rsidRDefault="0069412A" w:rsidP="00AB0182">
      <w:pPr>
        <w:spacing w:line="480" w:lineRule="auto"/>
        <w:ind w:left="360"/>
        <w:rPr>
          <w:rFonts w:asciiTheme="majorHAnsi" w:hAnsiTheme="majorHAnsi" w:cs="Arial"/>
          <w:b/>
        </w:rPr>
      </w:pPr>
      <w:r>
        <w:rPr>
          <w:rFonts w:asciiTheme="majorHAnsi" w:hAnsiTheme="majorHAnsi" w:cs="Arial"/>
          <w:b/>
        </w:rPr>
        <w:t>5</w:t>
      </w:r>
      <w:r w:rsidR="000B5A31">
        <w:rPr>
          <w:rFonts w:asciiTheme="majorHAnsi" w:hAnsiTheme="majorHAnsi" w:cs="Arial"/>
          <w:b/>
        </w:rPr>
        <w:t xml:space="preserve">. </w:t>
      </w:r>
      <w:r w:rsidR="0099572E" w:rsidRPr="000B5A31">
        <w:rPr>
          <w:rFonts w:asciiTheme="majorHAnsi" w:hAnsiTheme="majorHAnsi" w:cs="Arial"/>
          <w:b/>
        </w:rPr>
        <w:t>Conclusions</w:t>
      </w:r>
      <w:r w:rsidR="006F702A">
        <w:rPr>
          <w:rFonts w:asciiTheme="majorHAnsi" w:hAnsiTheme="majorHAnsi" w:cs="Arial"/>
          <w:b/>
        </w:rPr>
        <w:t xml:space="preserve"> and Policy Implications</w:t>
      </w:r>
    </w:p>
    <w:p w14:paraId="0689C9CF" w14:textId="77777777" w:rsidR="00C967EC" w:rsidRPr="000B5A31" w:rsidRDefault="00C967EC" w:rsidP="00AB0182">
      <w:pPr>
        <w:spacing w:line="480" w:lineRule="auto"/>
        <w:ind w:left="360"/>
        <w:rPr>
          <w:rFonts w:asciiTheme="majorHAnsi" w:hAnsiTheme="majorHAnsi" w:cs="Arial"/>
          <w:b/>
        </w:rPr>
      </w:pPr>
    </w:p>
    <w:p w14:paraId="6F0FB3A2" w14:textId="03C992A8" w:rsidR="006D7B76" w:rsidRPr="000B5A31" w:rsidRDefault="00C967EC" w:rsidP="00AB0182">
      <w:pPr>
        <w:spacing w:line="480" w:lineRule="auto"/>
        <w:ind w:left="360"/>
        <w:rPr>
          <w:rFonts w:asciiTheme="majorHAnsi" w:hAnsiTheme="majorHAnsi" w:cs="Arial"/>
        </w:rPr>
      </w:pPr>
      <w:r w:rsidRPr="000B5A31">
        <w:rPr>
          <w:rFonts w:asciiTheme="majorHAnsi" w:hAnsiTheme="majorHAnsi" w:cs="Arial"/>
        </w:rPr>
        <w:t>Although there is a strong economic case for climate action at the global scale, in many settings the ability of both public and private actors to invest in low carbon development has been curtailed in recent years</w:t>
      </w:r>
      <w:r w:rsidR="00E6684C" w:rsidRPr="000B5A31">
        <w:rPr>
          <w:rFonts w:asciiTheme="majorHAnsi" w:hAnsiTheme="majorHAnsi" w:cs="Arial"/>
        </w:rPr>
        <w:t xml:space="preserve">. Globally, </w:t>
      </w:r>
      <w:r w:rsidRPr="000B5A31">
        <w:rPr>
          <w:rFonts w:asciiTheme="majorHAnsi" w:hAnsiTheme="majorHAnsi" w:cs="Arial"/>
        </w:rPr>
        <w:t>levels of investment fall a long way short of those required if dangerous climate change is to be avoided</w:t>
      </w:r>
      <w:r w:rsidR="00D53129">
        <w:rPr>
          <w:rFonts w:asciiTheme="majorHAnsi" w:hAnsiTheme="majorHAnsi" w:cs="Arial"/>
        </w:rPr>
        <w:t>.</w:t>
      </w:r>
      <w:r w:rsidRPr="000B5A31">
        <w:rPr>
          <w:rFonts w:asciiTheme="majorHAnsi" w:hAnsiTheme="majorHAnsi" w:cs="Arial"/>
        </w:rPr>
        <w:t xml:space="preserve"> There is therefore a pressing need </w:t>
      </w:r>
      <w:r w:rsidR="00E6684C" w:rsidRPr="000B5A31">
        <w:rPr>
          <w:rFonts w:asciiTheme="majorHAnsi" w:hAnsiTheme="majorHAnsi" w:cs="Arial"/>
        </w:rPr>
        <w:t>to explore the potential of</w:t>
      </w:r>
      <w:r w:rsidRPr="000B5A31">
        <w:rPr>
          <w:rFonts w:asciiTheme="majorHAnsi" w:hAnsiTheme="majorHAnsi" w:cs="Arial"/>
        </w:rPr>
        <w:t xml:space="preserve"> innovative financing arrangements that </w:t>
      </w:r>
      <w:r w:rsidR="00E6684C" w:rsidRPr="000B5A31">
        <w:rPr>
          <w:rFonts w:asciiTheme="majorHAnsi" w:hAnsiTheme="majorHAnsi" w:cs="Arial"/>
        </w:rPr>
        <w:t>might</w:t>
      </w:r>
      <w:r w:rsidRPr="000B5A31">
        <w:rPr>
          <w:rFonts w:asciiTheme="majorHAnsi" w:hAnsiTheme="majorHAnsi" w:cs="Arial"/>
        </w:rPr>
        <w:t xml:space="preserve"> stimulate flows of capital into</w:t>
      </w:r>
      <w:r w:rsidR="001D2F12" w:rsidRPr="000B5A31">
        <w:rPr>
          <w:rFonts w:asciiTheme="majorHAnsi" w:hAnsiTheme="majorHAnsi" w:cs="Arial"/>
        </w:rPr>
        <w:t>,</w:t>
      </w:r>
      <w:r w:rsidRPr="000B5A31">
        <w:rPr>
          <w:rFonts w:asciiTheme="majorHAnsi" w:hAnsiTheme="majorHAnsi" w:cs="Arial"/>
        </w:rPr>
        <w:t xml:space="preserve"> and ideally also </w:t>
      </w:r>
      <w:r w:rsidR="00891FCE">
        <w:rPr>
          <w:rFonts w:asciiTheme="majorHAnsi" w:hAnsiTheme="majorHAnsi" w:cs="Arial"/>
        </w:rPr>
        <w:t xml:space="preserve">to </w:t>
      </w:r>
      <w:r w:rsidRPr="000B5A31">
        <w:rPr>
          <w:rFonts w:asciiTheme="majorHAnsi" w:hAnsiTheme="majorHAnsi" w:cs="Arial"/>
        </w:rPr>
        <w:t xml:space="preserve">reduce the costs </w:t>
      </w:r>
      <w:r w:rsidR="00891FCE">
        <w:rPr>
          <w:rFonts w:asciiTheme="majorHAnsi" w:hAnsiTheme="majorHAnsi" w:cs="Arial"/>
        </w:rPr>
        <w:t xml:space="preserve">and increase the effectiveness </w:t>
      </w:r>
      <w:r w:rsidRPr="000B5A31">
        <w:rPr>
          <w:rFonts w:asciiTheme="majorHAnsi" w:hAnsiTheme="majorHAnsi" w:cs="Arial"/>
        </w:rPr>
        <w:t>of</w:t>
      </w:r>
      <w:r w:rsidR="001D2F12" w:rsidRPr="000B5A31">
        <w:rPr>
          <w:rFonts w:asciiTheme="majorHAnsi" w:hAnsiTheme="majorHAnsi" w:cs="Arial"/>
        </w:rPr>
        <w:t>,</w:t>
      </w:r>
      <w:r w:rsidRPr="000B5A31">
        <w:rPr>
          <w:rFonts w:asciiTheme="majorHAnsi" w:hAnsiTheme="majorHAnsi" w:cs="Arial"/>
        </w:rPr>
        <w:t xml:space="preserve"> climate action. </w:t>
      </w:r>
    </w:p>
    <w:p w14:paraId="486B38D9" w14:textId="77777777" w:rsidR="006D7B76" w:rsidRPr="000B5A31" w:rsidRDefault="006D7B76" w:rsidP="00AB0182">
      <w:pPr>
        <w:spacing w:line="480" w:lineRule="auto"/>
        <w:ind w:left="360"/>
        <w:rPr>
          <w:rFonts w:asciiTheme="majorHAnsi" w:hAnsiTheme="majorHAnsi" w:cs="Arial"/>
        </w:rPr>
      </w:pPr>
    </w:p>
    <w:p w14:paraId="6848254C" w14:textId="0A679639" w:rsidR="009D029E" w:rsidRDefault="00C967EC" w:rsidP="009D029E">
      <w:pPr>
        <w:spacing w:line="480" w:lineRule="auto"/>
        <w:ind w:left="360"/>
        <w:rPr>
          <w:rFonts w:asciiTheme="majorHAnsi" w:hAnsiTheme="majorHAnsi" w:cs="Arial"/>
        </w:rPr>
      </w:pPr>
      <w:r w:rsidRPr="000B5A31">
        <w:rPr>
          <w:rFonts w:asciiTheme="majorHAnsi" w:hAnsiTheme="majorHAnsi" w:cs="Arial"/>
        </w:rPr>
        <w:t>This paper has explored the contribution that revolving funds might make in this respect</w:t>
      </w:r>
      <w:r w:rsidR="00891FCE">
        <w:rPr>
          <w:rFonts w:asciiTheme="majorHAnsi" w:hAnsiTheme="majorHAnsi" w:cs="Arial"/>
        </w:rPr>
        <w:t xml:space="preserve">, with a particular focus on </w:t>
      </w:r>
      <w:r w:rsidR="00FB6382">
        <w:rPr>
          <w:rFonts w:asciiTheme="majorHAnsi" w:hAnsiTheme="majorHAnsi" w:cs="Arial"/>
        </w:rPr>
        <w:t xml:space="preserve">their ability to finance improvements in </w:t>
      </w:r>
      <w:r w:rsidR="00891FCE">
        <w:rPr>
          <w:rFonts w:asciiTheme="majorHAnsi" w:hAnsiTheme="majorHAnsi" w:cs="Arial"/>
        </w:rPr>
        <w:t>the energy performance of</w:t>
      </w:r>
      <w:r w:rsidR="00104640" w:rsidRPr="00D53129">
        <w:rPr>
          <w:rFonts w:asciiTheme="majorHAnsi" w:hAnsiTheme="majorHAnsi" w:cs="Arial"/>
        </w:rPr>
        <w:t xml:space="preserve"> the buildings sector. </w:t>
      </w:r>
      <w:r w:rsidR="00104640">
        <w:rPr>
          <w:rFonts w:asciiTheme="majorHAnsi" w:hAnsiTheme="majorHAnsi" w:cs="Arial"/>
        </w:rPr>
        <w:t xml:space="preserve">To explore the practical contribution that revolving funds could make to solving this </w:t>
      </w:r>
      <w:r w:rsidR="00891FCE">
        <w:rPr>
          <w:rFonts w:asciiTheme="majorHAnsi" w:hAnsiTheme="majorHAnsi" w:cs="Arial"/>
        </w:rPr>
        <w:t>problem</w:t>
      </w:r>
      <w:r w:rsidR="00104640">
        <w:rPr>
          <w:rFonts w:asciiTheme="majorHAnsi" w:hAnsiTheme="majorHAnsi" w:cs="Arial"/>
        </w:rPr>
        <w:t xml:space="preserve">, the paper </w:t>
      </w:r>
      <w:r w:rsidR="00891FCE">
        <w:rPr>
          <w:rFonts w:asciiTheme="majorHAnsi" w:hAnsiTheme="majorHAnsi" w:cs="Arial"/>
        </w:rPr>
        <w:t xml:space="preserve">proposed a generic model of a revolving fund and applied it based </w:t>
      </w:r>
      <w:r w:rsidR="00104640">
        <w:rPr>
          <w:rFonts w:asciiTheme="majorHAnsi" w:hAnsiTheme="majorHAnsi" w:cs="Arial"/>
        </w:rPr>
        <w:t>on the specific case of the domesti</w:t>
      </w:r>
      <w:r w:rsidR="00157643">
        <w:rPr>
          <w:rFonts w:asciiTheme="majorHAnsi" w:hAnsiTheme="majorHAnsi" w:cs="Arial"/>
        </w:rPr>
        <w:t xml:space="preserve">c sector in the UK. The finding that a revolving fund could reduce the cost of an extensive retrofit programme by </w:t>
      </w:r>
      <w:r w:rsidR="00D53129">
        <w:rPr>
          <w:rFonts w:asciiTheme="majorHAnsi" w:hAnsiTheme="majorHAnsi" w:cs="Arial"/>
        </w:rPr>
        <w:t xml:space="preserve">26%, or </w:t>
      </w:r>
      <w:r w:rsidR="00157643">
        <w:rPr>
          <w:rFonts w:asciiTheme="majorHAnsi" w:hAnsiTheme="majorHAnsi" w:cs="Arial"/>
        </w:rPr>
        <w:t xml:space="preserve">£9 billion, is significant in itself as it increases the chance that governments with scarce resources will intervene to promote retrofit. </w:t>
      </w:r>
      <w:r w:rsidR="009D029E">
        <w:rPr>
          <w:rFonts w:asciiTheme="majorHAnsi" w:hAnsiTheme="majorHAnsi" w:cs="Arial"/>
        </w:rPr>
        <w:t xml:space="preserve">Obviously we should be very cautious when extrapolating from one case, but if a similar scale of </w:t>
      </w:r>
      <w:r w:rsidR="009D029E">
        <w:rPr>
          <w:rFonts w:asciiTheme="majorHAnsi" w:hAnsiTheme="majorHAnsi" w:cs="Arial"/>
        </w:rPr>
        <w:lastRenderedPageBreak/>
        <w:t>reduction could be made to the US$</w:t>
      </w:r>
      <w:r w:rsidR="009D029E" w:rsidRPr="000B5A31">
        <w:rPr>
          <w:rFonts w:asciiTheme="majorHAnsi" w:hAnsiTheme="majorHAnsi" w:cs="Arial"/>
        </w:rPr>
        <w:t xml:space="preserve">31 trillion </w:t>
      </w:r>
      <w:r w:rsidR="009D029E">
        <w:rPr>
          <w:rFonts w:asciiTheme="majorHAnsi" w:hAnsiTheme="majorHAnsi" w:cs="Arial"/>
        </w:rPr>
        <w:t xml:space="preserve">that the IEA forecasts </w:t>
      </w:r>
      <w:r w:rsidR="009D029E" w:rsidRPr="000B5A31">
        <w:rPr>
          <w:rFonts w:asciiTheme="majorHAnsi" w:hAnsiTheme="majorHAnsi" w:cs="Arial"/>
        </w:rPr>
        <w:t xml:space="preserve">will be required to promote energy efficiency in buildings </w:t>
      </w:r>
      <w:r w:rsidR="009D029E">
        <w:rPr>
          <w:rFonts w:asciiTheme="majorHAnsi" w:hAnsiTheme="majorHAnsi" w:cs="Arial"/>
        </w:rPr>
        <w:t>over the next 40 years, then the savings would equate to US$8 trillion</w:t>
      </w:r>
      <w:r w:rsidR="009D029E" w:rsidRPr="000B5A31">
        <w:rPr>
          <w:rFonts w:asciiTheme="majorHAnsi" w:hAnsiTheme="majorHAnsi" w:cs="Arial"/>
        </w:rPr>
        <w:t>.</w:t>
      </w:r>
      <w:r w:rsidR="009D029E">
        <w:rPr>
          <w:rFonts w:asciiTheme="majorHAnsi" w:hAnsiTheme="majorHAnsi" w:cs="Arial"/>
        </w:rPr>
        <w:t xml:space="preserve"> This figure may not be accurate of course, but it does give a broad indication of the scale of the contribution that revolving funds could make if they were widely adopted to finance the retrofit of the buildings sector. </w:t>
      </w:r>
    </w:p>
    <w:p w14:paraId="68541DA1" w14:textId="77777777" w:rsidR="009D029E" w:rsidRDefault="009D029E" w:rsidP="009D029E">
      <w:pPr>
        <w:spacing w:line="480" w:lineRule="auto"/>
        <w:ind w:left="360"/>
        <w:rPr>
          <w:rFonts w:asciiTheme="majorHAnsi" w:hAnsiTheme="majorHAnsi" w:cs="Arial"/>
        </w:rPr>
      </w:pPr>
    </w:p>
    <w:p w14:paraId="40B92DF7" w14:textId="42FAC77F" w:rsidR="00104640" w:rsidRDefault="00157643" w:rsidP="00AB0182">
      <w:pPr>
        <w:spacing w:line="480" w:lineRule="auto"/>
        <w:ind w:left="360"/>
        <w:rPr>
          <w:rFonts w:asciiTheme="majorHAnsi" w:hAnsiTheme="majorHAnsi" w:cs="Arial"/>
        </w:rPr>
      </w:pPr>
      <w:r>
        <w:rPr>
          <w:rFonts w:asciiTheme="majorHAnsi" w:hAnsiTheme="majorHAnsi" w:cs="Arial"/>
        </w:rPr>
        <w:t xml:space="preserve">But the finding that the entire retrofit programme could be make cost-neutral over an extended period perhaps has more profound policy implications as it suggests that retrofit could be enabled by government but </w:t>
      </w:r>
      <w:r w:rsidR="00891FCE">
        <w:rPr>
          <w:rFonts w:asciiTheme="majorHAnsi" w:hAnsiTheme="majorHAnsi" w:cs="Arial"/>
        </w:rPr>
        <w:t xml:space="preserve">financed and </w:t>
      </w:r>
      <w:r>
        <w:rPr>
          <w:rFonts w:asciiTheme="majorHAnsi" w:hAnsiTheme="majorHAnsi" w:cs="Arial"/>
        </w:rPr>
        <w:t xml:space="preserve">delivered by private or civic actors. This finding is very much in line with broader debates on governance that </w:t>
      </w:r>
      <w:r w:rsidR="00FB6382">
        <w:rPr>
          <w:rFonts w:asciiTheme="majorHAnsi" w:hAnsiTheme="majorHAnsi" w:cs="Arial"/>
        </w:rPr>
        <w:t xml:space="preserve">argue that </w:t>
      </w:r>
      <w:r w:rsidR="00891FCE">
        <w:rPr>
          <w:rFonts w:asciiTheme="majorHAnsi" w:hAnsiTheme="majorHAnsi" w:cs="Arial"/>
        </w:rPr>
        <w:t xml:space="preserve">in many settings we are witnessing a move away </w:t>
      </w:r>
      <w:r>
        <w:rPr>
          <w:rFonts w:asciiTheme="majorHAnsi" w:hAnsiTheme="majorHAnsi" w:cs="Arial"/>
        </w:rPr>
        <w:t xml:space="preserve">from </w:t>
      </w:r>
      <w:r w:rsidR="00891FCE">
        <w:rPr>
          <w:rFonts w:asciiTheme="majorHAnsi" w:hAnsiTheme="majorHAnsi" w:cs="Arial"/>
        </w:rPr>
        <w:t>the</w:t>
      </w:r>
      <w:r>
        <w:rPr>
          <w:rFonts w:asciiTheme="majorHAnsi" w:hAnsiTheme="majorHAnsi" w:cs="Arial"/>
        </w:rPr>
        <w:t xml:space="preserve"> position </w:t>
      </w:r>
      <w:r w:rsidR="00891FCE">
        <w:rPr>
          <w:rFonts w:asciiTheme="majorHAnsi" w:hAnsiTheme="majorHAnsi" w:cs="Arial"/>
        </w:rPr>
        <w:t xml:space="preserve">where the state is relied upon to </w:t>
      </w:r>
      <w:r>
        <w:rPr>
          <w:rFonts w:asciiTheme="majorHAnsi" w:hAnsiTheme="majorHAnsi" w:cs="Arial"/>
        </w:rPr>
        <w:t xml:space="preserve">provide public </w:t>
      </w:r>
      <w:r w:rsidR="00891FCE">
        <w:rPr>
          <w:rFonts w:asciiTheme="majorHAnsi" w:hAnsiTheme="majorHAnsi" w:cs="Arial"/>
        </w:rPr>
        <w:t>services</w:t>
      </w:r>
      <w:r>
        <w:rPr>
          <w:rFonts w:asciiTheme="majorHAnsi" w:hAnsiTheme="majorHAnsi" w:cs="Arial"/>
        </w:rPr>
        <w:t xml:space="preserve"> and toward a position where </w:t>
      </w:r>
      <w:r w:rsidR="00891FCE">
        <w:rPr>
          <w:rFonts w:asciiTheme="majorHAnsi" w:hAnsiTheme="majorHAnsi" w:cs="Arial"/>
        </w:rPr>
        <w:t>states</w:t>
      </w:r>
      <w:r>
        <w:rPr>
          <w:rFonts w:asciiTheme="majorHAnsi" w:hAnsiTheme="majorHAnsi" w:cs="Arial"/>
        </w:rPr>
        <w:t xml:space="preserve"> facilitate or enable private or civic actors to provide those services. This implies a radical shift in the role of government and </w:t>
      </w:r>
      <w:r w:rsidR="00891FCE">
        <w:rPr>
          <w:rFonts w:asciiTheme="majorHAnsi" w:hAnsiTheme="majorHAnsi" w:cs="Arial"/>
        </w:rPr>
        <w:t xml:space="preserve">in the </w:t>
      </w:r>
      <w:r>
        <w:rPr>
          <w:rFonts w:asciiTheme="majorHAnsi" w:hAnsiTheme="majorHAnsi" w:cs="Arial"/>
        </w:rPr>
        <w:t xml:space="preserve">nature of the relationship between the public, private and civic sectors. </w:t>
      </w:r>
    </w:p>
    <w:p w14:paraId="11EDB09A" w14:textId="77777777" w:rsidR="00157643" w:rsidRDefault="00157643" w:rsidP="00AB0182">
      <w:pPr>
        <w:spacing w:line="480" w:lineRule="auto"/>
        <w:ind w:left="360"/>
        <w:rPr>
          <w:rFonts w:asciiTheme="majorHAnsi" w:hAnsiTheme="majorHAnsi" w:cs="Arial"/>
        </w:rPr>
      </w:pPr>
    </w:p>
    <w:p w14:paraId="5470C55B" w14:textId="48D7EF23" w:rsidR="00094208" w:rsidRPr="000B5A31" w:rsidRDefault="00157643" w:rsidP="00891FCE">
      <w:pPr>
        <w:spacing w:line="480" w:lineRule="auto"/>
        <w:ind w:left="360"/>
        <w:rPr>
          <w:rFonts w:asciiTheme="majorHAnsi" w:hAnsiTheme="majorHAnsi" w:cs="Arial"/>
        </w:rPr>
      </w:pPr>
      <w:r w:rsidRPr="00891FCE">
        <w:rPr>
          <w:rFonts w:asciiTheme="majorHAnsi" w:hAnsiTheme="majorHAnsi" w:cs="Arial"/>
        </w:rPr>
        <w:t>The enabling role</w:t>
      </w:r>
      <w:r w:rsidR="00891FCE" w:rsidRPr="00891FCE">
        <w:rPr>
          <w:rFonts w:asciiTheme="majorHAnsi" w:hAnsiTheme="majorHAnsi" w:cs="Arial"/>
        </w:rPr>
        <w:t xml:space="preserve"> of government could be </w:t>
      </w:r>
      <w:r w:rsidR="009D029E">
        <w:rPr>
          <w:rFonts w:asciiTheme="majorHAnsi" w:hAnsiTheme="majorHAnsi" w:cs="Arial"/>
        </w:rPr>
        <w:t xml:space="preserve">pivotal </w:t>
      </w:r>
      <w:r w:rsidR="00891FCE" w:rsidRPr="00891FCE">
        <w:rPr>
          <w:rFonts w:asciiTheme="majorHAnsi" w:hAnsiTheme="majorHAnsi" w:cs="Arial"/>
        </w:rPr>
        <w:t xml:space="preserve">if revolving funds and other innovative financing mechanisms are to fulfil their </w:t>
      </w:r>
      <w:r w:rsidR="009D029E">
        <w:rPr>
          <w:rFonts w:asciiTheme="majorHAnsi" w:hAnsiTheme="majorHAnsi" w:cs="Arial"/>
        </w:rPr>
        <w:t xml:space="preserve">apparent </w:t>
      </w:r>
      <w:r w:rsidR="00891FCE" w:rsidRPr="00891FCE">
        <w:rPr>
          <w:rFonts w:asciiTheme="majorHAnsi" w:hAnsiTheme="majorHAnsi" w:cs="Arial"/>
        </w:rPr>
        <w:t>potential. T</w:t>
      </w:r>
      <w:r w:rsidR="00094208" w:rsidRPr="00891FCE">
        <w:rPr>
          <w:rFonts w:asciiTheme="majorHAnsi" w:hAnsiTheme="majorHAnsi" w:cs="Arial"/>
        </w:rPr>
        <w:t>h</w:t>
      </w:r>
      <w:r w:rsidR="00094208" w:rsidRPr="000B5A31">
        <w:rPr>
          <w:rFonts w:asciiTheme="majorHAnsi" w:hAnsiTheme="majorHAnsi" w:cs="Arial"/>
        </w:rPr>
        <w:t xml:space="preserve">e experience to date with </w:t>
      </w:r>
      <w:r w:rsidR="00A6036E" w:rsidRPr="000B5A31">
        <w:rPr>
          <w:rFonts w:asciiTheme="majorHAnsi" w:hAnsiTheme="majorHAnsi" w:cs="Arial"/>
        </w:rPr>
        <w:t>revolving</w:t>
      </w:r>
      <w:r w:rsidR="00094208" w:rsidRPr="000B5A31">
        <w:rPr>
          <w:rFonts w:asciiTheme="majorHAnsi" w:hAnsiTheme="majorHAnsi" w:cs="Arial"/>
        </w:rPr>
        <w:t xml:space="preserve"> funds is limited, and there is therefore a need to strengthen the evidence base on how they function, on the</w:t>
      </w:r>
      <w:r w:rsidR="00FB6382">
        <w:rPr>
          <w:rFonts w:asciiTheme="majorHAnsi" w:hAnsiTheme="majorHAnsi" w:cs="Arial"/>
        </w:rPr>
        <w:t>ir</w:t>
      </w:r>
      <w:r w:rsidR="00094208" w:rsidRPr="000B5A31">
        <w:rPr>
          <w:rFonts w:asciiTheme="majorHAnsi" w:hAnsiTheme="majorHAnsi" w:cs="Arial"/>
        </w:rPr>
        <w:t xml:space="preserve"> costs and benefits, and on the financial risk management and mitigation measures that may be adopted </w:t>
      </w:r>
      <w:r w:rsidR="00FB6382">
        <w:rPr>
          <w:rFonts w:asciiTheme="majorHAnsi" w:hAnsiTheme="majorHAnsi" w:cs="Arial"/>
        </w:rPr>
        <w:t xml:space="preserve">to improve their performance </w:t>
      </w:r>
      <w:r w:rsidR="00094208" w:rsidRPr="000B5A31">
        <w:rPr>
          <w:rFonts w:asciiTheme="majorHAnsi" w:hAnsiTheme="majorHAnsi" w:cs="Arial"/>
        </w:rPr>
        <w:t xml:space="preserve">and </w:t>
      </w:r>
      <w:r w:rsidR="00FB6382">
        <w:rPr>
          <w:rFonts w:asciiTheme="majorHAnsi" w:hAnsiTheme="majorHAnsi" w:cs="Arial"/>
        </w:rPr>
        <w:t xml:space="preserve">on </w:t>
      </w:r>
      <w:r w:rsidR="00094208" w:rsidRPr="000B5A31">
        <w:rPr>
          <w:rFonts w:asciiTheme="majorHAnsi" w:hAnsiTheme="majorHAnsi" w:cs="Arial"/>
        </w:rPr>
        <w:t>how these affect the financial and energy saving outcomes that are seen. There is also a need to look much more explicitly at the govern</w:t>
      </w:r>
      <w:r w:rsidR="00A6036E" w:rsidRPr="000B5A31">
        <w:rPr>
          <w:rFonts w:asciiTheme="majorHAnsi" w:hAnsiTheme="majorHAnsi" w:cs="Arial"/>
        </w:rPr>
        <w:t>ance</w:t>
      </w:r>
      <w:r w:rsidR="00094208" w:rsidRPr="000B5A31">
        <w:rPr>
          <w:rFonts w:asciiTheme="majorHAnsi" w:hAnsiTheme="majorHAnsi" w:cs="Arial"/>
        </w:rPr>
        <w:t xml:space="preserve"> of these</w:t>
      </w:r>
      <w:r w:rsidR="00A6036E" w:rsidRPr="000B5A31">
        <w:rPr>
          <w:rFonts w:asciiTheme="majorHAnsi" w:hAnsiTheme="majorHAnsi" w:cs="Arial"/>
        </w:rPr>
        <w:t xml:space="preserve"> funds</w:t>
      </w:r>
      <w:r w:rsidR="00094208" w:rsidRPr="000B5A31">
        <w:rPr>
          <w:rFonts w:asciiTheme="majorHAnsi" w:hAnsiTheme="majorHAnsi" w:cs="Arial"/>
        </w:rPr>
        <w:t xml:space="preserve"> and </w:t>
      </w:r>
      <w:r w:rsidR="00A6036E" w:rsidRPr="000B5A31">
        <w:rPr>
          <w:rFonts w:asciiTheme="majorHAnsi" w:hAnsiTheme="majorHAnsi" w:cs="Arial"/>
        </w:rPr>
        <w:t xml:space="preserve">the associated delivery </w:t>
      </w:r>
      <w:r w:rsidR="00094208" w:rsidRPr="000B5A31">
        <w:rPr>
          <w:rFonts w:asciiTheme="majorHAnsi" w:hAnsiTheme="majorHAnsi" w:cs="Arial"/>
        </w:rPr>
        <w:t xml:space="preserve">vehicles, at both the macro level (i.e. do they accelerate the withdrawal of the </w:t>
      </w:r>
      <w:r w:rsidR="00094208" w:rsidRPr="000B5A31">
        <w:rPr>
          <w:rFonts w:asciiTheme="majorHAnsi" w:hAnsiTheme="majorHAnsi" w:cs="Arial"/>
        </w:rPr>
        <w:lastRenderedPageBreak/>
        <w:t>state from certain types of public good provision) and at the local level (i.e. how do they affect local needs and interests, how do they affect local governance).</w:t>
      </w:r>
      <w:r w:rsidR="00625F6C" w:rsidRPr="000B5A31">
        <w:rPr>
          <w:rFonts w:asciiTheme="majorHAnsi" w:hAnsiTheme="majorHAnsi" w:cs="Arial"/>
        </w:rPr>
        <w:t xml:space="preserve"> These factors deserve urgent attention given the apparent potential of revolving funds to close the climate finance gap </w:t>
      </w:r>
      <w:r w:rsidR="00891FCE">
        <w:rPr>
          <w:rFonts w:asciiTheme="majorHAnsi" w:hAnsiTheme="majorHAnsi" w:cs="Arial"/>
        </w:rPr>
        <w:t xml:space="preserve">– and government support for pilot and demonstration schemes is probably required given the reluctance of private and civic actors to invest in novel and perhaps more risky schemes. If they can be properly proven, then the analysis presented in this paper suggests that revolving funds clearly have the potential </w:t>
      </w:r>
      <w:r w:rsidR="00625F6C" w:rsidRPr="000B5A31">
        <w:rPr>
          <w:rFonts w:asciiTheme="majorHAnsi" w:hAnsiTheme="majorHAnsi" w:cs="Arial"/>
        </w:rPr>
        <w:t>to enable intensified and accelerated action on climate change, even in an era of austerity.</w:t>
      </w:r>
    </w:p>
    <w:p w14:paraId="05501CD0" w14:textId="77777777" w:rsidR="00094208" w:rsidRPr="000B5A31" w:rsidRDefault="00094208" w:rsidP="00AB0182">
      <w:pPr>
        <w:spacing w:line="480" w:lineRule="auto"/>
        <w:ind w:left="360"/>
        <w:rPr>
          <w:rFonts w:asciiTheme="majorHAnsi" w:hAnsiTheme="majorHAnsi" w:cs="Arial"/>
        </w:rPr>
      </w:pPr>
    </w:p>
    <w:p w14:paraId="6D6E087D" w14:textId="77777777" w:rsidR="00C967EC" w:rsidRPr="000B5A31" w:rsidRDefault="00C967EC" w:rsidP="00AB0182">
      <w:pPr>
        <w:spacing w:line="480" w:lineRule="auto"/>
        <w:rPr>
          <w:rFonts w:asciiTheme="majorHAnsi" w:hAnsiTheme="majorHAnsi" w:cs="Arial"/>
        </w:rPr>
      </w:pPr>
    </w:p>
    <w:p w14:paraId="314894B4" w14:textId="77777777" w:rsidR="00C967EC" w:rsidRPr="000B5A31" w:rsidRDefault="00C967EC" w:rsidP="00AB0182">
      <w:pPr>
        <w:spacing w:line="480" w:lineRule="auto"/>
        <w:rPr>
          <w:rFonts w:asciiTheme="majorHAnsi" w:hAnsiTheme="majorHAnsi" w:cs="Arial"/>
        </w:rPr>
      </w:pPr>
    </w:p>
    <w:p w14:paraId="487D8971" w14:textId="77777777" w:rsidR="00935159" w:rsidRPr="000B5A31" w:rsidRDefault="00935159" w:rsidP="00AB0182">
      <w:pPr>
        <w:spacing w:line="480" w:lineRule="auto"/>
        <w:rPr>
          <w:rFonts w:asciiTheme="majorHAnsi" w:hAnsiTheme="majorHAnsi" w:cs="Arial"/>
        </w:rPr>
      </w:pPr>
    </w:p>
    <w:p w14:paraId="23B3C2FC" w14:textId="77777777" w:rsidR="00891FCE" w:rsidRDefault="00891FCE">
      <w:pPr>
        <w:rPr>
          <w:rFonts w:asciiTheme="majorHAnsi" w:hAnsiTheme="majorHAnsi" w:cs="Arial"/>
          <w:b/>
        </w:rPr>
      </w:pPr>
      <w:r>
        <w:rPr>
          <w:rFonts w:asciiTheme="majorHAnsi" w:hAnsiTheme="majorHAnsi" w:cs="Arial"/>
          <w:b/>
        </w:rPr>
        <w:br w:type="page"/>
      </w:r>
    </w:p>
    <w:p w14:paraId="327FBD51" w14:textId="12F79718" w:rsidR="008203D9" w:rsidRPr="00906B0D" w:rsidRDefault="00C3256B" w:rsidP="00906B0D">
      <w:pPr>
        <w:spacing w:line="480" w:lineRule="auto"/>
        <w:ind w:left="360"/>
        <w:rPr>
          <w:rFonts w:asciiTheme="majorHAnsi" w:hAnsiTheme="majorHAnsi" w:cs="Arial"/>
          <w:b/>
        </w:rPr>
      </w:pPr>
      <w:r w:rsidRPr="000B5A31">
        <w:rPr>
          <w:rFonts w:asciiTheme="majorHAnsi" w:hAnsiTheme="majorHAnsi" w:cs="Arial"/>
          <w:b/>
        </w:rPr>
        <w:lastRenderedPageBreak/>
        <w:t>References</w:t>
      </w:r>
    </w:p>
    <w:p w14:paraId="698EA271" w14:textId="69BCF752" w:rsidR="00405830" w:rsidRPr="00906B0D" w:rsidRDefault="00405830" w:rsidP="00AB0182">
      <w:pPr>
        <w:pStyle w:val="ListParagraph"/>
        <w:numPr>
          <w:ilvl w:val="0"/>
          <w:numId w:val="14"/>
        </w:numPr>
        <w:tabs>
          <w:tab w:val="left" w:pos="3261"/>
        </w:tabs>
        <w:spacing w:line="480" w:lineRule="auto"/>
        <w:rPr>
          <w:rFonts w:asciiTheme="majorHAnsi" w:hAnsiTheme="majorHAnsi"/>
          <w:lang w:val="en-US"/>
        </w:rPr>
      </w:pPr>
      <w:r w:rsidRPr="00906B0D">
        <w:rPr>
          <w:rFonts w:asciiTheme="majorHAnsi" w:hAnsiTheme="majorHAnsi"/>
          <w:lang w:val="en-US"/>
        </w:rPr>
        <w:t>BES (undated) Birmingham Energy Savers</w:t>
      </w:r>
      <w:r w:rsidR="000B5A31" w:rsidRPr="00906B0D">
        <w:rPr>
          <w:rFonts w:asciiTheme="majorHAnsi" w:hAnsiTheme="majorHAnsi"/>
          <w:lang w:val="en-US"/>
        </w:rPr>
        <w:t>, Birmingham City Council and Carillion Energy Services</w:t>
      </w:r>
      <w:r w:rsidR="00AE76E2">
        <w:rPr>
          <w:rFonts w:asciiTheme="majorHAnsi" w:hAnsiTheme="majorHAnsi"/>
          <w:lang w:val="en-US"/>
        </w:rPr>
        <w:t xml:space="preserve">, </w:t>
      </w:r>
      <w:hyperlink r:id="rId15" w:history="1">
        <w:r w:rsidR="00AE76E2" w:rsidRPr="000B5A31">
          <w:rPr>
            <w:rStyle w:val="Hyperlink"/>
            <w:rFonts w:asciiTheme="majorHAnsi" w:hAnsiTheme="majorHAnsi"/>
            <w:lang w:val="en-US"/>
          </w:rPr>
          <w:t>http://www.energysaverspartnerships.co.uk/birmingham</w:t>
        </w:r>
      </w:hyperlink>
      <w:r w:rsidR="00906B0D" w:rsidRPr="00906B0D">
        <w:rPr>
          <w:rFonts w:asciiTheme="majorHAnsi" w:hAnsiTheme="majorHAnsi"/>
          <w:lang w:val="en-US"/>
        </w:rPr>
        <w:t>.</w:t>
      </w:r>
    </w:p>
    <w:p w14:paraId="1FFAB6F9" w14:textId="062ADC3A" w:rsidR="007A67AA" w:rsidRPr="00906B0D" w:rsidRDefault="007A67AA" w:rsidP="00AB0182">
      <w:pPr>
        <w:pStyle w:val="ListParagraph"/>
        <w:numPr>
          <w:ilvl w:val="0"/>
          <w:numId w:val="14"/>
        </w:numPr>
        <w:tabs>
          <w:tab w:val="left" w:pos="3261"/>
        </w:tabs>
        <w:spacing w:line="480" w:lineRule="auto"/>
        <w:rPr>
          <w:rFonts w:asciiTheme="majorHAnsi" w:hAnsiTheme="majorHAnsi"/>
          <w:lang w:val="en-US"/>
        </w:rPr>
      </w:pPr>
      <w:r w:rsidRPr="00906B0D">
        <w:rPr>
          <w:rFonts w:asciiTheme="majorHAnsi" w:hAnsiTheme="majorHAnsi"/>
        </w:rPr>
        <w:t>Bolderdijk</w:t>
      </w:r>
      <w:r w:rsidR="00906B0D" w:rsidRPr="00906B0D">
        <w:rPr>
          <w:rFonts w:asciiTheme="majorHAnsi" w:hAnsiTheme="majorHAnsi"/>
        </w:rPr>
        <w:t>,</w:t>
      </w:r>
      <w:r w:rsidRPr="00906B0D">
        <w:rPr>
          <w:rFonts w:asciiTheme="majorHAnsi" w:hAnsiTheme="majorHAnsi"/>
        </w:rPr>
        <w:t xml:space="preserve"> J</w:t>
      </w:r>
      <w:r w:rsidR="00906B0D" w:rsidRPr="00906B0D">
        <w:rPr>
          <w:rFonts w:asciiTheme="majorHAnsi" w:hAnsiTheme="majorHAnsi"/>
        </w:rPr>
        <w:t>.</w:t>
      </w:r>
      <w:r w:rsidRPr="00906B0D">
        <w:rPr>
          <w:rFonts w:asciiTheme="majorHAnsi" w:hAnsiTheme="majorHAnsi"/>
        </w:rPr>
        <w:t>, Steg</w:t>
      </w:r>
      <w:r w:rsidR="00906B0D" w:rsidRPr="00906B0D">
        <w:rPr>
          <w:rFonts w:asciiTheme="majorHAnsi" w:hAnsiTheme="majorHAnsi"/>
        </w:rPr>
        <w:t>,</w:t>
      </w:r>
      <w:r w:rsidRPr="00906B0D">
        <w:rPr>
          <w:rFonts w:asciiTheme="majorHAnsi" w:hAnsiTheme="majorHAnsi"/>
        </w:rPr>
        <w:t xml:space="preserve"> L</w:t>
      </w:r>
      <w:r w:rsidR="00906B0D" w:rsidRPr="00906B0D">
        <w:rPr>
          <w:rFonts w:asciiTheme="majorHAnsi" w:hAnsiTheme="majorHAnsi"/>
        </w:rPr>
        <w:t>.</w:t>
      </w:r>
      <w:r w:rsidRPr="00906B0D">
        <w:rPr>
          <w:rFonts w:asciiTheme="majorHAnsi" w:hAnsiTheme="majorHAnsi"/>
        </w:rPr>
        <w:t>, Geller</w:t>
      </w:r>
      <w:r w:rsidR="00906B0D" w:rsidRPr="00906B0D">
        <w:rPr>
          <w:rFonts w:asciiTheme="majorHAnsi" w:hAnsiTheme="majorHAnsi"/>
        </w:rPr>
        <w:t>,</w:t>
      </w:r>
      <w:r w:rsidRPr="00906B0D">
        <w:rPr>
          <w:rFonts w:asciiTheme="majorHAnsi" w:hAnsiTheme="majorHAnsi"/>
        </w:rPr>
        <w:t xml:space="preserve"> E</w:t>
      </w:r>
      <w:r w:rsidR="00906B0D" w:rsidRPr="00906B0D">
        <w:rPr>
          <w:rFonts w:asciiTheme="majorHAnsi" w:hAnsiTheme="majorHAnsi"/>
        </w:rPr>
        <w:t>.</w:t>
      </w:r>
      <w:r w:rsidRPr="00906B0D">
        <w:rPr>
          <w:rFonts w:asciiTheme="majorHAnsi" w:hAnsiTheme="majorHAnsi"/>
        </w:rPr>
        <w:t>, Lehman</w:t>
      </w:r>
      <w:r w:rsidR="00906B0D" w:rsidRPr="00906B0D">
        <w:rPr>
          <w:rFonts w:asciiTheme="majorHAnsi" w:hAnsiTheme="majorHAnsi"/>
        </w:rPr>
        <w:t>,</w:t>
      </w:r>
      <w:r w:rsidRPr="00906B0D">
        <w:rPr>
          <w:rFonts w:asciiTheme="majorHAnsi" w:hAnsiTheme="majorHAnsi"/>
        </w:rPr>
        <w:t xml:space="preserve"> P</w:t>
      </w:r>
      <w:r w:rsidR="00906B0D" w:rsidRPr="00906B0D">
        <w:rPr>
          <w:rFonts w:asciiTheme="majorHAnsi" w:hAnsiTheme="majorHAnsi"/>
        </w:rPr>
        <w:t>.</w:t>
      </w:r>
      <w:r w:rsidRPr="00906B0D">
        <w:rPr>
          <w:rFonts w:asciiTheme="majorHAnsi" w:hAnsiTheme="majorHAnsi"/>
        </w:rPr>
        <w:t xml:space="preserve"> and Postmes</w:t>
      </w:r>
      <w:r w:rsidR="00906B0D" w:rsidRPr="00906B0D">
        <w:rPr>
          <w:rFonts w:asciiTheme="majorHAnsi" w:hAnsiTheme="majorHAnsi"/>
        </w:rPr>
        <w:t>,</w:t>
      </w:r>
      <w:r w:rsidRPr="00906B0D">
        <w:rPr>
          <w:rFonts w:asciiTheme="majorHAnsi" w:hAnsiTheme="majorHAnsi"/>
        </w:rPr>
        <w:t xml:space="preserve"> T</w:t>
      </w:r>
      <w:r w:rsidR="00906B0D" w:rsidRPr="00906B0D">
        <w:rPr>
          <w:rFonts w:asciiTheme="majorHAnsi" w:hAnsiTheme="majorHAnsi"/>
        </w:rPr>
        <w:t>. 2013.</w:t>
      </w:r>
      <w:r w:rsidRPr="00906B0D">
        <w:rPr>
          <w:rFonts w:asciiTheme="majorHAnsi" w:hAnsiTheme="majorHAnsi"/>
        </w:rPr>
        <w:t xml:space="preserve"> Comparing the effectiveness of monetary versus moral motives in environmental campaigning, </w:t>
      </w:r>
      <w:r w:rsidRPr="00906B0D">
        <w:rPr>
          <w:rFonts w:asciiTheme="majorHAnsi" w:hAnsiTheme="majorHAnsi"/>
          <w:iCs/>
        </w:rPr>
        <w:t>Nature Climate Change,</w:t>
      </w:r>
      <w:r w:rsidRPr="00906B0D">
        <w:rPr>
          <w:rFonts w:asciiTheme="majorHAnsi" w:hAnsiTheme="majorHAnsi"/>
        </w:rPr>
        <w:t xml:space="preserve"> 3</w:t>
      </w:r>
      <w:r w:rsidRPr="00906B0D">
        <w:rPr>
          <w:rFonts w:asciiTheme="majorHAnsi" w:hAnsiTheme="majorHAnsi"/>
          <w:b/>
          <w:bCs/>
        </w:rPr>
        <w:t xml:space="preserve">, </w:t>
      </w:r>
      <w:r w:rsidR="00906B0D" w:rsidRPr="00906B0D">
        <w:rPr>
          <w:rFonts w:asciiTheme="majorHAnsi" w:hAnsiTheme="majorHAnsi"/>
        </w:rPr>
        <w:t xml:space="preserve">4, </w:t>
      </w:r>
      <w:r w:rsidRPr="00906B0D">
        <w:rPr>
          <w:rFonts w:asciiTheme="majorHAnsi" w:hAnsiTheme="majorHAnsi"/>
        </w:rPr>
        <w:t>413-416.</w:t>
      </w:r>
    </w:p>
    <w:p w14:paraId="704A33D7" w14:textId="77777777" w:rsidR="006F1ABC" w:rsidRPr="00906B0D" w:rsidRDefault="006F1ABC" w:rsidP="00AB0182">
      <w:pPr>
        <w:pStyle w:val="ListParagraph"/>
        <w:numPr>
          <w:ilvl w:val="0"/>
          <w:numId w:val="14"/>
        </w:numPr>
        <w:tabs>
          <w:tab w:val="left" w:pos="3261"/>
        </w:tabs>
        <w:spacing w:line="480" w:lineRule="auto"/>
        <w:rPr>
          <w:rFonts w:asciiTheme="majorHAnsi" w:hAnsiTheme="majorHAnsi"/>
          <w:lang w:val="en-US"/>
        </w:rPr>
      </w:pPr>
      <w:r w:rsidRPr="00906B0D">
        <w:rPr>
          <w:rFonts w:asciiTheme="majorHAnsi" w:hAnsiTheme="majorHAnsi"/>
        </w:rPr>
        <w:t xml:space="preserve">BRE (2008) </w:t>
      </w:r>
      <w:r w:rsidRPr="00906B0D">
        <w:rPr>
          <w:rFonts w:asciiTheme="majorHAnsi" w:hAnsiTheme="majorHAnsi"/>
          <w:lang w:val="en-US"/>
        </w:rPr>
        <w:t>MAC Curves for the Domestic and Non-Domestic Building Sectors: Technical Documentation, Buildings Research Establishment, Watford.</w:t>
      </w:r>
    </w:p>
    <w:p w14:paraId="69B3A096" w14:textId="1BBF3F99" w:rsidR="00952844" w:rsidRPr="00906B0D" w:rsidRDefault="00952844" w:rsidP="00AB0182">
      <w:pPr>
        <w:pStyle w:val="ListParagraph"/>
        <w:numPr>
          <w:ilvl w:val="0"/>
          <w:numId w:val="14"/>
        </w:numPr>
        <w:tabs>
          <w:tab w:val="left" w:pos="3261"/>
        </w:tabs>
        <w:spacing w:line="480" w:lineRule="auto"/>
        <w:rPr>
          <w:rStyle w:val="Hyperlink"/>
          <w:rFonts w:asciiTheme="majorHAnsi" w:hAnsiTheme="majorHAnsi"/>
          <w:bCs/>
        </w:rPr>
      </w:pPr>
      <w:r w:rsidRPr="00906B0D">
        <w:rPr>
          <w:rFonts w:asciiTheme="majorHAnsi" w:hAnsiTheme="majorHAnsi"/>
        </w:rPr>
        <w:t>Buchner, B</w:t>
      </w:r>
      <w:r w:rsidR="00906B0D" w:rsidRPr="00906B0D">
        <w:rPr>
          <w:rFonts w:asciiTheme="majorHAnsi" w:hAnsiTheme="majorHAnsi"/>
        </w:rPr>
        <w:t>.,</w:t>
      </w:r>
      <w:r w:rsidRPr="00906B0D">
        <w:rPr>
          <w:rFonts w:asciiTheme="majorHAnsi" w:hAnsiTheme="majorHAnsi"/>
        </w:rPr>
        <w:t xml:space="preserve"> et al</w:t>
      </w:r>
      <w:r w:rsidR="00906B0D" w:rsidRPr="00906B0D">
        <w:rPr>
          <w:rFonts w:asciiTheme="majorHAnsi" w:hAnsiTheme="majorHAnsi"/>
        </w:rPr>
        <w:t>. 2013.</w:t>
      </w:r>
      <w:r w:rsidRPr="00906B0D">
        <w:rPr>
          <w:rFonts w:asciiTheme="majorHAnsi" w:hAnsiTheme="majorHAnsi"/>
        </w:rPr>
        <w:t xml:space="preserve"> </w:t>
      </w:r>
      <w:r w:rsidRPr="00906B0D">
        <w:rPr>
          <w:rFonts w:asciiTheme="majorHAnsi" w:hAnsiTheme="majorHAnsi"/>
          <w:bCs/>
          <w:iCs/>
        </w:rPr>
        <w:t>The Global Landscape of Climate Finance 2013</w:t>
      </w:r>
      <w:r w:rsidRPr="00906B0D">
        <w:rPr>
          <w:rFonts w:asciiTheme="majorHAnsi" w:hAnsiTheme="majorHAnsi"/>
          <w:bCs/>
        </w:rPr>
        <w:t>, Climate Policy Initiative</w:t>
      </w:r>
      <w:r w:rsidR="00C42E9F" w:rsidRPr="00906B0D">
        <w:rPr>
          <w:rFonts w:asciiTheme="majorHAnsi" w:hAnsiTheme="majorHAnsi"/>
          <w:bCs/>
        </w:rPr>
        <w:t>.</w:t>
      </w:r>
    </w:p>
    <w:p w14:paraId="2B248079" w14:textId="1D5D018D" w:rsidR="00D37215" w:rsidRPr="00906B0D" w:rsidRDefault="00D37215" w:rsidP="00B91686">
      <w:pPr>
        <w:pStyle w:val="ListParagraph"/>
        <w:numPr>
          <w:ilvl w:val="0"/>
          <w:numId w:val="14"/>
        </w:numPr>
        <w:tabs>
          <w:tab w:val="left" w:pos="3261"/>
        </w:tabs>
        <w:spacing w:line="360" w:lineRule="auto"/>
        <w:rPr>
          <w:rStyle w:val="Hyperlink"/>
          <w:rFonts w:asciiTheme="majorHAnsi" w:hAnsiTheme="majorHAnsi"/>
          <w:bCs/>
        </w:rPr>
      </w:pPr>
      <w:r w:rsidRPr="00906B0D">
        <w:rPr>
          <w:rStyle w:val="Hyperlink"/>
          <w:rFonts w:asciiTheme="majorHAnsi" w:hAnsiTheme="majorHAnsi"/>
          <w:bCs/>
          <w:color w:val="auto"/>
          <w:u w:val="none"/>
        </w:rPr>
        <w:t>Burger</w:t>
      </w:r>
      <w:r w:rsidR="00906B0D">
        <w:rPr>
          <w:rStyle w:val="Hyperlink"/>
          <w:rFonts w:asciiTheme="majorHAnsi" w:hAnsiTheme="majorHAnsi"/>
          <w:bCs/>
          <w:color w:val="auto"/>
          <w:u w:val="none"/>
        </w:rPr>
        <w:t>,</w:t>
      </w:r>
      <w:r w:rsidRPr="00906B0D">
        <w:rPr>
          <w:rStyle w:val="Hyperlink"/>
          <w:rFonts w:asciiTheme="majorHAnsi" w:hAnsiTheme="majorHAnsi"/>
          <w:bCs/>
          <w:color w:val="auto"/>
          <w:u w:val="none"/>
        </w:rPr>
        <w:t xml:space="preserve"> J</w:t>
      </w:r>
      <w:r w:rsidR="00906B0D">
        <w:rPr>
          <w:rStyle w:val="Hyperlink"/>
          <w:rFonts w:asciiTheme="majorHAnsi" w:hAnsiTheme="majorHAnsi"/>
          <w:bCs/>
          <w:color w:val="auto"/>
          <w:u w:val="none"/>
        </w:rPr>
        <w:t>.</w:t>
      </w:r>
      <w:r w:rsidRPr="00906B0D">
        <w:rPr>
          <w:rStyle w:val="Hyperlink"/>
          <w:rFonts w:asciiTheme="majorHAnsi" w:hAnsiTheme="majorHAnsi"/>
          <w:bCs/>
          <w:color w:val="auto"/>
          <w:u w:val="none"/>
        </w:rPr>
        <w:t xml:space="preserve"> and Caldwell</w:t>
      </w:r>
      <w:r w:rsidR="00906B0D">
        <w:rPr>
          <w:rStyle w:val="Hyperlink"/>
          <w:rFonts w:asciiTheme="majorHAnsi" w:hAnsiTheme="majorHAnsi"/>
          <w:bCs/>
          <w:color w:val="auto"/>
          <w:u w:val="none"/>
        </w:rPr>
        <w:t>,</w:t>
      </w:r>
      <w:r w:rsidRPr="00906B0D">
        <w:rPr>
          <w:rStyle w:val="Hyperlink"/>
          <w:rFonts w:asciiTheme="majorHAnsi" w:hAnsiTheme="majorHAnsi"/>
          <w:bCs/>
          <w:color w:val="auto"/>
          <w:u w:val="none"/>
        </w:rPr>
        <w:t xml:space="preserve"> D</w:t>
      </w:r>
      <w:r w:rsidR="00906B0D">
        <w:rPr>
          <w:rStyle w:val="Hyperlink"/>
          <w:rFonts w:asciiTheme="majorHAnsi" w:hAnsiTheme="majorHAnsi"/>
          <w:bCs/>
          <w:color w:val="auto"/>
          <w:u w:val="none"/>
        </w:rPr>
        <w:t>. 2003.</w:t>
      </w:r>
      <w:r w:rsidRPr="00906B0D">
        <w:rPr>
          <w:rStyle w:val="Hyperlink"/>
          <w:rFonts w:asciiTheme="majorHAnsi" w:hAnsiTheme="majorHAnsi"/>
          <w:bCs/>
          <w:color w:val="auto"/>
          <w:u w:val="none"/>
        </w:rPr>
        <w:t xml:space="preserve"> The Effects of Monetary Incentives and Labeling on the Foot-in-the-Door Effect: Evidence for a Self-Perception Process, </w:t>
      </w:r>
      <w:r w:rsidRPr="00906B0D">
        <w:rPr>
          <w:rStyle w:val="Hyperlink"/>
          <w:rFonts w:asciiTheme="majorHAnsi" w:hAnsiTheme="majorHAnsi"/>
          <w:bCs/>
          <w:iCs/>
          <w:color w:val="auto"/>
          <w:u w:val="none"/>
        </w:rPr>
        <w:t>Basic and Applied Social Psychology</w:t>
      </w:r>
      <w:r w:rsidR="00906B0D">
        <w:rPr>
          <w:rStyle w:val="Hyperlink"/>
          <w:rFonts w:asciiTheme="majorHAnsi" w:hAnsiTheme="majorHAnsi"/>
          <w:bCs/>
          <w:color w:val="auto"/>
          <w:u w:val="none"/>
        </w:rPr>
        <w:t xml:space="preserve">, 25, 3, </w:t>
      </w:r>
      <w:r w:rsidRPr="00906B0D">
        <w:rPr>
          <w:rStyle w:val="Hyperlink"/>
          <w:rFonts w:asciiTheme="majorHAnsi" w:hAnsiTheme="majorHAnsi"/>
          <w:bCs/>
          <w:color w:val="auto"/>
          <w:u w:val="none"/>
        </w:rPr>
        <w:t>235-241.</w:t>
      </w:r>
    </w:p>
    <w:p w14:paraId="3F5E1AE0" w14:textId="0C2F36CA" w:rsidR="007A536F" w:rsidRPr="00906B0D" w:rsidRDefault="007A536F" w:rsidP="00B91686">
      <w:pPr>
        <w:pStyle w:val="ListParagraph"/>
        <w:numPr>
          <w:ilvl w:val="0"/>
          <w:numId w:val="14"/>
        </w:numPr>
        <w:spacing w:before="100" w:beforeAutospacing="1" w:after="100" w:afterAutospacing="1" w:line="360" w:lineRule="auto"/>
        <w:rPr>
          <w:rStyle w:val="Hyperlink"/>
          <w:rFonts w:asciiTheme="majorHAnsi" w:hAnsiTheme="majorHAnsi" w:cs="Times New Roman"/>
          <w:color w:val="auto"/>
          <w:u w:val="none"/>
        </w:rPr>
      </w:pPr>
      <w:r w:rsidRPr="00906B0D">
        <w:rPr>
          <w:rFonts w:asciiTheme="majorHAnsi" w:hAnsiTheme="majorHAnsi" w:cs="Times New Roman"/>
        </w:rPr>
        <w:t xml:space="preserve">CCC </w:t>
      </w:r>
      <w:r w:rsidR="00906B0D">
        <w:rPr>
          <w:rFonts w:asciiTheme="majorHAnsi" w:hAnsiTheme="majorHAnsi" w:cs="Times New Roman"/>
        </w:rPr>
        <w:t>2014.</w:t>
      </w:r>
      <w:r w:rsidRPr="00906B0D">
        <w:rPr>
          <w:rFonts w:asciiTheme="majorHAnsi" w:hAnsiTheme="majorHAnsi" w:cs="Times New Roman"/>
        </w:rPr>
        <w:t xml:space="preserve"> Meeting Carbon Budgets - Progress Report to Parliament 2014. UK Committee on Climate Change.</w:t>
      </w:r>
    </w:p>
    <w:p w14:paraId="32615D9A" w14:textId="465D811E" w:rsidR="008E1784" w:rsidRPr="00906B0D" w:rsidRDefault="00906B0D" w:rsidP="00B91686">
      <w:pPr>
        <w:pStyle w:val="ListParagraph"/>
        <w:numPr>
          <w:ilvl w:val="0"/>
          <w:numId w:val="14"/>
        </w:numPr>
        <w:spacing w:line="360" w:lineRule="auto"/>
        <w:rPr>
          <w:rFonts w:asciiTheme="majorHAnsi" w:hAnsiTheme="majorHAnsi"/>
        </w:rPr>
      </w:pPr>
      <w:r>
        <w:rPr>
          <w:rFonts w:asciiTheme="majorHAnsi" w:hAnsiTheme="majorHAnsi"/>
        </w:rPr>
        <w:t xml:space="preserve">DECC </w:t>
      </w:r>
      <w:r w:rsidR="008E1784" w:rsidRPr="00906B0D">
        <w:rPr>
          <w:rFonts w:asciiTheme="majorHAnsi" w:hAnsiTheme="majorHAnsi"/>
        </w:rPr>
        <w:t>2012</w:t>
      </w:r>
      <w:r w:rsidR="00BC6379" w:rsidRPr="00906B0D">
        <w:rPr>
          <w:rFonts w:asciiTheme="majorHAnsi" w:hAnsiTheme="majorHAnsi"/>
        </w:rPr>
        <w:t>a</w:t>
      </w:r>
      <w:r>
        <w:rPr>
          <w:rFonts w:asciiTheme="majorHAnsi" w:hAnsiTheme="majorHAnsi"/>
        </w:rPr>
        <w:t>.</w:t>
      </w:r>
      <w:r w:rsidR="008E1784" w:rsidRPr="00906B0D">
        <w:rPr>
          <w:rFonts w:asciiTheme="majorHAnsi" w:hAnsiTheme="majorHAnsi"/>
        </w:rPr>
        <w:t xml:space="preserve"> Low Carbon Communities Challenge Evaluation Report, UK Department for Energy and Climate Change</w:t>
      </w:r>
      <w:r w:rsidR="00C42E9F" w:rsidRPr="00906B0D">
        <w:rPr>
          <w:rFonts w:asciiTheme="majorHAnsi" w:hAnsiTheme="majorHAnsi"/>
        </w:rPr>
        <w:t>.</w:t>
      </w:r>
    </w:p>
    <w:p w14:paraId="5C50A6E6" w14:textId="3C6A002A" w:rsidR="00BC6379" w:rsidRPr="00906B0D" w:rsidRDefault="00906B0D" w:rsidP="00AB0182">
      <w:pPr>
        <w:pStyle w:val="ListParagraph"/>
        <w:numPr>
          <w:ilvl w:val="0"/>
          <w:numId w:val="14"/>
        </w:numPr>
        <w:spacing w:line="480" w:lineRule="auto"/>
        <w:rPr>
          <w:rFonts w:asciiTheme="majorHAnsi" w:hAnsiTheme="majorHAnsi"/>
        </w:rPr>
      </w:pPr>
      <w:r>
        <w:rPr>
          <w:rFonts w:asciiTheme="majorHAnsi" w:hAnsiTheme="majorHAnsi"/>
          <w:lang w:val="en-US"/>
        </w:rPr>
        <w:t>DECC 2012b.</w:t>
      </w:r>
      <w:r w:rsidR="00405830" w:rsidRPr="00906B0D">
        <w:rPr>
          <w:rFonts w:asciiTheme="majorHAnsi" w:hAnsiTheme="majorHAnsi"/>
          <w:lang w:val="en-US"/>
        </w:rPr>
        <w:t xml:space="preserve"> Updated Energy and Emissions Projections</w:t>
      </w:r>
      <w:r w:rsidR="000B5A31" w:rsidRPr="00906B0D">
        <w:rPr>
          <w:rFonts w:asciiTheme="majorHAnsi" w:hAnsiTheme="majorHAnsi"/>
          <w:lang w:val="en-US"/>
        </w:rPr>
        <w:t xml:space="preserve">, </w:t>
      </w:r>
      <w:r w:rsidR="000B5A31" w:rsidRPr="00906B0D">
        <w:rPr>
          <w:rFonts w:asciiTheme="majorHAnsi" w:hAnsiTheme="majorHAnsi"/>
        </w:rPr>
        <w:t>UK Department for Energy and Climate Change</w:t>
      </w:r>
      <w:r w:rsidR="00C42E9F" w:rsidRPr="00906B0D">
        <w:rPr>
          <w:rFonts w:asciiTheme="majorHAnsi" w:hAnsiTheme="majorHAnsi"/>
        </w:rPr>
        <w:t>.</w:t>
      </w:r>
    </w:p>
    <w:p w14:paraId="1D1FAA1C" w14:textId="53DC999B" w:rsidR="00942AA0" w:rsidRPr="00906B0D" w:rsidRDefault="00906B0D" w:rsidP="00AB0182">
      <w:pPr>
        <w:pStyle w:val="ListParagraph"/>
        <w:numPr>
          <w:ilvl w:val="0"/>
          <w:numId w:val="14"/>
        </w:numPr>
        <w:spacing w:line="480" w:lineRule="auto"/>
        <w:rPr>
          <w:rStyle w:val="Hyperlink"/>
          <w:rFonts w:asciiTheme="majorHAnsi" w:hAnsiTheme="majorHAnsi"/>
          <w:color w:val="auto"/>
          <w:u w:val="none"/>
        </w:rPr>
      </w:pPr>
      <w:r>
        <w:rPr>
          <w:rFonts w:asciiTheme="majorHAnsi" w:hAnsiTheme="majorHAnsi"/>
          <w:lang w:val="en-US"/>
        </w:rPr>
        <w:t>DECC 2012c.</w:t>
      </w:r>
      <w:r w:rsidR="000E7151" w:rsidRPr="00906B0D">
        <w:rPr>
          <w:rFonts w:asciiTheme="majorHAnsi" w:hAnsiTheme="majorHAnsi"/>
          <w:lang w:val="en-US"/>
        </w:rPr>
        <w:t xml:space="preserve"> </w:t>
      </w:r>
      <w:r w:rsidR="000E7151" w:rsidRPr="00906B0D">
        <w:rPr>
          <w:rFonts w:asciiTheme="majorHAnsi" w:hAnsiTheme="majorHAnsi"/>
          <w:bCs/>
        </w:rPr>
        <w:t>Final Stage Impact Assessment for the Green Deal and Energy Company Obligation</w:t>
      </w:r>
      <w:r w:rsidR="000B5A31" w:rsidRPr="00906B0D">
        <w:rPr>
          <w:rFonts w:asciiTheme="majorHAnsi" w:hAnsiTheme="majorHAnsi"/>
          <w:bCs/>
        </w:rPr>
        <w:t xml:space="preserve">, </w:t>
      </w:r>
      <w:r w:rsidR="000B5A31" w:rsidRPr="00906B0D">
        <w:rPr>
          <w:rFonts w:asciiTheme="majorHAnsi" w:hAnsiTheme="majorHAnsi"/>
        </w:rPr>
        <w:t>UK Department for Energy and Climate Change</w:t>
      </w:r>
      <w:r w:rsidR="00C42E9F" w:rsidRPr="00906B0D">
        <w:rPr>
          <w:rFonts w:asciiTheme="majorHAnsi" w:hAnsiTheme="majorHAnsi"/>
        </w:rPr>
        <w:t>.</w:t>
      </w:r>
    </w:p>
    <w:p w14:paraId="5871F8B9" w14:textId="671CD280" w:rsidR="006D6328" w:rsidRPr="00906B0D" w:rsidRDefault="00906B0D" w:rsidP="00AB0182">
      <w:pPr>
        <w:pStyle w:val="ListParagraph"/>
        <w:numPr>
          <w:ilvl w:val="0"/>
          <w:numId w:val="14"/>
        </w:numPr>
        <w:spacing w:line="480" w:lineRule="auto"/>
        <w:rPr>
          <w:rFonts w:asciiTheme="majorHAnsi" w:hAnsiTheme="majorHAnsi"/>
        </w:rPr>
      </w:pPr>
      <w:r>
        <w:rPr>
          <w:rFonts w:asciiTheme="majorHAnsi" w:hAnsiTheme="majorHAnsi"/>
          <w:lang w:val="en-US"/>
        </w:rPr>
        <w:t xml:space="preserve">DECC </w:t>
      </w:r>
      <w:r w:rsidR="006D6328" w:rsidRPr="00906B0D">
        <w:rPr>
          <w:rFonts w:asciiTheme="majorHAnsi" w:hAnsiTheme="majorHAnsi"/>
          <w:lang w:val="en-US"/>
        </w:rPr>
        <w:t>2013</w:t>
      </w:r>
      <w:r w:rsidR="00C42E9F" w:rsidRPr="00906B0D">
        <w:rPr>
          <w:rFonts w:asciiTheme="majorHAnsi" w:hAnsiTheme="majorHAnsi"/>
          <w:lang w:val="en-US"/>
        </w:rPr>
        <w:t>a</w:t>
      </w:r>
      <w:r>
        <w:rPr>
          <w:rFonts w:asciiTheme="majorHAnsi" w:hAnsiTheme="majorHAnsi"/>
          <w:lang w:val="en-US"/>
        </w:rPr>
        <w:t>.</w:t>
      </w:r>
      <w:r w:rsidR="006D6328" w:rsidRPr="00906B0D">
        <w:rPr>
          <w:rFonts w:asciiTheme="majorHAnsi" w:hAnsiTheme="majorHAnsi"/>
          <w:lang w:val="en-US"/>
        </w:rPr>
        <w:t xml:space="preserve"> United Kingdom Housing Energy Fact File, UK Department for Energy and Climate Change</w:t>
      </w:r>
      <w:r w:rsidR="00C42E9F" w:rsidRPr="00906B0D">
        <w:rPr>
          <w:rFonts w:asciiTheme="majorHAnsi" w:hAnsiTheme="majorHAnsi"/>
          <w:lang w:val="en-US"/>
        </w:rPr>
        <w:t>.</w:t>
      </w:r>
    </w:p>
    <w:p w14:paraId="3E6E41DE" w14:textId="7039CC4F" w:rsidR="00C42E9F" w:rsidRPr="00906B0D" w:rsidRDefault="00C42E9F" w:rsidP="00C42E9F">
      <w:pPr>
        <w:pStyle w:val="ListParagraph"/>
        <w:numPr>
          <w:ilvl w:val="0"/>
          <w:numId w:val="14"/>
        </w:numPr>
        <w:spacing w:before="100" w:beforeAutospacing="1" w:after="100" w:afterAutospacing="1"/>
        <w:rPr>
          <w:rFonts w:asciiTheme="majorHAnsi" w:hAnsiTheme="majorHAnsi" w:cs="Times New Roman"/>
        </w:rPr>
      </w:pPr>
      <w:r w:rsidRPr="00906B0D">
        <w:rPr>
          <w:rFonts w:asciiTheme="majorHAnsi" w:hAnsiTheme="majorHAnsi" w:cs="Times New Roman"/>
        </w:rPr>
        <w:t>DECC 2013b</w:t>
      </w:r>
      <w:r w:rsidR="00906B0D">
        <w:rPr>
          <w:rFonts w:asciiTheme="majorHAnsi" w:hAnsiTheme="majorHAnsi" w:cs="Times New Roman"/>
        </w:rPr>
        <w:t>.</w:t>
      </w:r>
      <w:r w:rsidRPr="00906B0D">
        <w:rPr>
          <w:rFonts w:asciiTheme="majorHAnsi" w:hAnsiTheme="majorHAnsi" w:cs="Times New Roman"/>
        </w:rPr>
        <w:t xml:space="preserve"> Energy Consumption in the UK, UK Department for Energy and Climate Change.</w:t>
      </w:r>
    </w:p>
    <w:p w14:paraId="62CDC4DE" w14:textId="6D8DA7ED" w:rsidR="00F408D2" w:rsidRPr="00906B0D" w:rsidRDefault="00F408D2" w:rsidP="00AB0182">
      <w:pPr>
        <w:pStyle w:val="ListParagraph"/>
        <w:numPr>
          <w:ilvl w:val="0"/>
          <w:numId w:val="14"/>
        </w:numPr>
        <w:spacing w:line="480" w:lineRule="auto"/>
        <w:rPr>
          <w:rFonts w:asciiTheme="majorHAnsi" w:hAnsiTheme="majorHAnsi"/>
        </w:rPr>
      </w:pPr>
      <w:r w:rsidRPr="00906B0D">
        <w:rPr>
          <w:rFonts w:asciiTheme="majorHAnsi" w:hAnsiTheme="majorHAnsi"/>
          <w:lang w:val="en-US"/>
        </w:rPr>
        <w:lastRenderedPageBreak/>
        <w:t>Dowson</w:t>
      </w:r>
      <w:r w:rsidR="00906B0D">
        <w:rPr>
          <w:rFonts w:asciiTheme="majorHAnsi" w:hAnsiTheme="majorHAnsi"/>
          <w:lang w:val="en-US"/>
        </w:rPr>
        <w:t>,</w:t>
      </w:r>
      <w:r w:rsidRPr="00906B0D">
        <w:rPr>
          <w:rFonts w:asciiTheme="majorHAnsi" w:hAnsiTheme="majorHAnsi"/>
          <w:lang w:val="en-US"/>
        </w:rPr>
        <w:t xml:space="preserve"> M</w:t>
      </w:r>
      <w:r w:rsidR="00906B0D">
        <w:rPr>
          <w:rFonts w:asciiTheme="majorHAnsi" w:hAnsiTheme="majorHAnsi"/>
          <w:lang w:val="en-US"/>
        </w:rPr>
        <w:t>.</w:t>
      </w:r>
      <w:r w:rsidRPr="00906B0D">
        <w:rPr>
          <w:rFonts w:asciiTheme="majorHAnsi" w:hAnsiTheme="majorHAnsi"/>
          <w:lang w:val="en-US"/>
        </w:rPr>
        <w:t>, Poole</w:t>
      </w:r>
      <w:r w:rsidR="00906B0D">
        <w:rPr>
          <w:rFonts w:asciiTheme="majorHAnsi" w:hAnsiTheme="majorHAnsi"/>
          <w:lang w:val="en-US"/>
        </w:rPr>
        <w:t>,</w:t>
      </w:r>
      <w:r w:rsidRPr="00906B0D">
        <w:rPr>
          <w:rFonts w:asciiTheme="majorHAnsi" w:hAnsiTheme="majorHAnsi"/>
          <w:lang w:val="en-US"/>
        </w:rPr>
        <w:t xml:space="preserve"> A</w:t>
      </w:r>
      <w:r w:rsidR="00906B0D">
        <w:rPr>
          <w:rFonts w:asciiTheme="majorHAnsi" w:hAnsiTheme="majorHAnsi"/>
          <w:lang w:val="en-US"/>
        </w:rPr>
        <w:t>.</w:t>
      </w:r>
      <w:r w:rsidRPr="00906B0D">
        <w:rPr>
          <w:rFonts w:asciiTheme="majorHAnsi" w:hAnsiTheme="majorHAnsi"/>
          <w:lang w:val="en-US"/>
        </w:rPr>
        <w:t>, Harrison</w:t>
      </w:r>
      <w:r w:rsidR="00906B0D">
        <w:rPr>
          <w:rFonts w:asciiTheme="majorHAnsi" w:hAnsiTheme="majorHAnsi"/>
          <w:lang w:val="en-US"/>
        </w:rPr>
        <w:t>,</w:t>
      </w:r>
      <w:r w:rsidRPr="00906B0D">
        <w:rPr>
          <w:rFonts w:asciiTheme="majorHAnsi" w:hAnsiTheme="majorHAnsi"/>
          <w:lang w:val="en-US"/>
        </w:rPr>
        <w:t xml:space="preserve"> D</w:t>
      </w:r>
      <w:r w:rsidR="00906B0D">
        <w:rPr>
          <w:rFonts w:asciiTheme="majorHAnsi" w:hAnsiTheme="majorHAnsi"/>
          <w:lang w:val="en-US"/>
        </w:rPr>
        <w:t>.</w:t>
      </w:r>
      <w:r w:rsidRPr="00906B0D">
        <w:rPr>
          <w:rFonts w:asciiTheme="majorHAnsi" w:hAnsiTheme="majorHAnsi"/>
          <w:lang w:val="en-US"/>
        </w:rPr>
        <w:t xml:space="preserve"> and Gideon</w:t>
      </w:r>
      <w:r w:rsidR="00906B0D">
        <w:rPr>
          <w:rFonts w:asciiTheme="majorHAnsi" w:hAnsiTheme="majorHAnsi"/>
          <w:lang w:val="en-US"/>
        </w:rPr>
        <w:t>,</w:t>
      </w:r>
      <w:r w:rsidRPr="00906B0D">
        <w:rPr>
          <w:rFonts w:asciiTheme="majorHAnsi" w:hAnsiTheme="majorHAnsi"/>
          <w:lang w:val="en-US"/>
        </w:rPr>
        <w:t xml:space="preserve"> S</w:t>
      </w:r>
      <w:r w:rsidR="00906B0D">
        <w:rPr>
          <w:rFonts w:asciiTheme="majorHAnsi" w:hAnsiTheme="majorHAnsi"/>
          <w:lang w:val="en-US"/>
        </w:rPr>
        <w:t>. 2012.</w:t>
      </w:r>
      <w:r w:rsidRPr="00906B0D">
        <w:rPr>
          <w:rFonts w:asciiTheme="majorHAnsi" w:hAnsiTheme="majorHAnsi"/>
          <w:lang w:val="en-US"/>
        </w:rPr>
        <w:t xml:space="preserve"> Domestic UK Retrofit Challenge: Barriers, incentives and current performance leading into the Green Deal, Energy Policy</w:t>
      </w:r>
      <w:r w:rsidR="00906B0D">
        <w:rPr>
          <w:rFonts w:asciiTheme="majorHAnsi" w:hAnsiTheme="majorHAnsi"/>
          <w:lang w:val="en-US"/>
        </w:rPr>
        <w:t xml:space="preserve">, 50, </w:t>
      </w:r>
      <w:r w:rsidRPr="00906B0D">
        <w:rPr>
          <w:rFonts w:asciiTheme="majorHAnsi" w:hAnsiTheme="majorHAnsi"/>
          <w:lang w:val="en-US"/>
        </w:rPr>
        <w:t>294-305.</w:t>
      </w:r>
    </w:p>
    <w:p w14:paraId="0B066A8B" w14:textId="645B065C" w:rsidR="00952844" w:rsidRPr="00906B0D" w:rsidRDefault="00906B0D" w:rsidP="00AB0182">
      <w:pPr>
        <w:pStyle w:val="ListParagraph"/>
        <w:numPr>
          <w:ilvl w:val="0"/>
          <w:numId w:val="14"/>
        </w:numPr>
        <w:spacing w:line="480" w:lineRule="auto"/>
        <w:rPr>
          <w:rStyle w:val="Hyperlink"/>
          <w:rFonts w:asciiTheme="majorHAnsi" w:hAnsiTheme="majorHAnsi"/>
          <w:color w:val="auto"/>
          <w:u w:val="none"/>
        </w:rPr>
      </w:pPr>
      <w:r>
        <w:rPr>
          <w:rFonts w:asciiTheme="majorHAnsi" w:hAnsiTheme="majorHAnsi"/>
          <w:iCs/>
        </w:rPr>
        <w:t>EC 2011.</w:t>
      </w:r>
      <w:r w:rsidR="009C2495" w:rsidRPr="00906B0D">
        <w:rPr>
          <w:rFonts w:asciiTheme="majorHAnsi" w:hAnsiTheme="majorHAnsi"/>
          <w:iCs/>
        </w:rPr>
        <w:t xml:space="preserve"> </w:t>
      </w:r>
      <w:r w:rsidR="009C2495" w:rsidRPr="00906B0D">
        <w:rPr>
          <w:rFonts w:asciiTheme="majorHAnsi" w:hAnsiTheme="majorHAnsi"/>
          <w:bCs/>
          <w:iCs/>
        </w:rPr>
        <w:t xml:space="preserve">A Roadmap for Moving to a Competitive Low Carbon Economy in 2050, </w:t>
      </w:r>
      <w:r w:rsidR="003227AF" w:rsidRPr="00906B0D">
        <w:rPr>
          <w:rFonts w:asciiTheme="majorHAnsi" w:hAnsiTheme="majorHAnsi"/>
          <w:bCs/>
          <w:iCs/>
        </w:rPr>
        <w:t xml:space="preserve">COM/2011/0112 final, European Commission. </w:t>
      </w:r>
    </w:p>
    <w:p w14:paraId="734B4431" w14:textId="4D2A4250" w:rsidR="00F55F42" w:rsidRPr="00906B0D" w:rsidRDefault="00906B0D" w:rsidP="00F55F42">
      <w:pPr>
        <w:pStyle w:val="ListParagraph"/>
        <w:numPr>
          <w:ilvl w:val="0"/>
          <w:numId w:val="14"/>
        </w:numPr>
        <w:spacing w:line="480" w:lineRule="auto"/>
        <w:rPr>
          <w:rFonts w:asciiTheme="majorHAnsi" w:hAnsiTheme="majorHAnsi"/>
          <w:b/>
          <w:bCs/>
          <w:iCs/>
          <w:lang w:val="en-US"/>
        </w:rPr>
      </w:pPr>
      <w:r>
        <w:rPr>
          <w:rFonts w:asciiTheme="majorHAnsi" w:hAnsiTheme="majorHAnsi"/>
          <w:iCs/>
        </w:rPr>
        <w:t>EC 2012.</w:t>
      </w:r>
      <w:r w:rsidR="00F55F42" w:rsidRPr="00906B0D">
        <w:rPr>
          <w:rFonts w:asciiTheme="majorHAnsi" w:hAnsiTheme="majorHAnsi"/>
          <w:iCs/>
        </w:rPr>
        <w:t xml:space="preserve"> The Energy Efficiency Directive, Directive </w:t>
      </w:r>
      <w:r w:rsidR="00F55F42" w:rsidRPr="00906B0D">
        <w:rPr>
          <w:rFonts w:asciiTheme="majorHAnsi" w:hAnsiTheme="majorHAnsi"/>
          <w:bCs/>
          <w:iCs/>
          <w:lang w:val="en-US"/>
        </w:rPr>
        <w:t xml:space="preserve">2012/27/EU, European Parliament and Council. </w:t>
      </w:r>
    </w:p>
    <w:p w14:paraId="10320D92" w14:textId="7F02875F" w:rsidR="00952844" w:rsidRPr="00906B0D" w:rsidRDefault="00906B0D" w:rsidP="00AB0182">
      <w:pPr>
        <w:pStyle w:val="ListParagraph"/>
        <w:widowControl w:val="0"/>
        <w:numPr>
          <w:ilvl w:val="0"/>
          <w:numId w:val="14"/>
        </w:numPr>
        <w:autoSpaceDE w:val="0"/>
        <w:autoSpaceDN w:val="0"/>
        <w:adjustRightInd w:val="0"/>
        <w:spacing w:after="240" w:line="480" w:lineRule="auto"/>
        <w:rPr>
          <w:rStyle w:val="Hyperlink"/>
          <w:rFonts w:asciiTheme="majorHAnsi" w:hAnsiTheme="majorHAnsi"/>
          <w:color w:val="auto"/>
          <w:u w:val="none"/>
        </w:rPr>
      </w:pPr>
      <w:r>
        <w:rPr>
          <w:rFonts w:asciiTheme="majorHAnsi" w:hAnsiTheme="majorHAnsi"/>
          <w:bCs/>
        </w:rPr>
        <w:t>EC 2013.</w:t>
      </w:r>
      <w:r w:rsidR="005540F6" w:rsidRPr="00906B0D">
        <w:rPr>
          <w:rFonts w:asciiTheme="majorHAnsi" w:hAnsiTheme="majorHAnsi"/>
          <w:bCs/>
        </w:rPr>
        <w:t xml:space="preserve"> Financial support for energy efficiency in buildings, R</w:t>
      </w:r>
      <w:r w:rsidR="00A2076A" w:rsidRPr="00906B0D">
        <w:rPr>
          <w:rFonts w:asciiTheme="majorHAnsi" w:hAnsiTheme="majorHAnsi"/>
          <w:bCs/>
        </w:rPr>
        <w:t>eport from the Commission to the European Parliament and the Council</w:t>
      </w:r>
      <w:r w:rsidR="005540F6" w:rsidRPr="00906B0D">
        <w:rPr>
          <w:rFonts w:asciiTheme="majorHAnsi" w:hAnsiTheme="majorHAnsi"/>
          <w:bCs/>
        </w:rPr>
        <w:t xml:space="preserve">, </w:t>
      </w:r>
      <w:r w:rsidR="00A2076A" w:rsidRPr="00906B0D">
        <w:rPr>
          <w:rFonts w:asciiTheme="majorHAnsi" w:hAnsiTheme="majorHAnsi"/>
        </w:rPr>
        <w:t>COM(2013)</w:t>
      </w:r>
      <w:r w:rsidR="005540F6" w:rsidRPr="00906B0D">
        <w:rPr>
          <w:rFonts w:asciiTheme="majorHAnsi" w:hAnsiTheme="majorHAnsi"/>
        </w:rPr>
        <w:t xml:space="preserve">225 final, </w:t>
      </w:r>
      <w:r w:rsidR="00A2076A" w:rsidRPr="00906B0D">
        <w:rPr>
          <w:rFonts w:asciiTheme="majorHAnsi" w:hAnsiTheme="majorHAnsi"/>
        </w:rPr>
        <w:t>European Commission</w:t>
      </w:r>
      <w:r w:rsidR="005540F6" w:rsidRPr="00906B0D">
        <w:rPr>
          <w:rFonts w:asciiTheme="majorHAnsi" w:hAnsiTheme="majorHAnsi"/>
        </w:rPr>
        <w:t>.</w:t>
      </w:r>
      <w:r w:rsidR="00952844" w:rsidRPr="00906B0D">
        <w:rPr>
          <w:rFonts w:asciiTheme="majorHAnsi" w:hAnsiTheme="majorHAnsi"/>
        </w:rPr>
        <w:t xml:space="preserve"> </w:t>
      </w:r>
    </w:p>
    <w:p w14:paraId="22EF17E3" w14:textId="3A6FC341" w:rsidR="0059565C" w:rsidRPr="00906B0D" w:rsidRDefault="00906B0D" w:rsidP="00AB0182">
      <w:pPr>
        <w:pStyle w:val="ListParagraph"/>
        <w:widowControl w:val="0"/>
        <w:numPr>
          <w:ilvl w:val="0"/>
          <w:numId w:val="14"/>
        </w:numPr>
        <w:autoSpaceDE w:val="0"/>
        <w:autoSpaceDN w:val="0"/>
        <w:adjustRightInd w:val="0"/>
        <w:spacing w:after="240" w:line="480" w:lineRule="auto"/>
        <w:rPr>
          <w:rFonts w:asciiTheme="majorHAnsi" w:hAnsiTheme="majorHAnsi"/>
        </w:rPr>
      </w:pPr>
      <w:r>
        <w:rPr>
          <w:rFonts w:asciiTheme="majorHAnsi" w:hAnsiTheme="majorHAnsi"/>
          <w:bCs/>
        </w:rPr>
        <w:t>EEFIG 2015.</w:t>
      </w:r>
      <w:r w:rsidR="0059565C" w:rsidRPr="00906B0D">
        <w:rPr>
          <w:rFonts w:asciiTheme="majorHAnsi" w:hAnsiTheme="majorHAnsi"/>
          <w:bCs/>
        </w:rPr>
        <w:t xml:space="preserve"> Energy Efficiency – The First Fuel for the EU Economy: How to drive new finance for energy efficiency investments, Energy Efficiency Financial Institutions Group.</w:t>
      </w:r>
      <w:r w:rsidR="0059565C" w:rsidRPr="00906B0D">
        <w:t xml:space="preserve"> </w:t>
      </w:r>
    </w:p>
    <w:p w14:paraId="6B3F60EB" w14:textId="3FD7DD9C" w:rsidR="007A67AA" w:rsidRPr="00906B0D" w:rsidRDefault="007A67AA" w:rsidP="00AB0182">
      <w:pPr>
        <w:pStyle w:val="ListParagraph"/>
        <w:numPr>
          <w:ilvl w:val="0"/>
          <w:numId w:val="14"/>
        </w:numPr>
        <w:spacing w:line="480" w:lineRule="auto"/>
        <w:rPr>
          <w:rFonts w:asciiTheme="majorHAnsi" w:hAnsiTheme="majorHAnsi"/>
          <w:bCs/>
          <w:iCs/>
        </w:rPr>
      </w:pPr>
      <w:r w:rsidRPr="00906B0D">
        <w:rPr>
          <w:rFonts w:asciiTheme="majorHAnsi" w:hAnsiTheme="majorHAnsi"/>
        </w:rPr>
        <w:t>Evans</w:t>
      </w:r>
      <w:r w:rsidR="00906B0D">
        <w:rPr>
          <w:rFonts w:asciiTheme="majorHAnsi" w:hAnsiTheme="majorHAnsi"/>
        </w:rPr>
        <w:t>,</w:t>
      </w:r>
      <w:r w:rsidRPr="00906B0D">
        <w:rPr>
          <w:rFonts w:asciiTheme="majorHAnsi" w:hAnsiTheme="majorHAnsi"/>
        </w:rPr>
        <w:t xml:space="preserve"> L</w:t>
      </w:r>
      <w:r w:rsidR="00906B0D">
        <w:rPr>
          <w:rFonts w:asciiTheme="majorHAnsi" w:hAnsiTheme="majorHAnsi"/>
        </w:rPr>
        <w:t>.</w:t>
      </w:r>
      <w:r w:rsidRPr="00906B0D">
        <w:rPr>
          <w:rFonts w:asciiTheme="majorHAnsi" w:hAnsiTheme="majorHAnsi"/>
        </w:rPr>
        <w:t>, Maio</w:t>
      </w:r>
      <w:r w:rsidR="00906B0D">
        <w:rPr>
          <w:rFonts w:asciiTheme="majorHAnsi" w:hAnsiTheme="majorHAnsi"/>
        </w:rPr>
        <w:t>,</w:t>
      </w:r>
      <w:r w:rsidRPr="00906B0D">
        <w:rPr>
          <w:rFonts w:asciiTheme="majorHAnsi" w:hAnsiTheme="majorHAnsi"/>
        </w:rPr>
        <w:t xml:space="preserve"> G</w:t>
      </w:r>
      <w:r w:rsidR="00906B0D">
        <w:rPr>
          <w:rFonts w:asciiTheme="majorHAnsi" w:hAnsiTheme="majorHAnsi"/>
        </w:rPr>
        <w:t>.</w:t>
      </w:r>
      <w:r w:rsidRPr="00906B0D">
        <w:rPr>
          <w:rFonts w:asciiTheme="majorHAnsi" w:hAnsiTheme="majorHAnsi"/>
        </w:rPr>
        <w:t>, Corner</w:t>
      </w:r>
      <w:r w:rsidR="00906B0D">
        <w:rPr>
          <w:rFonts w:asciiTheme="majorHAnsi" w:hAnsiTheme="majorHAnsi"/>
        </w:rPr>
        <w:t>,</w:t>
      </w:r>
      <w:r w:rsidRPr="00906B0D">
        <w:rPr>
          <w:rFonts w:asciiTheme="majorHAnsi" w:hAnsiTheme="majorHAnsi"/>
        </w:rPr>
        <w:t xml:space="preserve"> A</w:t>
      </w:r>
      <w:r w:rsidR="00906B0D">
        <w:rPr>
          <w:rFonts w:asciiTheme="majorHAnsi" w:hAnsiTheme="majorHAnsi"/>
        </w:rPr>
        <w:t>.</w:t>
      </w:r>
      <w:r w:rsidRPr="00906B0D">
        <w:rPr>
          <w:rFonts w:asciiTheme="majorHAnsi" w:hAnsiTheme="majorHAnsi"/>
        </w:rPr>
        <w:t>, Hodgetts</w:t>
      </w:r>
      <w:r w:rsidR="00906B0D">
        <w:rPr>
          <w:rFonts w:asciiTheme="majorHAnsi" w:hAnsiTheme="majorHAnsi"/>
        </w:rPr>
        <w:t>,</w:t>
      </w:r>
      <w:r w:rsidRPr="00906B0D">
        <w:rPr>
          <w:rFonts w:asciiTheme="majorHAnsi" w:hAnsiTheme="majorHAnsi"/>
        </w:rPr>
        <w:t xml:space="preserve"> C</w:t>
      </w:r>
      <w:r w:rsidR="00906B0D">
        <w:rPr>
          <w:rFonts w:asciiTheme="majorHAnsi" w:hAnsiTheme="majorHAnsi"/>
        </w:rPr>
        <w:t>.</w:t>
      </w:r>
      <w:r w:rsidRPr="00906B0D">
        <w:rPr>
          <w:rFonts w:asciiTheme="majorHAnsi" w:hAnsiTheme="majorHAnsi"/>
        </w:rPr>
        <w:t>, Ahmed</w:t>
      </w:r>
      <w:r w:rsidR="00906B0D">
        <w:rPr>
          <w:rFonts w:asciiTheme="majorHAnsi" w:hAnsiTheme="majorHAnsi"/>
        </w:rPr>
        <w:t>,</w:t>
      </w:r>
      <w:r w:rsidRPr="00906B0D">
        <w:rPr>
          <w:rFonts w:asciiTheme="majorHAnsi" w:hAnsiTheme="majorHAnsi"/>
        </w:rPr>
        <w:t xml:space="preserve"> S</w:t>
      </w:r>
      <w:r w:rsidR="00906B0D">
        <w:rPr>
          <w:rFonts w:asciiTheme="majorHAnsi" w:hAnsiTheme="majorHAnsi"/>
        </w:rPr>
        <w:t>.</w:t>
      </w:r>
      <w:r w:rsidRPr="00906B0D">
        <w:rPr>
          <w:rFonts w:asciiTheme="majorHAnsi" w:hAnsiTheme="majorHAnsi"/>
        </w:rPr>
        <w:t xml:space="preserve"> and Hahn</w:t>
      </w:r>
      <w:r w:rsidR="00906B0D">
        <w:rPr>
          <w:rFonts w:asciiTheme="majorHAnsi" w:hAnsiTheme="majorHAnsi"/>
        </w:rPr>
        <w:t>,</w:t>
      </w:r>
      <w:r w:rsidRPr="00906B0D">
        <w:rPr>
          <w:rFonts w:asciiTheme="majorHAnsi" w:hAnsiTheme="majorHAnsi"/>
        </w:rPr>
        <w:t xml:space="preserve"> U</w:t>
      </w:r>
      <w:r w:rsidR="00906B0D">
        <w:rPr>
          <w:rFonts w:asciiTheme="majorHAnsi" w:hAnsiTheme="majorHAnsi"/>
        </w:rPr>
        <w:t>. 2013.</w:t>
      </w:r>
      <w:r w:rsidRPr="00906B0D">
        <w:rPr>
          <w:rFonts w:asciiTheme="majorHAnsi" w:hAnsiTheme="majorHAnsi"/>
        </w:rPr>
        <w:t xml:space="preserve"> Self-interest and pro-environmental behaviour, </w:t>
      </w:r>
      <w:r w:rsidRPr="00906B0D">
        <w:rPr>
          <w:rFonts w:asciiTheme="majorHAnsi" w:hAnsiTheme="majorHAnsi"/>
          <w:iCs/>
        </w:rPr>
        <w:t>Nature Climate Change</w:t>
      </w:r>
      <w:r w:rsidRPr="00906B0D">
        <w:rPr>
          <w:rFonts w:asciiTheme="majorHAnsi" w:hAnsiTheme="majorHAnsi"/>
          <w:u w:val="single"/>
        </w:rPr>
        <w:t>,</w:t>
      </w:r>
      <w:r w:rsidRPr="00906B0D">
        <w:rPr>
          <w:rFonts w:asciiTheme="majorHAnsi" w:hAnsiTheme="majorHAnsi"/>
        </w:rPr>
        <w:t xml:space="preserve"> 3, 2, 122-125.</w:t>
      </w:r>
    </w:p>
    <w:p w14:paraId="79761120" w14:textId="7C61814F" w:rsidR="00DA4C2A" w:rsidRPr="00906B0D" w:rsidRDefault="00906B0D" w:rsidP="00AB0182">
      <w:pPr>
        <w:pStyle w:val="ListParagraph"/>
        <w:numPr>
          <w:ilvl w:val="0"/>
          <w:numId w:val="14"/>
        </w:numPr>
        <w:spacing w:line="480" w:lineRule="auto"/>
        <w:rPr>
          <w:rStyle w:val="Hyperlink"/>
          <w:rFonts w:asciiTheme="majorHAnsi" w:hAnsiTheme="majorHAnsi"/>
          <w:bCs/>
          <w:iCs/>
          <w:color w:val="auto"/>
          <w:u w:val="none"/>
        </w:rPr>
      </w:pPr>
      <w:r>
        <w:rPr>
          <w:rFonts w:asciiTheme="majorHAnsi" w:hAnsiTheme="majorHAnsi"/>
          <w:bCs/>
        </w:rPr>
        <w:t>Forum for the Future 2011.</w:t>
      </w:r>
      <w:r w:rsidR="00DA4C2A" w:rsidRPr="00906B0D">
        <w:rPr>
          <w:rFonts w:asciiTheme="majorHAnsi" w:hAnsiTheme="majorHAnsi"/>
          <w:bCs/>
        </w:rPr>
        <w:t xml:space="preserve"> Funding Revolution: A guide to establishing and running low carbon community revolving funds, Forum for the Future</w:t>
      </w:r>
      <w:r>
        <w:rPr>
          <w:rFonts w:asciiTheme="majorHAnsi" w:hAnsiTheme="majorHAnsi"/>
          <w:bCs/>
        </w:rPr>
        <w:t>.</w:t>
      </w:r>
      <w:r w:rsidR="00DA4C2A" w:rsidRPr="00906B0D">
        <w:rPr>
          <w:rFonts w:asciiTheme="majorHAnsi" w:hAnsiTheme="majorHAnsi"/>
          <w:bCs/>
        </w:rPr>
        <w:t xml:space="preserve"> </w:t>
      </w:r>
    </w:p>
    <w:p w14:paraId="484B3739" w14:textId="549D6D2B" w:rsidR="004548A5" w:rsidRPr="00906B0D" w:rsidRDefault="00906B0D" w:rsidP="00AB0182">
      <w:pPr>
        <w:pStyle w:val="ListParagraph"/>
        <w:numPr>
          <w:ilvl w:val="0"/>
          <w:numId w:val="14"/>
        </w:numPr>
        <w:spacing w:line="480" w:lineRule="auto"/>
        <w:rPr>
          <w:rFonts w:asciiTheme="majorHAnsi" w:hAnsiTheme="majorHAnsi"/>
          <w:bCs/>
          <w:iCs/>
        </w:rPr>
      </w:pPr>
      <w:r>
        <w:rPr>
          <w:rFonts w:asciiTheme="majorHAnsi" w:hAnsiTheme="majorHAnsi"/>
          <w:bCs/>
          <w:iCs/>
          <w:lang w:val="en-US"/>
        </w:rPr>
        <w:t>GEA 2012.</w:t>
      </w:r>
      <w:r w:rsidR="004548A5" w:rsidRPr="00906B0D">
        <w:rPr>
          <w:rFonts w:asciiTheme="majorHAnsi" w:hAnsiTheme="majorHAnsi"/>
          <w:bCs/>
          <w:iCs/>
          <w:lang w:val="en-US"/>
        </w:rPr>
        <w:t xml:space="preserve"> Global Energy Assessment - Toward a Sustainable Future, Cambridge University Press, Cambridge, UK and New York, NY, USA and the International Institute for Applied Systems Analysis, Laxenburg, Austria.</w:t>
      </w:r>
    </w:p>
    <w:p w14:paraId="417BFF45" w14:textId="4C63688D" w:rsidR="00C3256B" w:rsidRPr="00906B0D" w:rsidRDefault="00906B0D" w:rsidP="00AB0182">
      <w:pPr>
        <w:pStyle w:val="ListParagraph"/>
        <w:numPr>
          <w:ilvl w:val="0"/>
          <w:numId w:val="14"/>
        </w:numPr>
        <w:spacing w:line="480" w:lineRule="auto"/>
        <w:rPr>
          <w:rFonts w:asciiTheme="majorHAnsi" w:hAnsiTheme="majorHAnsi"/>
          <w:bCs/>
          <w:iCs/>
        </w:rPr>
      </w:pPr>
      <w:r>
        <w:rPr>
          <w:rFonts w:asciiTheme="majorHAnsi" w:hAnsiTheme="majorHAnsi"/>
        </w:rPr>
        <w:t>Geels, F. 2013</w:t>
      </w:r>
      <w:r w:rsidR="00C3256B" w:rsidRPr="00906B0D">
        <w:rPr>
          <w:rFonts w:asciiTheme="majorHAnsi" w:hAnsiTheme="majorHAnsi"/>
        </w:rPr>
        <w:t xml:space="preserve"> The Impact of the Financial–Economic Crisis on Sustainability Transitions: Financial investment, governance and public discourse, </w:t>
      </w:r>
      <w:r w:rsidR="00C3256B" w:rsidRPr="00906B0D">
        <w:rPr>
          <w:rFonts w:asciiTheme="majorHAnsi" w:hAnsiTheme="majorHAnsi"/>
          <w:iCs/>
        </w:rPr>
        <w:t>Environmental Innovation and Societal Transitions</w:t>
      </w:r>
      <w:r>
        <w:rPr>
          <w:rFonts w:asciiTheme="majorHAnsi" w:hAnsiTheme="majorHAnsi"/>
          <w:iCs/>
        </w:rPr>
        <w:t>,</w:t>
      </w:r>
      <w:r w:rsidR="00C3256B" w:rsidRPr="00906B0D">
        <w:rPr>
          <w:rFonts w:asciiTheme="majorHAnsi" w:hAnsiTheme="majorHAnsi"/>
        </w:rPr>
        <w:t xml:space="preserve"> </w:t>
      </w:r>
      <w:r w:rsidR="00C3256B" w:rsidRPr="00906B0D">
        <w:rPr>
          <w:rFonts w:asciiTheme="majorHAnsi" w:hAnsiTheme="majorHAnsi"/>
          <w:bCs/>
        </w:rPr>
        <w:t>6</w:t>
      </w:r>
      <w:r>
        <w:rPr>
          <w:rFonts w:asciiTheme="majorHAnsi" w:hAnsiTheme="majorHAnsi"/>
          <w:bCs/>
        </w:rPr>
        <w:t>,</w:t>
      </w:r>
      <w:r>
        <w:rPr>
          <w:rFonts w:asciiTheme="majorHAnsi" w:hAnsiTheme="majorHAnsi"/>
        </w:rPr>
        <w:t xml:space="preserve"> </w:t>
      </w:r>
      <w:r w:rsidR="00C3256B" w:rsidRPr="00906B0D">
        <w:rPr>
          <w:rFonts w:asciiTheme="majorHAnsi" w:hAnsiTheme="majorHAnsi"/>
        </w:rPr>
        <w:t>67– 95</w:t>
      </w:r>
      <w:r>
        <w:rPr>
          <w:rFonts w:asciiTheme="majorHAnsi" w:hAnsiTheme="majorHAnsi"/>
        </w:rPr>
        <w:t>.</w:t>
      </w:r>
    </w:p>
    <w:p w14:paraId="4CFCE3A4" w14:textId="2EDBA0EB" w:rsidR="00D37215" w:rsidRPr="00906B0D" w:rsidRDefault="00D37215" w:rsidP="00AB0182">
      <w:pPr>
        <w:pStyle w:val="ListParagraph"/>
        <w:numPr>
          <w:ilvl w:val="0"/>
          <w:numId w:val="14"/>
        </w:numPr>
        <w:spacing w:line="480" w:lineRule="auto"/>
        <w:rPr>
          <w:rFonts w:asciiTheme="majorHAnsi" w:hAnsiTheme="majorHAnsi"/>
          <w:bCs/>
          <w:iCs/>
        </w:rPr>
      </w:pPr>
      <w:r w:rsidRPr="00906B0D">
        <w:rPr>
          <w:rFonts w:asciiTheme="majorHAnsi" w:hAnsiTheme="majorHAnsi"/>
          <w:bCs/>
          <w:iCs/>
        </w:rPr>
        <w:lastRenderedPageBreak/>
        <w:t>Gneezy</w:t>
      </w:r>
      <w:r w:rsidR="00906B0D">
        <w:rPr>
          <w:rFonts w:asciiTheme="majorHAnsi" w:hAnsiTheme="majorHAnsi"/>
          <w:bCs/>
          <w:iCs/>
        </w:rPr>
        <w:t>,</w:t>
      </w:r>
      <w:r w:rsidRPr="00906B0D">
        <w:rPr>
          <w:rFonts w:asciiTheme="majorHAnsi" w:hAnsiTheme="majorHAnsi"/>
          <w:bCs/>
          <w:iCs/>
        </w:rPr>
        <w:t xml:space="preserve"> U</w:t>
      </w:r>
      <w:r w:rsidR="00906B0D">
        <w:rPr>
          <w:rFonts w:asciiTheme="majorHAnsi" w:hAnsiTheme="majorHAnsi"/>
          <w:bCs/>
          <w:iCs/>
        </w:rPr>
        <w:t>.</w:t>
      </w:r>
      <w:r w:rsidRPr="00906B0D">
        <w:rPr>
          <w:rFonts w:asciiTheme="majorHAnsi" w:hAnsiTheme="majorHAnsi"/>
          <w:bCs/>
          <w:iCs/>
        </w:rPr>
        <w:t>, Meier</w:t>
      </w:r>
      <w:r w:rsidR="00906B0D">
        <w:rPr>
          <w:rFonts w:asciiTheme="majorHAnsi" w:hAnsiTheme="majorHAnsi"/>
          <w:bCs/>
          <w:iCs/>
        </w:rPr>
        <w:t>,</w:t>
      </w:r>
      <w:r w:rsidRPr="00906B0D">
        <w:rPr>
          <w:rFonts w:asciiTheme="majorHAnsi" w:hAnsiTheme="majorHAnsi"/>
          <w:bCs/>
          <w:iCs/>
        </w:rPr>
        <w:t xml:space="preserve"> S</w:t>
      </w:r>
      <w:r w:rsidR="00906B0D">
        <w:rPr>
          <w:rFonts w:asciiTheme="majorHAnsi" w:hAnsiTheme="majorHAnsi"/>
          <w:bCs/>
          <w:iCs/>
        </w:rPr>
        <w:t>.</w:t>
      </w:r>
      <w:r w:rsidRPr="00906B0D">
        <w:rPr>
          <w:rFonts w:asciiTheme="majorHAnsi" w:hAnsiTheme="majorHAnsi"/>
          <w:bCs/>
          <w:iCs/>
        </w:rPr>
        <w:t xml:space="preserve"> and Rey-Biel</w:t>
      </w:r>
      <w:r w:rsidR="00906B0D">
        <w:rPr>
          <w:rFonts w:asciiTheme="majorHAnsi" w:hAnsiTheme="majorHAnsi"/>
          <w:bCs/>
          <w:iCs/>
        </w:rPr>
        <w:t>,</w:t>
      </w:r>
      <w:r w:rsidRPr="00906B0D">
        <w:rPr>
          <w:rFonts w:asciiTheme="majorHAnsi" w:hAnsiTheme="majorHAnsi"/>
          <w:bCs/>
          <w:iCs/>
        </w:rPr>
        <w:t xml:space="preserve"> P</w:t>
      </w:r>
      <w:r w:rsidR="00906B0D">
        <w:rPr>
          <w:rFonts w:asciiTheme="majorHAnsi" w:hAnsiTheme="majorHAnsi"/>
          <w:bCs/>
          <w:iCs/>
        </w:rPr>
        <w:t>. 2011.</w:t>
      </w:r>
      <w:r w:rsidRPr="00906B0D">
        <w:rPr>
          <w:rFonts w:asciiTheme="majorHAnsi" w:hAnsiTheme="majorHAnsi"/>
          <w:bCs/>
          <w:iCs/>
        </w:rPr>
        <w:t xml:space="preserve"> When and Why Incentives (Don't) Work to Modify Behavio</w:t>
      </w:r>
      <w:r w:rsidR="00906B0D">
        <w:rPr>
          <w:rFonts w:asciiTheme="majorHAnsi" w:hAnsiTheme="majorHAnsi"/>
          <w:bCs/>
          <w:iCs/>
        </w:rPr>
        <w:t>u</w:t>
      </w:r>
      <w:r w:rsidRPr="00906B0D">
        <w:rPr>
          <w:rFonts w:asciiTheme="majorHAnsi" w:hAnsiTheme="majorHAnsi"/>
          <w:bCs/>
          <w:iCs/>
        </w:rPr>
        <w:t xml:space="preserve">r, </w:t>
      </w:r>
      <w:r w:rsidRPr="00906B0D">
        <w:rPr>
          <w:rFonts w:asciiTheme="majorHAnsi" w:hAnsiTheme="majorHAnsi"/>
          <w:bCs/>
        </w:rPr>
        <w:t>Journal of Economic Perspectives</w:t>
      </w:r>
      <w:r w:rsidR="00906B0D">
        <w:rPr>
          <w:rFonts w:asciiTheme="majorHAnsi" w:hAnsiTheme="majorHAnsi"/>
          <w:bCs/>
          <w:iCs/>
        </w:rPr>
        <w:t xml:space="preserve">, 25, 4 </w:t>
      </w:r>
      <w:r w:rsidRPr="00906B0D">
        <w:rPr>
          <w:rFonts w:asciiTheme="majorHAnsi" w:hAnsiTheme="majorHAnsi"/>
          <w:bCs/>
          <w:iCs/>
        </w:rPr>
        <w:t>191-210.</w:t>
      </w:r>
    </w:p>
    <w:p w14:paraId="2FCB30D3" w14:textId="48ADA8B8" w:rsidR="00E35B04" w:rsidRPr="00906B0D" w:rsidRDefault="00906B0D" w:rsidP="00B91686">
      <w:pPr>
        <w:pStyle w:val="ListParagraph"/>
        <w:numPr>
          <w:ilvl w:val="0"/>
          <w:numId w:val="14"/>
        </w:numPr>
        <w:spacing w:line="480" w:lineRule="auto"/>
        <w:rPr>
          <w:rFonts w:asciiTheme="majorHAnsi" w:hAnsiTheme="majorHAnsi" w:cs="Times New Roman"/>
        </w:rPr>
      </w:pPr>
      <w:r>
        <w:rPr>
          <w:rFonts w:asciiTheme="majorHAnsi" w:hAnsiTheme="majorHAnsi"/>
        </w:rPr>
        <w:t xml:space="preserve">Gouldson, A. and Sullivan, R. </w:t>
      </w:r>
      <w:r w:rsidR="00F07135" w:rsidRPr="00906B0D">
        <w:rPr>
          <w:rFonts w:asciiTheme="majorHAnsi" w:hAnsiTheme="majorHAnsi"/>
        </w:rPr>
        <w:t>2014</w:t>
      </w:r>
      <w:r>
        <w:rPr>
          <w:rFonts w:asciiTheme="majorHAnsi" w:hAnsiTheme="majorHAnsi"/>
        </w:rPr>
        <w:t xml:space="preserve">. </w:t>
      </w:r>
      <w:r w:rsidR="004C78F8" w:rsidRPr="00906B0D">
        <w:rPr>
          <w:rFonts w:asciiTheme="majorHAnsi" w:hAnsiTheme="majorHAnsi"/>
        </w:rPr>
        <w:t>Understanding the Governance of Corporations: An examination of the factors shaping UK supermarket strategies on climate change, Environment and Planning A</w:t>
      </w:r>
      <w:r>
        <w:rPr>
          <w:rFonts w:asciiTheme="majorHAnsi" w:hAnsiTheme="majorHAnsi"/>
        </w:rPr>
        <w:t xml:space="preserve">, </w:t>
      </w:r>
      <w:r w:rsidRPr="00906B0D">
        <w:rPr>
          <w:rFonts w:asciiTheme="majorHAnsi" w:hAnsiTheme="majorHAnsi"/>
          <w:bCs/>
          <w:lang w:val="en-US"/>
        </w:rPr>
        <w:t>46</w:t>
      </w:r>
      <w:r>
        <w:rPr>
          <w:rFonts w:asciiTheme="majorHAnsi" w:hAnsiTheme="majorHAnsi"/>
          <w:bCs/>
          <w:lang w:val="en-US"/>
        </w:rPr>
        <w:t xml:space="preserve">, </w:t>
      </w:r>
      <w:r w:rsidRPr="00906B0D">
        <w:rPr>
          <w:rFonts w:asciiTheme="majorHAnsi" w:hAnsiTheme="majorHAnsi"/>
          <w:lang w:val="en-US"/>
        </w:rPr>
        <w:t>2972–2990</w:t>
      </w:r>
      <w:r w:rsidR="004C78F8" w:rsidRPr="00906B0D">
        <w:rPr>
          <w:rFonts w:asciiTheme="majorHAnsi" w:hAnsiTheme="majorHAnsi"/>
        </w:rPr>
        <w:t>.</w:t>
      </w:r>
    </w:p>
    <w:p w14:paraId="1329A173" w14:textId="10B07D38" w:rsidR="00E35B04" w:rsidRPr="00906B0D" w:rsidRDefault="00E35B04" w:rsidP="00B91686">
      <w:pPr>
        <w:pStyle w:val="ListParagraph"/>
        <w:numPr>
          <w:ilvl w:val="0"/>
          <w:numId w:val="14"/>
        </w:numPr>
        <w:spacing w:line="480" w:lineRule="auto"/>
        <w:rPr>
          <w:rFonts w:asciiTheme="majorHAnsi" w:hAnsiTheme="majorHAnsi" w:cs="Times New Roman"/>
        </w:rPr>
      </w:pPr>
      <w:r w:rsidRPr="00906B0D">
        <w:rPr>
          <w:rFonts w:asciiTheme="majorHAnsi" w:hAnsiTheme="majorHAnsi" w:cs="Times New Roman"/>
        </w:rPr>
        <w:t xml:space="preserve">Grüning, C., Menzel, </w:t>
      </w:r>
      <w:r w:rsidR="00862C5F">
        <w:rPr>
          <w:rFonts w:asciiTheme="majorHAnsi" w:hAnsiTheme="majorHAnsi" w:cs="Times New Roman"/>
        </w:rPr>
        <w:t>C. Panofen, T. and Shuford, L. 2012.</w:t>
      </w:r>
      <w:r w:rsidRPr="00906B0D">
        <w:rPr>
          <w:rFonts w:asciiTheme="majorHAnsi" w:hAnsiTheme="majorHAnsi" w:cs="Times New Roman"/>
        </w:rPr>
        <w:t xml:space="preserve"> Case Study: The Thai Energy Efficiency Revolving Fund, UNEP/Frankfurt School</w:t>
      </w:r>
      <w:r w:rsidR="00C42E9F" w:rsidRPr="00906B0D">
        <w:rPr>
          <w:rFonts w:asciiTheme="majorHAnsi" w:hAnsiTheme="majorHAnsi" w:cs="Times New Roman"/>
        </w:rPr>
        <w:t>.</w:t>
      </w:r>
    </w:p>
    <w:p w14:paraId="4048DA02" w14:textId="0AD9D274" w:rsidR="005332BC" w:rsidRPr="00906B0D" w:rsidRDefault="00862C5F" w:rsidP="00B91686">
      <w:pPr>
        <w:pStyle w:val="ListParagraph"/>
        <w:numPr>
          <w:ilvl w:val="0"/>
          <w:numId w:val="14"/>
        </w:numPr>
        <w:spacing w:line="480" w:lineRule="auto"/>
        <w:rPr>
          <w:rFonts w:asciiTheme="majorHAnsi" w:hAnsiTheme="majorHAnsi" w:cs="Times New Roman"/>
        </w:rPr>
      </w:pPr>
      <w:r>
        <w:rPr>
          <w:rFonts w:asciiTheme="majorHAnsi" w:hAnsiTheme="majorHAnsi" w:cs="Times New Roman"/>
        </w:rPr>
        <w:t>Holcombe, R. 1992.</w:t>
      </w:r>
      <w:r w:rsidR="005332BC" w:rsidRPr="00906B0D">
        <w:rPr>
          <w:rFonts w:asciiTheme="majorHAnsi" w:hAnsiTheme="majorHAnsi" w:cs="Times New Roman"/>
        </w:rPr>
        <w:t xml:space="preserve"> Revolving Fund Finance: The case of wastewater treatment, Public</w:t>
      </w:r>
      <w:r>
        <w:rPr>
          <w:rFonts w:asciiTheme="majorHAnsi" w:hAnsiTheme="majorHAnsi" w:cs="Times New Roman"/>
        </w:rPr>
        <w:t xml:space="preserve"> Budgeting and Finance, 12, 3, </w:t>
      </w:r>
      <w:r w:rsidR="005332BC" w:rsidRPr="00906B0D">
        <w:rPr>
          <w:rFonts w:asciiTheme="majorHAnsi" w:hAnsiTheme="majorHAnsi" w:cs="Times New Roman"/>
        </w:rPr>
        <w:t>50-65.</w:t>
      </w:r>
    </w:p>
    <w:p w14:paraId="08A41313" w14:textId="4BE2F0C0" w:rsidR="00A2076A" w:rsidRPr="00906B0D" w:rsidRDefault="00862C5F" w:rsidP="00E35B04">
      <w:pPr>
        <w:pStyle w:val="ListParagraph"/>
        <w:numPr>
          <w:ilvl w:val="0"/>
          <w:numId w:val="14"/>
        </w:numPr>
        <w:spacing w:line="480" w:lineRule="auto"/>
        <w:rPr>
          <w:rStyle w:val="Hyperlink"/>
          <w:rFonts w:asciiTheme="majorHAnsi" w:hAnsiTheme="majorHAnsi"/>
        </w:rPr>
      </w:pPr>
      <w:r>
        <w:rPr>
          <w:rFonts w:asciiTheme="majorHAnsi" w:hAnsiTheme="majorHAnsi"/>
        </w:rPr>
        <w:t xml:space="preserve">IEA 2008. </w:t>
      </w:r>
      <w:r w:rsidR="00092F50" w:rsidRPr="00906B0D">
        <w:rPr>
          <w:rFonts w:asciiTheme="majorHAnsi" w:hAnsiTheme="majorHAnsi"/>
        </w:rPr>
        <w:t>Promoting Energy Efficiency Investments: Case studies in the residential sector, International Energy Agency</w:t>
      </w:r>
      <w:r w:rsidR="000B5A31" w:rsidRPr="00906B0D">
        <w:rPr>
          <w:rFonts w:asciiTheme="majorHAnsi" w:hAnsiTheme="majorHAnsi"/>
        </w:rPr>
        <w:t xml:space="preserve">, Paris. </w:t>
      </w:r>
    </w:p>
    <w:p w14:paraId="54F05298" w14:textId="466DCA6A" w:rsidR="008B7610" w:rsidRPr="00906B0D" w:rsidRDefault="00862C5F" w:rsidP="00B91686">
      <w:pPr>
        <w:pStyle w:val="ListParagraph"/>
        <w:numPr>
          <w:ilvl w:val="0"/>
          <w:numId w:val="14"/>
        </w:numPr>
        <w:spacing w:line="480" w:lineRule="auto"/>
        <w:rPr>
          <w:rFonts w:asciiTheme="majorHAnsi" w:hAnsiTheme="majorHAnsi"/>
        </w:rPr>
      </w:pPr>
      <w:r>
        <w:rPr>
          <w:rFonts w:asciiTheme="majorHAnsi" w:hAnsiTheme="majorHAnsi"/>
        </w:rPr>
        <w:t xml:space="preserve">IEA </w:t>
      </w:r>
      <w:r w:rsidR="00CF4D1F" w:rsidRPr="00906B0D">
        <w:rPr>
          <w:rFonts w:asciiTheme="majorHAnsi" w:hAnsiTheme="majorHAnsi"/>
        </w:rPr>
        <w:t>2013a</w:t>
      </w:r>
      <w:r>
        <w:rPr>
          <w:rFonts w:asciiTheme="majorHAnsi" w:hAnsiTheme="majorHAnsi"/>
        </w:rPr>
        <w:t>.</w:t>
      </w:r>
      <w:r w:rsidR="00344D9D" w:rsidRPr="00906B0D">
        <w:rPr>
          <w:rFonts w:asciiTheme="majorHAnsi" w:hAnsiTheme="majorHAnsi"/>
        </w:rPr>
        <w:t xml:space="preserve"> World Energy Outlook 2012</w:t>
      </w:r>
      <w:r w:rsidR="00CF4D1F" w:rsidRPr="00906B0D">
        <w:rPr>
          <w:rFonts w:asciiTheme="majorHAnsi" w:hAnsiTheme="majorHAnsi"/>
        </w:rPr>
        <w:t xml:space="preserve"> – Executive Summary</w:t>
      </w:r>
      <w:r w:rsidR="00344D9D" w:rsidRPr="00906B0D">
        <w:rPr>
          <w:rFonts w:asciiTheme="majorHAnsi" w:hAnsiTheme="majorHAnsi"/>
        </w:rPr>
        <w:t>, International Energy Agency</w:t>
      </w:r>
      <w:r w:rsidR="008B7610" w:rsidRPr="00906B0D">
        <w:rPr>
          <w:rFonts w:asciiTheme="majorHAnsi" w:hAnsiTheme="majorHAnsi"/>
        </w:rPr>
        <w:t>, Paris</w:t>
      </w:r>
      <w:r w:rsidR="00344D9D" w:rsidRPr="00906B0D">
        <w:rPr>
          <w:rFonts w:asciiTheme="majorHAnsi" w:hAnsiTheme="majorHAnsi"/>
        </w:rPr>
        <w:t>.</w:t>
      </w:r>
      <w:r w:rsidR="00C42E9F" w:rsidRPr="00906B0D" w:rsidDel="00C42E9F">
        <w:rPr>
          <w:rFonts w:asciiTheme="majorHAnsi" w:hAnsiTheme="majorHAnsi"/>
        </w:rPr>
        <w:t xml:space="preserve"> </w:t>
      </w:r>
    </w:p>
    <w:p w14:paraId="229D6524" w14:textId="74844F80" w:rsidR="00952844" w:rsidRPr="00906B0D" w:rsidRDefault="00862C5F" w:rsidP="00AB0182">
      <w:pPr>
        <w:pStyle w:val="ListParagraph"/>
        <w:numPr>
          <w:ilvl w:val="0"/>
          <w:numId w:val="14"/>
        </w:numPr>
        <w:spacing w:line="480" w:lineRule="auto"/>
        <w:rPr>
          <w:rFonts w:asciiTheme="majorHAnsi" w:hAnsiTheme="majorHAnsi"/>
        </w:rPr>
      </w:pPr>
      <w:r>
        <w:rPr>
          <w:rFonts w:asciiTheme="majorHAnsi" w:hAnsiTheme="majorHAnsi"/>
        </w:rPr>
        <w:t>IEA 2013b.</w:t>
      </w:r>
      <w:r w:rsidR="00CF4D1F" w:rsidRPr="00906B0D">
        <w:rPr>
          <w:rFonts w:asciiTheme="majorHAnsi" w:hAnsiTheme="majorHAnsi"/>
        </w:rPr>
        <w:t xml:space="preserve"> Transition to Sustainable Buildings: Strategies and Opportunities to 2050, International Energy Agency, Paris.</w:t>
      </w:r>
      <w:r w:rsidR="00952844" w:rsidRPr="00906B0D">
        <w:rPr>
          <w:rFonts w:asciiTheme="majorHAnsi" w:hAnsiTheme="majorHAnsi"/>
        </w:rPr>
        <w:t xml:space="preserve"> </w:t>
      </w:r>
    </w:p>
    <w:p w14:paraId="6BB44ADF" w14:textId="2E20069C" w:rsidR="00D33479" w:rsidRPr="00906B0D" w:rsidRDefault="00862C5F" w:rsidP="00AB0182">
      <w:pPr>
        <w:pStyle w:val="ListParagraph"/>
        <w:numPr>
          <w:ilvl w:val="0"/>
          <w:numId w:val="14"/>
        </w:numPr>
        <w:spacing w:line="480" w:lineRule="auto"/>
        <w:rPr>
          <w:rFonts w:asciiTheme="majorHAnsi" w:hAnsiTheme="majorHAnsi"/>
        </w:rPr>
      </w:pPr>
      <w:r>
        <w:rPr>
          <w:rFonts w:asciiTheme="majorHAnsi" w:hAnsiTheme="majorHAnsi"/>
        </w:rPr>
        <w:t>IPCC 2014.</w:t>
      </w:r>
      <w:r w:rsidR="00D33479" w:rsidRPr="00906B0D">
        <w:rPr>
          <w:rFonts w:asciiTheme="majorHAnsi" w:hAnsiTheme="majorHAnsi"/>
        </w:rPr>
        <w:t xml:space="preserve"> 5th Assessmen</w:t>
      </w:r>
      <w:r>
        <w:rPr>
          <w:rFonts w:asciiTheme="majorHAnsi" w:hAnsiTheme="majorHAnsi"/>
        </w:rPr>
        <w:t xml:space="preserve">t Report - </w:t>
      </w:r>
      <w:r w:rsidR="00D33479" w:rsidRPr="00906B0D">
        <w:rPr>
          <w:rFonts w:asciiTheme="majorHAnsi" w:hAnsiTheme="majorHAnsi"/>
        </w:rPr>
        <w:t>Climate Change 201</w:t>
      </w:r>
      <w:r>
        <w:rPr>
          <w:rFonts w:asciiTheme="majorHAnsi" w:hAnsiTheme="majorHAnsi"/>
        </w:rPr>
        <w:t>4: Mitigation of Climate Change</w:t>
      </w:r>
      <w:r w:rsidR="00D33479" w:rsidRPr="00906B0D">
        <w:rPr>
          <w:rFonts w:asciiTheme="majorHAnsi" w:hAnsiTheme="majorHAnsi"/>
        </w:rPr>
        <w:t xml:space="preserve">, </w:t>
      </w:r>
      <w:r w:rsidR="00D33479" w:rsidRPr="00906B0D">
        <w:rPr>
          <w:rFonts w:asciiTheme="majorHAnsi" w:hAnsiTheme="majorHAnsi"/>
          <w:iCs/>
        </w:rPr>
        <w:t>Intergovernmental Panel on Climate Change</w:t>
      </w:r>
      <w:r w:rsidR="009C2495" w:rsidRPr="00906B0D">
        <w:rPr>
          <w:rFonts w:asciiTheme="majorHAnsi" w:hAnsiTheme="majorHAnsi"/>
        </w:rPr>
        <w:t>.</w:t>
      </w:r>
    </w:p>
    <w:p w14:paraId="7EA948CA" w14:textId="01135A9D" w:rsidR="00091900" w:rsidRPr="00906B0D" w:rsidRDefault="00203618" w:rsidP="00AB0182">
      <w:pPr>
        <w:pStyle w:val="ListParagraph"/>
        <w:widowControl w:val="0"/>
        <w:numPr>
          <w:ilvl w:val="0"/>
          <w:numId w:val="14"/>
        </w:numPr>
        <w:autoSpaceDE w:val="0"/>
        <w:autoSpaceDN w:val="0"/>
        <w:adjustRightInd w:val="0"/>
        <w:spacing w:after="240" w:line="480" w:lineRule="auto"/>
        <w:rPr>
          <w:rFonts w:asciiTheme="majorHAnsi" w:hAnsiTheme="majorHAnsi"/>
        </w:rPr>
      </w:pPr>
      <w:r w:rsidRPr="00906B0D">
        <w:rPr>
          <w:rFonts w:asciiTheme="majorHAnsi" w:hAnsiTheme="majorHAnsi"/>
        </w:rPr>
        <w:t>Jaffe</w:t>
      </w:r>
      <w:r w:rsidR="00862C5F">
        <w:rPr>
          <w:rFonts w:asciiTheme="majorHAnsi" w:hAnsiTheme="majorHAnsi"/>
        </w:rPr>
        <w:t>,</w:t>
      </w:r>
      <w:r w:rsidRPr="00906B0D">
        <w:rPr>
          <w:rFonts w:asciiTheme="majorHAnsi" w:hAnsiTheme="majorHAnsi"/>
        </w:rPr>
        <w:t xml:space="preserve"> A</w:t>
      </w:r>
      <w:r w:rsidR="00862C5F">
        <w:rPr>
          <w:rFonts w:asciiTheme="majorHAnsi" w:hAnsiTheme="majorHAnsi"/>
        </w:rPr>
        <w:t>.</w:t>
      </w:r>
      <w:r w:rsidRPr="00906B0D">
        <w:rPr>
          <w:rFonts w:asciiTheme="majorHAnsi" w:hAnsiTheme="majorHAnsi"/>
        </w:rPr>
        <w:t xml:space="preserve"> and Stavins</w:t>
      </w:r>
      <w:r w:rsidR="00862C5F">
        <w:rPr>
          <w:rFonts w:asciiTheme="majorHAnsi" w:hAnsiTheme="majorHAnsi"/>
        </w:rPr>
        <w:t>,</w:t>
      </w:r>
      <w:r w:rsidRPr="00906B0D">
        <w:rPr>
          <w:rFonts w:asciiTheme="majorHAnsi" w:hAnsiTheme="majorHAnsi"/>
        </w:rPr>
        <w:t xml:space="preserve"> R</w:t>
      </w:r>
      <w:r w:rsidR="00862C5F">
        <w:rPr>
          <w:rFonts w:asciiTheme="majorHAnsi" w:hAnsiTheme="majorHAnsi"/>
        </w:rPr>
        <w:t xml:space="preserve">. 1994. </w:t>
      </w:r>
      <w:r w:rsidR="00091900" w:rsidRPr="00906B0D">
        <w:rPr>
          <w:rFonts w:asciiTheme="majorHAnsi" w:hAnsiTheme="majorHAnsi"/>
        </w:rPr>
        <w:t>The Energy Efficiency Gap: What does it m</w:t>
      </w:r>
      <w:r w:rsidR="00862C5F">
        <w:rPr>
          <w:rFonts w:asciiTheme="majorHAnsi" w:hAnsiTheme="majorHAnsi"/>
        </w:rPr>
        <w:t xml:space="preserve">ean?, Energy Policy, 22, 10, </w:t>
      </w:r>
      <w:r w:rsidR="00091900" w:rsidRPr="00906B0D">
        <w:rPr>
          <w:rFonts w:asciiTheme="majorHAnsi" w:hAnsiTheme="majorHAnsi"/>
        </w:rPr>
        <w:t>804-810.</w:t>
      </w:r>
    </w:p>
    <w:p w14:paraId="3F5A7048" w14:textId="011B11AF" w:rsidR="000E7151" w:rsidRPr="00AE76E2" w:rsidRDefault="000E7151" w:rsidP="00AE76E2">
      <w:pPr>
        <w:pStyle w:val="ListParagraph"/>
        <w:widowControl w:val="0"/>
        <w:numPr>
          <w:ilvl w:val="0"/>
          <w:numId w:val="14"/>
        </w:numPr>
        <w:autoSpaceDE w:val="0"/>
        <w:autoSpaceDN w:val="0"/>
        <w:adjustRightInd w:val="0"/>
        <w:spacing w:after="240" w:line="480" w:lineRule="auto"/>
        <w:rPr>
          <w:rFonts w:asciiTheme="majorHAnsi" w:hAnsiTheme="majorHAnsi"/>
        </w:rPr>
      </w:pPr>
      <w:r w:rsidRPr="00906B0D">
        <w:rPr>
          <w:rFonts w:asciiTheme="majorHAnsi" w:hAnsiTheme="majorHAnsi"/>
        </w:rPr>
        <w:t xml:space="preserve">LCR (undated) Housing, Regeneration and Planning, </w:t>
      </w:r>
      <w:r w:rsidR="00862C5F">
        <w:rPr>
          <w:rFonts w:asciiTheme="majorHAnsi" w:hAnsiTheme="majorHAnsi"/>
        </w:rPr>
        <w:t>Leeds City Region</w:t>
      </w:r>
      <w:r w:rsidR="00AE76E2">
        <w:rPr>
          <w:rFonts w:asciiTheme="majorHAnsi" w:hAnsiTheme="majorHAnsi"/>
        </w:rPr>
        <w:t xml:space="preserve">, </w:t>
      </w:r>
      <w:hyperlink r:id="rId16" w:history="1">
        <w:r w:rsidR="00AE76E2" w:rsidRPr="000B5A31">
          <w:rPr>
            <w:rStyle w:val="Hyperlink"/>
            <w:rFonts w:asciiTheme="majorHAnsi" w:hAnsiTheme="majorHAnsi"/>
          </w:rPr>
          <w:t>http://www.leedscityregion.gov.uk/our-work/housing/</w:t>
        </w:r>
      </w:hyperlink>
      <w:r w:rsidR="00AE76E2">
        <w:rPr>
          <w:rStyle w:val="Hyperlink"/>
          <w:rFonts w:asciiTheme="majorHAnsi" w:hAnsiTheme="majorHAnsi"/>
        </w:rPr>
        <w:t>.</w:t>
      </w:r>
    </w:p>
    <w:p w14:paraId="0B926096" w14:textId="0D8D0267" w:rsidR="00092F50" w:rsidRPr="00906B0D" w:rsidRDefault="00092F50" w:rsidP="00AB0182">
      <w:pPr>
        <w:pStyle w:val="ListParagraph"/>
        <w:widowControl w:val="0"/>
        <w:numPr>
          <w:ilvl w:val="0"/>
          <w:numId w:val="14"/>
        </w:numPr>
        <w:autoSpaceDE w:val="0"/>
        <w:autoSpaceDN w:val="0"/>
        <w:adjustRightInd w:val="0"/>
        <w:spacing w:after="240" w:line="480" w:lineRule="auto"/>
        <w:rPr>
          <w:rFonts w:asciiTheme="majorHAnsi" w:hAnsiTheme="majorHAnsi"/>
        </w:rPr>
      </w:pPr>
      <w:r w:rsidRPr="00906B0D">
        <w:rPr>
          <w:rFonts w:asciiTheme="majorHAnsi" w:hAnsiTheme="majorHAnsi"/>
        </w:rPr>
        <w:t>McCollum</w:t>
      </w:r>
      <w:r w:rsidR="00862C5F">
        <w:rPr>
          <w:rFonts w:asciiTheme="majorHAnsi" w:hAnsiTheme="majorHAnsi"/>
        </w:rPr>
        <w:t>,</w:t>
      </w:r>
      <w:r w:rsidRPr="00906B0D">
        <w:rPr>
          <w:rFonts w:asciiTheme="majorHAnsi" w:hAnsiTheme="majorHAnsi"/>
        </w:rPr>
        <w:t xml:space="preserve"> D</w:t>
      </w:r>
      <w:r w:rsidR="00862C5F">
        <w:rPr>
          <w:rFonts w:asciiTheme="majorHAnsi" w:hAnsiTheme="majorHAnsi"/>
        </w:rPr>
        <w:t>.</w:t>
      </w:r>
      <w:r w:rsidRPr="00906B0D">
        <w:rPr>
          <w:rFonts w:asciiTheme="majorHAnsi" w:hAnsiTheme="majorHAnsi"/>
        </w:rPr>
        <w:t>, Nagai</w:t>
      </w:r>
      <w:r w:rsidR="00862C5F">
        <w:rPr>
          <w:rFonts w:asciiTheme="majorHAnsi" w:hAnsiTheme="majorHAnsi"/>
        </w:rPr>
        <w:t>,</w:t>
      </w:r>
      <w:r w:rsidRPr="00906B0D">
        <w:rPr>
          <w:rFonts w:asciiTheme="majorHAnsi" w:hAnsiTheme="majorHAnsi"/>
        </w:rPr>
        <w:t xml:space="preserve"> Y</w:t>
      </w:r>
      <w:r w:rsidR="00862C5F">
        <w:rPr>
          <w:rFonts w:asciiTheme="majorHAnsi" w:hAnsiTheme="majorHAnsi"/>
        </w:rPr>
        <w:t>.</w:t>
      </w:r>
      <w:r w:rsidRPr="00906B0D">
        <w:rPr>
          <w:rFonts w:asciiTheme="majorHAnsi" w:hAnsiTheme="majorHAnsi"/>
        </w:rPr>
        <w:t>, Riahi</w:t>
      </w:r>
      <w:r w:rsidR="00862C5F">
        <w:rPr>
          <w:rFonts w:asciiTheme="majorHAnsi" w:hAnsiTheme="majorHAnsi"/>
        </w:rPr>
        <w:t>,</w:t>
      </w:r>
      <w:r w:rsidRPr="00906B0D">
        <w:rPr>
          <w:rFonts w:asciiTheme="majorHAnsi" w:hAnsiTheme="majorHAnsi"/>
        </w:rPr>
        <w:t xml:space="preserve"> K</w:t>
      </w:r>
      <w:r w:rsidR="00862C5F">
        <w:rPr>
          <w:rFonts w:asciiTheme="majorHAnsi" w:hAnsiTheme="majorHAnsi"/>
        </w:rPr>
        <w:t>.</w:t>
      </w:r>
      <w:r w:rsidRPr="00906B0D">
        <w:rPr>
          <w:rFonts w:asciiTheme="majorHAnsi" w:hAnsiTheme="majorHAnsi"/>
        </w:rPr>
        <w:t>, Marangoni</w:t>
      </w:r>
      <w:r w:rsidR="00862C5F">
        <w:rPr>
          <w:rFonts w:asciiTheme="majorHAnsi" w:hAnsiTheme="majorHAnsi"/>
        </w:rPr>
        <w:t>,</w:t>
      </w:r>
      <w:r w:rsidRPr="00906B0D">
        <w:rPr>
          <w:rFonts w:asciiTheme="majorHAnsi" w:hAnsiTheme="majorHAnsi"/>
        </w:rPr>
        <w:t xml:space="preserve"> G</w:t>
      </w:r>
      <w:r w:rsidR="00862C5F">
        <w:rPr>
          <w:rFonts w:asciiTheme="majorHAnsi" w:hAnsiTheme="majorHAnsi"/>
        </w:rPr>
        <w:t>.</w:t>
      </w:r>
      <w:r w:rsidRPr="00906B0D">
        <w:rPr>
          <w:rFonts w:asciiTheme="majorHAnsi" w:hAnsiTheme="majorHAnsi"/>
        </w:rPr>
        <w:t>, Calvin</w:t>
      </w:r>
      <w:r w:rsidR="00862C5F">
        <w:rPr>
          <w:rFonts w:asciiTheme="majorHAnsi" w:hAnsiTheme="majorHAnsi"/>
        </w:rPr>
        <w:t>,</w:t>
      </w:r>
      <w:r w:rsidRPr="00906B0D">
        <w:rPr>
          <w:rFonts w:asciiTheme="majorHAnsi" w:hAnsiTheme="majorHAnsi"/>
        </w:rPr>
        <w:t xml:space="preserve"> K</w:t>
      </w:r>
      <w:r w:rsidR="00862C5F">
        <w:rPr>
          <w:rFonts w:asciiTheme="majorHAnsi" w:hAnsiTheme="majorHAnsi"/>
        </w:rPr>
        <w:t>.</w:t>
      </w:r>
      <w:r w:rsidRPr="00906B0D">
        <w:rPr>
          <w:rFonts w:asciiTheme="majorHAnsi" w:hAnsiTheme="majorHAnsi"/>
        </w:rPr>
        <w:t>, Pietzcker</w:t>
      </w:r>
      <w:r w:rsidR="00862C5F">
        <w:rPr>
          <w:rFonts w:asciiTheme="majorHAnsi" w:hAnsiTheme="majorHAnsi"/>
        </w:rPr>
        <w:t>,</w:t>
      </w:r>
      <w:r w:rsidRPr="00906B0D">
        <w:rPr>
          <w:rFonts w:asciiTheme="majorHAnsi" w:hAnsiTheme="majorHAnsi"/>
        </w:rPr>
        <w:t xml:space="preserve"> R</w:t>
      </w:r>
      <w:r w:rsidR="00862C5F">
        <w:rPr>
          <w:rFonts w:asciiTheme="majorHAnsi" w:hAnsiTheme="majorHAnsi"/>
        </w:rPr>
        <w:t>.</w:t>
      </w:r>
      <w:r w:rsidRPr="00906B0D">
        <w:rPr>
          <w:rFonts w:asciiTheme="majorHAnsi" w:hAnsiTheme="majorHAnsi"/>
        </w:rPr>
        <w:t>, van Vliet</w:t>
      </w:r>
      <w:r w:rsidR="00862C5F">
        <w:rPr>
          <w:rFonts w:asciiTheme="majorHAnsi" w:hAnsiTheme="majorHAnsi"/>
        </w:rPr>
        <w:t>,</w:t>
      </w:r>
      <w:r w:rsidRPr="00906B0D">
        <w:rPr>
          <w:rFonts w:asciiTheme="majorHAnsi" w:hAnsiTheme="majorHAnsi"/>
        </w:rPr>
        <w:t xml:space="preserve"> J</w:t>
      </w:r>
      <w:r w:rsidR="00862C5F">
        <w:rPr>
          <w:rFonts w:asciiTheme="majorHAnsi" w:hAnsiTheme="majorHAnsi"/>
        </w:rPr>
        <w:t>.</w:t>
      </w:r>
      <w:r w:rsidRPr="00906B0D">
        <w:rPr>
          <w:rFonts w:asciiTheme="majorHAnsi" w:hAnsiTheme="majorHAnsi"/>
        </w:rPr>
        <w:t>, and van der Zwaan</w:t>
      </w:r>
      <w:r w:rsidR="00862C5F">
        <w:rPr>
          <w:rFonts w:asciiTheme="majorHAnsi" w:hAnsiTheme="majorHAnsi"/>
        </w:rPr>
        <w:t>,</w:t>
      </w:r>
      <w:r w:rsidRPr="00906B0D">
        <w:rPr>
          <w:rFonts w:asciiTheme="majorHAnsi" w:hAnsiTheme="majorHAnsi"/>
        </w:rPr>
        <w:t xml:space="preserve"> B</w:t>
      </w:r>
      <w:r w:rsidR="00862C5F">
        <w:rPr>
          <w:rFonts w:asciiTheme="majorHAnsi" w:hAnsiTheme="majorHAnsi"/>
        </w:rPr>
        <w:t>. 2013.</w:t>
      </w:r>
      <w:r w:rsidRPr="00906B0D">
        <w:rPr>
          <w:rFonts w:asciiTheme="majorHAnsi" w:hAnsiTheme="majorHAnsi"/>
        </w:rPr>
        <w:t xml:space="preserve"> Energy Investments Under Climate Policy: A comparison of global models, </w:t>
      </w:r>
      <w:r w:rsidRPr="00906B0D">
        <w:rPr>
          <w:rFonts w:asciiTheme="majorHAnsi" w:hAnsiTheme="majorHAnsi"/>
          <w:iCs/>
        </w:rPr>
        <w:t>Climate Change Economics</w:t>
      </w:r>
      <w:r w:rsidR="00862C5F">
        <w:rPr>
          <w:rFonts w:asciiTheme="majorHAnsi" w:hAnsiTheme="majorHAnsi"/>
        </w:rPr>
        <w:t xml:space="preserve">, 4, 4, </w:t>
      </w:r>
      <w:r w:rsidR="003D4C46" w:rsidRPr="00906B0D">
        <w:rPr>
          <w:rFonts w:asciiTheme="majorHAnsi" w:hAnsiTheme="majorHAnsi"/>
        </w:rPr>
        <w:t>3-32.</w:t>
      </w:r>
    </w:p>
    <w:p w14:paraId="09901996" w14:textId="30C6F86D" w:rsidR="008B7610" w:rsidRPr="00906B0D" w:rsidRDefault="00862C5F" w:rsidP="00AB0182">
      <w:pPr>
        <w:pStyle w:val="ListParagraph"/>
        <w:numPr>
          <w:ilvl w:val="0"/>
          <w:numId w:val="14"/>
        </w:numPr>
        <w:spacing w:line="480" w:lineRule="auto"/>
        <w:rPr>
          <w:rFonts w:asciiTheme="majorHAnsi" w:hAnsiTheme="majorHAnsi"/>
        </w:rPr>
      </w:pPr>
      <w:r>
        <w:rPr>
          <w:rFonts w:asciiTheme="majorHAnsi" w:hAnsiTheme="majorHAnsi"/>
        </w:rPr>
        <w:lastRenderedPageBreak/>
        <w:t>McKinsey 2010.</w:t>
      </w:r>
      <w:r w:rsidR="008B7610" w:rsidRPr="00906B0D">
        <w:rPr>
          <w:rFonts w:asciiTheme="majorHAnsi" w:hAnsiTheme="majorHAnsi"/>
        </w:rPr>
        <w:t xml:space="preserve"> The Impact of the Financial Crisis on Carbon E</w:t>
      </w:r>
      <w:r w:rsidR="008F7418" w:rsidRPr="00906B0D">
        <w:rPr>
          <w:rFonts w:asciiTheme="majorHAnsi" w:hAnsiTheme="majorHAnsi"/>
        </w:rPr>
        <w:t>conomics - GHG cost curve v2.1.,</w:t>
      </w:r>
      <w:r w:rsidR="008B7610" w:rsidRPr="00906B0D">
        <w:rPr>
          <w:rFonts w:asciiTheme="majorHAnsi" w:hAnsiTheme="majorHAnsi"/>
        </w:rPr>
        <w:t xml:space="preserve"> McKinsey and Company</w:t>
      </w:r>
      <w:r w:rsidR="00C42E9F" w:rsidRPr="00906B0D">
        <w:rPr>
          <w:rFonts w:asciiTheme="majorHAnsi" w:hAnsiTheme="majorHAnsi"/>
        </w:rPr>
        <w:t xml:space="preserve">. </w:t>
      </w:r>
    </w:p>
    <w:p w14:paraId="783240B8" w14:textId="7F1013CF" w:rsidR="002A1708" w:rsidRPr="00906B0D" w:rsidRDefault="00862C5F" w:rsidP="00AB0182">
      <w:pPr>
        <w:pStyle w:val="ListParagraph"/>
        <w:numPr>
          <w:ilvl w:val="0"/>
          <w:numId w:val="14"/>
        </w:numPr>
        <w:spacing w:line="480" w:lineRule="auto"/>
        <w:rPr>
          <w:rFonts w:asciiTheme="majorHAnsi" w:hAnsiTheme="majorHAnsi"/>
        </w:rPr>
      </w:pPr>
      <w:r>
        <w:rPr>
          <w:rFonts w:asciiTheme="majorHAnsi" w:hAnsiTheme="majorHAnsi"/>
        </w:rPr>
        <w:t>OECD 2013.</w:t>
      </w:r>
      <w:r w:rsidR="002A1708" w:rsidRPr="00906B0D">
        <w:rPr>
          <w:rFonts w:asciiTheme="majorHAnsi" w:hAnsiTheme="majorHAnsi"/>
        </w:rPr>
        <w:t xml:space="preserve"> G20/OECD High-Level Principles of Long-Term Investment Financing by Institutional Investors</w:t>
      </w:r>
      <w:r w:rsidR="000B5A31" w:rsidRPr="00906B0D">
        <w:rPr>
          <w:rFonts w:asciiTheme="majorHAnsi" w:hAnsiTheme="majorHAnsi"/>
        </w:rPr>
        <w:t>, Organisation for Economic Cooperation and Development</w:t>
      </w:r>
      <w:r w:rsidR="00C42E9F" w:rsidRPr="00906B0D">
        <w:rPr>
          <w:rFonts w:asciiTheme="majorHAnsi" w:hAnsiTheme="majorHAnsi"/>
        </w:rPr>
        <w:t>.</w:t>
      </w:r>
    </w:p>
    <w:p w14:paraId="7C3888F9" w14:textId="2D2DF1DD" w:rsidR="00B066A1" w:rsidRPr="00906B0D" w:rsidRDefault="00862C5F" w:rsidP="00B066A1">
      <w:pPr>
        <w:pStyle w:val="ListParagraph"/>
        <w:spacing w:line="480" w:lineRule="auto"/>
        <w:rPr>
          <w:rFonts w:asciiTheme="majorHAnsi" w:hAnsiTheme="majorHAnsi"/>
        </w:rPr>
      </w:pPr>
      <w:r>
        <w:rPr>
          <w:rFonts w:asciiTheme="majorHAnsi" w:hAnsiTheme="majorHAnsi"/>
        </w:rPr>
        <w:t>O’Toole, L. 1996.</w:t>
      </w:r>
      <w:r w:rsidR="00B066A1" w:rsidRPr="00906B0D">
        <w:rPr>
          <w:rFonts w:asciiTheme="majorHAnsi" w:hAnsiTheme="majorHAnsi"/>
        </w:rPr>
        <w:t xml:space="preserve"> </w:t>
      </w:r>
      <w:r w:rsidR="00B066A1" w:rsidRPr="00906B0D">
        <w:rPr>
          <w:rFonts w:asciiTheme="majorHAnsi" w:hAnsiTheme="majorHAnsi"/>
          <w:bCs/>
          <w:lang w:val="en-US"/>
        </w:rPr>
        <w:t>Hollowing the Infrastructure: Revolving Loan Programs and Network Dynamics in the American States, Journal of Public Administrati</w:t>
      </w:r>
      <w:r>
        <w:rPr>
          <w:rFonts w:asciiTheme="majorHAnsi" w:hAnsiTheme="majorHAnsi"/>
          <w:bCs/>
          <w:lang w:val="en-US"/>
        </w:rPr>
        <w:t xml:space="preserve">on Research and Theory, 6, 2, </w:t>
      </w:r>
      <w:r w:rsidR="00B066A1" w:rsidRPr="00906B0D">
        <w:rPr>
          <w:rFonts w:asciiTheme="majorHAnsi" w:hAnsiTheme="majorHAnsi"/>
          <w:bCs/>
          <w:lang w:val="en-US"/>
        </w:rPr>
        <w:t>225-242.</w:t>
      </w:r>
    </w:p>
    <w:p w14:paraId="3383D0E0" w14:textId="43B9FBA5" w:rsidR="00410439" w:rsidRPr="00906B0D" w:rsidRDefault="00203618" w:rsidP="00AB0182">
      <w:pPr>
        <w:pStyle w:val="ListParagraph"/>
        <w:numPr>
          <w:ilvl w:val="0"/>
          <w:numId w:val="14"/>
        </w:numPr>
        <w:spacing w:line="480" w:lineRule="auto"/>
        <w:rPr>
          <w:rFonts w:asciiTheme="majorHAnsi" w:hAnsiTheme="majorHAnsi"/>
          <w:lang w:val="en-US"/>
        </w:rPr>
      </w:pPr>
      <w:r w:rsidRPr="00906B0D">
        <w:rPr>
          <w:rFonts w:asciiTheme="majorHAnsi" w:hAnsiTheme="majorHAnsi"/>
        </w:rPr>
        <w:t>Pacala</w:t>
      </w:r>
      <w:r w:rsidR="00862C5F">
        <w:rPr>
          <w:rFonts w:asciiTheme="majorHAnsi" w:hAnsiTheme="majorHAnsi"/>
        </w:rPr>
        <w:t>,</w:t>
      </w:r>
      <w:r w:rsidRPr="00906B0D">
        <w:rPr>
          <w:rFonts w:asciiTheme="majorHAnsi" w:hAnsiTheme="majorHAnsi"/>
        </w:rPr>
        <w:t xml:space="preserve"> S</w:t>
      </w:r>
      <w:r w:rsidR="00862C5F">
        <w:rPr>
          <w:rFonts w:asciiTheme="majorHAnsi" w:hAnsiTheme="majorHAnsi"/>
        </w:rPr>
        <w:t>.</w:t>
      </w:r>
      <w:r w:rsidRPr="00906B0D">
        <w:rPr>
          <w:rFonts w:asciiTheme="majorHAnsi" w:hAnsiTheme="majorHAnsi"/>
        </w:rPr>
        <w:t xml:space="preserve"> and Socolow</w:t>
      </w:r>
      <w:r w:rsidR="00862C5F">
        <w:rPr>
          <w:rFonts w:asciiTheme="majorHAnsi" w:hAnsiTheme="majorHAnsi"/>
        </w:rPr>
        <w:t>,</w:t>
      </w:r>
      <w:r w:rsidRPr="00906B0D">
        <w:rPr>
          <w:rFonts w:asciiTheme="majorHAnsi" w:hAnsiTheme="majorHAnsi"/>
        </w:rPr>
        <w:t xml:space="preserve"> R</w:t>
      </w:r>
      <w:r w:rsidR="00862C5F">
        <w:rPr>
          <w:rFonts w:asciiTheme="majorHAnsi" w:hAnsiTheme="majorHAnsi"/>
        </w:rPr>
        <w:t>. 2004.</w:t>
      </w:r>
      <w:r w:rsidR="00410439" w:rsidRPr="00906B0D">
        <w:rPr>
          <w:rFonts w:asciiTheme="majorHAnsi" w:hAnsiTheme="majorHAnsi"/>
        </w:rPr>
        <w:t xml:space="preserve"> </w:t>
      </w:r>
      <w:r w:rsidR="00410439" w:rsidRPr="00906B0D">
        <w:rPr>
          <w:rFonts w:asciiTheme="majorHAnsi" w:hAnsiTheme="majorHAnsi"/>
          <w:bCs/>
          <w:lang w:val="en-US"/>
        </w:rPr>
        <w:t>Stabilization Wedges: Solving the Climate Problem for the Next 50 Years with Curren</w:t>
      </w:r>
      <w:r w:rsidR="00862C5F">
        <w:rPr>
          <w:rFonts w:asciiTheme="majorHAnsi" w:hAnsiTheme="majorHAnsi"/>
          <w:bCs/>
          <w:lang w:val="en-US"/>
        </w:rPr>
        <w:t xml:space="preserve">t Technologies, Science, 305, </w:t>
      </w:r>
      <w:r w:rsidR="00410439" w:rsidRPr="00906B0D">
        <w:rPr>
          <w:rFonts w:asciiTheme="majorHAnsi" w:hAnsiTheme="majorHAnsi"/>
          <w:bCs/>
          <w:lang w:val="en-US"/>
        </w:rPr>
        <w:t>968-972.</w:t>
      </w:r>
    </w:p>
    <w:p w14:paraId="62F0E45C" w14:textId="699DACE2" w:rsidR="00203618" w:rsidRPr="00906B0D" w:rsidRDefault="00203618" w:rsidP="00AB0182">
      <w:pPr>
        <w:pStyle w:val="ListParagraph"/>
        <w:numPr>
          <w:ilvl w:val="0"/>
          <w:numId w:val="14"/>
        </w:numPr>
        <w:spacing w:line="480" w:lineRule="auto"/>
        <w:rPr>
          <w:rFonts w:asciiTheme="majorHAnsi" w:hAnsiTheme="majorHAnsi"/>
          <w:lang w:val="en-US"/>
        </w:rPr>
      </w:pPr>
      <w:r w:rsidRPr="00906B0D">
        <w:rPr>
          <w:rFonts w:asciiTheme="majorHAnsi" w:hAnsiTheme="majorHAnsi"/>
          <w:bCs/>
          <w:lang w:val="en-US"/>
        </w:rPr>
        <w:t>Rosenow</w:t>
      </w:r>
      <w:r w:rsidR="00862C5F">
        <w:rPr>
          <w:rFonts w:asciiTheme="majorHAnsi" w:hAnsiTheme="majorHAnsi"/>
          <w:bCs/>
          <w:lang w:val="en-US"/>
        </w:rPr>
        <w:t>,</w:t>
      </w:r>
      <w:r w:rsidRPr="00906B0D">
        <w:rPr>
          <w:rFonts w:asciiTheme="majorHAnsi" w:hAnsiTheme="majorHAnsi"/>
          <w:bCs/>
          <w:lang w:val="en-US"/>
        </w:rPr>
        <w:t xml:space="preserve"> J</w:t>
      </w:r>
      <w:r w:rsidR="00862C5F">
        <w:rPr>
          <w:rFonts w:asciiTheme="majorHAnsi" w:hAnsiTheme="majorHAnsi"/>
          <w:bCs/>
          <w:lang w:val="en-US"/>
        </w:rPr>
        <w:t>.</w:t>
      </w:r>
      <w:r w:rsidRPr="00906B0D">
        <w:rPr>
          <w:rFonts w:asciiTheme="majorHAnsi" w:hAnsiTheme="majorHAnsi"/>
          <w:bCs/>
          <w:lang w:val="en-US"/>
        </w:rPr>
        <w:t xml:space="preserve"> and Eyre</w:t>
      </w:r>
      <w:r w:rsidR="00862C5F">
        <w:rPr>
          <w:rFonts w:asciiTheme="majorHAnsi" w:hAnsiTheme="majorHAnsi"/>
          <w:bCs/>
          <w:lang w:val="en-US"/>
        </w:rPr>
        <w:t>,</w:t>
      </w:r>
      <w:r w:rsidRPr="00906B0D">
        <w:rPr>
          <w:rFonts w:asciiTheme="majorHAnsi" w:hAnsiTheme="majorHAnsi"/>
          <w:bCs/>
          <w:lang w:val="en-US"/>
        </w:rPr>
        <w:t xml:space="preserve"> N</w:t>
      </w:r>
      <w:r w:rsidR="00862C5F">
        <w:rPr>
          <w:rFonts w:asciiTheme="majorHAnsi" w:hAnsiTheme="majorHAnsi"/>
          <w:bCs/>
          <w:lang w:val="en-US"/>
        </w:rPr>
        <w:t>. 2013.</w:t>
      </w:r>
      <w:r w:rsidRPr="00906B0D">
        <w:rPr>
          <w:rFonts w:asciiTheme="majorHAnsi" w:hAnsiTheme="majorHAnsi"/>
          <w:bCs/>
          <w:lang w:val="en-US"/>
        </w:rPr>
        <w:t xml:space="preserve"> The Green Deal and the Energy Company Obligation, Proceedings of the ICE – Energy, 166, 3, 127-136.</w:t>
      </w:r>
    </w:p>
    <w:p w14:paraId="5E4FC1C9" w14:textId="5DEFC39E" w:rsidR="0002561A" w:rsidRPr="00906B0D" w:rsidRDefault="00862C5F" w:rsidP="00AB0182">
      <w:pPr>
        <w:pStyle w:val="ListParagraph"/>
        <w:numPr>
          <w:ilvl w:val="0"/>
          <w:numId w:val="14"/>
        </w:numPr>
        <w:spacing w:line="480" w:lineRule="auto"/>
        <w:rPr>
          <w:rFonts w:asciiTheme="majorHAnsi" w:hAnsiTheme="majorHAnsi"/>
          <w:lang w:val="en-US"/>
        </w:rPr>
      </w:pPr>
      <w:r>
        <w:rPr>
          <w:rFonts w:asciiTheme="majorHAnsi" w:hAnsiTheme="majorHAnsi"/>
          <w:bCs/>
          <w:lang w:val="en-US"/>
        </w:rPr>
        <w:t>SALIX 2015.</w:t>
      </w:r>
      <w:r w:rsidR="0002561A" w:rsidRPr="00906B0D">
        <w:rPr>
          <w:rFonts w:asciiTheme="majorHAnsi" w:hAnsiTheme="majorHAnsi"/>
          <w:bCs/>
          <w:lang w:val="en-US"/>
        </w:rPr>
        <w:t xml:space="preserve"> Solving Energy Efficiency Finance in the Public Sector, </w:t>
      </w:r>
      <w:r>
        <w:rPr>
          <w:rFonts w:asciiTheme="majorHAnsi" w:hAnsiTheme="majorHAnsi"/>
          <w:bCs/>
          <w:lang w:val="en-US"/>
        </w:rPr>
        <w:t xml:space="preserve">Salix Finance. </w:t>
      </w:r>
      <w:r w:rsidR="0002561A" w:rsidRPr="00906B0D">
        <w:rPr>
          <w:rFonts w:asciiTheme="majorHAnsi" w:hAnsiTheme="majorHAnsi"/>
          <w:bCs/>
          <w:lang w:val="en-US"/>
        </w:rPr>
        <w:t>http://salixfinance.co.uk/about-us/successes.</w:t>
      </w:r>
    </w:p>
    <w:p w14:paraId="3FF38612" w14:textId="120A63FD" w:rsidR="0002561A" w:rsidRPr="00906B0D" w:rsidRDefault="00862C5F" w:rsidP="0002561A">
      <w:pPr>
        <w:pStyle w:val="ListParagraph"/>
        <w:numPr>
          <w:ilvl w:val="0"/>
          <w:numId w:val="14"/>
        </w:numPr>
        <w:spacing w:line="480" w:lineRule="auto"/>
        <w:rPr>
          <w:rFonts w:asciiTheme="majorHAnsi" w:hAnsiTheme="majorHAnsi"/>
          <w:lang w:val="en-US"/>
        </w:rPr>
      </w:pPr>
      <w:r>
        <w:rPr>
          <w:rFonts w:asciiTheme="majorHAnsi" w:hAnsiTheme="majorHAnsi"/>
          <w:bCs/>
          <w:lang w:val="en-US"/>
        </w:rPr>
        <w:t>SEI 2015.</w:t>
      </w:r>
      <w:r w:rsidR="0002561A" w:rsidRPr="00906B0D">
        <w:rPr>
          <w:rFonts w:asciiTheme="majorHAnsi" w:hAnsiTheme="majorHAnsi"/>
          <w:bCs/>
          <w:lang w:val="en-US"/>
        </w:rPr>
        <w:t xml:space="preserve"> Sustainable Endowments Institute, http://www.endowmentinstitute.org.</w:t>
      </w:r>
    </w:p>
    <w:p w14:paraId="4E758619" w14:textId="04FA2DB0" w:rsidR="00D33479" w:rsidRPr="00906B0D" w:rsidRDefault="008B7610" w:rsidP="00AB0182">
      <w:pPr>
        <w:pStyle w:val="ListParagraph"/>
        <w:numPr>
          <w:ilvl w:val="0"/>
          <w:numId w:val="14"/>
        </w:numPr>
        <w:spacing w:line="480" w:lineRule="auto"/>
        <w:rPr>
          <w:rFonts w:asciiTheme="majorHAnsi" w:hAnsiTheme="majorHAnsi"/>
        </w:rPr>
      </w:pPr>
      <w:r w:rsidRPr="00906B0D">
        <w:rPr>
          <w:rFonts w:asciiTheme="majorHAnsi" w:hAnsiTheme="majorHAnsi"/>
        </w:rPr>
        <w:t>Stern, N</w:t>
      </w:r>
      <w:r w:rsidR="00862C5F">
        <w:rPr>
          <w:rFonts w:asciiTheme="majorHAnsi" w:hAnsiTheme="majorHAnsi"/>
        </w:rPr>
        <w:t xml:space="preserve">, </w:t>
      </w:r>
      <w:r w:rsidRPr="00906B0D">
        <w:rPr>
          <w:rFonts w:asciiTheme="majorHAnsi" w:hAnsiTheme="majorHAnsi"/>
        </w:rPr>
        <w:t>2007</w:t>
      </w:r>
      <w:r w:rsidR="00862C5F">
        <w:rPr>
          <w:rFonts w:asciiTheme="majorHAnsi" w:hAnsiTheme="majorHAnsi"/>
        </w:rPr>
        <w:t>.</w:t>
      </w:r>
      <w:r w:rsidR="00D33479" w:rsidRPr="00906B0D">
        <w:rPr>
          <w:rFonts w:asciiTheme="majorHAnsi" w:hAnsiTheme="majorHAnsi"/>
        </w:rPr>
        <w:t xml:space="preserve"> The Economics of Climate Change, Cambridge University Press</w:t>
      </w:r>
      <w:r w:rsidR="00862C5F">
        <w:rPr>
          <w:rFonts w:asciiTheme="majorHAnsi" w:hAnsiTheme="majorHAnsi"/>
        </w:rPr>
        <w:t>, Cambridge</w:t>
      </w:r>
      <w:r w:rsidR="00D33479" w:rsidRPr="00906B0D">
        <w:rPr>
          <w:rFonts w:asciiTheme="majorHAnsi" w:hAnsiTheme="majorHAnsi"/>
        </w:rPr>
        <w:t xml:space="preserve">. </w:t>
      </w:r>
    </w:p>
    <w:p w14:paraId="0DA63D69" w14:textId="47BC6350" w:rsidR="005F3843" w:rsidRPr="00906B0D" w:rsidRDefault="00862C5F" w:rsidP="00AB0182">
      <w:pPr>
        <w:pStyle w:val="ListParagraph"/>
        <w:numPr>
          <w:ilvl w:val="0"/>
          <w:numId w:val="14"/>
        </w:numPr>
        <w:spacing w:line="480" w:lineRule="auto"/>
        <w:rPr>
          <w:rFonts w:asciiTheme="majorHAnsi" w:hAnsiTheme="majorHAnsi"/>
        </w:rPr>
      </w:pPr>
      <w:r>
        <w:rPr>
          <w:rFonts w:asciiTheme="majorHAnsi" w:hAnsiTheme="majorHAnsi"/>
        </w:rPr>
        <w:t>Sullivan, R. 2011.</w:t>
      </w:r>
      <w:r w:rsidR="005F3843" w:rsidRPr="00906B0D">
        <w:rPr>
          <w:rFonts w:asciiTheme="majorHAnsi" w:hAnsiTheme="majorHAnsi"/>
        </w:rPr>
        <w:t xml:space="preserve"> Investment-Grade Climate Change Policy: Financing the Transition to the Low-Carbon Economy, Institutional Investors Group on Climate Change.</w:t>
      </w:r>
    </w:p>
    <w:p w14:paraId="0395F6D2" w14:textId="2BB0750F" w:rsidR="00C42E9F" w:rsidRPr="00906B0D" w:rsidRDefault="005F3843" w:rsidP="00C42E9F">
      <w:pPr>
        <w:pStyle w:val="ListParagraph"/>
        <w:numPr>
          <w:ilvl w:val="0"/>
          <w:numId w:val="14"/>
        </w:numPr>
        <w:spacing w:line="360" w:lineRule="auto"/>
        <w:rPr>
          <w:rFonts w:asciiTheme="majorHAnsi" w:hAnsiTheme="majorHAnsi"/>
          <w:lang w:val="en-US"/>
        </w:rPr>
      </w:pPr>
      <w:r w:rsidRPr="00906B0D">
        <w:rPr>
          <w:rFonts w:asciiTheme="majorHAnsi" w:hAnsiTheme="majorHAnsi"/>
          <w:lang w:val="en-US"/>
        </w:rPr>
        <w:t>Sullivan, R</w:t>
      </w:r>
      <w:r w:rsidR="00862C5F">
        <w:rPr>
          <w:rFonts w:asciiTheme="majorHAnsi" w:hAnsiTheme="majorHAnsi"/>
          <w:lang w:val="en-US"/>
        </w:rPr>
        <w:t xml:space="preserve">., Gouldson, A. and Webber, P. 2013. </w:t>
      </w:r>
      <w:r w:rsidRPr="00906B0D">
        <w:rPr>
          <w:rFonts w:asciiTheme="majorHAnsi" w:hAnsiTheme="majorHAnsi"/>
          <w:lang w:val="en-US"/>
        </w:rPr>
        <w:t>Funding Low Carbon Cities: Local Perspect</w:t>
      </w:r>
      <w:r w:rsidR="00862C5F">
        <w:rPr>
          <w:rFonts w:asciiTheme="majorHAnsi" w:hAnsiTheme="majorHAnsi"/>
          <w:lang w:val="en-US"/>
        </w:rPr>
        <w:t>ives on Opportunities and Risks</w:t>
      </w:r>
      <w:r w:rsidRPr="00906B0D">
        <w:rPr>
          <w:rFonts w:asciiTheme="majorHAnsi" w:hAnsiTheme="majorHAnsi"/>
          <w:lang w:val="en-US"/>
        </w:rPr>
        <w:t>, Climate Policy, 13, 4, 514-529.</w:t>
      </w:r>
    </w:p>
    <w:p w14:paraId="51361A10" w14:textId="2B878815" w:rsidR="00C42E9F" w:rsidRPr="00906B0D" w:rsidRDefault="00C42E9F" w:rsidP="00C42E9F">
      <w:pPr>
        <w:pStyle w:val="ListParagraph"/>
        <w:numPr>
          <w:ilvl w:val="0"/>
          <w:numId w:val="14"/>
        </w:numPr>
        <w:spacing w:line="360" w:lineRule="auto"/>
        <w:rPr>
          <w:rFonts w:asciiTheme="majorHAnsi" w:hAnsiTheme="majorHAnsi"/>
          <w:lang w:val="en-US"/>
        </w:rPr>
      </w:pPr>
      <w:r w:rsidRPr="00906B0D">
        <w:rPr>
          <w:rFonts w:asciiTheme="majorHAnsi" w:hAnsiTheme="majorHAnsi" w:cs="Times New Roman"/>
        </w:rPr>
        <w:t xml:space="preserve">Sweatman, P., Managan, K., 2010. Financing Energy Efficiency Building Retrofits: International policy and business model review and Regulatory Alternatives for Spain, Climate Strategy and Partners. </w:t>
      </w:r>
      <w:r w:rsidRPr="00906B0D">
        <w:rPr>
          <w:rFonts w:asciiTheme="majorHAnsi" w:hAnsiTheme="majorHAnsi" w:cs="Times New Roman"/>
          <w:color w:val="2196D1"/>
        </w:rPr>
        <w:t>http://www.climatestrategy. es/index.php?id=19</w:t>
      </w:r>
      <w:r w:rsidRPr="00906B0D">
        <w:rPr>
          <w:rFonts w:asciiTheme="majorHAnsi" w:hAnsiTheme="majorHAnsi" w:cs="Times New Roman"/>
        </w:rPr>
        <w:t>.</w:t>
      </w:r>
    </w:p>
    <w:p w14:paraId="7C110BF3" w14:textId="4CB09C73" w:rsidR="002761BB" w:rsidRPr="00906B0D" w:rsidRDefault="00862C5F" w:rsidP="00AB0182">
      <w:pPr>
        <w:pStyle w:val="ListParagraph"/>
        <w:numPr>
          <w:ilvl w:val="0"/>
          <w:numId w:val="14"/>
        </w:numPr>
        <w:spacing w:line="480" w:lineRule="auto"/>
        <w:rPr>
          <w:rFonts w:asciiTheme="majorHAnsi" w:hAnsiTheme="majorHAnsi"/>
          <w:lang w:val="en-US"/>
        </w:rPr>
      </w:pPr>
      <w:r>
        <w:rPr>
          <w:rFonts w:asciiTheme="majorHAnsi" w:hAnsiTheme="majorHAnsi"/>
          <w:lang w:val="en-US"/>
        </w:rPr>
        <w:lastRenderedPageBreak/>
        <w:t>USEPA 2015.</w:t>
      </w:r>
      <w:r w:rsidR="002761BB" w:rsidRPr="00906B0D">
        <w:rPr>
          <w:rFonts w:asciiTheme="majorHAnsi" w:hAnsiTheme="majorHAnsi"/>
          <w:lang w:val="en-US"/>
        </w:rPr>
        <w:t xml:space="preserve"> Clean Water State Revolving Fund: 25 years of investment in our nation’s water infrastructure, United States Environmental Protection Agency</w:t>
      </w:r>
      <w:r w:rsidR="00C42E9F" w:rsidRPr="00906B0D">
        <w:rPr>
          <w:rFonts w:asciiTheme="majorHAnsi" w:hAnsiTheme="majorHAnsi"/>
          <w:lang w:val="en-US"/>
        </w:rPr>
        <w:t>.</w:t>
      </w:r>
    </w:p>
    <w:p w14:paraId="20E3F00F" w14:textId="45E12736" w:rsidR="00B86246" w:rsidRPr="00906B0D" w:rsidRDefault="00B86246" w:rsidP="00AB0182">
      <w:pPr>
        <w:pStyle w:val="ListParagraph"/>
        <w:numPr>
          <w:ilvl w:val="0"/>
          <w:numId w:val="14"/>
        </w:numPr>
        <w:spacing w:line="480" w:lineRule="auto"/>
        <w:rPr>
          <w:rFonts w:asciiTheme="majorHAnsi" w:hAnsiTheme="majorHAnsi"/>
          <w:lang w:val="en-US"/>
        </w:rPr>
      </w:pPr>
      <w:r w:rsidRPr="00906B0D">
        <w:rPr>
          <w:rFonts w:asciiTheme="majorHAnsi" w:hAnsiTheme="majorHAnsi"/>
        </w:rPr>
        <w:t xml:space="preserve">Webber, </w:t>
      </w:r>
      <w:r w:rsidR="00862C5F">
        <w:rPr>
          <w:rFonts w:asciiTheme="majorHAnsi" w:hAnsiTheme="majorHAnsi"/>
        </w:rPr>
        <w:t xml:space="preserve">P. , Gouldson, A. and Kerr, N. </w:t>
      </w:r>
      <w:r w:rsidR="00BD3A03" w:rsidRPr="00906B0D">
        <w:rPr>
          <w:rFonts w:asciiTheme="majorHAnsi" w:hAnsiTheme="majorHAnsi"/>
        </w:rPr>
        <w:t>2015</w:t>
      </w:r>
      <w:r w:rsidR="00862C5F">
        <w:rPr>
          <w:rFonts w:asciiTheme="majorHAnsi" w:hAnsiTheme="majorHAnsi"/>
        </w:rPr>
        <w:t>.</w:t>
      </w:r>
      <w:r w:rsidRPr="00906B0D">
        <w:rPr>
          <w:rFonts w:asciiTheme="majorHAnsi" w:hAnsiTheme="majorHAnsi"/>
        </w:rPr>
        <w:t xml:space="preserve"> </w:t>
      </w:r>
      <w:r w:rsidRPr="00906B0D">
        <w:rPr>
          <w:rFonts w:asciiTheme="majorHAnsi" w:hAnsiTheme="majorHAnsi"/>
          <w:lang w:val="en-US"/>
        </w:rPr>
        <w:t xml:space="preserve">The Impacts of Household Retrofit and Domestic Energy Efficiency Schemes: A large scale, ex-post evaluation, </w:t>
      </w:r>
      <w:r w:rsidR="00BD3A03" w:rsidRPr="00906B0D">
        <w:rPr>
          <w:rFonts w:asciiTheme="majorHAnsi" w:hAnsiTheme="majorHAnsi"/>
          <w:lang w:val="en-US"/>
        </w:rPr>
        <w:t>Energy Policy</w:t>
      </w:r>
      <w:r w:rsidR="00862C5F">
        <w:rPr>
          <w:rFonts w:asciiTheme="majorHAnsi" w:hAnsiTheme="majorHAnsi"/>
          <w:lang w:val="en-US"/>
        </w:rPr>
        <w:t>,</w:t>
      </w:r>
      <w:r w:rsidR="00862C5F" w:rsidRPr="00862C5F">
        <w:rPr>
          <w:rFonts w:asciiTheme="majorHAnsi" w:hAnsiTheme="majorHAnsi"/>
          <w:lang w:val="en-US"/>
        </w:rPr>
        <w:t xml:space="preserve"> 84, 35-43</w:t>
      </w:r>
      <w:r w:rsidR="00BD3A03" w:rsidRPr="00906B0D">
        <w:rPr>
          <w:rFonts w:asciiTheme="majorHAnsi" w:hAnsiTheme="majorHAnsi"/>
          <w:lang w:val="en-US"/>
        </w:rPr>
        <w:t>.</w:t>
      </w:r>
    </w:p>
    <w:p w14:paraId="637D3475" w14:textId="1393F4B6" w:rsidR="00AE1DEF" w:rsidRDefault="00862C5F" w:rsidP="00AB0182">
      <w:pPr>
        <w:pStyle w:val="ListParagraph"/>
        <w:numPr>
          <w:ilvl w:val="0"/>
          <w:numId w:val="14"/>
        </w:numPr>
        <w:spacing w:line="480" w:lineRule="auto"/>
        <w:rPr>
          <w:rFonts w:asciiTheme="majorHAnsi" w:hAnsiTheme="majorHAnsi"/>
        </w:rPr>
      </w:pPr>
      <w:r>
        <w:rPr>
          <w:rFonts w:asciiTheme="majorHAnsi" w:hAnsiTheme="majorHAnsi"/>
        </w:rPr>
        <w:t>WEF 2013.</w:t>
      </w:r>
      <w:r w:rsidR="008B7610" w:rsidRPr="00906B0D">
        <w:rPr>
          <w:rFonts w:asciiTheme="majorHAnsi" w:hAnsiTheme="majorHAnsi"/>
        </w:rPr>
        <w:t xml:space="preserve"> The Green Investment Report: The ways and means to unlock private finance for green growth, World Economic Forum, Geneva. </w:t>
      </w:r>
    </w:p>
    <w:p w14:paraId="2E1FA011" w14:textId="77777777" w:rsidR="00AE1DEF" w:rsidRDefault="00AE1DEF">
      <w:pPr>
        <w:rPr>
          <w:rFonts w:asciiTheme="majorHAnsi" w:eastAsiaTheme="minorHAnsi" w:hAnsiTheme="majorHAnsi" w:cs="Arial"/>
        </w:rPr>
      </w:pPr>
      <w:r>
        <w:rPr>
          <w:rFonts w:asciiTheme="majorHAnsi" w:hAnsiTheme="majorHAnsi"/>
        </w:rPr>
        <w:br w:type="page"/>
      </w:r>
    </w:p>
    <w:p w14:paraId="67E86366" w14:textId="77777777" w:rsidR="00AE1DEF" w:rsidRDefault="00AE1DEF" w:rsidP="00AE1DEF">
      <w:pPr>
        <w:rPr>
          <w:rFonts w:asciiTheme="majorHAnsi" w:hAnsiTheme="majorHAnsi"/>
        </w:rPr>
      </w:pPr>
      <w:r>
        <w:rPr>
          <w:rFonts w:asciiTheme="majorHAnsi" w:hAnsiTheme="majorHAnsi"/>
        </w:rPr>
        <w:lastRenderedPageBreak/>
        <w:t>Figure 1 – The Basic Structure of the Revolving Fund</w:t>
      </w:r>
    </w:p>
    <w:p w14:paraId="593A36BD" w14:textId="77777777" w:rsidR="00AE1DEF" w:rsidRDefault="00AE1DEF" w:rsidP="00AE1DEF">
      <w:pPr>
        <w:rPr>
          <w:rFonts w:asciiTheme="majorHAnsi" w:hAnsiTheme="majorHAnsi"/>
        </w:rPr>
      </w:pPr>
    </w:p>
    <w:p w14:paraId="2952E613" w14:textId="77777777" w:rsidR="00AE1DEF" w:rsidRPr="00942AA0" w:rsidRDefault="00AE1DEF" w:rsidP="00AE1DEF">
      <w:pPr>
        <w:rPr>
          <w:rFonts w:asciiTheme="majorHAnsi" w:hAnsiTheme="majorHAnsi"/>
        </w:rPr>
      </w:pPr>
      <w:r>
        <w:rPr>
          <w:rFonts w:asciiTheme="majorHAnsi" w:hAnsiTheme="majorHAnsi"/>
          <w:noProof/>
          <w:lang w:eastAsia="en-GB"/>
        </w:rPr>
        <w:drawing>
          <wp:inline distT="0" distB="0" distL="0" distR="0" wp14:anchorId="7EE963B4" wp14:editId="5AA2FF6D">
            <wp:extent cx="3521213" cy="4646846"/>
            <wp:effectExtent l="25400" t="25400" r="3492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V model 3[1].png"/>
                    <pic:cNvPicPr/>
                  </pic:nvPicPr>
                  <pic:blipFill>
                    <a:blip r:embed="rId17">
                      <a:extLst>
                        <a:ext uri="{28A0092B-C50C-407E-A947-70E740481C1C}">
                          <a14:useLocalDpi xmlns:a14="http://schemas.microsoft.com/office/drawing/2010/main" val="0"/>
                        </a:ext>
                      </a:extLst>
                    </a:blip>
                    <a:stretch>
                      <a:fillRect/>
                    </a:stretch>
                  </pic:blipFill>
                  <pic:spPr>
                    <a:xfrm>
                      <a:off x="0" y="0"/>
                      <a:ext cx="3521629" cy="4647395"/>
                    </a:xfrm>
                    <a:prstGeom prst="rect">
                      <a:avLst/>
                    </a:prstGeom>
                    <a:ln>
                      <a:solidFill>
                        <a:sysClr val="windowText" lastClr="000000"/>
                      </a:solidFill>
                    </a:ln>
                  </pic:spPr>
                </pic:pic>
              </a:graphicData>
            </a:graphic>
          </wp:inline>
        </w:drawing>
      </w:r>
    </w:p>
    <w:p w14:paraId="6C513294" w14:textId="77777777" w:rsidR="00AE1DEF" w:rsidRPr="00BA5809" w:rsidRDefault="00AE1DEF" w:rsidP="00AE1DEF">
      <w:pPr>
        <w:rPr>
          <w:rFonts w:asciiTheme="majorHAnsi" w:eastAsiaTheme="minorHAnsi" w:hAnsiTheme="majorHAnsi" w:cs="Arial"/>
        </w:rPr>
      </w:pPr>
      <w:r>
        <w:rPr>
          <w:rFonts w:asciiTheme="majorHAnsi" w:hAnsiTheme="majorHAnsi"/>
        </w:rPr>
        <w:br w:type="page"/>
      </w:r>
    </w:p>
    <w:p w14:paraId="020E4324" w14:textId="77777777" w:rsidR="00AE1DEF" w:rsidRDefault="00AE1DEF" w:rsidP="00AE1DEF">
      <w:pPr>
        <w:rPr>
          <w:rFonts w:asciiTheme="majorHAnsi" w:hAnsiTheme="majorHAnsi"/>
        </w:rPr>
      </w:pPr>
      <w:r>
        <w:rPr>
          <w:rFonts w:asciiTheme="majorHAnsi" w:hAnsiTheme="majorHAnsi"/>
        </w:rPr>
        <w:lastRenderedPageBreak/>
        <w:t>Table 1 – List of Energy Efficiency and Low Carbon Measures Assessed</w:t>
      </w:r>
    </w:p>
    <w:p w14:paraId="78327ACA" w14:textId="77777777" w:rsidR="00AE1DEF" w:rsidRDefault="00AE1DEF" w:rsidP="00AE1DEF">
      <w:pPr>
        <w:rPr>
          <w:rFonts w:asciiTheme="majorHAnsi" w:hAnsiTheme="majorHAnsi"/>
        </w:rPr>
      </w:pPr>
    </w:p>
    <w:p w14:paraId="439D98DD" w14:textId="77777777" w:rsidR="00AE1DEF" w:rsidRDefault="00AE1DEF" w:rsidP="00AE1DEF">
      <w:pPr>
        <w:rPr>
          <w:rFonts w:asciiTheme="majorHAnsi" w:hAnsiTheme="majorHAnsi"/>
        </w:rPr>
      </w:pPr>
    </w:p>
    <w:tbl>
      <w:tblPr>
        <w:tblStyle w:val="TableGrid"/>
        <w:tblW w:w="0" w:type="auto"/>
        <w:tblLook w:val="04A0" w:firstRow="1" w:lastRow="0" w:firstColumn="1" w:lastColumn="0" w:noHBand="0" w:noVBand="1"/>
      </w:tblPr>
      <w:tblGrid>
        <w:gridCol w:w="4077"/>
        <w:gridCol w:w="2268"/>
        <w:gridCol w:w="2171"/>
      </w:tblGrid>
      <w:tr w:rsidR="00AE1DEF" w14:paraId="723935E2" w14:textId="77777777" w:rsidTr="00B32A54">
        <w:tc>
          <w:tcPr>
            <w:tcW w:w="4077" w:type="dxa"/>
          </w:tcPr>
          <w:p w14:paraId="0FFE1C0C" w14:textId="77777777" w:rsidR="00AE1DEF" w:rsidRDefault="00AE1DEF" w:rsidP="00B32A54">
            <w:pPr>
              <w:rPr>
                <w:rFonts w:asciiTheme="majorHAnsi" w:hAnsiTheme="majorHAnsi"/>
              </w:rPr>
            </w:pPr>
            <w:r>
              <w:rPr>
                <w:rFonts w:asciiTheme="majorHAnsi" w:hAnsiTheme="majorHAnsi"/>
              </w:rPr>
              <w:t>Measure</w:t>
            </w:r>
          </w:p>
        </w:tc>
        <w:tc>
          <w:tcPr>
            <w:tcW w:w="2268" w:type="dxa"/>
          </w:tcPr>
          <w:p w14:paraId="2286AFF5" w14:textId="77777777" w:rsidR="00AE1DEF" w:rsidRDefault="00AE1DEF" w:rsidP="00B32A54">
            <w:pPr>
              <w:rPr>
                <w:rFonts w:asciiTheme="majorHAnsi" w:hAnsiTheme="majorHAnsi"/>
              </w:rPr>
            </w:pPr>
            <w:r>
              <w:rPr>
                <w:rFonts w:asciiTheme="majorHAnsi" w:hAnsiTheme="majorHAnsi"/>
              </w:rPr>
              <w:t>Lifetime (years)</w:t>
            </w:r>
          </w:p>
        </w:tc>
        <w:tc>
          <w:tcPr>
            <w:tcW w:w="2171" w:type="dxa"/>
          </w:tcPr>
          <w:p w14:paraId="24191B4E" w14:textId="77777777" w:rsidR="00AE1DEF" w:rsidRDefault="00AE1DEF" w:rsidP="00B32A54">
            <w:pPr>
              <w:rPr>
                <w:rFonts w:asciiTheme="majorHAnsi" w:hAnsiTheme="majorHAnsi"/>
              </w:rPr>
            </w:pPr>
            <w:r>
              <w:rPr>
                <w:rFonts w:asciiTheme="majorHAnsi" w:hAnsiTheme="majorHAnsi"/>
              </w:rPr>
              <w:t>Payback period for measures installed in 2014 (years)</w:t>
            </w:r>
          </w:p>
        </w:tc>
      </w:tr>
      <w:tr w:rsidR="00AE1DEF" w14:paraId="24816288" w14:textId="77777777" w:rsidTr="00B32A54">
        <w:tc>
          <w:tcPr>
            <w:tcW w:w="4077" w:type="dxa"/>
          </w:tcPr>
          <w:p w14:paraId="17D501EF" w14:textId="77777777" w:rsidR="00AE1DEF" w:rsidRDefault="00AE1DEF" w:rsidP="00B32A54">
            <w:pPr>
              <w:rPr>
                <w:rFonts w:asciiTheme="majorHAnsi" w:hAnsiTheme="majorHAnsi"/>
              </w:rPr>
            </w:pPr>
            <w:r w:rsidRPr="000774F1">
              <w:rPr>
                <w:rFonts w:asciiTheme="majorHAnsi" w:hAnsiTheme="majorHAnsi"/>
              </w:rPr>
              <w:t>Loft insulation from 0 - 270mm</w:t>
            </w:r>
          </w:p>
        </w:tc>
        <w:tc>
          <w:tcPr>
            <w:tcW w:w="2268" w:type="dxa"/>
          </w:tcPr>
          <w:p w14:paraId="61B7F7C7" w14:textId="77777777" w:rsidR="00AE1DEF" w:rsidRDefault="00AE1DEF" w:rsidP="00B32A54">
            <w:pPr>
              <w:rPr>
                <w:rFonts w:asciiTheme="majorHAnsi" w:hAnsiTheme="majorHAnsi"/>
              </w:rPr>
            </w:pPr>
            <w:r>
              <w:rPr>
                <w:rFonts w:asciiTheme="majorHAnsi" w:hAnsiTheme="majorHAnsi"/>
              </w:rPr>
              <w:t>40</w:t>
            </w:r>
          </w:p>
        </w:tc>
        <w:tc>
          <w:tcPr>
            <w:tcW w:w="2171" w:type="dxa"/>
          </w:tcPr>
          <w:p w14:paraId="69A971D8" w14:textId="77777777" w:rsidR="00AE1DEF" w:rsidRDefault="00AE1DEF" w:rsidP="00B32A54">
            <w:pPr>
              <w:rPr>
                <w:rFonts w:asciiTheme="majorHAnsi" w:hAnsiTheme="majorHAnsi"/>
              </w:rPr>
            </w:pPr>
            <w:r>
              <w:rPr>
                <w:rFonts w:asciiTheme="majorHAnsi" w:hAnsiTheme="majorHAnsi"/>
              </w:rPr>
              <w:t>2.4</w:t>
            </w:r>
          </w:p>
        </w:tc>
      </w:tr>
      <w:tr w:rsidR="00AE1DEF" w14:paraId="4328C71A" w14:textId="77777777" w:rsidTr="00B32A54">
        <w:tc>
          <w:tcPr>
            <w:tcW w:w="4077" w:type="dxa"/>
          </w:tcPr>
          <w:p w14:paraId="12ADC6F0" w14:textId="77777777" w:rsidR="00AE1DEF" w:rsidRDefault="00AE1DEF" w:rsidP="00B32A54">
            <w:pPr>
              <w:rPr>
                <w:rFonts w:asciiTheme="majorHAnsi" w:hAnsiTheme="majorHAnsi"/>
              </w:rPr>
            </w:pPr>
            <w:r w:rsidRPr="000774F1">
              <w:rPr>
                <w:rFonts w:asciiTheme="majorHAnsi" w:hAnsiTheme="majorHAnsi"/>
              </w:rPr>
              <w:t>Loft insulation from 25 - 270mm</w:t>
            </w:r>
          </w:p>
        </w:tc>
        <w:tc>
          <w:tcPr>
            <w:tcW w:w="2268" w:type="dxa"/>
          </w:tcPr>
          <w:p w14:paraId="2FB59C43" w14:textId="77777777" w:rsidR="00AE1DEF" w:rsidRDefault="00AE1DEF" w:rsidP="00B32A54">
            <w:pPr>
              <w:rPr>
                <w:rFonts w:asciiTheme="majorHAnsi" w:hAnsiTheme="majorHAnsi"/>
              </w:rPr>
            </w:pPr>
            <w:r>
              <w:rPr>
                <w:rFonts w:asciiTheme="majorHAnsi" w:hAnsiTheme="majorHAnsi"/>
              </w:rPr>
              <w:t>40</w:t>
            </w:r>
          </w:p>
        </w:tc>
        <w:tc>
          <w:tcPr>
            <w:tcW w:w="2171" w:type="dxa"/>
          </w:tcPr>
          <w:p w14:paraId="65387D38" w14:textId="77777777" w:rsidR="00AE1DEF" w:rsidRDefault="00AE1DEF" w:rsidP="00B32A54">
            <w:pPr>
              <w:rPr>
                <w:rFonts w:asciiTheme="majorHAnsi" w:hAnsiTheme="majorHAnsi"/>
              </w:rPr>
            </w:pPr>
            <w:r>
              <w:rPr>
                <w:rFonts w:asciiTheme="majorHAnsi" w:hAnsiTheme="majorHAnsi"/>
              </w:rPr>
              <w:t>4.2</w:t>
            </w:r>
          </w:p>
        </w:tc>
      </w:tr>
      <w:tr w:rsidR="00AE1DEF" w14:paraId="3CCF1843" w14:textId="77777777" w:rsidTr="00B32A54">
        <w:tc>
          <w:tcPr>
            <w:tcW w:w="4077" w:type="dxa"/>
          </w:tcPr>
          <w:p w14:paraId="0E6B10A8" w14:textId="77777777" w:rsidR="00AE1DEF" w:rsidRDefault="00AE1DEF" w:rsidP="00B32A54">
            <w:pPr>
              <w:rPr>
                <w:rFonts w:asciiTheme="majorHAnsi" w:hAnsiTheme="majorHAnsi"/>
              </w:rPr>
            </w:pPr>
            <w:r w:rsidRPr="000774F1">
              <w:rPr>
                <w:rFonts w:asciiTheme="majorHAnsi" w:hAnsiTheme="majorHAnsi"/>
              </w:rPr>
              <w:t>Loft insulation from 50 - 270mm</w:t>
            </w:r>
          </w:p>
        </w:tc>
        <w:tc>
          <w:tcPr>
            <w:tcW w:w="2268" w:type="dxa"/>
          </w:tcPr>
          <w:p w14:paraId="3C6AB933" w14:textId="77777777" w:rsidR="00AE1DEF" w:rsidRDefault="00AE1DEF" w:rsidP="00B32A54">
            <w:pPr>
              <w:rPr>
                <w:rFonts w:asciiTheme="majorHAnsi" w:hAnsiTheme="majorHAnsi"/>
              </w:rPr>
            </w:pPr>
            <w:r>
              <w:rPr>
                <w:rFonts w:asciiTheme="majorHAnsi" w:hAnsiTheme="majorHAnsi"/>
              </w:rPr>
              <w:t>40</w:t>
            </w:r>
          </w:p>
        </w:tc>
        <w:tc>
          <w:tcPr>
            <w:tcW w:w="2171" w:type="dxa"/>
          </w:tcPr>
          <w:p w14:paraId="654FADE5" w14:textId="77777777" w:rsidR="00AE1DEF" w:rsidRDefault="00AE1DEF" w:rsidP="00B32A54">
            <w:pPr>
              <w:rPr>
                <w:rFonts w:asciiTheme="majorHAnsi" w:hAnsiTheme="majorHAnsi"/>
              </w:rPr>
            </w:pPr>
            <w:r>
              <w:rPr>
                <w:rFonts w:asciiTheme="majorHAnsi" w:hAnsiTheme="majorHAnsi"/>
              </w:rPr>
              <w:t>6.4</w:t>
            </w:r>
          </w:p>
        </w:tc>
      </w:tr>
      <w:tr w:rsidR="00AE1DEF" w14:paraId="529BD6BA" w14:textId="77777777" w:rsidTr="00B32A54">
        <w:tc>
          <w:tcPr>
            <w:tcW w:w="4077" w:type="dxa"/>
          </w:tcPr>
          <w:p w14:paraId="6FE295A8" w14:textId="77777777" w:rsidR="00AE1DEF" w:rsidRDefault="00AE1DEF" w:rsidP="00B32A54">
            <w:pPr>
              <w:rPr>
                <w:rFonts w:asciiTheme="majorHAnsi" w:hAnsiTheme="majorHAnsi"/>
              </w:rPr>
            </w:pPr>
            <w:r w:rsidRPr="000774F1">
              <w:rPr>
                <w:rFonts w:asciiTheme="majorHAnsi" w:hAnsiTheme="majorHAnsi"/>
              </w:rPr>
              <w:t>Loft insulation from 75 - 270mm</w:t>
            </w:r>
          </w:p>
        </w:tc>
        <w:tc>
          <w:tcPr>
            <w:tcW w:w="2268" w:type="dxa"/>
          </w:tcPr>
          <w:p w14:paraId="62944DA2" w14:textId="77777777" w:rsidR="00AE1DEF" w:rsidRDefault="00AE1DEF" w:rsidP="00B32A54">
            <w:pPr>
              <w:rPr>
                <w:rFonts w:asciiTheme="majorHAnsi" w:hAnsiTheme="majorHAnsi"/>
              </w:rPr>
            </w:pPr>
            <w:r>
              <w:rPr>
                <w:rFonts w:asciiTheme="majorHAnsi" w:hAnsiTheme="majorHAnsi"/>
              </w:rPr>
              <w:t>40</w:t>
            </w:r>
          </w:p>
        </w:tc>
        <w:tc>
          <w:tcPr>
            <w:tcW w:w="2171" w:type="dxa"/>
          </w:tcPr>
          <w:p w14:paraId="6E732693" w14:textId="77777777" w:rsidR="00AE1DEF" w:rsidRDefault="00AE1DEF" w:rsidP="00B32A54">
            <w:pPr>
              <w:rPr>
                <w:rFonts w:asciiTheme="majorHAnsi" w:hAnsiTheme="majorHAnsi"/>
              </w:rPr>
            </w:pPr>
            <w:r>
              <w:rPr>
                <w:rFonts w:asciiTheme="majorHAnsi" w:hAnsiTheme="majorHAnsi"/>
              </w:rPr>
              <w:t>8.0</w:t>
            </w:r>
          </w:p>
        </w:tc>
      </w:tr>
      <w:tr w:rsidR="00AE1DEF" w14:paraId="37644E2F" w14:textId="77777777" w:rsidTr="00B32A54">
        <w:tc>
          <w:tcPr>
            <w:tcW w:w="4077" w:type="dxa"/>
          </w:tcPr>
          <w:p w14:paraId="3F898B31" w14:textId="77777777" w:rsidR="00AE1DEF" w:rsidRDefault="00AE1DEF" w:rsidP="00B32A54">
            <w:pPr>
              <w:rPr>
                <w:rFonts w:asciiTheme="majorHAnsi" w:hAnsiTheme="majorHAnsi"/>
              </w:rPr>
            </w:pPr>
            <w:r w:rsidRPr="000774F1">
              <w:rPr>
                <w:rFonts w:asciiTheme="majorHAnsi" w:hAnsiTheme="majorHAnsi"/>
              </w:rPr>
              <w:t>Loft insulation from 100 - 270mm</w:t>
            </w:r>
          </w:p>
        </w:tc>
        <w:tc>
          <w:tcPr>
            <w:tcW w:w="2268" w:type="dxa"/>
          </w:tcPr>
          <w:p w14:paraId="1AADA6AD" w14:textId="77777777" w:rsidR="00AE1DEF" w:rsidRDefault="00AE1DEF" w:rsidP="00B32A54">
            <w:pPr>
              <w:rPr>
                <w:rFonts w:asciiTheme="majorHAnsi" w:hAnsiTheme="majorHAnsi"/>
              </w:rPr>
            </w:pPr>
            <w:r>
              <w:rPr>
                <w:rFonts w:asciiTheme="majorHAnsi" w:hAnsiTheme="majorHAnsi"/>
              </w:rPr>
              <w:t>40</w:t>
            </w:r>
          </w:p>
        </w:tc>
        <w:tc>
          <w:tcPr>
            <w:tcW w:w="2171" w:type="dxa"/>
          </w:tcPr>
          <w:p w14:paraId="12E00674" w14:textId="77777777" w:rsidR="00AE1DEF" w:rsidRDefault="00AE1DEF" w:rsidP="00B32A54">
            <w:pPr>
              <w:rPr>
                <w:rFonts w:asciiTheme="majorHAnsi" w:hAnsiTheme="majorHAnsi"/>
              </w:rPr>
            </w:pPr>
            <w:r>
              <w:rPr>
                <w:rFonts w:asciiTheme="majorHAnsi" w:hAnsiTheme="majorHAnsi"/>
              </w:rPr>
              <w:t>22.3</w:t>
            </w:r>
          </w:p>
        </w:tc>
      </w:tr>
      <w:tr w:rsidR="00AE1DEF" w14:paraId="69BAB3B7" w14:textId="77777777" w:rsidTr="00B32A54">
        <w:tc>
          <w:tcPr>
            <w:tcW w:w="4077" w:type="dxa"/>
          </w:tcPr>
          <w:p w14:paraId="1E1823D6" w14:textId="77777777" w:rsidR="00AE1DEF" w:rsidRDefault="00AE1DEF" w:rsidP="00B32A54">
            <w:pPr>
              <w:rPr>
                <w:rFonts w:asciiTheme="majorHAnsi" w:hAnsiTheme="majorHAnsi"/>
              </w:rPr>
            </w:pPr>
            <w:r w:rsidRPr="000774F1">
              <w:rPr>
                <w:rFonts w:asciiTheme="majorHAnsi" w:hAnsiTheme="majorHAnsi"/>
              </w:rPr>
              <w:t>Cavity wall insulation for homes built before 1976</w:t>
            </w:r>
          </w:p>
        </w:tc>
        <w:tc>
          <w:tcPr>
            <w:tcW w:w="2268" w:type="dxa"/>
          </w:tcPr>
          <w:p w14:paraId="1F239C84" w14:textId="77777777" w:rsidR="00AE1DEF" w:rsidRDefault="00AE1DEF" w:rsidP="00B32A54">
            <w:pPr>
              <w:rPr>
                <w:rFonts w:asciiTheme="majorHAnsi" w:hAnsiTheme="majorHAnsi"/>
              </w:rPr>
            </w:pPr>
            <w:r>
              <w:rPr>
                <w:rFonts w:asciiTheme="majorHAnsi" w:hAnsiTheme="majorHAnsi"/>
              </w:rPr>
              <w:t>40</w:t>
            </w:r>
          </w:p>
        </w:tc>
        <w:tc>
          <w:tcPr>
            <w:tcW w:w="2171" w:type="dxa"/>
          </w:tcPr>
          <w:p w14:paraId="34382A47" w14:textId="77777777" w:rsidR="00AE1DEF" w:rsidRDefault="00AE1DEF" w:rsidP="00B32A54">
            <w:pPr>
              <w:rPr>
                <w:rFonts w:asciiTheme="majorHAnsi" w:hAnsiTheme="majorHAnsi"/>
              </w:rPr>
            </w:pPr>
            <w:r>
              <w:rPr>
                <w:rFonts w:asciiTheme="majorHAnsi" w:hAnsiTheme="majorHAnsi"/>
              </w:rPr>
              <w:t>3.6</w:t>
            </w:r>
          </w:p>
        </w:tc>
      </w:tr>
      <w:tr w:rsidR="00AE1DEF" w14:paraId="6C3F2C48" w14:textId="77777777" w:rsidTr="00B32A54">
        <w:tc>
          <w:tcPr>
            <w:tcW w:w="4077" w:type="dxa"/>
          </w:tcPr>
          <w:p w14:paraId="3A8D7016" w14:textId="77777777" w:rsidR="00AE1DEF" w:rsidRDefault="00AE1DEF" w:rsidP="00B32A54">
            <w:pPr>
              <w:rPr>
                <w:rFonts w:asciiTheme="majorHAnsi" w:hAnsiTheme="majorHAnsi"/>
              </w:rPr>
            </w:pPr>
            <w:r w:rsidRPr="000774F1">
              <w:rPr>
                <w:rFonts w:asciiTheme="majorHAnsi" w:hAnsiTheme="majorHAnsi"/>
              </w:rPr>
              <w:t>Cavity wall insulation for homes built between 1976 and 1983</w:t>
            </w:r>
          </w:p>
        </w:tc>
        <w:tc>
          <w:tcPr>
            <w:tcW w:w="2268" w:type="dxa"/>
          </w:tcPr>
          <w:p w14:paraId="5F11D874" w14:textId="77777777" w:rsidR="00AE1DEF" w:rsidRDefault="00AE1DEF" w:rsidP="00B32A54">
            <w:pPr>
              <w:rPr>
                <w:rFonts w:asciiTheme="majorHAnsi" w:hAnsiTheme="majorHAnsi"/>
              </w:rPr>
            </w:pPr>
            <w:r>
              <w:rPr>
                <w:rFonts w:asciiTheme="majorHAnsi" w:hAnsiTheme="majorHAnsi"/>
              </w:rPr>
              <w:t>40</w:t>
            </w:r>
          </w:p>
        </w:tc>
        <w:tc>
          <w:tcPr>
            <w:tcW w:w="2171" w:type="dxa"/>
          </w:tcPr>
          <w:p w14:paraId="4AA9B986" w14:textId="77777777" w:rsidR="00AE1DEF" w:rsidRDefault="00AE1DEF" w:rsidP="00B32A54">
            <w:pPr>
              <w:rPr>
                <w:rFonts w:asciiTheme="majorHAnsi" w:hAnsiTheme="majorHAnsi"/>
              </w:rPr>
            </w:pPr>
            <w:r>
              <w:rPr>
                <w:rFonts w:asciiTheme="majorHAnsi" w:hAnsiTheme="majorHAnsi"/>
              </w:rPr>
              <w:t>7.4</w:t>
            </w:r>
          </w:p>
        </w:tc>
      </w:tr>
      <w:tr w:rsidR="00AE1DEF" w14:paraId="0813A97F" w14:textId="77777777" w:rsidTr="00B32A54">
        <w:tc>
          <w:tcPr>
            <w:tcW w:w="4077" w:type="dxa"/>
          </w:tcPr>
          <w:p w14:paraId="4E92C7DB" w14:textId="77777777" w:rsidR="00AE1DEF" w:rsidRDefault="00AE1DEF" w:rsidP="00B32A54">
            <w:pPr>
              <w:rPr>
                <w:rFonts w:asciiTheme="majorHAnsi" w:hAnsiTheme="majorHAnsi"/>
              </w:rPr>
            </w:pPr>
            <w:r w:rsidRPr="000774F1">
              <w:rPr>
                <w:rFonts w:asciiTheme="majorHAnsi" w:hAnsiTheme="majorHAnsi"/>
              </w:rPr>
              <w:t>Cavity wall insulation for homes built after 1983</w:t>
            </w:r>
          </w:p>
        </w:tc>
        <w:tc>
          <w:tcPr>
            <w:tcW w:w="2268" w:type="dxa"/>
          </w:tcPr>
          <w:p w14:paraId="700A0694" w14:textId="77777777" w:rsidR="00AE1DEF" w:rsidRDefault="00AE1DEF" w:rsidP="00B32A54">
            <w:pPr>
              <w:rPr>
                <w:rFonts w:asciiTheme="majorHAnsi" w:hAnsiTheme="majorHAnsi"/>
              </w:rPr>
            </w:pPr>
            <w:r>
              <w:rPr>
                <w:rFonts w:asciiTheme="majorHAnsi" w:hAnsiTheme="majorHAnsi"/>
              </w:rPr>
              <w:t>40</w:t>
            </w:r>
          </w:p>
        </w:tc>
        <w:tc>
          <w:tcPr>
            <w:tcW w:w="2171" w:type="dxa"/>
          </w:tcPr>
          <w:p w14:paraId="4BAB5CCB" w14:textId="77777777" w:rsidR="00AE1DEF" w:rsidRDefault="00AE1DEF" w:rsidP="00B32A54">
            <w:pPr>
              <w:rPr>
                <w:rFonts w:asciiTheme="majorHAnsi" w:hAnsiTheme="majorHAnsi"/>
              </w:rPr>
            </w:pPr>
            <w:r>
              <w:rPr>
                <w:rFonts w:asciiTheme="majorHAnsi" w:hAnsiTheme="majorHAnsi"/>
              </w:rPr>
              <w:t>15.8</w:t>
            </w:r>
          </w:p>
        </w:tc>
      </w:tr>
      <w:tr w:rsidR="00AE1DEF" w14:paraId="66C3A82D" w14:textId="77777777" w:rsidTr="00B32A54">
        <w:tc>
          <w:tcPr>
            <w:tcW w:w="4077" w:type="dxa"/>
          </w:tcPr>
          <w:p w14:paraId="755A2721" w14:textId="77777777" w:rsidR="00AE1DEF" w:rsidRDefault="00AE1DEF" w:rsidP="00B32A54">
            <w:pPr>
              <w:rPr>
                <w:rFonts w:asciiTheme="majorHAnsi" w:hAnsiTheme="majorHAnsi"/>
              </w:rPr>
            </w:pPr>
            <w:r w:rsidRPr="000774F1">
              <w:rPr>
                <w:rFonts w:asciiTheme="majorHAnsi" w:hAnsiTheme="majorHAnsi"/>
              </w:rPr>
              <w:t>DIY floor insulation for suspended timber floors</w:t>
            </w:r>
          </w:p>
        </w:tc>
        <w:tc>
          <w:tcPr>
            <w:tcW w:w="2268" w:type="dxa"/>
          </w:tcPr>
          <w:p w14:paraId="1E9C0D75" w14:textId="77777777" w:rsidR="00AE1DEF" w:rsidRDefault="00AE1DEF" w:rsidP="00B32A54">
            <w:pPr>
              <w:rPr>
                <w:rFonts w:asciiTheme="majorHAnsi" w:hAnsiTheme="majorHAnsi"/>
              </w:rPr>
            </w:pPr>
            <w:r>
              <w:rPr>
                <w:rFonts w:asciiTheme="majorHAnsi" w:hAnsiTheme="majorHAnsi"/>
              </w:rPr>
              <w:t>40</w:t>
            </w:r>
          </w:p>
        </w:tc>
        <w:tc>
          <w:tcPr>
            <w:tcW w:w="2171" w:type="dxa"/>
          </w:tcPr>
          <w:p w14:paraId="63BD0DB4" w14:textId="77777777" w:rsidR="00AE1DEF" w:rsidRDefault="00AE1DEF" w:rsidP="00B32A54">
            <w:pPr>
              <w:rPr>
                <w:rFonts w:asciiTheme="majorHAnsi" w:hAnsiTheme="majorHAnsi"/>
              </w:rPr>
            </w:pPr>
            <w:r>
              <w:rPr>
                <w:rFonts w:asciiTheme="majorHAnsi" w:hAnsiTheme="majorHAnsi"/>
              </w:rPr>
              <w:t>4.1</w:t>
            </w:r>
          </w:p>
        </w:tc>
      </w:tr>
      <w:tr w:rsidR="00AE1DEF" w14:paraId="08A5143F" w14:textId="77777777" w:rsidTr="00B32A54">
        <w:tc>
          <w:tcPr>
            <w:tcW w:w="4077" w:type="dxa"/>
          </w:tcPr>
          <w:p w14:paraId="7B17B4DD" w14:textId="77777777" w:rsidR="00AE1DEF" w:rsidRDefault="00AE1DEF" w:rsidP="00B32A54">
            <w:pPr>
              <w:rPr>
                <w:rFonts w:asciiTheme="majorHAnsi" w:hAnsiTheme="majorHAnsi"/>
              </w:rPr>
            </w:pPr>
            <w:r w:rsidRPr="000774F1">
              <w:rPr>
                <w:rFonts w:asciiTheme="majorHAnsi" w:hAnsiTheme="majorHAnsi"/>
              </w:rPr>
              <w:t>Solid wall insulation</w:t>
            </w:r>
          </w:p>
        </w:tc>
        <w:tc>
          <w:tcPr>
            <w:tcW w:w="2268" w:type="dxa"/>
          </w:tcPr>
          <w:p w14:paraId="57827F6A" w14:textId="77777777" w:rsidR="00AE1DEF" w:rsidRDefault="00AE1DEF" w:rsidP="00B32A54">
            <w:pPr>
              <w:rPr>
                <w:rFonts w:asciiTheme="majorHAnsi" w:hAnsiTheme="majorHAnsi"/>
              </w:rPr>
            </w:pPr>
            <w:r>
              <w:rPr>
                <w:rFonts w:asciiTheme="majorHAnsi" w:hAnsiTheme="majorHAnsi"/>
              </w:rPr>
              <w:t>40</w:t>
            </w:r>
          </w:p>
        </w:tc>
        <w:tc>
          <w:tcPr>
            <w:tcW w:w="2171" w:type="dxa"/>
          </w:tcPr>
          <w:p w14:paraId="445EEC89" w14:textId="77777777" w:rsidR="00AE1DEF" w:rsidRDefault="00AE1DEF" w:rsidP="00B32A54">
            <w:pPr>
              <w:rPr>
                <w:rFonts w:asciiTheme="majorHAnsi" w:hAnsiTheme="majorHAnsi"/>
              </w:rPr>
            </w:pPr>
            <w:r>
              <w:rPr>
                <w:rFonts w:asciiTheme="majorHAnsi" w:hAnsiTheme="majorHAnsi"/>
              </w:rPr>
              <w:t>33.6</w:t>
            </w:r>
          </w:p>
        </w:tc>
      </w:tr>
      <w:tr w:rsidR="00AE1DEF" w14:paraId="030215F0" w14:textId="77777777" w:rsidTr="00B32A54">
        <w:tc>
          <w:tcPr>
            <w:tcW w:w="4077" w:type="dxa"/>
          </w:tcPr>
          <w:p w14:paraId="40066B83" w14:textId="77777777" w:rsidR="00AE1DEF" w:rsidRDefault="00AE1DEF" w:rsidP="00B32A54">
            <w:pPr>
              <w:rPr>
                <w:rFonts w:asciiTheme="majorHAnsi" w:hAnsiTheme="majorHAnsi"/>
              </w:rPr>
            </w:pPr>
            <w:r w:rsidRPr="000774F1">
              <w:rPr>
                <w:rFonts w:asciiTheme="majorHAnsi" w:hAnsiTheme="majorHAnsi"/>
              </w:rPr>
              <w:t>Paper type solid wall insulation</w:t>
            </w:r>
          </w:p>
        </w:tc>
        <w:tc>
          <w:tcPr>
            <w:tcW w:w="2268" w:type="dxa"/>
          </w:tcPr>
          <w:p w14:paraId="51574406" w14:textId="77777777" w:rsidR="00AE1DEF" w:rsidRDefault="00AE1DEF" w:rsidP="00B32A54">
            <w:pPr>
              <w:rPr>
                <w:rFonts w:asciiTheme="majorHAnsi" w:hAnsiTheme="majorHAnsi"/>
              </w:rPr>
            </w:pPr>
            <w:r>
              <w:rPr>
                <w:rFonts w:asciiTheme="majorHAnsi" w:hAnsiTheme="majorHAnsi"/>
              </w:rPr>
              <w:t>40</w:t>
            </w:r>
          </w:p>
        </w:tc>
        <w:tc>
          <w:tcPr>
            <w:tcW w:w="2171" w:type="dxa"/>
          </w:tcPr>
          <w:p w14:paraId="1BD9864E" w14:textId="77777777" w:rsidR="00AE1DEF" w:rsidRDefault="00AE1DEF" w:rsidP="00B32A54">
            <w:pPr>
              <w:rPr>
                <w:rFonts w:asciiTheme="majorHAnsi" w:hAnsiTheme="majorHAnsi"/>
              </w:rPr>
            </w:pPr>
            <w:r>
              <w:rPr>
                <w:rFonts w:asciiTheme="majorHAnsi" w:hAnsiTheme="majorHAnsi"/>
              </w:rPr>
              <w:t>176.1</w:t>
            </w:r>
          </w:p>
        </w:tc>
      </w:tr>
      <w:tr w:rsidR="00AE1DEF" w14:paraId="7C301918" w14:textId="77777777" w:rsidTr="00B32A54">
        <w:tc>
          <w:tcPr>
            <w:tcW w:w="4077" w:type="dxa"/>
          </w:tcPr>
          <w:p w14:paraId="02104320" w14:textId="77777777" w:rsidR="00AE1DEF" w:rsidRDefault="00AE1DEF" w:rsidP="00B32A54">
            <w:pPr>
              <w:rPr>
                <w:rFonts w:asciiTheme="majorHAnsi" w:hAnsiTheme="majorHAnsi"/>
              </w:rPr>
            </w:pPr>
            <w:r w:rsidRPr="000774F1">
              <w:rPr>
                <w:rFonts w:asciiTheme="majorHAnsi" w:hAnsiTheme="majorHAnsi"/>
              </w:rPr>
              <w:t xml:space="preserve">Best practice standard windows </w:t>
            </w:r>
          </w:p>
        </w:tc>
        <w:tc>
          <w:tcPr>
            <w:tcW w:w="2268" w:type="dxa"/>
          </w:tcPr>
          <w:p w14:paraId="44EBD92D" w14:textId="77777777" w:rsidR="00AE1DEF" w:rsidRDefault="00AE1DEF" w:rsidP="00B32A54">
            <w:pPr>
              <w:rPr>
                <w:rFonts w:asciiTheme="majorHAnsi" w:hAnsiTheme="majorHAnsi"/>
              </w:rPr>
            </w:pPr>
            <w:r>
              <w:rPr>
                <w:rFonts w:asciiTheme="majorHAnsi" w:hAnsiTheme="majorHAnsi"/>
              </w:rPr>
              <w:t>25</w:t>
            </w:r>
          </w:p>
        </w:tc>
        <w:tc>
          <w:tcPr>
            <w:tcW w:w="2171" w:type="dxa"/>
          </w:tcPr>
          <w:p w14:paraId="26F766D1" w14:textId="77777777" w:rsidR="00AE1DEF" w:rsidRDefault="00AE1DEF" w:rsidP="00B32A54">
            <w:pPr>
              <w:rPr>
                <w:rFonts w:asciiTheme="majorHAnsi" w:hAnsiTheme="majorHAnsi"/>
              </w:rPr>
            </w:pPr>
            <w:r>
              <w:rPr>
                <w:rFonts w:asciiTheme="majorHAnsi" w:hAnsiTheme="majorHAnsi"/>
              </w:rPr>
              <w:t>28.7</w:t>
            </w:r>
          </w:p>
        </w:tc>
      </w:tr>
      <w:tr w:rsidR="00AE1DEF" w14:paraId="780F5A9C" w14:textId="77777777" w:rsidTr="00B32A54">
        <w:tc>
          <w:tcPr>
            <w:tcW w:w="4077" w:type="dxa"/>
          </w:tcPr>
          <w:p w14:paraId="5C3F9E42" w14:textId="77777777" w:rsidR="00AE1DEF" w:rsidRDefault="00AE1DEF" w:rsidP="00B32A54">
            <w:pPr>
              <w:rPr>
                <w:rFonts w:asciiTheme="majorHAnsi" w:hAnsiTheme="majorHAnsi"/>
              </w:rPr>
            </w:pPr>
            <w:r w:rsidRPr="000774F1">
              <w:rPr>
                <w:rFonts w:asciiTheme="majorHAnsi" w:hAnsiTheme="majorHAnsi"/>
              </w:rPr>
              <w:t>Uninsulated hot water cylinder to high performance cylinder</w:t>
            </w:r>
          </w:p>
        </w:tc>
        <w:tc>
          <w:tcPr>
            <w:tcW w:w="2268" w:type="dxa"/>
          </w:tcPr>
          <w:p w14:paraId="0FA74397" w14:textId="77777777" w:rsidR="00AE1DEF" w:rsidRDefault="00AE1DEF" w:rsidP="00B32A54">
            <w:pPr>
              <w:rPr>
                <w:rFonts w:asciiTheme="majorHAnsi" w:hAnsiTheme="majorHAnsi"/>
              </w:rPr>
            </w:pPr>
            <w:r>
              <w:rPr>
                <w:rFonts w:asciiTheme="majorHAnsi" w:hAnsiTheme="majorHAnsi"/>
              </w:rPr>
              <w:t>20</w:t>
            </w:r>
          </w:p>
        </w:tc>
        <w:tc>
          <w:tcPr>
            <w:tcW w:w="2171" w:type="dxa"/>
          </w:tcPr>
          <w:p w14:paraId="1ED8A3C4" w14:textId="77777777" w:rsidR="00AE1DEF" w:rsidRDefault="00AE1DEF" w:rsidP="00B32A54">
            <w:pPr>
              <w:rPr>
                <w:rFonts w:asciiTheme="majorHAnsi" w:hAnsiTheme="majorHAnsi"/>
              </w:rPr>
            </w:pPr>
            <w:r>
              <w:rPr>
                <w:rFonts w:asciiTheme="majorHAnsi" w:hAnsiTheme="majorHAnsi"/>
              </w:rPr>
              <w:t>4.7</w:t>
            </w:r>
          </w:p>
        </w:tc>
      </w:tr>
      <w:tr w:rsidR="00AE1DEF" w14:paraId="0232A6C9" w14:textId="77777777" w:rsidTr="00B32A54">
        <w:tc>
          <w:tcPr>
            <w:tcW w:w="4077" w:type="dxa"/>
          </w:tcPr>
          <w:p w14:paraId="00140CA9" w14:textId="77777777" w:rsidR="00AE1DEF" w:rsidRDefault="00AE1DEF" w:rsidP="00B32A54">
            <w:pPr>
              <w:rPr>
                <w:rFonts w:asciiTheme="majorHAnsi" w:hAnsiTheme="majorHAnsi"/>
              </w:rPr>
            </w:pPr>
            <w:r w:rsidRPr="000774F1">
              <w:rPr>
                <w:rFonts w:asciiTheme="majorHAnsi" w:hAnsiTheme="majorHAnsi"/>
              </w:rPr>
              <w:t>Modestly insulated hot water cylinder to high performance cylinder</w:t>
            </w:r>
          </w:p>
        </w:tc>
        <w:tc>
          <w:tcPr>
            <w:tcW w:w="2268" w:type="dxa"/>
          </w:tcPr>
          <w:p w14:paraId="1C3657C9" w14:textId="77777777" w:rsidR="00AE1DEF" w:rsidRDefault="00AE1DEF" w:rsidP="00B32A54">
            <w:pPr>
              <w:rPr>
                <w:rFonts w:asciiTheme="majorHAnsi" w:hAnsiTheme="majorHAnsi"/>
              </w:rPr>
            </w:pPr>
            <w:r>
              <w:rPr>
                <w:rFonts w:asciiTheme="majorHAnsi" w:hAnsiTheme="majorHAnsi"/>
              </w:rPr>
              <w:t>20</w:t>
            </w:r>
          </w:p>
        </w:tc>
        <w:tc>
          <w:tcPr>
            <w:tcW w:w="2171" w:type="dxa"/>
          </w:tcPr>
          <w:p w14:paraId="6BD269D3" w14:textId="77777777" w:rsidR="00AE1DEF" w:rsidRDefault="00AE1DEF" w:rsidP="00B32A54">
            <w:pPr>
              <w:rPr>
                <w:rFonts w:asciiTheme="majorHAnsi" w:hAnsiTheme="majorHAnsi"/>
              </w:rPr>
            </w:pPr>
            <w:r>
              <w:rPr>
                <w:rFonts w:asciiTheme="majorHAnsi" w:hAnsiTheme="majorHAnsi"/>
              </w:rPr>
              <w:t>51.0</w:t>
            </w:r>
          </w:p>
        </w:tc>
      </w:tr>
      <w:tr w:rsidR="00AE1DEF" w14:paraId="446E8EB1" w14:textId="77777777" w:rsidTr="00B32A54">
        <w:tc>
          <w:tcPr>
            <w:tcW w:w="4077" w:type="dxa"/>
          </w:tcPr>
          <w:p w14:paraId="6C352C7B" w14:textId="77777777" w:rsidR="00AE1DEF" w:rsidRDefault="00AE1DEF" w:rsidP="00B32A54">
            <w:pPr>
              <w:rPr>
                <w:rFonts w:asciiTheme="majorHAnsi" w:hAnsiTheme="majorHAnsi"/>
              </w:rPr>
            </w:pPr>
            <w:r w:rsidRPr="000774F1">
              <w:rPr>
                <w:rFonts w:asciiTheme="majorHAnsi" w:hAnsiTheme="majorHAnsi"/>
              </w:rPr>
              <w:t>Primary pipework insulation</w:t>
            </w:r>
          </w:p>
        </w:tc>
        <w:tc>
          <w:tcPr>
            <w:tcW w:w="2268" w:type="dxa"/>
          </w:tcPr>
          <w:p w14:paraId="4EF8651E" w14:textId="77777777" w:rsidR="00AE1DEF" w:rsidRDefault="00AE1DEF" w:rsidP="00B32A54">
            <w:pPr>
              <w:rPr>
                <w:rFonts w:asciiTheme="majorHAnsi" w:hAnsiTheme="majorHAnsi"/>
              </w:rPr>
            </w:pPr>
            <w:r>
              <w:rPr>
                <w:rFonts w:asciiTheme="majorHAnsi" w:hAnsiTheme="majorHAnsi"/>
              </w:rPr>
              <w:t>15</w:t>
            </w:r>
          </w:p>
        </w:tc>
        <w:tc>
          <w:tcPr>
            <w:tcW w:w="2171" w:type="dxa"/>
          </w:tcPr>
          <w:p w14:paraId="2A4C192D" w14:textId="77777777" w:rsidR="00AE1DEF" w:rsidRDefault="00AE1DEF" w:rsidP="00B32A54">
            <w:pPr>
              <w:rPr>
                <w:rFonts w:asciiTheme="majorHAnsi" w:hAnsiTheme="majorHAnsi"/>
              </w:rPr>
            </w:pPr>
            <w:r>
              <w:rPr>
                <w:rFonts w:asciiTheme="majorHAnsi" w:hAnsiTheme="majorHAnsi"/>
              </w:rPr>
              <w:t>4.1</w:t>
            </w:r>
          </w:p>
        </w:tc>
      </w:tr>
      <w:tr w:rsidR="00AE1DEF" w14:paraId="3AA79BB4" w14:textId="77777777" w:rsidTr="00B32A54">
        <w:tc>
          <w:tcPr>
            <w:tcW w:w="4077" w:type="dxa"/>
          </w:tcPr>
          <w:p w14:paraId="6064F0BE" w14:textId="77777777" w:rsidR="00AE1DEF" w:rsidRDefault="00AE1DEF" w:rsidP="00B32A54">
            <w:pPr>
              <w:rPr>
                <w:rFonts w:asciiTheme="majorHAnsi" w:hAnsiTheme="majorHAnsi"/>
              </w:rPr>
            </w:pPr>
            <w:r w:rsidRPr="000774F1">
              <w:rPr>
                <w:rFonts w:asciiTheme="majorHAnsi" w:hAnsiTheme="majorHAnsi"/>
              </w:rPr>
              <w:t>Improve airtightness</w:t>
            </w:r>
          </w:p>
        </w:tc>
        <w:tc>
          <w:tcPr>
            <w:tcW w:w="2268" w:type="dxa"/>
          </w:tcPr>
          <w:p w14:paraId="1B749E10" w14:textId="77777777" w:rsidR="00AE1DEF" w:rsidRDefault="00AE1DEF" w:rsidP="00B32A54">
            <w:pPr>
              <w:rPr>
                <w:rFonts w:asciiTheme="majorHAnsi" w:hAnsiTheme="majorHAnsi"/>
              </w:rPr>
            </w:pPr>
            <w:r>
              <w:rPr>
                <w:rFonts w:asciiTheme="majorHAnsi" w:hAnsiTheme="majorHAnsi"/>
              </w:rPr>
              <w:t>25</w:t>
            </w:r>
          </w:p>
        </w:tc>
        <w:tc>
          <w:tcPr>
            <w:tcW w:w="2171" w:type="dxa"/>
          </w:tcPr>
          <w:p w14:paraId="63E09B03" w14:textId="77777777" w:rsidR="00AE1DEF" w:rsidRDefault="00AE1DEF" w:rsidP="00B32A54">
            <w:pPr>
              <w:rPr>
                <w:rFonts w:asciiTheme="majorHAnsi" w:hAnsiTheme="majorHAnsi"/>
              </w:rPr>
            </w:pPr>
            <w:r>
              <w:rPr>
                <w:rFonts w:asciiTheme="majorHAnsi" w:hAnsiTheme="majorHAnsi"/>
              </w:rPr>
              <w:t>6.3</w:t>
            </w:r>
          </w:p>
        </w:tc>
      </w:tr>
      <w:tr w:rsidR="00AE1DEF" w14:paraId="23C4D7E6" w14:textId="77777777" w:rsidTr="00B32A54">
        <w:tc>
          <w:tcPr>
            <w:tcW w:w="4077" w:type="dxa"/>
          </w:tcPr>
          <w:p w14:paraId="4B0D2B85" w14:textId="77777777" w:rsidR="00AE1DEF" w:rsidRDefault="00AE1DEF" w:rsidP="00B32A54">
            <w:pPr>
              <w:rPr>
                <w:rFonts w:asciiTheme="majorHAnsi" w:hAnsiTheme="majorHAnsi"/>
              </w:rPr>
            </w:pPr>
            <w:r w:rsidRPr="000774F1">
              <w:rPr>
                <w:rFonts w:asciiTheme="majorHAnsi" w:hAnsiTheme="majorHAnsi"/>
              </w:rPr>
              <w:t>Thermostatic radiator valves</w:t>
            </w:r>
          </w:p>
        </w:tc>
        <w:tc>
          <w:tcPr>
            <w:tcW w:w="2268" w:type="dxa"/>
          </w:tcPr>
          <w:p w14:paraId="534B7311" w14:textId="77777777" w:rsidR="00AE1DEF" w:rsidRDefault="00AE1DEF" w:rsidP="00B32A54">
            <w:pPr>
              <w:rPr>
                <w:rFonts w:asciiTheme="majorHAnsi" w:hAnsiTheme="majorHAnsi"/>
              </w:rPr>
            </w:pPr>
            <w:r>
              <w:rPr>
                <w:rFonts w:asciiTheme="majorHAnsi" w:hAnsiTheme="majorHAnsi"/>
              </w:rPr>
              <w:t>15</w:t>
            </w:r>
          </w:p>
        </w:tc>
        <w:tc>
          <w:tcPr>
            <w:tcW w:w="2171" w:type="dxa"/>
          </w:tcPr>
          <w:p w14:paraId="108A46A5" w14:textId="77777777" w:rsidR="00AE1DEF" w:rsidRDefault="00AE1DEF" w:rsidP="00B32A54">
            <w:pPr>
              <w:rPr>
                <w:rFonts w:asciiTheme="majorHAnsi" w:hAnsiTheme="majorHAnsi"/>
              </w:rPr>
            </w:pPr>
            <w:r>
              <w:rPr>
                <w:rFonts w:asciiTheme="majorHAnsi" w:hAnsiTheme="majorHAnsi"/>
              </w:rPr>
              <w:t>15.1</w:t>
            </w:r>
          </w:p>
        </w:tc>
      </w:tr>
      <w:tr w:rsidR="00AE1DEF" w14:paraId="7BABF3B5" w14:textId="77777777" w:rsidTr="00B32A54">
        <w:tc>
          <w:tcPr>
            <w:tcW w:w="4077" w:type="dxa"/>
          </w:tcPr>
          <w:p w14:paraId="519B4F9F" w14:textId="77777777" w:rsidR="00AE1DEF" w:rsidRDefault="00AE1DEF" w:rsidP="00B32A54">
            <w:pPr>
              <w:rPr>
                <w:rFonts w:asciiTheme="majorHAnsi" w:hAnsiTheme="majorHAnsi"/>
              </w:rPr>
            </w:pPr>
            <w:r w:rsidRPr="000774F1">
              <w:rPr>
                <w:rFonts w:asciiTheme="majorHAnsi" w:hAnsiTheme="majorHAnsi"/>
              </w:rPr>
              <w:t xml:space="preserve">Room thermostats </w:t>
            </w:r>
          </w:p>
        </w:tc>
        <w:tc>
          <w:tcPr>
            <w:tcW w:w="2268" w:type="dxa"/>
          </w:tcPr>
          <w:p w14:paraId="4E4A6206" w14:textId="77777777" w:rsidR="00AE1DEF" w:rsidRDefault="00AE1DEF" w:rsidP="00B32A54">
            <w:pPr>
              <w:rPr>
                <w:rFonts w:asciiTheme="majorHAnsi" w:hAnsiTheme="majorHAnsi"/>
              </w:rPr>
            </w:pPr>
            <w:r>
              <w:rPr>
                <w:rFonts w:asciiTheme="majorHAnsi" w:hAnsiTheme="majorHAnsi"/>
              </w:rPr>
              <w:t>15</w:t>
            </w:r>
          </w:p>
        </w:tc>
        <w:tc>
          <w:tcPr>
            <w:tcW w:w="2171" w:type="dxa"/>
          </w:tcPr>
          <w:p w14:paraId="169F632A" w14:textId="77777777" w:rsidR="00AE1DEF" w:rsidRDefault="00AE1DEF" w:rsidP="00B32A54">
            <w:pPr>
              <w:rPr>
                <w:rFonts w:asciiTheme="majorHAnsi" w:hAnsiTheme="majorHAnsi"/>
              </w:rPr>
            </w:pPr>
            <w:r>
              <w:rPr>
                <w:rFonts w:asciiTheme="majorHAnsi" w:hAnsiTheme="majorHAnsi"/>
              </w:rPr>
              <w:t>6.1</w:t>
            </w:r>
          </w:p>
        </w:tc>
      </w:tr>
      <w:tr w:rsidR="00AE1DEF" w14:paraId="3866441C" w14:textId="77777777" w:rsidTr="00B32A54">
        <w:tc>
          <w:tcPr>
            <w:tcW w:w="4077" w:type="dxa"/>
          </w:tcPr>
          <w:p w14:paraId="0EB16277" w14:textId="77777777" w:rsidR="00AE1DEF" w:rsidRDefault="00AE1DEF" w:rsidP="00B32A54">
            <w:pPr>
              <w:rPr>
                <w:rFonts w:asciiTheme="majorHAnsi" w:hAnsiTheme="majorHAnsi"/>
              </w:rPr>
            </w:pPr>
            <w:r w:rsidRPr="000774F1">
              <w:rPr>
                <w:rFonts w:asciiTheme="majorHAnsi" w:hAnsiTheme="majorHAnsi"/>
              </w:rPr>
              <w:t>Hot water cylinder thermostat</w:t>
            </w:r>
          </w:p>
        </w:tc>
        <w:tc>
          <w:tcPr>
            <w:tcW w:w="2268" w:type="dxa"/>
          </w:tcPr>
          <w:p w14:paraId="461B1E83" w14:textId="77777777" w:rsidR="00AE1DEF" w:rsidRDefault="00AE1DEF" w:rsidP="00B32A54">
            <w:pPr>
              <w:rPr>
                <w:rFonts w:asciiTheme="majorHAnsi" w:hAnsiTheme="majorHAnsi"/>
              </w:rPr>
            </w:pPr>
            <w:r>
              <w:rPr>
                <w:rFonts w:asciiTheme="majorHAnsi" w:hAnsiTheme="majorHAnsi"/>
              </w:rPr>
              <w:t>15</w:t>
            </w:r>
          </w:p>
        </w:tc>
        <w:tc>
          <w:tcPr>
            <w:tcW w:w="2171" w:type="dxa"/>
          </w:tcPr>
          <w:p w14:paraId="196E52AC" w14:textId="77777777" w:rsidR="00AE1DEF" w:rsidRDefault="00AE1DEF" w:rsidP="00B32A54">
            <w:pPr>
              <w:rPr>
                <w:rFonts w:asciiTheme="majorHAnsi" w:hAnsiTheme="majorHAnsi"/>
              </w:rPr>
            </w:pPr>
            <w:r>
              <w:rPr>
                <w:rFonts w:asciiTheme="majorHAnsi" w:hAnsiTheme="majorHAnsi"/>
              </w:rPr>
              <w:t>176.1</w:t>
            </w:r>
          </w:p>
        </w:tc>
      </w:tr>
      <w:tr w:rsidR="00AE1DEF" w14:paraId="682B736B" w14:textId="77777777" w:rsidTr="00B32A54">
        <w:tc>
          <w:tcPr>
            <w:tcW w:w="4077" w:type="dxa"/>
          </w:tcPr>
          <w:p w14:paraId="464FC5C8" w14:textId="77777777" w:rsidR="00AE1DEF" w:rsidRDefault="00AE1DEF" w:rsidP="00B32A54">
            <w:pPr>
              <w:rPr>
                <w:rFonts w:asciiTheme="majorHAnsi" w:hAnsiTheme="majorHAnsi"/>
              </w:rPr>
            </w:pPr>
            <w:r w:rsidRPr="000774F1">
              <w:rPr>
                <w:rFonts w:asciiTheme="majorHAnsi" w:hAnsiTheme="majorHAnsi"/>
              </w:rPr>
              <w:t>Efficient lighting</w:t>
            </w:r>
          </w:p>
        </w:tc>
        <w:tc>
          <w:tcPr>
            <w:tcW w:w="2268" w:type="dxa"/>
          </w:tcPr>
          <w:p w14:paraId="7D635ACD" w14:textId="77777777" w:rsidR="00AE1DEF" w:rsidRDefault="00AE1DEF" w:rsidP="00B32A54">
            <w:pPr>
              <w:rPr>
                <w:rFonts w:asciiTheme="majorHAnsi" w:hAnsiTheme="majorHAnsi"/>
              </w:rPr>
            </w:pPr>
            <w:r>
              <w:rPr>
                <w:rFonts w:asciiTheme="majorHAnsi" w:hAnsiTheme="majorHAnsi"/>
              </w:rPr>
              <w:t>10</w:t>
            </w:r>
          </w:p>
        </w:tc>
        <w:tc>
          <w:tcPr>
            <w:tcW w:w="2171" w:type="dxa"/>
          </w:tcPr>
          <w:p w14:paraId="679F5FCF" w14:textId="77777777" w:rsidR="00AE1DEF" w:rsidRDefault="00AE1DEF" w:rsidP="00B32A54">
            <w:pPr>
              <w:rPr>
                <w:rFonts w:asciiTheme="majorHAnsi" w:hAnsiTheme="majorHAnsi"/>
              </w:rPr>
            </w:pPr>
            <w:r>
              <w:rPr>
                <w:rFonts w:asciiTheme="majorHAnsi" w:hAnsiTheme="majorHAnsi"/>
              </w:rPr>
              <w:t>3.2</w:t>
            </w:r>
          </w:p>
        </w:tc>
      </w:tr>
      <w:tr w:rsidR="00AE1DEF" w14:paraId="58348C78" w14:textId="77777777" w:rsidTr="00B32A54">
        <w:tc>
          <w:tcPr>
            <w:tcW w:w="4077" w:type="dxa"/>
          </w:tcPr>
          <w:p w14:paraId="65F7CD4D" w14:textId="77777777" w:rsidR="00AE1DEF" w:rsidRDefault="00AE1DEF" w:rsidP="00B32A54">
            <w:pPr>
              <w:rPr>
                <w:rFonts w:asciiTheme="majorHAnsi" w:hAnsiTheme="majorHAnsi"/>
              </w:rPr>
            </w:pPr>
            <w:r w:rsidRPr="000774F1">
              <w:rPr>
                <w:rFonts w:asciiTheme="majorHAnsi" w:hAnsiTheme="majorHAnsi"/>
              </w:rPr>
              <w:t>Photovoltaic generation with FIT</w:t>
            </w:r>
          </w:p>
        </w:tc>
        <w:tc>
          <w:tcPr>
            <w:tcW w:w="2268" w:type="dxa"/>
          </w:tcPr>
          <w:p w14:paraId="6E8BDF5B" w14:textId="77777777" w:rsidR="00AE1DEF" w:rsidRDefault="00AE1DEF" w:rsidP="00B32A54">
            <w:pPr>
              <w:rPr>
                <w:rFonts w:asciiTheme="majorHAnsi" w:hAnsiTheme="majorHAnsi"/>
              </w:rPr>
            </w:pPr>
            <w:r>
              <w:rPr>
                <w:rFonts w:asciiTheme="majorHAnsi" w:hAnsiTheme="majorHAnsi"/>
              </w:rPr>
              <w:t>20</w:t>
            </w:r>
          </w:p>
        </w:tc>
        <w:tc>
          <w:tcPr>
            <w:tcW w:w="2171" w:type="dxa"/>
          </w:tcPr>
          <w:p w14:paraId="0704A4D7" w14:textId="77777777" w:rsidR="00AE1DEF" w:rsidRDefault="00AE1DEF" w:rsidP="00B32A54">
            <w:pPr>
              <w:rPr>
                <w:rFonts w:asciiTheme="majorHAnsi" w:hAnsiTheme="majorHAnsi"/>
              </w:rPr>
            </w:pPr>
            <w:r>
              <w:rPr>
                <w:rFonts w:asciiTheme="majorHAnsi" w:hAnsiTheme="majorHAnsi"/>
              </w:rPr>
              <w:t>20.4</w:t>
            </w:r>
          </w:p>
        </w:tc>
      </w:tr>
      <w:tr w:rsidR="00AE1DEF" w14:paraId="6BB8FDAE" w14:textId="77777777" w:rsidTr="00B32A54">
        <w:tc>
          <w:tcPr>
            <w:tcW w:w="4077" w:type="dxa"/>
          </w:tcPr>
          <w:p w14:paraId="72FDB28E" w14:textId="77777777" w:rsidR="00AE1DEF" w:rsidRDefault="00AE1DEF" w:rsidP="00B32A54">
            <w:pPr>
              <w:rPr>
                <w:rFonts w:asciiTheme="majorHAnsi" w:hAnsiTheme="majorHAnsi"/>
              </w:rPr>
            </w:pPr>
            <w:r w:rsidRPr="000774F1">
              <w:rPr>
                <w:rFonts w:asciiTheme="majorHAnsi" w:hAnsiTheme="majorHAnsi"/>
              </w:rPr>
              <w:t>Micro wind turbines (1kW) with FIT</w:t>
            </w:r>
          </w:p>
        </w:tc>
        <w:tc>
          <w:tcPr>
            <w:tcW w:w="2268" w:type="dxa"/>
          </w:tcPr>
          <w:p w14:paraId="09B7DF0F" w14:textId="77777777" w:rsidR="00AE1DEF" w:rsidRDefault="00AE1DEF" w:rsidP="00B32A54">
            <w:pPr>
              <w:rPr>
                <w:rFonts w:asciiTheme="majorHAnsi" w:hAnsiTheme="majorHAnsi"/>
              </w:rPr>
            </w:pPr>
            <w:r>
              <w:rPr>
                <w:rFonts w:asciiTheme="majorHAnsi" w:hAnsiTheme="majorHAnsi"/>
              </w:rPr>
              <w:t>10</w:t>
            </w:r>
          </w:p>
        </w:tc>
        <w:tc>
          <w:tcPr>
            <w:tcW w:w="2171" w:type="dxa"/>
          </w:tcPr>
          <w:p w14:paraId="6DF50475" w14:textId="77777777" w:rsidR="00AE1DEF" w:rsidRDefault="00AE1DEF" w:rsidP="00B32A54">
            <w:pPr>
              <w:rPr>
                <w:rFonts w:asciiTheme="majorHAnsi" w:hAnsiTheme="majorHAnsi"/>
              </w:rPr>
            </w:pPr>
            <w:r>
              <w:rPr>
                <w:rFonts w:asciiTheme="majorHAnsi" w:hAnsiTheme="majorHAnsi"/>
              </w:rPr>
              <w:t>16.9</w:t>
            </w:r>
          </w:p>
        </w:tc>
      </w:tr>
      <w:tr w:rsidR="00AE1DEF" w14:paraId="2D98CB28" w14:textId="77777777" w:rsidTr="00B32A54">
        <w:tc>
          <w:tcPr>
            <w:tcW w:w="4077" w:type="dxa"/>
          </w:tcPr>
          <w:p w14:paraId="32E8DBBF" w14:textId="77777777" w:rsidR="00AE1DEF" w:rsidRDefault="00AE1DEF" w:rsidP="00B32A54">
            <w:pPr>
              <w:rPr>
                <w:rFonts w:asciiTheme="majorHAnsi" w:hAnsiTheme="majorHAnsi"/>
              </w:rPr>
            </w:pPr>
            <w:r w:rsidRPr="000774F1">
              <w:rPr>
                <w:rFonts w:asciiTheme="majorHAnsi" w:hAnsiTheme="majorHAnsi"/>
              </w:rPr>
              <w:t>Mini wind turbines (5kw) with FIT</w:t>
            </w:r>
          </w:p>
        </w:tc>
        <w:tc>
          <w:tcPr>
            <w:tcW w:w="2268" w:type="dxa"/>
          </w:tcPr>
          <w:p w14:paraId="2A42F8A4" w14:textId="77777777" w:rsidR="00AE1DEF" w:rsidRDefault="00AE1DEF" w:rsidP="00B32A54">
            <w:pPr>
              <w:rPr>
                <w:rFonts w:asciiTheme="majorHAnsi" w:hAnsiTheme="majorHAnsi"/>
              </w:rPr>
            </w:pPr>
            <w:r>
              <w:rPr>
                <w:rFonts w:asciiTheme="majorHAnsi" w:hAnsiTheme="majorHAnsi"/>
              </w:rPr>
              <w:t>15</w:t>
            </w:r>
          </w:p>
        </w:tc>
        <w:tc>
          <w:tcPr>
            <w:tcW w:w="2171" w:type="dxa"/>
          </w:tcPr>
          <w:p w14:paraId="664985A4" w14:textId="77777777" w:rsidR="00AE1DEF" w:rsidRDefault="00AE1DEF" w:rsidP="00B32A54">
            <w:pPr>
              <w:rPr>
                <w:rFonts w:asciiTheme="majorHAnsi" w:hAnsiTheme="majorHAnsi"/>
              </w:rPr>
            </w:pPr>
            <w:r>
              <w:rPr>
                <w:rFonts w:asciiTheme="majorHAnsi" w:hAnsiTheme="majorHAnsi"/>
              </w:rPr>
              <w:t>9.1</w:t>
            </w:r>
          </w:p>
        </w:tc>
      </w:tr>
    </w:tbl>
    <w:p w14:paraId="59B68A8E" w14:textId="77777777" w:rsidR="00AE1DEF" w:rsidRDefault="00AE1DEF" w:rsidP="00AE1DEF">
      <w:pPr>
        <w:rPr>
          <w:rFonts w:asciiTheme="majorHAnsi" w:hAnsiTheme="majorHAnsi"/>
        </w:rPr>
      </w:pPr>
    </w:p>
    <w:p w14:paraId="4AEE5F4C" w14:textId="77777777" w:rsidR="00AE1DEF" w:rsidRPr="00BA5809" w:rsidRDefault="00AE1DEF" w:rsidP="00AE1DEF">
      <w:pPr>
        <w:rPr>
          <w:rFonts w:asciiTheme="majorHAnsi" w:hAnsiTheme="majorHAnsi"/>
        </w:rPr>
      </w:pPr>
    </w:p>
    <w:p w14:paraId="35CACE29" w14:textId="77777777" w:rsidR="00AE1DEF" w:rsidRDefault="00AE1DEF" w:rsidP="00AE1DEF">
      <w:pPr>
        <w:rPr>
          <w:rFonts w:asciiTheme="majorHAnsi" w:hAnsiTheme="majorHAnsi"/>
        </w:rPr>
      </w:pPr>
      <w:r>
        <w:rPr>
          <w:rFonts w:asciiTheme="majorHAnsi" w:hAnsiTheme="majorHAnsi"/>
        </w:rPr>
        <w:br w:type="page"/>
      </w:r>
    </w:p>
    <w:p w14:paraId="4053D5C8" w14:textId="77777777" w:rsidR="00AE1DEF" w:rsidRDefault="00AE1DEF" w:rsidP="00AE1DEF">
      <w:pPr>
        <w:rPr>
          <w:rFonts w:asciiTheme="majorHAnsi" w:hAnsiTheme="majorHAnsi"/>
        </w:rPr>
      </w:pPr>
      <w:r>
        <w:rPr>
          <w:rFonts w:asciiTheme="majorHAnsi" w:hAnsiTheme="majorHAnsi"/>
        </w:rPr>
        <w:lastRenderedPageBreak/>
        <w:t>Table 2 – Default Settings</w:t>
      </w:r>
    </w:p>
    <w:p w14:paraId="6B3D4028" w14:textId="77777777" w:rsidR="00AE1DEF" w:rsidRDefault="00AE1DEF" w:rsidP="00AE1DEF">
      <w:pPr>
        <w:rPr>
          <w:rFonts w:asciiTheme="majorHAnsi" w:hAnsiTheme="majorHAnsi"/>
        </w:rPr>
      </w:pPr>
    </w:p>
    <w:tbl>
      <w:tblPr>
        <w:tblStyle w:val="TableGrid"/>
        <w:tblW w:w="0" w:type="auto"/>
        <w:tblLook w:val="04A0" w:firstRow="1" w:lastRow="0" w:firstColumn="1" w:lastColumn="0" w:noHBand="0" w:noVBand="1"/>
      </w:tblPr>
      <w:tblGrid>
        <w:gridCol w:w="6487"/>
        <w:gridCol w:w="2029"/>
      </w:tblGrid>
      <w:tr w:rsidR="00AE1DEF" w:rsidRPr="0094438B" w14:paraId="51AB4738" w14:textId="77777777" w:rsidTr="00B32A54">
        <w:tc>
          <w:tcPr>
            <w:tcW w:w="6487" w:type="dxa"/>
          </w:tcPr>
          <w:p w14:paraId="27D32AF4" w14:textId="77777777" w:rsidR="00AE1DEF" w:rsidRPr="0094438B" w:rsidRDefault="00AE1DEF" w:rsidP="00B32A54">
            <w:pPr>
              <w:rPr>
                <w:rFonts w:asciiTheme="majorHAnsi" w:hAnsiTheme="majorHAnsi"/>
              </w:rPr>
            </w:pPr>
            <w:r w:rsidRPr="0094438B">
              <w:rPr>
                <w:rFonts w:asciiTheme="majorHAnsi" w:hAnsiTheme="majorHAnsi"/>
              </w:rPr>
              <w:t>Variable</w:t>
            </w:r>
          </w:p>
        </w:tc>
        <w:tc>
          <w:tcPr>
            <w:tcW w:w="2029" w:type="dxa"/>
          </w:tcPr>
          <w:p w14:paraId="6B23A62F" w14:textId="77777777" w:rsidR="00AE1DEF" w:rsidRPr="0094438B" w:rsidRDefault="00AE1DEF" w:rsidP="00B32A54">
            <w:pPr>
              <w:jc w:val="center"/>
              <w:rPr>
                <w:rFonts w:asciiTheme="majorHAnsi" w:hAnsiTheme="majorHAnsi"/>
              </w:rPr>
            </w:pPr>
            <w:r w:rsidRPr="0094438B">
              <w:rPr>
                <w:rFonts w:asciiTheme="majorHAnsi" w:hAnsiTheme="majorHAnsi"/>
              </w:rPr>
              <w:t>Default Setting</w:t>
            </w:r>
          </w:p>
        </w:tc>
      </w:tr>
      <w:tr w:rsidR="00AE1DEF" w:rsidRPr="0094438B" w14:paraId="21134CA9" w14:textId="77777777" w:rsidTr="00B32A54">
        <w:tc>
          <w:tcPr>
            <w:tcW w:w="6487" w:type="dxa"/>
          </w:tcPr>
          <w:p w14:paraId="32D809C9" w14:textId="77777777" w:rsidR="00AE1DEF" w:rsidRPr="0094438B" w:rsidRDefault="00AE1DEF" w:rsidP="00B32A54">
            <w:pPr>
              <w:rPr>
                <w:rFonts w:asciiTheme="majorHAnsi" w:hAnsiTheme="majorHAnsi"/>
              </w:rPr>
            </w:pPr>
            <w:r w:rsidRPr="0094438B">
              <w:rPr>
                <w:rFonts w:asciiTheme="majorHAnsi" w:hAnsiTheme="majorHAnsi"/>
              </w:rPr>
              <w:t>SPV Maximum Borrowing Level</w:t>
            </w:r>
            <w:r>
              <w:rPr>
                <w:rFonts w:asciiTheme="majorHAnsi" w:hAnsiTheme="majorHAnsi"/>
              </w:rPr>
              <w:t xml:space="preserve"> from external sources</w:t>
            </w:r>
            <w:r w:rsidRPr="0094438B">
              <w:rPr>
                <w:rFonts w:asciiTheme="majorHAnsi" w:hAnsiTheme="majorHAnsi"/>
              </w:rPr>
              <w:t xml:space="preserve"> (</w:t>
            </w:r>
            <w:r>
              <w:rPr>
                <w:rFonts w:asciiTheme="majorHAnsi" w:hAnsiTheme="majorHAnsi"/>
              </w:rPr>
              <w:t xml:space="preserve">as </w:t>
            </w:r>
            <w:r w:rsidRPr="0094438B">
              <w:rPr>
                <w:rFonts w:asciiTheme="majorHAnsi" w:hAnsiTheme="majorHAnsi"/>
              </w:rPr>
              <w:t>% of total investment need)</w:t>
            </w:r>
          </w:p>
          <w:p w14:paraId="24FC20B7" w14:textId="77777777" w:rsidR="00AE1DEF" w:rsidRPr="0094438B" w:rsidRDefault="00AE1DEF" w:rsidP="00B32A54">
            <w:pPr>
              <w:rPr>
                <w:rFonts w:asciiTheme="majorHAnsi" w:hAnsiTheme="majorHAnsi"/>
              </w:rPr>
            </w:pPr>
            <w:r w:rsidRPr="0094438B">
              <w:rPr>
                <w:rFonts w:asciiTheme="majorHAnsi" w:hAnsiTheme="majorHAnsi"/>
              </w:rPr>
              <w:t>SPV Borrowing Rate (real)</w:t>
            </w:r>
          </w:p>
          <w:p w14:paraId="777FC4E6" w14:textId="77777777" w:rsidR="00AE1DEF" w:rsidRPr="0094438B" w:rsidRDefault="00AE1DEF" w:rsidP="00B32A54">
            <w:pPr>
              <w:rPr>
                <w:rFonts w:asciiTheme="majorHAnsi" w:hAnsiTheme="majorHAnsi"/>
              </w:rPr>
            </w:pPr>
            <w:r w:rsidRPr="0094438B">
              <w:rPr>
                <w:rFonts w:asciiTheme="majorHAnsi" w:hAnsiTheme="majorHAnsi"/>
              </w:rPr>
              <w:t>SPV Annual Repayment of Loan</w:t>
            </w:r>
            <w:r>
              <w:rPr>
                <w:rFonts w:asciiTheme="majorHAnsi" w:hAnsiTheme="majorHAnsi"/>
              </w:rPr>
              <w:t xml:space="preserve"> (as % of total loan)</w:t>
            </w:r>
          </w:p>
          <w:p w14:paraId="7BB1A323" w14:textId="77777777" w:rsidR="00AE1DEF" w:rsidRPr="0094438B" w:rsidRDefault="00AE1DEF" w:rsidP="00B32A54">
            <w:pPr>
              <w:rPr>
                <w:rFonts w:asciiTheme="majorHAnsi" w:hAnsiTheme="majorHAnsi"/>
              </w:rPr>
            </w:pPr>
            <w:r w:rsidRPr="0094438B">
              <w:rPr>
                <w:rFonts w:asciiTheme="majorHAnsi" w:hAnsiTheme="majorHAnsi"/>
              </w:rPr>
              <w:t xml:space="preserve">SPV Running Costs (as % of overall </w:t>
            </w:r>
            <w:r>
              <w:rPr>
                <w:rFonts w:asciiTheme="majorHAnsi" w:hAnsiTheme="majorHAnsi"/>
              </w:rPr>
              <w:t>investment</w:t>
            </w:r>
            <w:r w:rsidRPr="0094438B">
              <w:rPr>
                <w:rFonts w:asciiTheme="majorHAnsi" w:hAnsiTheme="majorHAnsi"/>
              </w:rPr>
              <w:t>)</w:t>
            </w:r>
          </w:p>
          <w:p w14:paraId="68CC7205" w14:textId="77777777" w:rsidR="00AE1DEF" w:rsidRPr="0094438B" w:rsidRDefault="00AE1DEF" w:rsidP="00B32A54">
            <w:pPr>
              <w:rPr>
                <w:rFonts w:asciiTheme="majorHAnsi" w:hAnsiTheme="majorHAnsi"/>
              </w:rPr>
            </w:pPr>
            <w:r w:rsidRPr="0094438B">
              <w:rPr>
                <w:rFonts w:asciiTheme="majorHAnsi" w:hAnsiTheme="majorHAnsi"/>
              </w:rPr>
              <w:t xml:space="preserve">SPV </w:t>
            </w:r>
            <w:r>
              <w:rPr>
                <w:rFonts w:asciiTheme="majorHAnsi" w:hAnsiTheme="majorHAnsi"/>
              </w:rPr>
              <w:t xml:space="preserve">Required Internal Rate of Return </w:t>
            </w:r>
            <w:r w:rsidRPr="0094438B">
              <w:rPr>
                <w:rFonts w:asciiTheme="majorHAnsi" w:hAnsiTheme="majorHAnsi"/>
              </w:rPr>
              <w:t>(real)</w:t>
            </w:r>
          </w:p>
          <w:p w14:paraId="063F10D9" w14:textId="77777777" w:rsidR="00AE1DEF" w:rsidRPr="0094438B" w:rsidRDefault="00AE1DEF" w:rsidP="00B32A54">
            <w:pPr>
              <w:rPr>
                <w:rFonts w:asciiTheme="majorHAnsi" w:hAnsiTheme="majorHAnsi"/>
              </w:rPr>
            </w:pPr>
            <w:r w:rsidRPr="0094438B">
              <w:rPr>
                <w:rFonts w:asciiTheme="majorHAnsi" w:hAnsiTheme="majorHAnsi"/>
              </w:rPr>
              <w:t>Measures considered</w:t>
            </w:r>
          </w:p>
          <w:p w14:paraId="3C75FEF1" w14:textId="77777777" w:rsidR="00AE1DEF" w:rsidRDefault="00AE1DEF" w:rsidP="00B32A54">
            <w:pPr>
              <w:rPr>
                <w:rFonts w:asciiTheme="majorHAnsi" w:hAnsiTheme="majorHAnsi"/>
              </w:rPr>
            </w:pPr>
            <w:r w:rsidRPr="0094438B">
              <w:rPr>
                <w:rFonts w:asciiTheme="majorHAnsi" w:hAnsiTheme="majorHAnsi"/>
              </w:rPr>
              <w:t>Maximum exploitation of any measure in any year</w:t>
            </w:r>
          </w:p>
          <w:p w14:paraId="15C2408A" w14:textId="77777777" w:rsidR="00AE1DEF" w:rsidRDefault="00AE1DEF" w:rsidP="00B32A54">
            <w:pPr>
              <w:rPr>
                <w:rFonts w:asciiTheme="majorHAnsi" w:hAnsiTheme="majorHAnsi"/>
              </w:rPr>
            </w:pPr>
            <w:r>
              <w:rPr>
                <w:rFonts w:asciiTheme="majorHAnsi" w:hAnsiTheme="majorHAnsi"/>
              </w:rPr>
              <w:t>Installer costs</w:t>
            </w:r>
          </w:p>
          <w:p w14:paraId="5832B191" w14:textId="77777777" w:rsidR="00AE1DEF" w:rsidRDefault="00AE1DEF" w:rsidP="00B32A54">
            <w:pPr>
              <w:rPr>
                <w:rFonts w:asciiTheme="majorHAnsi" w:hAnsiTheme="majorHAnsi"/>
              </w:rPr>
            </w:pPr>
            <w:r>
              <w:rPr>
                <w:rFonts w:asciiTheme="majorHAnsi" w:hAnsiTheme="majorHAnsi"/>
              </w:rPr>
              <w:t>Household repayment to SPV as proportion of total savings during repayment period</w:t>
            </w:r>
          </w:p>
          <w:p w14:paraId="2BD2F3CD" w14:textId="77777777" w:rsidR="00AE1DEF" w:rsidRDefault="00AE1DEF" w:rsidP="00B32A54">
            <w:pPr>
              <w:rPr>
                <w:rFonts w:asciiTheme="majorHAnsi" w:hAnsiTheme="majorHAnsi"/>
              </w:rPr>
            </w:pPr>
            <w:r>
              <w:rPr>
                <w:rFonts w:asciiTheme="majorHAnsi" w:hAnsiTheme="majorHAnsi"/>
              </w:rPr>
              <w:t>Performance gaps</w:t>
            </w:r>
          </w:p>
          <w:p w14:paraId="56DFB712" w14:textId="77777777" w:rsidR="00AE1DEF" w:rsidRDefault="00AE1DEF" w:rsidP="00B32A54">
            <w:pPr>
              <w:rPr>
                <w:rFonts w:asciiTheme="majorHAnsi" w:hAnsiTheme="majorHAnsi"/>
              </w:rPr>
            </w:pPr>
            <w:r>
              <w:rPr>
                <w:rFonts w:asciiTheme="majorHAnsi" w:hAnsiTheme="majorHAnsi"/>
              </w:rPr>
              <w:t>Direct rebound effects</w:t>
            </w:r>
          </w:p>
          <w:p w14:paraId="5F7EFED6" w14:textId="77777777" w:rsidR="00AE1DEF" w:rsidRDefault="00AE1DEF" w:rsidP="00B32A54">
            <w:pPr>
              <w:rPr>
                <w:rFonts w:asciiTheme="majorHAnsi" w:hAnsiTheme="majorHAnsi"/>
              </w:rPr>
            </w:pPr>
            <w:r>
              <w:rPr>
                <w:rFonts w:asciiTheme="majorHAnsi" w:hAnsiTheme="majorHAnsi"/>
              </w:rPr>
              <w:t>Household default levels</w:t>
            </w:r>
          </w:p>
          <w:p w14:paraId="260334A8" w14:textId="77777777" w:rsidR="00AE1DEF" w:rsidRPr="0094438B" w:rsidRDefault="00AE1DEF" w:rsidP="00B32A54">
            <w:pPr>
              <w:rPr>
                <w:rFonts w:asciiTheme="majorHAnsi" w:hAnsiTheme="majorHAnsi"/>
              </w:rPr>
            </w:pPr>
            <w:r>
              <w:rPr>
                <w:rFonts w:asciiTheme="majorHAnsi" w:hAnsiTheme="majorHAnsi"/>
              </w:rPr>
              <w:t>Cost recovery administration cost</w:t>
            </w:r>
          </w:p>
        </w:tc>
        <w:tc>
          <w:tcPr>
            <w:tcW w:w="2029" w:type="dxa"/>
          </w:tcPr>
          <w:p w14:paraId="6407CD7F" w14:textId="77777777" w:rsidR="00AE1DEF" w:rsidRDefault="00AE1DEF" w:rsidP="00B32A54">
            <w:pPr>
              <w:jc w:val="center"/>
              <w:rPr>
                <w:rFonts w:asciiTheme="majorHAnsi" w:hAnsiTheme="majorHAnsi"/>
              </w:rPr>
            </w:pPr>
            <w:r w:rsidRPr="0094438B">
              <w:rPr>
                <w:rFonts w:asciiTheme="majorHAnsi" w:hAnsiTheme="majorHAnsi"/>
              </w:rPr>
              <w:t>5%</w:t>
            </w:r>
          </w:p>
          <w:p w14:paraId="1A637162" w14:textId="77777777" w:rsidR="00AE1DEF" w:rsidRPr="0094438B" w:rsidRDefault="00AE1DEF" w:rsidP="00B32A54">
            <w:pPr>
              <w:jc w:val="center"/>
              <w:rPr>
                <w:rFonts w:asciiTheme="majorHAnsi" w:hAnsiTheme="majorHAnsi"/>
              </w:rPr>
            </w:pPr>
          </w:p>
          <w:p w14:paraId="740173D2" w14:textId="77777777" w:rsidR="00AE1DEF" w:rsidRPr="0094438B" w:rsidRDefault="00AE1DEF" w:rsidP="00B32A54">
            <w:pPr>
              <w:jc w:val="center"/>
              <w:rPr>
                <w:rFonts w:asciiTheme="majorHAnsi" w:hAnsiTheme="majorHAnsi"/>
              </w:rPr>
            </w:pPr>
            <w:r w:rsidRPr="0094438B">
              <w:rPr>
                <w:rFonts w:asciiTheme="majorHAnsi" w:hAnsiTheme="majorHAnsi"/>
              </w:rPr>
              <w:t>3%</w:t>
            </w:r>
          </w:p>
          <w:p w14:paraId="76C53A78" w14:textId="77777777" w:rsidR="00AE1DEF" w:rsidRPr="0094438B" w:rsidRDefault="00AE1DEF" w:rsidP="00B32A54">
            <w:pPr>
              <w:jc w:val="center"/>
              <w:rPr>
                <w:rFonts w:asciiTheme="majorHAnsi" w:hAnsiTheme="majorHAnsi"/>
              </w:rPr>
            </w:pPr>
            <w:r w:rsidRPr="0094438B">
              <w:rPr>
                <w:rFonts w:asciiTheme="majorHAnsi" w:hAnsiTheme="majorHAnsi"/>
              </w:rPr>
              <w:t>5%</w:t>
            </w:r>
          </w:p>
          <w:p w14:paraId="0760FF1D" w14:textId="77777777" w:rsidR="00AE1DEF" w:rsidRDefault="00AE1DEF" w:rsidP="00B32A54">
            <w:pPr>
              <w:jc w:val="center"/>
              <w:rPr>
                <w:rFonts w:asciiTheme="majorHAnsi" w:hAnsiTheme="majorHAnsi"/>
              </w:rPr>
            </w:pPr>
            <w:r w:rsidRPr="0094438B">
              <w:rPr>
                <w:rFonts w:asciiTheme="majorHAnsi" w:hAnsiTheme="majorHAnsi"/>
              </w:rPr>
              <w:t>3%</w:t>
            </w:r>
          </w:p>
          <w:p w14:paraId="2F27B635" w14:textId="77777777" w:rsidR="00AE1DEF" w:rsidRDefault="00AE1DEF" w:rsidP="00B32A54">
            <w:pPr>
              <w:jc w:val="center"/>
              <w:rPr>
                <w:rFonts w:asciiTheme="majorHAnsi" w:hAnsiTheme="majorHAnsi"/>
              </w:rPr>
            </w:pPr>
            <w:r>
              <w:rPr>
                <w:rFonts w:asciiTheme="majorHAnsi" w:hAnsiTheme="majorHAnsi"/>
              </w:rPr>
              <w:t>4%</w:t>
            </w:r>
          </w:p>
          <w:p w14:paraId="2185CB59" w14:textId="77777777" w:rsidR="00AE1DEF" w:rsidRDefault="00AE1DEF" w:rsidP="00B32A54">
            <w:pPr>
              <w:jc w:val="center"/>
              <w:rPr>
                <w:rFonts w:asciiTheme="majorHAnsi" w:hAnsiTheme="majorHAnsi"/>
              </w:rPr>
            </w:pPr>
            <w:r>
              <w:rPr>
                <w:rFonts w:asciiTheme="majorHAnsi" w:hAnsiTheme="majorHAnsi"/>
              </w:rPr>
              <w:t>All</w:t>
            </w:r>
          </w:p>
          <w:p w14:paraId="24D6E2BC" w14:textId="77777777" w:rsidR="00AE1DEF" w:rsidRDefault="00AE1DEF" w:rsidP="00B32A54">
            <w:pPr>
              <w:jc w:val="center"/>
              <w:rPr>
                <w:rFonts w:asciiTheme="majorHAnsi" w:hAnsiTheme="majorHAnsi"/>
              </w:rPr>
            </w:pPr>
            <w:r>
              <w:rPr>
                <w:rFonts w:asciiTheme="majorHAnsi" w:hAnsiTheme="majorHAnsi"/>
              </w:rPr>
              <w:t>20%</w:t>
            </w:r>
          </w:p>
          <w:p w14:paraId="62C5121F" w14:textId="77777777" w:rsidR="00AE1DEF" w:rsidRDefault="00AE1DEF" w:rsidP="00B32A54">
            <w:pPr>
              <w:jc w:val="center"/>
              <w:rPr>
                <w:rFonts w:asciiTheme="majorHAnsi" w:hAnsiTheme="majorHAnsi"/>
              </w:rPr>
            </w:pPr>
            <w:r>
              <w:rPr>
                <w:rFonts w:asciiTheme="majorHAnsi" w:hAnsiTheme="majorHAnsi"/>
              </w:rPr>
              <w:t>10%</w:t>
            </w:r>
          </w:p>
          <w:p w14:paraId="3D552892" w14:textId="77777777" w:rsidR="00AE1DEF" w:rsidRDefault="00AE1DEF" w:rsidP="00B32A54">
            <w:pPr>
              <w:jc w:val="center"/>
              <w:rPr>
                <w:rFonts w:asciiTheme="majorHAnsi" w:hAnsiTheme="majorHAnsi"/>
              </w:rPr>
            </w:pPr>
            <w:r>
              <w:rPr>
                <w:rFonts w:asciiTheme="majorHAnsi" w:hAnsiTheme="majorHAnsi"/>
              </w:rPr>
              <w:t>75%</w:t>
            </w:r>
          </w:p>
          <w:p w14:paraId="070245CE" w14:textId="77777777" w:rsidR="00AE1DEF" w:rsidRDefault="00AE1DEF" w:rsidP="00B32A54">
            <w:pPr>
              <w:jc w:val="center"/>
              <w:rPr>
                <w:rFonts w:asciiTheme="majorHAnsi" w:hAnsiTheme="majorHAnsi"/>
              </w:rPr>
            </w:pPr>
          </w:p>
          <w:p w14:paraId="7D3C9E5D" w14:textId="77777777" w:rsidR="00AE1DEF" w:rsidRDefault="00AE1DEF" w:rsidP="00B32A54">
            <w:pPr>
              <w:jc w:val="center"/>
              <w:rPr>
                <w:rFonts w:asciiTheme="majorHAnsi" w:hAnsiTheme="majorHAnsi"/>
              </w:rPr>
            </w:pPr>
            <w:r>
              <w:rPr>
                <w:rFonts w:asciiTheme="majorHAnsi" w:hAnsiTheme="majorHAnsi"/>
              </w:rPr>
              <w:t>41.6%</w:t>
            </w:r>
          </w:p>
          <w:p w14:paraId="19944E46" w14:textId="77777777" w:rsidR="00AE1DEF" w:rsidRDefault="00AE1DEF" w:rsidP="00B32A54">
            <w:pPr>
              <w:jc w:val="center"/>
              <w:rPr>
                <w:rFonts w:asciiTheme="majorHAnsi" w:hAnsiTheme="majorHAnsi"/>
              </w:rPr>
            </w:pPr>
            <w:r>
              <w:rPr>
                <w:rFonts w:asciiTheme="majorHAnsi" w:hAnsiTheme="majorHAnsi"/>
              </w:rPr>
              <w:t>15%</w:t>
            </w:r>
          </w:p>
          <w:p w14:paraId="698B89E6" w14:textId="77777777" w:rsidR="00AE1DEF" w:rsidRDefault="00AE1DEF" w:rsidP="00B32A54">
            <w:pPr>
              <w:jc w:val="center"/>
              <w:rPr>
                <w:rFonts w:asciiTheme="majorHAnsi" w:hAnsiTheme="majorHAnsi"/>
              </w:rPr>
            </w:pPr>
            <w:r>
              <w:rPr>
                <w:rFonts w:asciiTheme="majorHAnsi" w:hAnsiTheme="majorHAnsi"/>
              </w:rPr>
              <w:t>5%</w:t>
            </w:r>
          </w:p>
          <w:p w14:paraId="29363EC8" w14:textId="77777777" w:rsidR="00AE1DEF" w:rsidRPr="0094438B" w:rsidRDefault="00AE1DEF" w:rsidP="00B32A54">
            <w:pPr>
              <w:jc w:val="center"/>
              <w:rPr>
                <w:rFonts w:asciiTheme="majorHAnsi" w:hAnsiTheme="majorHAnsi"/>
              </w:rPr>
            </w:pPr>
            <w:r>
              <w:rPr>
                <w:rFonts w:asciiTheme="majorHAnsi" w:hAnsiTheme="majorHAnsi"/>
              </w:rPr>
              <w:t>0.1%</w:t>
            </w:r>
          </w:p>
        </w:tc>
      </w:tr>
    </w:tbl>
    <w:p w14:paraId="7C70A63D" w14:textId="77777777" w:rsidR="00AE1DEF" w:rsidRPr="00BA5809" w:rsidRDefault="00AE1DEF" w:rsidP="00AE1DEF">
      <w:pPr>
        <w:rPr>
          <w:rFonts w:asciiTheme="majorHAnsi" w:hAnsiTheme="majorHAnsi"/>
        </w:rPr>
      </w:pPr>
    </w:p>
    <w:p w14:paraId="08A670DE" w14:textId="77777777" w:rsidR="00AE1DEF" w:rsidRDefault="00AE1DEF" w:rsidP="00AE1DEF">
      <w:pPr>
        <w:rPr>
          <w:rFonts w:asciiTheme="majorHAnsi" w:hAnsiTheme="majorHAnsi"/>
        </w:rPr>
      </w:pPr>
      <w:r>
        <w:rPr>
          <w:rFonts w:asciiTheme="majorHAnsi" w:hAnsiTheme="majorHAnsi"/>
        </w:rPr>
        <w:br w:type="page"/>
      </w:r>
    </w:p>
    <w:p w14:paraId="7444AE1E" w14:textId="77777777" w:rsidR="00AE1DEF" w:rsidRDefault="00AE1DEF" w:rsidP="00AE1DEF">
      <w:pPr>
        <w:rPr>
          <w:rFonts w:asciiTheme="majorHAnsi" w:hAnsiTheme="majorHAnsi"/>
          <w:noProof/>
        </w:rPr>
      </w:pPr>
      <w:r w:rsidRPr="00616901">
        <w:rPr>
          <w:rFonts w:asciiTheme="majorHAnsi" w:hAnsiTheme="majorHAnsi"/>
          <w:noProof/>
        </w:rPr>
        <w:lastRenderedPageBreak/>
        <w:t>Figure 2 – Profile of Investments and Savings with Default Settings</w:t>
      </w:r>
    </w:p>
    <w:p w14:paraId="09D89AF4" w14:textId="77777777" w:rsidR="00AE1DEF" w:rsidRDefault="00AE1DEF" w:rsidP="00AE1DEF">
      <w:pPr>
        <w:rPr>
          <w:rFonts w:asciiTheme="majorHAnsi" w:hAnsiTheme="majorHAnsi"/>
          <w:noProof/>
        </w:rPr>
      </w:pPr>
    </w:p>
    <w:p w14:paraId="55BD4567" w14:textId="77777777" w:rsidR="00AE1DEF" w:rsidRDefault="00AE1DEF" w:rsidP="00AE1DEF">
      <w:pPr>
        <w:rPr>
          <w:rFonts w:asciiTheme="majorHAnsi" w:hAnsiTheme="majorHAnsi"/>
          <w:noProof/>
        </w:rPr>
      </w:pPr>
      <w:r w:rsidRPr="00D70CED">
        <w:rPr>
          <w:noProof/>
          <w:lang w:eastAsia="en-GB"/>
        </w:rPr>
        <w:drawing>
          <wp:inline distT="0" distB="0" distL="0" distR="0" wp14:anchorId="3A2DEF5C" wp14:editId="0F447271">
            <wp:extent cx="5270500" cy="215876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0500" cy="2158768"/>
                    </a:xfrm>
                    <a:prstGeom prst="rect">
                      <a:avLst/>
                    </a:prstGeom>
                    <a:noFill/>
                    <a:ln>
                      <a:noFill/>
                    </a:ln>
                  </pic:spPr>
                </pic:pic>
              </a:graphicData>
            </a:graphic>
          </wp:inline>
        </w:drawing>
      </w:r>
    </w:p>
    <w:p w14:paraId="591C5430" w14:textId="77777777" w:rsidR="00AE1DEF" w:rsidRDefault="00AE1DEF" w:rsidP="00AE1DEF">
      <w:pPr>
        <w:rPr>
          <w:rFonts w:asciiTheme="majorHAnsi" w:hAnsiTheme="majorHAnsi"/>
          <w:noProof/>
        </w:rPr>
      </w:pPr>
    </w:p>
    <w:p w14:paraId="2ED69220" w14:textId="77777777" w:rsidR="00AE1DEF" w:rsidRDefault="00AE1DEF" w:rsidP="00AE1DEF">
      <w:pPr>
        <w:rPr>
          <w:rFonts w:asciiTheme="majorHAnsi" w:hAnsiTheme="majorHAnsi"/>
          <w:noProof/>
        </w:rPr>
      </w:pPr>
    </w:p>
    <w:p w14:paraId="78B0A38C" w14:textId="77777777" w:rsidR="00AE1DEF" w:rsidRDefault="00AE1DEF" w:rsidP="00AE1DEF">
      <w:pPr>
        <w:rPr>
          <w:rFonts w:asciiTheme="majorHAnsi" w:hAnsiTheme="majorHAnsi"/>
          <w:noProof/>
        </w:rPr>
      </w:pPr>
    </w:p>
    <w:p w14:paraId="2B7F2E77" w14:textId="77777777" w:rsidR="00AE1DEF" w:rsidRPr="00616901" w:rsidRDefault="00AE1DEF" w:rsidP="00AE1DEF">
      <w:pPr>
        <w:rPr>
          <w:rFonts w:asciiTheme="majorHAnsi" w:hAnsiTheme="majorHAnsi"/>
          <w:noProof/>
        </w:rPr>
      </w:pPr>
      <w:r>
        <w:rPr>
          <w:rFonts w:asciiTheme="majorHAnsi" w:hAnsiTheme="majorHAnsi"/>
          <w:noProof/>
        </w:rPr>
        <w:t>Figure 3 – Profile of Annual and Accumulated Carbon Savings with Default Settings</w:t>
      </w:r>
    </w:p>
    <w:p w14:paraId="492667C4" w14:textId="77777777" w:rsidR="00AE1DEF" w:rsidRDefault="00AE1DEF" w:rsidP="00AE1DEF">
      <w:pPr>
        <w:rPr>
          <w:noProof/>
        </w:rPr>
      </w:pPr>
    </w:p>
    <w:p w14:paraId="6167B08E" w14:textId="77777777" w:rsidR="00AE1DEF" w:rsidRDefault="00AE1DEF" w:rsidP="00AE1DEF">
      <w:pPr>
        <w:rPr>
          <w:noProof/>
        </w:rPr>
      </w:pPr>
      <w:r w:rsidRPr="002E1A4B">
        <w:rPr>
          <w:noProof/>
          <w:lang w:eastAsia="en-GB"/>
        </w:rPr>
        <w:drawing>
          <wp:inline distT="0" distB="0" distL="0" distR="0" wp14:anchorId="4FE7209B" wp14:editId="70DAC60E">
            <wp:extent cx="5270500" cy="214304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0500" cy="2143040"/>
                    </a:xfrm>
                    <a:prstGeom prst="rect">
                      <a:avLst/>
                    </a:prstGeom>
                    <a:noFill/>
                    <a:ln>
                      <a:noFill/>
                    </a:ln>
                  </pic:spPr>
                </pic:pic>
              </a:graphicData>
            </a:graphic>
          </wp:inline>
        </w:drawing>
      </w:r>
    </w:p>
    <w:p w14:paraId="61ED1612" w14:textId="77777777" w:rsidR="00AE1DEF" w:rsidRDefault="00AE1DEF" w:rsidP="00AE1DEF">
      <w:pPr>
        <w:rPr>
          <w:noProof/>
        </w:rPr>
      </w:pPr>
    </w:p>
    <w:p w14:paraId="5F748C40" w14:textId="77777777" w:rsidR="00AE1DEF" w:rsidRDefault="00AE1DEF" w:rsidP="00AE1DEF">
      <w:pPr>
        <w:rPr>
          <w:noProof/>
        </w:rPr>
      </w:pPr>
    </w:p>
    <w:p w14:paraId="153559AE" w14:textId="77777777" w:rsidR="00AE1DEF" w:rsidRDefault="00AE1DEF" w:rsidP="00AE1DEF">
      <w:pPr>
        <w:rPr>
          <w:noProof/>
        </w:rPr>
      </w:pPr>
      <w:r>
        <w:rPr>
          <w:rFonts w:asciiTheme="majorHAnsi" w:hAnsiTheme="majorHAnsi"/>
          <w:noProof/>
        </w:rPr>
        <w:t>Figure 4: Profile of Investments and Savings with Government Paying Interest</w:t>
      </w:r>
    </w:p>
    <w:p w14:paraId="3ABE274D" w14:textId="77777777" w:rsidR="00AE1DEF" w:rsidRDefault="00AE1DEF" w:rsidP="00AE1DEF">
      <w:pPr>
        <w:rPr>
          <w:noProof/>
        </w:rPr>
      </w:pPr>
    </w:p>
    <w:p w14:paraId="2BF68C91" w14:textId="77777777" w:rsidR="00AE1DEF" w:rsidRDefault="00AE1DEF" w:rsidP="00AE1DEF">
      <w:pPr>
        <w:rPr>
          <w:noProof/>
        </w:rPr>
      </w:pPr>
      <w:r w:rsidRPr="00C40047">
        <w:rPr>
          <w:noProof/>
          <w:lang w:eastAsia="en-GB"/>
        </w:rPr>
        <w:drawing>
          <wp:inline distT="0" distB="0" distL="0" distR="0" wp14:anchorId="13ECE892" wp14:editId="02A2E8A8">
            <wp:extent cx="5270500" cy="22437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0500" cy="2243702"/>
                    </a:xfrm>
                    <a:prstGeom prst="rect">
                      <a:avLst/>
                    </a:prstGeom>
                    <a:noFill/>
                    <a:ln>
                      <a:noFill/>
                    </a:ln>
                  </pic:spPr>
                </pic:pic>
              </a:graphicData>
            </a:graphic>
          </wp:inline>
        </w:drawing>
      </w:r>
      <w:r>
        <w:rPr>
          <w:noProof/>
        </w:rPr>
        <w:br w:type="page"/>
      </w:r>
    </w:p>
    <w:p w14:paraId="2C7B571E" w14:textId="77777777" w:rsidR="00AE1DEF" w:rsidRDefault="00AE1DEF" w:rsidP="00AE1DEF">
      <w:pPr>
        <w:rPr>
          <w:rFonts w:asciiTheme="majorHAnsi" w:hAnsiTheme="majorHAnsi"/>
        </w:rPr>
      </w:pPr>
      <w:r>
        <w:rPr>
          <w:rFonts w:asciiTheme="majorHAnsi" w:hAnsiTheme="majorHAnsi"/>
        </w:rPr>
        <w:lastRenderedPageBreak/>
        <w:t>Table 3 – Sensitivities and Impacts of Changing Key Variables</w:t>
      </w:r>
    </w:p>
    <w:p w14:paraId="12C9D578" w14:textId="77777777" w:rsidR="00AE1DEF" w:rsidRDefault="00AE1DEF" w:rsidP="00AE1DEF">
      <w:pPr>
        <w:rPr>
          <w:rFonts w:asciiTheme="majorHAnsi" w:hAnsiTheme="majorHAnsi"/>
        </w:rPr>
      </w:pPr>
    </w:p>
    <w:tbl>
      <w:tblPr>
        <w:tblStyle w:val="TableGrid"/>
        <w:tblW w:w="8506" w:type="dxa"/>
        <w:tblInd w:w="-176" w:type="dxa"/>
        <w:tblLayout w:type="fixed"/>
        <w:tblLook w:val="04A0" w:firstRow="1" w:lastRow="0" w:firstColumn="1" w:lastColumn="0" w:noHBand="0" w:noVBand="1"/>
      </w:tblPr>
      <w:tblGrid>
        <w:gridCol w:w="1702"/>
        <w:gridCol w:w="1276"/>
        <w:gridCol w:w="992"/>
        <w:gridCol w:w="1181"/>
        <w:gridCol w:w="966"/>
        <w:gridCol w:w="1255"/>
        <w:gridCol w:w="1134"/>
      </w:tblGrid>
      <w:tr w:rsidR="00AE1DEF" w:rsidRPr="00B04640" w14:paraId="07ED0758" w14:textId="77777777" w:rsidTr="00B32A54">
        <w:tc>
          <w:tcPr>
            <w:tcW w:w="1702" w:type="dxa"/>
          </w:tcPr>
          <w:p w14:paraId="640F1F94" w14:textId="77777777" w:rsidR="00AE1DEF" w:rsidRPr="00B04640" w:rsidRDefault="00AE1DEF" w:rsidP="00B32A54">
            <w:pPr>
              <w:rPr>
                <w:rFonts w:asciiTheme="majorHAnsi" w:hAnsiTheme="majorHAnsi"/>
                <w:sz w:val="20"/>
                <w:szCs w:val="20"/>
              </w:rPr>
            </w:pPr>
          </w:p>
        </w:tc>
        <w:tc>
          <w:tcPr>
            <w:tcW w:w="1276" w:type="dxa"/>
          </w:tcPr>
          <w:p w14:paraId="333B5971"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Total Investment</w:t>
            </w:r>
          </w:p>
          <w:p w14:paraId="06E31461"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(£bn)</w:t>
            </w:r>
          </w:p>
        </w:tc>
        <w:tc>
          <w:tcPr>
            <w:tcW w:w="992" w:type="dxa"/>
          </w:tcPr>
          <w:p w14:paraId="509175EC"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 xml:space="preserve">New </w:t>
            </w:r>
          </w:p>
          <w:p w14:paraId="7765D0C6"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 xml:space="preserve">Lending </w:t>
            </w:r>
          </w:p>
          <w:p w14:paraId="1807274E"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(£bn)</w:t>
            </w:r>
          </w:p>
        </w:tc>
        <w:tc>
          <w:tcPr>
            <w:tcW w:w="1181" w:type="dxa"/>
          </w:tcPr>
          <w:p w14:paraId="657B9A0D"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Recycled Investment (£bn)</w:t>
            </w:r>
          </w:p>
        </w:tc>
        <w:tc>
          <w:tcPr>
            <w:tcW w:w="966" w:type="dxa"/>
          </w:tcPr>
          <w:p w14:paraId="51D1BFD6"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 xml:space="preserve">Peak </w:t>
            </w:r>
          </w:p>
          <w:p w14:paraId="76B949C8"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Carbon Savings (MT)</w:t>
            </w:r>
          </w:p>
        </w:tc>
        <w:tc>
          <w:tcPr>
            <w:tcW w:w="1255" w:type="dxa"/>
          </w:tcPr>
          <w:p w14:paraId="3D508414"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 xml:space="preserve">Lifetime Carbon </w:t>
            </w:r>
          </w:p>
          <w:p w14:paraId="54E7C802"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Savings</w:t>
            </w:r>
          </w:p>
          <w:p w14:paraId="5AF0DF46"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(MT)</w:t>
            </w:r>
          </w:p>
        </w:tc>
        <w:tc>
          <w:tcPr>
            <w:tcW w:w="1134" w:type="dxa"/>
          </w:tcPr>
          <w:p w14:paraId="65B26582"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Time for SPV to become debt free (yrs)</w:t>
            </w:r>
          </w:p>
        </w:tc>
      </w:tr>
      <w:tr w:rsidR="00AE1DEF" w:rsidRPr="00B04640" w14:paraId="304E2FAE" w14:textId="77777777" w:rsidTr="00B32A54">
        <w:tc>
          <w:tcPr>
            <w:tcW w:w="1702" w:type="dxa"/>
          </w:tcPr>
          <w:p w14:paraId="2B3F69A7"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Default settings</w:t>
            </w:r>
            <w:r>
              <w:rPr>
                <w:rFonts w:asciiTheme="majorHAnsi" w:hAnsiTheme="majorHAnsi"/>
                <w:sz w:val="20"/>
                <w:szCs w:val="20"/>
              </w:rPr>
              <w:t xml:space="preserve"> </w:t>
            </w:r>
          </w:p>
        </w:tc>
        <w:tc>
          <w:tcPr>
            <w:tcW w:w="1276" w:type="dxa"/>
          </w:tcPr>
          <w:p w14:paraId="3AC4E55D"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33.7</w:t>
            </w:r>
          </w:p>
        </w:tc>
        <w:tc>
          <w:tcPr>
            <w:tcW w:w="992" w:type="dxa"/>
          </w:tcPr>
          <w:p w14:paraId="2E9FF561"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24.8</w:t>
            </w:r>
          </w:p>
        </w:tc>
        <w:tc>
          <w:tcPr>
            <w:tcW w:w="1181" w:type="dxa"/>
          </w:tcPr>
          <w:p w14:paraId="499566D9"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8.9</w:t>
            </w:r>
          </w:p>
        </w:tc>
        <w:tc>
          <w:tcPr>
            <w:tcW w:w="966" w:type="dxa"/>
          </w:tcPr>
          <w:p w14:paraId="03978028"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9.3</w:t>
            </w:r>
          </w:p>
        </w:tc>
        <w:tc>
          <w:tcPr>
            <w:tcW w:w="1255" w:type="dxa"/>
          </w:tcPr>
          <w:p w14:paraId="661C3288"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353</w:t>
            </w:r>
          </w:p>
        </w:tc>
        <w:tc>
          <w:tcPr>
            <w:tcW w:w="1134" w:type="dxa"/>
          </w:tcPr>
          <w:p w14:paraId="62CB677E"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38</w:t>
            </w:r>
          </w:p>
        </w:tc>
      </w:tr>
      <w:tr w:rsidR="00AE1DEF" w:rsidRPr="00B04640" w14:paraId="0296AA13" w14:textId="77777777" w:rsidTr="00B32A54">
        <w:tc>
          <w:tcPr>
            <w:tcW w:w="1702" w:type="dxa"/>
          </w:tcPr>
          <w:p w14:paraId="4287F70F" w14:textId="77777777" w:rsidR="00AE1DEF" w:rsidRPr="00B04640" w:rsidRDefault="00AE1DEF" w:rsidP="00B32A54">
            <w:pPr>
              <w:rPr>
                <w:rFonts w:asciiTheme="majorHAnsi" w:hAnsiTheme="majorHAnsi"/>
                <w:sz w:val="20"/>
                <w:szCs w:val="20"/>
              </w:rPr>
            </w:pPr>
            <w:r>
              <w:rPr>
                <w:rFonts w:asciiTheme="majorHAnsi" w:hAnsiTheme="majorHAnsi"/>
                <w:sz w:val="20"/>
                <w:szCs w:val="20"/>
              </w:rPr>
              <w:t>High (low) energy prices</w:t>
            </w:r>
          </w:p>
        </w:tc>
        <w:tc>
          <w:tcPr>
            <w:tcW w:w="1276" w:type="dxa"/>
            <w:vAlign w:val="bottom"/>
          </w:tcPr>
          <w:p w14:paraId="751DD3E9" w14:textId="77777777" w:rsidR="00AE1DEF" w:rsidRPr="00766443" w:rsidRDefault="00AE1DEF" w:rsidP="00B32A54">
            <w:pPr>
              <w:rPr>
                <w:rFonts w:asciiTheme="majorHAnsi" w:hAnsiTheme="majorHAnsi" w:cs="Arial"/>
                <w:color w:val="000000"/>
                <w:sz w:val="20"/>
                <w:szCs w:val="20"/>
              </w:rPr>
            </w:pPr>
            <w:r w:rsidRPr="00766443">
              <w:rPr>
                <w:rFonts w:asciiTheme="majorHAnsi" w:hAnsiTheme="majorHAnsi" w:cs="Arial"/>
                <w:color w:val="000000"/>
                <w:sz w:val="20"/>
                <w:szCs w:val="20"/>
              </w:rPr>
              <w:t>33.7</w:t>
            </w:r>
          </w:p>
          <w:p w14:paraId="14578D34" w14:textId="77777777" w:rsidR="00AE1DEF" w:rsidRPr="00766443" w:rsidRDefault="00AE1DEF" w:rsidP="00B32A54">
            <w:pPr>
              <w:rPr>
                <w:rFonts w:asciiTheme="majorHAnsi" w:hAnsiTheme="majorHAnsi" w:cs="Arial"/>
                <w:color w:val="000000"/>
                <w:sz w:val="20"/>
                <w:szCs w:val="20"/>
              </w:rPr>
            </w:pPr>
          </w:p>
        </w:tc>
        <w:tc>
          <w:tcPr>
            <w:tcW w:w="992" w:type="dxa"/>
            <w:vAlign w:val="bottom"/>
          </w:tcPr>
          <w:p w14:paraId="7DD0CB98" w14:textId="77777777" w:rsidR="00AE1DEF" w:rsidRPr="00766443" w:rsidRDefault="00AE1DEF" w:rsidP="00B32A54">
            <w:pPr>
              <w:rPr>
                <w:rFonts w:asciiTheme="majorHAnsi" w:hAnsiTheme="majorHAnsi" w:cs="Arial"/>
                <w:color w:val="000000"/>
                <w:sz w:val="20"/>
                <w:szCs w:val="20"/>
              </w:rPr>
            </w:pPr>
            <w:r w:rsidRPr="00766443">
              <w:rPr>
                <w:rFonts w:asciiTheme="majorHAnsi" w:hAnsiTheme="majorHAnsi" w:cs="Arial"/>
                <w:color w:val="000000"/>
                <w:sz w:val="20"/>
                <w:szCs w:val="20"/>
              </w:rPr>
              <w:t>22.5</w:t>
            </w:r>
          </w:p>
          <w:p w14:paraId="4E1F7FE7" w14:textId="77777777" w:rsidR="00AE1DEF" w:rsidRPr="00766443" w:rsidRDefault="00AE1DEF" w:rsidP="00B32A54">
            <w:pPr>
              <w:rPr>
                <w:rFonts w:asciiTheme="majorHAnsi" w:hAnsiTheme="majorHAnsi" w:cs="Arial"/>
                <w:color w:val="000000"/>
                <w:sz w:val="20"/>
                <w:szCs w:val="20"/>
              </w:rPr>
            </w:pPr>
            <w:r w:rsidRPr="00766443">
              <w:rPr>
                <w:rFonts w:asciiTheme="majorHAnsi" w:hAnsiTheme="majorHAnsi" w:cs="Arial"/>
                <w:color w:val="000000"/>
                <w:sz w:val="20"/>
                <w:szCs w:val="20"/>
              </w:rPr>
              <w:t>(27)</w:t>
            </w:r>
          </w:p>
        </w:tc>
        <w:tc>
          <w:tcPr>
            <w:tcW w:w="1181" w:type="dxa"/>
            <w:vAlign w:val="bottom"/>
          </w:tcPr>
          <w:p w14:paraId="297A9A29" w14:textId="77777777" w:rsidR="00AE1DEF" w:rsidRPr="00766443" w:rsidRDefault="00AE1DEF" w:rsidP="00B32A54">
            <w:pPr>
              <w:rPr>
                <w:rFonts w:asciiTheme="majorHAnsi" w:hAnsiTheme="majorHAnsi" w:cs="Arial"/>
                <w:color w:val="000000"/>
                <w:sz w:val="20"/>
                <w:szCs w:val="20"/>
              </w:rPr>
            </w:pPr>
            <w:r w:rsidRPr="00766443">
              <w:rPr>
                <w:rFonts w:asciiTheme="majorHAnsi" w:hAnsiTheme="majorHAnsi" w:cs="Arial"/>
                <w:color w:val="000000"/>
                <w:sz w:val="20"/>
                <w:szCs w:val="20"/>
              </w:rPr>
              <w:t>11.2</w:t>
            </w:r>
          </w:p>
          <w:p w14:paraId="5F78D72E" w14:textId="77777777" w:rsidR="00AE1DEF" w:rsidRPr="00766443" w:rsidRDefault="00AE1DEF" w:rsidP="00B32A54">
            <w:pPr>
              <w:rPr>
                <w:rFonts w:asciiTheme="majorHAnsi" w:hAnsiTheme="majorHAnsi" w:cs="Arial"/>
                <w:color w:val="000000"/>
                <w:sz w:val="20"/>
                <w:szCs w:val="20"/>
              </w:rPr>
            </w:pPr>
            <w:r w:rsidRPr="00766443">
              <w:rPr>
                <w:rFonts w:asciiTheme="majorHAnsi" w:hAnsiTheme="majorHAnsi" w:cs="Arial"/>
                <w:color w:val="000000"/>
                <w:sz w:val="20"/>
                <w:szCs w:val="20"/>
              </w:rPr>
              <w:t>(6.7)</w:t>
            </w:r>
          </w:p>
        </w:tc>
        <w:tc>
          <w:tcPr>
            <w:tcW w:w="966" w:type="dxa"/>
            <w:vAlign w:val="bottom"/>
          </w:tcPr>
          <w:p w14:paraId="39E3FA12" w14:textId="77777777" w:rsidR="00AE1DEF" w:rsidRPr="00766443" w:rsidRDefault="00AE1DEF" w:rsidP="00B32A54">
            <w:pPr>
              <w:rPr>
                <w:rFonts w:asciiTheme="majorHAnsi" w:hAnsiTheme="majorHAnsi" w:cs="Arial"/>
                <w:color w:val="000000"/>
                <w:sz w:val="20"/>
                <w:szCs w:val="20"/>
              </w:rPr>
            </w:pPr>
            <w:r w:rsidRPr="00766443">
              <w:rPr>
                <w:rFonts w:asciiTheme="majorHAnsi" w:hAnsiTheme="majorHAnsi" w:cs="Arial"/>
                <w:color w:val="000000"/>
                <w:sz w:val="20"/>
                <w:szCs w:val="20"/>
              </w:rPr>
              <w:t>9.4</w:t>
            </w:r>
          </w:p>
          <w:p w14:paraId="79FD4FC4" w14:textId="77777777" w:rsidR="00AE1DEF" w:rsidRPr="00766443" w:rsidRDefault="00AE1DEF" w:rsidP="00B32A54">
            <w:pPr>
              <w:rPr>
                <w:rFonts w:asciiTheme="majorHAnsi" w:hAnsiTheme="majorHAnsi" w:cs="Arial"/>
                <w:color w:val="000000"/>
                <w:sz w:val="20"/>
                <w:szCs w:val="20"/>
              </w:rPr>
            </w:pPr>
            <w:r w:rsidRPr="00766443">
              <w:rPr>
                <w:rFonts w:asciiTheme="majorHAnsi" w:hAnsiTheme="majorHAnsi" w:cs="Arial"/>
                <w:color w:val="000000"/>
                <w:sz w:val="20"/>
                <w:szCs w:val="20"/>
              </w:rPr>
              <w:t>(9.2)</w:t>
            </w:r>
          </w:p>
        </w:tc>
        <w:tc>
          <w:tcPr>
            <w:tcW w:w="1255" w:type="dxa"/>
            <w:vAlign w:val="bottom"/>
          </w:tcPr>
          <w:p w14:paraId="05E9FA22" w14:textId="77777777" w:rsidR="00AE1DEF" w:rsidRPr="00766443" w:rsidRDefault="00AE1DEF" w:rsidP="00B32A54">
            <w:pPr>
              <w:rPr>
                <w:rFonts w:asciiTheme="majorHAnsi" w:hAnsiTheme="majorHAnsi" w:cs="Arial"/>
                <w:color w:val="000000"/>
                <w:sz w:val="20"/>
                <w:szCs w:val="20"/>
              </w:rPr>
            </w:pPr>
            <w:r w:rsidRPr="00766443">
              <w:rPr>
                <w:rFonts w:asciiTheme="majorHAnsi" w:hAnsiTheme="majorHAnsi" w:cs="Arial"/>
                <w:color w:val="000000"/>
                <w:sz w:val="20"/>
                <w:szCs w:val="20"/>
              </w:rPr>
              <w:t>354</w:t>
            </w:r>
          </w:p>
          <w:p w14:paraId="7C2D9B6D" w14:textId="77777777" w:rsidR="00AE1DEF" w:rsidRPr="00766443" w:rsidRDefault="00AE1DEF" w:rsidP="00B32A54">
            <w:pPr>
              <w:rPr>
                <w:rFonts w:asciiTheme="majorHAnsi" w:hAnsiTheme="majorHAnsi" w:cs="Arial"/>
                <w:color w:val="000000"/>
                <w:sz w:val="20"/>
                <w:szCs w:val="20"/>
              </w:rPr>
            </w:pPr>
            <w:r w:rsidRPr="00766443">
              <w:rPr>
                <w:rFonts w:asciiTheme="majorHAnsi" w:hAnsiTheme="majorHAnsi" w:cs="Arial"/>
                <w:color w:val="000000"/>
                <w:sz w:val="20"/>
                <w:szCs w:val="20"/>
              </w:rPr>
              <w:t>(353)</w:t>
            </w:r>
          </w:p>
        </w:tc>
        <w:tc>
          <w:tcPr>
            <w:tcW w:w="1134" w:type="dxa"/>
          </w:tcPr>
          <w:p w14:paraId="7CB0A3D3"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32</w:t>
            </w:r>
          </w:p>
          <w:p w14:paraId="1F89BFFA"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p>
        </w:tc>
      </w:tr>
      <w:tr w:rsidR="00AE1DEF" w:rsidRPr="00B04640" w14:paraId="5E9C4975" w14:textId="77777777" w:rsidTr="00B32A54">
        <w:tc>
          <w:tcPr>
            <w:tcW w:w="1702" w:type="dxa"/>
          </w:tcPr>
          <w:p w14:paraId="69073C9E"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 xml:space="preserve">Increasing </w:t>
            </w:r>
            <w:r>
              <w:rPr>
                <w:rFonts w:asciiTheme="majorHAnsi" w:hAnsiTheme="majorHAnsi"/>
                <w:sz w:val="20"/>
                <w:szCs w:val="20"/>
              </w:rPr>
              <w:t xml:space="preserve">(reducing) </w:t>
            </w:r>
            <w:r w:rsidRPr="00B04640">
              <w:rPr>
                <w:rFonts w:asciiTheme="majorHAnsi" w:hAnsiTheme="majorHAnsi"/>
                <w:sz w:val="20"/>
                <w:szCs w:val="20"/>
              </w:rPr>
              <w:t>spread to 2%</w:t>
            </w:r>
            <w:r>
              <w:rPr>
                <w:rFonts w:asciiTheme="majorHAnsi" w:hAnsiTheme="majorHAnsi"/>
                <w:sz w:val="20"/>
                <w:szCs w:val="20"/>
              </w:rPr>
              <w:t xml:space="preserve"> (0%)</w:t>
            </w:r>
          </w:p>
        </w:tc>
        <w:tc>
          <w:tcPr>
            <w:tcW w:w="1276" w:type="dxa"/>
          </w:tcPr>
          <w:p w14:paraId="55AD6F90"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33.7</w:t>
            </w:r>
          </w:p>
          <w:p w14:paraId="799DC2F2" w14:textId="77777777" w:rsidR="00AE1DEF" w:rsidRPr="00766443" w:rsidRDefault="00AE1DEF" w:rsidP="00B32A54">
            <w:pPr>
              <w:rPr>
                <w:rFonts w:asciiTheme="majorHAnsi" w:hAnsiTheme="majorHAnsi"/>
                <w:sz w:val="20"/>
                <w:szCs w:val="20"/>
              </w:rPr>
            </w:pPr>
          </w:p>
        </w:tc>
        <w:tc>
          <w:tcPr>
            <w:tcW w:w="992" w:type="dxa"/>
          </w:tcPr>
          <w:p w14:paraId="344CC3BD"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24.5</w:t>
            </w:r>
          </w:p>
          <w:p w14:paraId="7FFDED04"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(25.1)</w:t>
            </w:r>
          </w:p>
          <w:p w14:paraId="4B7ABDF8" w14:textId="77777777" w:rsidR="00AE1DEF" w:rsidRPr="00766443" w:rsidRDefault="00AE1DEF" w:rsidP="00B32A54">
            <w:pPr>
              <w:rPr>
                <w:rFonts w:asciiTheme="majorHAnsi" w:hAnsiTheme="majorHAnsi"/>
                <w:sz w:val="20"/>
                <w:szCs w:val="20"/>
              </w:rPr>
            </w:pPr>
          </w:p>
        </w:tc>
        <w:tc>
          <w:tcPr>
            <w:tcW w:w="1181" w:type="dxa"/>
          </w:tcPr>
          <w:p w14:paraId="3ED6B553"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9.2</w:t>
            </w:r>
          </w:p>
          <w:p w14:paraId="4DF71003"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(8.6)</w:t>
            </w:r>
          </w:p>
        </w:tc>
        <w:tc>
          <w:tcPr>
            <w:tcW w:w="966" w:type="dxa"/>
          </w:tcPr>
          <w:p w14:paraId="1A2E1B48"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9.3</w:t>
            </w:r>
          </w:p>
          <w:p w14:paraId="75D96AFA"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(9.3)</w:t>
            </w:r>
          </w:p>
          <w:p w14:paraId="30E9E026" w14:textId="77777777" w:rsidR="00AE1DEF" w:rsidRPr="00766443" w:rsidRDefault="00AE1DEF" w:rsidP="00B32A54">
            <w:pPr>
              <w:rPr>
                <w:rFonts w:asciiTheme="majorHAnsi" w:hAnsiTheme="majorHAnsi"/>
                <w:sz w:val="20"/>
                <w:szCs w:val="20"/>
              </w:rPr>
            </w:pPr>
          </w:p>
        </w:tc>
        <w:tc>
          <w:tcPr>
            <w:tcW w:w="1255" w:type="dxa"/>
          </w:tcPr>
          <w:p w14:paraId="1748D7DE"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353</w:t>
            </w:r>
          </w:p>
          <w:p w14:paraId="608E0CC1"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(353)</w:t>
            </w:r>
          </w:p>
        </w:tc>
        <w:tc>
          <w:tcPr>
            <w:tcW w:w="1134" w:type="dxa"/>
          </w:tcPr>
          <w:p w14:paraId="448C2F4A"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34</w:t>
            </w:r>
          </w:p>
          <w:p w14:paraId="50FF084B"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p>
          <w:p w14:paraId="62EDF9FD" w14:textId="77777777" w:rsidR="00AE1DEF" w:rsidRPr="00766443" w:rsidRDefault="00AE1DEF" w:rsidP="00B32A54">
            <w:pPr>
              <w:rPr>
                <w:rFonts w:asciiTheme="majorHAnsi" w:hAnsiTheme="majorHAnsi"/>
                <w:sz w:val="20"/>
                <w:szCs w:val="20"/>
              </w:rPr>
            </w:pPr>
          </w:p>
        </w:tc>
      </w:tr>
      <w:tr w:rsidR="00AE1DEF" w:rsidRPr="00B04640" w14:paraId="3F83C66F" w14:textId="77777777" w:rsidTr="00B32A54">
        <w:tc>
          <w:tcPr>
            <w:tcW w:w="1702" w:type="dxa"/>
          </w:tcPr>
          <w:p w14:paraId="2CBAF295"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 xml:space="preserve">Reducing </w:t>
            </w:r>
            <w:r>
              <w:rPr>
                <w:rFonts w:asciiTheme="majorHAnsi" w:hAnsiTheme="majorHAnsi"/>
                <w:sz w:val="20"/>
                <w:szCs w:val="20"/>
              </w:rPr>
              <w:t xml:space="preserve">(increasing) </w:t>
            </w:r>
            <w:r w:rsidRPr="00B04640">
              <w:rPr>
                <w:rFonts w:asciiTheme="majorHAnsi" w:hAnsiTheme="majorHAnsi"/>
                <w:sz w:val="20"/>
                <w:szCs w:val="20"/>
              </w:rPr>
              <w:t>performance gaps to 30%</w:t>
            </w:r>
            <w:r>
              <w:rPr>
                <w:rFonts w:asciiTheme="majorHAnsi" w:hAnsiTheme="majorHAnsi"/>
                <w:sz w:val="20"/>
                <w:szCs w:val="20"/>
              </w:rPr>
              <w:t xml:space="preserve"> (50%)</w:t>
            </w:r>
          </w:p>
        </w:tc>
        <w:tc>
          <w:tcPr>
            <w:tcW w:w="1276" w:type="dxa"/>
          </w:tcPr>
          <w:p w14:paraId="1AF9193F"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33.7</w:t>
            </w:r>
          </w:p>
          <w:p w14:paraId="614A3491" w14:textId="77777777" w:rsidR="00AE1DEF" w:rsidRPr="00766443" w:rsidRDefault="00AE1DEF" w:rsidP="00B32A54">
            <w:pPr>
              <w:rPr>
                <w:rFonts w:asciiTheme="majorHAnsi" w:hAnsiTheme="majorHAnsi"/>
                <w:sz w:val="20"/>
                <w:szCs w:val="20"/>
              </w:rPr>
            </w:pPr>
          </w:p>
        </w:tc>
        <w:tc>
          <w:tcPr>
            <w:tcW w:w="992" w:type="dxa"/>
          </w:tcPr>
          <w:p w14:paraId="76CF7EBB"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21.8</w:t>
            </w:r>
          </w:p>
          <w:p w14:paraId="113DC6E5"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(27.2)</w:t>
            </w:r>
          </w:p>
        </w:tc>
        <w:tc>
          <w:tcPr>
            <w:tcW w:w="1181" w:type="dxa"/>
          </w:tcPr>
          <w:p w14:paraId="0A03F585"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11.9</w:t>
            </w:r>
          </w:p>
          <w:p w14:paraId="54EE96E1"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(6.5)</w:t>
            </w:r>
          </w:p>
        </w:tc>
        <w:tc>
          <w:tcPr>
            <w:tcW w:w="966" w:type="dxa"/>
          </w:tcPr>
          <w:p w14:paraId="601F0BFB"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11.9</w:t>
            </w:r>
          </w:p>
          <w:p w14:paraId="221B78A6"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(7.4)</w:t>
            </w:r>
          </w:p>
        </w:tc>
        <w:tc>
          <w:tcPr>
            <w:tcW w:w="1255" w:type="dxa"/>
          </w:tcPr>
          <w:p w14:paraId="12F03154"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448</w:t>
            </w:r>
          </w:p>
          <w:p w14:paraId="23A11FC3"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(284)</w:t>
            </w:r>
          </w:p>
        </w:tc>
        <w:tc>
          <w:tcPr>
            <w:tcW w:w="1134" w:type="dxa"/>
          </w:tcPr>
          <w:p w14:paraId="774C30D0"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30</w:t>
            </w:r>
          </w:p>
          <w:p w14:paraId="40F98583"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p>
        </w:tc>
      </w:tr>
      <w:tr w:rsidR="00AE1DEF" w:rsidRPr="00B04640" w14:paraId="5560D275" w14:textId="77777777" w:rsidTr="00B32A54">
        <w:tc>
          <w:tcPr>
            <w:tcW w:w="1702" w:type="dxa"/>
          </w:tcPr>
          <w:p w14:paraId="3D6073FB"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 xml:space="preserve">Reducing </w:t>
            </w:r>
            <w:r>
              <w:rPr>
                <w:rFonts w:asciiTheme="majorHAnsi" w:hAnsiTheme="majorHAnsi"/>
                <w:sz w:val="20"/>
                <w:szCs w:val="20"/>
              </w:rPr>
              <w:t xml:space="preserve">(increasing) </w:t>
            </w:r>
            <w:r w:rsidRPr="00B04640">
              <w:rPr>
                <w:rFonts w:asciiTheme="majorHAnsi" w:hAnsiTheme="majorHAnsi"/>
                <w:sz w:val="20"/>
                <w:szCs w:val="20"/>
              </w:rPr>
              <w:t>incentives to 20%</w:t>
            </w:r>
            <w:r>
              <w:rPr>
                <w:rFonts w:asciiTheme="majorHAnsi" w:hAnsiTheme="majorHAnsi"/>
                <w:sz w:val="20"/>
                <w:szCs w:val="20"/>
              </w:rPr>
              <w:t xml:space="preserve"> (30%)</w:t>
            </w:r>
          </w:p>
        </w:tc>
        <w:tc>
          <w:tcPr>
            <w:tcW w:w="1276" w:type="dxa"/>
          </w:tcPr>
          <w:p w14:paraId="384E2DFD"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33.7</w:t>
            </w:r>
          </w:p>
          <w:p w14:paraId="2A471987" w14:textId="77777777" w:rsidR="00AE1DEF" w:rsidRPr="00766443" w:rsidRDefault="00AE1DEF" w:rsidP="00B32A54">
            <w:pPr>
              <w:rPr>
                <w:rFonts w:asciiTheme="majorHAnsi" w:hAnsiTheme="majorHAnsi"/>
                <w:sz w:val="20"/>
                <w:szCs w:val="20"/>
              </w:rPr>
            </w:pPr>
          </w:p>
        </w:tc>
        <w:tc>
          <w:tcPr>
            <w:tcW w:w="992" w:type="dxa"/>
          </w:tcPr>
          <w:p w14:paraId="04AB28FD"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24.2</w:t>
            </w:r>
          </w:p>
          <w:p w14:paraId="35501654"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(25.7)</w:t>
            </w:r>
          </w:p>
        </w:tc>
        <w:tc>
          <w:tcPr>
            <w:tcW w:w="1181" w:type="dxa"/>
          </w:tcPr>
          <w:p w14:paraId="5C7552A1"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9.5</w:t>
            </w:r>
          </w:p>
          <w:p w14:paraId="1BEFDA95"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(8)</w:t>
            </w:r>
          </w:p>
        </w:tc>
        <w:tc>
          <w:tcPr>
            <w:tcW w:w="966" w:type="dxa"/>
          </w:tcPr>
          <w:p w14:paraId="5BA155C7"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9.3</w:t>
            </w:r>
          </w:p>
          <w:p w14:paraId="5764905A"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(9.3)</w:t>
            </w:r>
          </w:p>
        </w:tc>
        <w:tc>
          <w:tcPr>
            <w:tcW w:w="1255" w:type="dxa"/>
          </w:tcPr>
          <w:p w14:paraId="4802BD76"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354</w:t>
            </w:r>
          </w:p>
          <w:p w14:paraId="2C2B3FDF"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(353)</w:t>
            </w:r>
          </w:p>
        </w:tc>
        <w:tc>
          <w:tcPr>
            <w:tcW w:w="1134" w:type="dxa"/>
          </w:tcPr>
          <w:p w14:paraId="123E05FC"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35</w:t>
            </w:r>
          </w:p>
          <w:p w14:paraId="70786252"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(42)</w:t>
            </w:r>
          </w:p>
        </w:tc>
      </w:tr>
      <w:tr w:rsidR="00AE1DEF" w:rsidRPr="00B04640" w14:paraId="3EE955BE" w14:textId="77777777" w:rsidTr="00B32A54">
        <w:tc>
          <w:tcPr>
            <w:tcW w:w="1702" w:type="dxa"/>
          </w:tcPr>
          <w:p w14:paraId="7E76B747" w14:textId="77777777" w:rsidR="00AE1DEF" w:rsidRPr="00B04640" w:rsidRDefault="00AE1DEF" w:rsidP="00B32A54">
            <w:pPr>
              <w:rPr>
                <w:rFonts w:asciiTheme="majorHAnsi" w:hAnsiTheme="majorHAnsi"/>
                <w:sz w:val="20"/>
                <w:szCs w:val="20"/>
              </w:rPr>
            </w:pPr>
            <w:r>
              <w:rPr>
                <w:rFonts w:asciiTheme="majorHAnsi" w:hAnsiTheme="majorHAnsi"/>
                <w:sz w:val="20"/>
                <w:szCs w:val="20"/>
              </w:rPr>
              <w:t xml:space="preserve">Reducing (increasing) </w:t>
            </w:r>
            <w:r w:rsidRPr="00B04640">
              <w:rPr>
                <w:rFonts w:asciiTheme="majorHAnsi" w:hAnsiTheme="majorHAnsi"/>
                <w:sz w:val="20"/>
                <w:szCs w:val="20"/>
              </w:rPr>
              <w:t>defaults to 3%</w:t>
            </w:r>
            <w:r>
              <w:rPr>
                <w:rFonts w:asciiTheme="majorHAnsi" w:hAnsiTheme="majorHAnsi"/>
                <w:sz w:val="20"/>
                <w:szCs w:val="20"/>
              </w:rPr>
              <w:t xml:space="preserve"> (7%)</w:t>
            </w:r>
          </w:p>
        </w:tc>
        <w:tc>
          <w:tcPr>
            <w:tcW w:w="1276" w:type="dxa"/>
          </w:tcPr>
          <w:p w14:paraId="2B622AC3"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33.7</w:t>
            </w:r>
          </w:p>
          <w:p w14:paraId="700F3A00" w14:textId="77777777" w:rsidR="00AE1DEF" w:rsidRPr="00766443" w:rsidRDefault="00AE1DEF" w:rsidP="00B32A54">
            <w:pPr>
              <w:rPr>
                <w:rFonts w:asciiTheme="majorHAnsi" w:hAnsiTheme="majorHAnsi"/>
                <w:sz w:val="20"/>
                <w:szCs w:val="20"/>
              </w:rPr>
            </w:pPr>
          </w:p>
        </w:tc>
        <w:tc>
          <w:tcPr>
            <w:tcW w:w="992" w:type="dxa"/>
          </w:tcPr>
          <w:p w14:paraId="133116ED" w14:textId="77777777" w:rsidR="00AE1DEF" w:rsidRPr="00766443" w:rsidRDefault="00AE1DEF" w:rsidP="00B32A54">
            <w:pPr>
              <w:rPr>
                <w:rFonts w:asciiTheme="majorHAnsi" w:hAnsiTheme="majorHAnsi"/>
                <w:sz w:val="20"/>
                <w:szCs w:val="20"/>
              </w:rPr>
            </w:pPr>
            <w:r>
              <w:rPr>
                <w:rFonts w:asciiTheme="majorHAnsi" w:hAnsiTheme="majorHAnsi"/>
                <w:sz w:val="20"/>
                <w:szCs w:val="20"/>
              </w:rPr>
              <w:t>24.4</w:t>
            </w:r>
          </w:p>
          <w:p w14:paraId="5D493E90"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r>
              <w:rPr>
                <w:rFonts w:asciiTheme="majorHAnsi" w:hAnsiTheme="majorHAnsi"/>
                <w:sz w:val="20"/>
                <w:szCs w:val="20"/>
              </w:rPr>
              <w:t>25.5</w:t>
            </w:r>
            <w:r w:rsidRPr="00766443">
              <w:rPr>
                <w:rFonts w:asciiTheme="majorHAnsi" w:hAnsiTheme="majorHAnsi"/>
                <w:sz w:val="20"/>
                <w:szCs w:val="20"/>
              </w:rPr>
              <w:t>)</w:t>
            </w:r>
          </w:p>
        </w:tc>
        <w:tc>
          <w:tcPr>
            <w:tcW w:w="1181" w:type="dxa"/>
          </w:tcPr>
          <w:p w14:paraId="5DF20A8E" w14:textId="77777777" w:rsidR="00AE1DEF" w:rsidRPr="00766443" w:rsidRDefault="00AE1DEF" w:rsidP="00B32A54">
            <w:pPr>
              <w:rPr>
                <w:rFonts w:asciiTheme="majorHAnsi" w:hAnsiTheme="majorHAnsi"/>
                <w:sz w:val="20"/>
                <w:szCs w:val="20"/>
              </w:rPr>
            </w:pPr>
            <w:r>
              <w:rPr>
                <w:rFonts w:asciiTheme="majorHAnsi" w:hAnsiTheme="majorHAnsi"/>
                <w:sz w:val="20"/>
                <w:szCs w:val="20"/>
              </w:rPr>
              <w:t>9.3</w:t>
            </w:r>
          </w:p>
          <w:p w14:paraId="298BC72C"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r>
              <w:rPr>
                <w:rFonts w:asciiTheme="majorHAnsi" w:hAnsiTheme="majorHAnsi"/>
                <w:sz w:val="20"/>
                <w:szCs w:val="20"/>
              </w:rPr>
              <w:t>8.2</w:t>
            </w:r>
            <w:r w:rsidRPr="00766443">
              <w:rPr>
                <w:rFonts w:asciiTheme="majorHAnsi" w:hAnsiTheme="majorHAnsi"/>
                <w:sz w:val="20"/>
                <w:szCs w:val="20"/>
              </w:rPr>
              <w:t>)</w:t>
            </w:r>
          </w:p>
        </w:tc>
        <w:tc>
          <w:tcPr>
            <w:tcW w:w="966" w:type="dxa"/>
          </w:tcPr>
          <w:p w14:paraId="7264B7CD"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9.3</w:t>
            </w:r>
          </w:p>
          <w:p w14:paraId="1CEC24FE"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r>
              <w:rPr>
                <w:rFonts w:asciiTheme="majorHAnsi" w:hAnsiTheme="majorHAnsi"/>
                <w:sz w:val="20"/>
                <w:szCs w:val="20"/>
              </w:rPr>
              <w:t>9.3</w:t>
            </w:r>
            <w:r w:rsidRPr="00766443">
              <w:rPr>
                <w:rFonts w:asciiTheme="majorHAnsi" w:hAnsiTheme="majorHAnsi"/>
                <w:sz w:val="20"/>
                <w:szCs w:val="20"/>
              </w:rPr>
              <w:t>)</w:t>
            </w:r>
          </w:p>
        </w:tc>
        <w:tc>
          <w:tcPr>
            <w:tcW w:w="1255" w:type="dxa"/>
          </w:tcPr>
          <w:p w14:paraId="2A53DEF2" w14:textId="77777777" w:rsidR="00AE1DEF" w:rsidRPr="00766443" w:rsidRDefault="00AE1DEF" w:rsidP="00B32A54">
            <w:pPr>
              <w:rPr>
                <w:rFonts w:asciiTheme="majorHAnsi" w:hAnsiTheme="majorHAnsi"/>
                <w:sz w:val="20"/>
                <w:szCs w:val="20"/>
              </w:rPr>
            </w:pPr>
            <w:r>
              <w:rPr>
                <w:rFonts w:asciiTheme="majorHAnsi" w:hAnsiTheme="majorHAnsi"/>
                <w:sz w:val="20"/>
                <w:szCs w:val="20"/>
              </w:rPr>
              <w:t>353</w:t>
            </w:r>
          </w:p>
          <w:p w14:paraId="6E9CA601"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r>
              <w:rPr>
                <w:rFonts w:asciiTheme="majorHAnsi" w:hAnsiTheme="majorHAnsi"/>
                <w:sz w:val="20"/>
                <w:szCs w:val="20"/>
              </w:rPr>
              <w:t>353</w:t>
            </w:r>
            <w:r w:rsidRPr="00766443">
              <w:rPr>
                <w:rFonts w:asciiTheme="majorHAnsi" w:hAnsiTheme="majorHAnsi"/>
                <w:sz w:val="20"/>
                <w:szCs w:val="20"/>
              </w:rPr>
              <w:t>)</w:t>
            </w:r>
          </w:p>
        </w:tc>
        <w:tc>
          <w:tcPr>
            <w:tcW w:w="1134" w:type="dxa"/>
          </w:tcPr>
          <w:p w14:paraId="0A996822"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36</w:t>
            </w:r>
          </w:p>
          <w:p w14:paraId="3A3C85E4"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r>
              <w:rPr>
                <w:rFonts w:asciiTheme="majorHAnsi" w:hAnsiTheme="majorHAnsi"/>
                <w:sz w:val="20"/>
                <w:szCs w:val="20"/>
              </w:rPr>
              <w:t>41</w:t>
            </w:r>
            <w:r w:rsidRPr="00766443">
              <w:rPr>
                <w:rFonts w:asciiTheme="majorHAnsi" w:hAnsiTheme="majorHAnsi"/>
                <w:sz w:val="20"/>
                <w:szCs w:val="20"/>
              </w:rPr>
              <w:t>)</w:t>
            </w:r>
          </w:p>
        </w:tc>
      </w:tr>
      <w:tr w:rsidR="00AE1DEF" w:rsidRPr="00B04640" w14:paraId="2CA542A8" w14:textId="77777777" w:rsidTr="00B32A54">
        <w:tc>
          <w:tcPr>
            <w:tcW w:w="1702" w:type="dxa"/>
          </w:tcPr>
          <w:p w14:paraId="188B32AB" w14:textId="77777777" w:rsidR="00AE1DEF" w:rsidRPr="00B04640" w:rsidRDefault="00AE1DEF" w:rsidP="00B32A54">
            <w:pPr>
              <w:rPr>
                <w:rFonts w:asciiTheme="majorHAnsi" w:hAnsiTheme="majorHAnsi"/>
                <w:sz w:val="20"/>
                <w:szCs w:val="20"/>
              </w:rPr>
            </w:pPr>
            <w:r>
              <w:rPr>
                <w:rFonts w:asciiTheme="majorHAnsi" w:hAnsiTheme="majorHAnsi"/>
                <w:sz w:val="20"/>
                <w:szCs w:val="20"/>
              </w:rPr>
              <w:t>Overall best (worst) case scenario</w:t>
            </w:r>
          </w:p>
        </w:tc>
        <w:tc>
          <w:tcPr>
            <w:tcW w:w="1276" w:type="dxa"/>
          </w:tcPr>
          <w:p w14:paraId="2F237907"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33.7</w:t>
            </w:r>
          </w:p>
          <w:p w14:paraId="7EE6D024" w14:textId="77777777" w:rsidR="00AE1DEF" w:rsidRPr="00766443" w:rsidRDefault="00AE1DEF" w:rsidP="00B32A54">
            <w:pPr>
              <w:rPr>
                <w:rFonts w:asciiTheme="majorHAnsi" w:hAnsiTheme="majorHAnsi"/>
                <w:sz w:val="20"/>
                <w:szCs w:val="20"/>
              </w:rPr>
            </w:pPr>
          </w:p>
        </w:tc>
        <w:tc>
          <w:tcPr>
            <w:tcW w:w="992" w:type="dxa"/>
          </w:tcPr>
          <w:p w14:paraId="77CBE3AB" w14:textId="77777777" w:rsidR="00AE1DEF" w:rsidRPr="00766443" w:rsidRDefault="00AE1DEF" w:rsidP="00B32A54">
            <w:pPr>
              <w:rPr>
                <w:rFonts w:asciiTheme="majorHAnsi" w:hAnsiTheme="majorHAnsi"/>
                <w:sz w:val="20"/>
                <w:szCs w:val="20"/>
              </w:rPr>
            </w:pPr>
            <w:r>
              <w:rPr>
                <w:rFonts w:asciiTheme="majorHAnsi" w:hAnsiTheme="majorHAnsi"/>
                <w:sz w:val="20"/>
                <w:szCs w:val="20"/>
              </w:rPr>
              <w:t>18.2</w:t>
            </w:r>
          </w:p>
          <w:p w14:paraId="63EA1B38"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r>
              <w:rPr>
                <w:rFonts w:asciiTheme="majorHAnsi" w:hAnsiTheme="majorHAnsi"/>
                <w:sz w:val="20"/>
                <w:szCs w:val="20"/>
              </w:rPr>
              <w:t>29.4</w:t>
            </w:r>
            <w:r w:rsidRPr="00766443">
              <w:rPr>
                <w:rFonts w:asciiTheme="majorHAnsi" w:hAnsiTheme="majorHAnsi"/>
                <w:sz w:val="20"/>
                <w:szCs w:val="20"/>
              </w:rPr>
              <w:t>)</w:t>
            </w:r>
          </w:p>
        </w:tc>
        <w:tc>
          <w:tcPr>
            <w:tcW w:w="1181" w:type="dxa"/>
          </w:tcPr>
          <w:p w14:paraId="2723162D" w14:textId="77777777" w:rsidR="00AE1DEF" w:rsidRPr="00766443" w:rsidRDefault="00AE1DEF" w:rsidP="00B32A54">
            <w:pPr>
              <w:rPr>
                <w:rFonts w:asciiTheme="majorHAnsi" w:hAnsiTheme="majorHAnsi"/>
                <w:sz w:val="20"/>
                <w:szCs w:val="20"/>
              </w:rPr>
            </w:pPr>
            <w:r>
              <w:rPr>
                <w:rFonts w:asciiTheme="majorHAnsi" w:hAnsiTheme="majorHAnsi"/>
                <w:sz w:val="20"/>
                <w:szCs w:val="20"/>
              </w:rPr>
              <w:t>15.5</w:t>
            </w:r>
          </w:p>
          <w:p w14:paraId="0816863B"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r>
              <w:rPr>
                <w:rFonts w:asciiTheme="majorHAnsi" w:hAnsiTheme="majorHAnsi"/>
                <w:sz w:val="20"/>
                <w:szCs w:val="20"/>
              </w:rPr>
              <w:t>4.3</w:t>
            </w:r>
            <w:r w:rsidRPr="00766443">
              <w:rPr>
                <w:rFonts w:asciiTheme="majorHAnsi" w:hAnsiTheme="majorHAnsi"/>
                <w:sz w:val="20"/>
                <w:szCs w:val="20"/>
              </w:rPr>
              <w:t>)</w:t>
            </w:r>
          </w:p>
        </w:tc>
        <w:tc>
          <w:tcPr>
            <w:tcW w:w="966" w:type="dxa"/>
          </w:tcPr>
          <w:p w14:paraId="63283CA7" w14:textId="77777777" w:rsidR="00AE1DEF" w:rsidRPr="00766443" w:rsidRDefault="00AE1DEF" w:rsidP="00B32A54">
            <w:pPr>
              <w:rPr>
                <w:rFonts w:asciiTheme="majorHAnsi" w:hAnsiTheme="majorHAnsi"/>
                <w:sz w:val="20"/>
                <w:szCs w:val="20"/>
              </w:rPr>
            </w:pPr>
            <w:r>
              <w:rPr>
                <w:rFonts w:asciiTheme="majorHAnsi" w:hAnsiTheme="majorHAnsi"/>
                <w:sz w:val="20"/>
                <w:szCs w:val="20"/>
              </w:rPr>
              <w:t>12.1</w:t>
            </w:r>
          </w:p>
          <w:p w14:paraId="19ABCDDA"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r>
              <w:rPr>
                <w:rFonts w:asciiTheme="majorHAnsi" w:hAnsiTheme="majorHAnsi"/>
                <w:sz w:val="20"/>
                <w:szCs w:val="20"/>
              </w:rPr>
              <w:t>7.3</w:t>
            </w:r>
            <w:r w:rsidRPr="00766443">
              <w:rPr>
                <w:rFonts w:asciiTheme="majorHAnsi" w:hAnsiTheme="majorHAnsi"/>
                <w:sz w:val="20"/>
                <w:szCs w:val="20"/>
              </w:rPr>
              <w:t>)</w:t>
            </w:r>
          </w:p>
        </w:tc>
        <w:tc>
          <w:tcPr>
            <w:tcW w:w="1255" w:type="dxa"/>
          </w:tcPr>
          <w:p w14:paraId="6F04EF59"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449</w:t>
            </w:r>
          </w:p>
          <w:p w14:paraId="2B5F0A4A"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r>
              <w:rPr>
                <w:rFonts w:asciiTheme="majorHAnsi" w:hAnsiTheme="majorHAnsi"/>
                <w:sz w:val="20"/>
                <w:szCs w:val="20"/>
              </w:rPr>
              <w:t>283</w:t>
            </w:r>
            <w:r w:rsidRPr="00766443">
              <w:rPr>
                <w:rFonts w:asciiTheme="majorHAnsi" w:hAnsiTheme="majorHAnsi"/>
                <w:sz w:val="20"/>
                <w:szCs w:val="20"/>
              </w:rPr>
              <w:t>)</w:t>
            </w:r>
          </w:p>
        </w:tc>
        <w:tc>
          <w:tcPr>
            <w:tcW w:w="1134" w:type="dxa"/>
          </w:tcPr>
          <w:p w14:paraId="781A9484" w14:textId="77777777" w:rsidR="00AE1DEF" w:rsidRPr="00766443" w:rsidRDefault="00AE1DEF" w:rsidP="00B32A54">
            <w:pPr>
              <w:rPr>
                <w:rFonts w:asciiTheme="majorHAnsi" w:hAnsiTheme="majorHAnsi"/>
                <w:sz w:val="20"/>
                <w:szCs w:val="20"/>
              </w:rPr>
            </w:pPr>
            <w:r>
              <w:rPr>
                <w:rFonts w:asciiTheme="majorHAnsi" w:hAnsiTheme="majorHAnsi"/>
                <w:sz w:val="20"/>
                <w:szCs w:val="20"/>
              </w:rPr>
              <w:t>23</w:t>
            </w:r>
          </w:p>
          <w:p w14:paraId="2EC091C7"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w:t>
            </w:r>
            <w:r>
              <w:rPr>
                <w:rFonts w:asciiTheme="majorHAnsi" w:hAnsiTheme="majorHAnsi"/>
                <w:sz w:val="20"/>
                <w:szCs w:val="20"/>
              </w:rPr>
              <w:t>-</w:t>
            </w:r>
            <w:r w:rsidRPr="00766443">
              <w:rPr>
                <w:rFonts w:asciiTheme="majorHAnsi" w:hAnsiTheme="majorHAnsi"/>
                <w:sz w:val="20"/>
                <w:szCs w:val="20"/>
              </w:rPr>
              <w:t>)</w:t>
            </w:r>
          </w:p>
        </w:tc>
      </w:tr>
    </w:tbl>
    <w:p w14:paraId="5AFAE5D2" w14:textId="77777777" w:rsidR="00AE1DEF" w:rsidRDefault="00AE1DEF" w:rsidP="00AE1DEF">
      <w:pPr>
        <w:rPr>
          <w:rFonts w:asciiTheme="majorHAnsi" w:hAnsiTheme="majorHAnsi"/>
        </w:rPr>
      </w:pPr>
    </w:p>
    <w:p w14:paraId="664F8B5E" w14:textId="77777777" w:rsidR="00AE1DEF" w:rsidRDefault="00AE1DEF" w:rsidP="00AE1DEF">
      <w:pPr>
        <w:rPr>
          <w:rFonts w:asciiTheme="majorHAnsi" w:hAnsiTheme="majorHAnsi"/>
        </w:rPr>
      </w:pPr>
      <w:r>
        <w:rPr>
          <w:rFonts w:asciiTheme="majorHAnsi" w:hAnsiTheme="majorHAnsi"/>
        </w:rPr>
        <w:br w:type="page"/>
      </w:r>
    </w:p>
    <w:p w14:paraId="14A28C70" w14:textId="77777777" w:rsidR="00AE1DEF" w:rsidRDefault="00AE1DEF" w:rsidP="00AE1DEF">
      <w:pPr>
        <w:rPr>
          <w:rFonts w:asciiTheme="majorHAnsi" w:hAnsiTheme="majorHAnsi"/>
        </w:rPr>
      </w:pPr>
      <w:r>
        <w:rPr>
          <w:rFonts w:asciiTheme="majorHAnsi" w:hAnsiTheme="majorHAnsi"/>
        </w:rPr>
        <w:lastRenderedPageBreak/>
        <w:t>Table 4 – Variations in Programme Design</w:t>
      </w:r>
    </w:p>
    <w:p w14:paraId="3AF25EC2" w14:textId="77777777" w:rsidR="00AE1DEF" w:rsidRDefault="00AE1DEF" w:rsidP="00AE1DEF">
      <w:pPr>
        <w:rPr>
          <w:rFonts w:asciiTheme="majorHAnsi" w:hAnsiTheme="majorHAnsi"/>
        </w:rPr>
      </w:pPr>
    </w:p>
    <w:tbl>
      <w:tblPr>
        <w:tblStyle w:val="TableGrid"/>
        <w:tblW w:w="7855" w:type="dxa"/>
        <w:tblInd w:w="-176" w:type="dxa"/>
        <w:tblLook w:val="04A0" w:firstRow="1" w:lastRow="0" w:firstColumn="1" w:lastColumn="0" w:noHBand="0" w:noVBand="1"/>
      </w:tblPr>
      <w:tblGrid>
        <w:gridCol w:w="1648"/>
        <w:gridCol w:w="1188"/>
        <w:gridCol w:w="949"/>
        <w:gridCol w:w="1249"/>
        <w:gridCol w:w="908"/>
        <w:gridCol w:w="952"/>
        <w:gridCol w:w="961"/>
      </w:tblGrid>
      <w:tr w:rsidR="00AE1DEF" w:rsidRPr="00B04640" w14:paraId="64C718DD" w14:textId="77777777" w:rsidTr="00B32A54">
        <w:tc>
          <w:tcPr>
            <w:tcW w:w="1648" w:type="dxa"/>
          </w:tcPr>
          <w:p w14:paraId="7F2A098C" w14:textId="77777777" w:rsidR="00AE1DEF" w:rsidRPr="00B04640" w:rsidRDefault="00AE1DEF" w:rsidP="00B32A54">
            <w:pPr>
              <w:rPr>
                <w:rFonts w:asciiTheme="majorHAnsi" w:hAnsiTheme="majorHAnsi"/>
                <w:sz w:val="20"/>
                <w:szCs w:val="20"/>
              </w:rPr>
            </w:pPr>
          </w:p>
        </w:tc>
        <w:tc>
          <w:tcPr>
            <w:tcW w:w="1188" w:type="dxa"/>
          </w:tcPr>
          <w:p w14:paraId="0ABD2E3B"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Total Investment</w:t>
            </w:r>
          </w:p>
          <w:p w14:paraId="16A35657"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(£bn)</w:t>
            </w:r>
          </w:p>
        </w:tc>
        <w:tc>
          <w:tcPr>
            <w:tcW w:w="949" w:type="dxa"/>
          </w:tcPr>
          <w:p w14:paraId="13341755"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 xml:space="preserve">New </w:t>
            </w:r>
          </w:p>
          <w:p w14:paraId="506FD58B"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 xml:space="preserve">Lending </w:t>
            </w:r>
          </w:p>
          <w:p w14:paraId="6D602224"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(£bn)</w:t>
            </w:r>
          </w:p>
        </w:tc>
        <w:tc>
          <w:tcPr>
            <w:tcW w:w="1249" w:type="dxa"/>
          </w:tcPr>
          <w:p w14:paraId="1C0AA775"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Recycled Investment (£bn)</w:t>
            </w:r>
          </w:p>
        </w:tc>
        <w:tc>
          <w:tcPr>
            <w:tcW w:w="908" w:type="dxa"/>
          </w:tcPr>
          <w:p w14:paraId="5FC6E807"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 xml:space="preserve">Peak </w:t>
            </w:r>
          </w:p>
          <w:p w14:paraId="6CC03B0B"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Carbon Savings (MT)</w:t>
            </w:r>
          </w:p>
        </w:tc>
        <w:tc>
          <w:tcPr>
            <w:tcW w:w="952" w:type="dxa"/>
          </w:tcPr>
          <w:p w14:paraId="25A6016B"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Lifetime</w:t>
            </w:r>
          </w:p>
          <w:p w14:paraId="6C91396A"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Carbon Savings</w:t>
            </w:r>
          </w:p>
          <w:p w14:paraId="1A5485A8"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(MT)</w:t>
            </w:r>
          </w:p>
        </w:tc>
        <w:tc>
          <w:tcPr>
            <w:tcW w:w="961" w:type="dxa"/>
          </w:tcPr>
          <w:p w14:paraId="3798321B"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Time for SPV to become debt free (yrs)</w:t>
            </w:r>
          </w:p>
        </w:tc>
      </w:tr>
      <w:tr w:rsidR="00AE1DEF" w:rsidRPr="00B04640" w14:paraId="03C814F6" w14:textId="77777777" w:rsidTr="00B32A54">
        <w:tc>
          <w:tcPr>
            <w:tcW w:w="1648" w:type="dxa"/>
          </w:tcPr>
          <w:p w14:paraId="4511B512"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Default settings</w:t>
            </w:r>
          </w:p>
        </w:tc>
        <w:tc>
          <w:tcPr>
            <w:tcW w:w="1188" w:type="dxa"/>
          </w:tcPr>
          <w:p w14:paraId="535C44C3"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33.7</w:t>
            </w:r>
          </w:p>
        </w:tc>
        <w:tc>
          <w:tcPr>
            <w:tcW w:w="949" w:type="dxa"/>
          </w:tcPr>
          <w:p w14:paraId="15C6C2C9" w14:textId="77777777" w:rsidR="00AE1DEF" w:rsidRPr="00766443" w:rsidRDefault="00AE1DEF" w:rsidP="00B32A54">
            <w:pPr>
              <w:rPr>
                <w:rFonts w:asciiTheme="majorHAnsi" w:hAnsiTheme="majorHAnsi"/>
                <w:sz w:val="20"/>
                <w:szCs w:val="20"/>
              </w:rPr>
            </w:pPr>
            <w:r>
              <w:rPr>
                <w:rFonts w:asciiTheme="majorHAnsi" w:hAnsiTheme="majorHAnsi"/>
                <w:sz w:val="20"/>
                <w:szCs w:val="20"/>
              </w:rPr>
              <w:t>24.9</w:t>
            </w:r>
          </w:p>
        </w:tc>
        <w:tc>
          <w:tcPr>
            <w:tcW w:w="1249" w:type="dxa"/>
          </w:tcPr>
          <w:p w14:paraId="052B599D" w14:textId="77777777" w:rsidR="00AE1DEF" w:rsidRPr="00766443" w:rsidRDefault="00AE1DEF" w:rsidP="00B32A54">
            <w:pPr>
              <w:rPr>
                <w:rFonts w:asciiTheme="majorHAnsi" w:hAnsiTheme="majorHAnsi"/>
                <w:sz w:val="20"/>
                <w:szCs w:val="20"/>
              </w:rPr>
            </w:pPr>
            <w:r>
              <w:rPr>
                <w:rFonts w:asciiTheme="majorHAnsi" w:hAnsiTheme="majorHAnsi"/>
                <w:sz w:val="20"/>
                <w:szCs w:val="20"/>
              </w:rPr>
              <w:t>8.8</w:t>
            </w:r>
          </w:p>
        </w:tc>
        <w:tc>
          <w:tcPr>
            <w:tcW w:w="908" w:type="dxa"/>
          </w:tcPr>
          <w:p w14:paraId="6B197F2D" w14:textId="77777777" w:rsidR="00AE1DEF" w:rsidRPr="00766443" w:rsidRDefault="00AE1DEF" w:rsidP="00B32A54">
            <w:pPr>
              <w:rPr>
                <w:rFonts w:asciiTheme="majorHAnsi" w:hAnsiTheme="majorHAnsi"/>
                <w:sz w:val="20"/>
                <w:szCs w:val="20"/>
              </w:rPr>
            </w:pPr>
            <w:r>
              <w:rPr>
                <w:rFonts w:asciiTheme="majorHAnsi" w:hAnsiTheme="majorHAnsi"/>
                <w:sz w:val="20"/>
                <w:szCs w:val="20"/>
              </w:rPr>
              <w:t>9.2</w:t>
            </w:r>
          </w:p>
        </w:tc>
        <w:tc>
          <w:tcPr>
            <w:tcW w:w="952" w:type="dxa"/>
          </w:tcPr>
          <w:p w14:paraId="4C30C274" w14:textId="77777777" w:rsidR="00AE1DEF" w:rsidRPr="00766443" w:rsidRDefault="00AE1DEF" w:rsidP="00B32A54">
            <w:pPr>
              <w:rPr>
                <w:rFonts w:asciiTheme="majorHAnsi" w:hAnsiTheme="majorHAnsi"/>
                <w:sz w:val="20"/>
                <w:szCs w:val="20"/>
              </w:rPr>
            </w:pPr>
            <w:r>
              <w:rPr>
                <w:rFonts w:asciiTheme="majorHAnsi" w:hAnsiTheme="majorHAnsi"/>
                <w:sz w:val="20"/>
                <w:szCs w:val="20"/>
              </w:rPr>
              <w:t>354</w:t>
            </w:r>
          </w:p>
        </w:tc>
        <w:tc>
          <w:tcPr>
            <w:tcW w:w="961" w:type="dxa"/>
          </w:tcPr>
          <w:p w14:paraId="05A0C592" w14:textId="77777777" w:rsidR="00AE1DEF" w:rsidRPr="00766443" w:rsidRDefault="00AE1DEF" w:rsidP="00B32A54">
            <w:pPr>
              <w:rPr>
                <w:rFonts w:asciiTheme="majorHAnsi" w:hAnsiTheme="majorHAnsi"/>
                <w:sz w:val="20"/>
                <w:szCs w:val="20"/>
              </w:rPr>
            </w:pPr>
            <w:r w:rsidRPr="00766443">
              <w:rPr>
                <w:rFonts w:asciiTheme="majorHAnsi" w:hAnsiTheme="majorHAnsi"/>
                <w:sz w:val="20"/>
                <w:szCs w:val="20"/>
              </w:rPr>
              <w:t>38</w:t>
            </w:r>
          </w:p>
        </w:tc>
      </w:tr>
      <w:tr w:rsidR="00AE1DEF" w:rsidRPr="00B04640" w14:paraId="33E4327D" w14:textId="77777777" w:rsidTr="00B32A54">
        <w:tc>
          <w:tcPr>
            <w:tcW w:w="1648" w:type="dxa"/>
          </w:tcPr>
          <w:p w14:paraId="2DD8C735"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 xml:space="preserve">Payback &lt; 15yrs </w:t>
            </w:r>
          </w:p>
        </w:tc>
        <w:tc>
          <w:tcPr>
            <w:tcW w:w="1188" w:type="dxa"/>
          </w:tcPr>
          <w:p w14:paraId="705F0BAD" w14:textId="77777777" w:rsidR="00AE1DEF" w:rsidRPr="00B04640" w:rsidRDefault="00AE1DEF" w:rsidP="00B32A54">
            <w:pPr>
              <w:rPr>
                <w:rFonts w:asciiTheme="majorHAnsi" w:hAnsiTheme="majorHAnsi"/>
                <w:sz w:val="20"/>
                <w:szCs w:val="20"/>
              </w:rPr>
            </w:pPr>
            <w:r>
              <w:rPr>
                <w:rFonts w:asciiTheme="majorHAnsi" w:hAnsiTheme="majorHAnsi"/>
                <w:sz w:val="20"/>
                <w:szCs w:val="20"/>
              </w:rPr>
              <w:t>32.7</w:t>
            </w:r>
          </w:p>
        </w:tc>
        <w:tc>
          <w:tcPr>
            <w:tcW w:w="949" w:type="dxa"/>
          </w:tcPr>
          <w:p w14:paraId="094FDA5F" w14:textId="77777777" w:rsidR="00AE1DEF" w:rsidRPr="00B04640" w:rsidRDefault="00AE1DEF" w:rsidP="00B32A54">
            <w:pPr>
              <w:rPr>
                <w:rFonts w:asciiTheme="majorHAnsi" w:hAnsiTheme="majorHAnsi"/>
                <w:sz w:val="20"/>
                <w:szCs w:val="20"/>
              </w:rPr>
            </w:pPr>
            <w:r>
              <w:rPr>
                <w:rFonts w:asciiTheme="majorHAnsi" w:hAnsiTheme="majorHAnsi"/>
                <w:sz w:val="20"/>
                <w:szCs w:val="20"/>
              </w:rPr>
              <w:t>22.9</w:t>
            </w:r>
          </w:p>
        </w:tc>
        <w:tc>
          <w:tcPr>
            <w:tcW w:w="1249" w:type="dxa"/>
          </w:tcPr>
          <w:p w14:paraId="57791EFD" w14:textId="77777777" w:rsidR="00AE1DEF" w:rsidRPr="00B04640" w:rsidRDefault="00AE1DEF" w:rsidP="00B32A54">
            <w:pPr>
              <w:rPr>
                <w:rFonts w:asciiTheme="majorHAnsi" w:hAnsiTheme="majorHAnsi"/>
                <w:sz w:val="20"/>
                <w:szCs w:val="20"/>
              </w:rPr>
            </w:pPr>
            <w:r>
              <w:rPr>
                <w:rFonts w:asciiTheme="majorHAnsi" w:hAnsiTheme="majorHAnsi"/>
                <w:sz w:val="20"/>
                <w:szCs w:val="20"/>
              </w:rPr>
              <w:t>9.8</w:t>
            </w:r>
          </w:p>
        </w:tc>
        <w:tc>
          <w:tcPr>
            <w:tcW w:w="908" w:type="dxa"/>
          </w:tcPr>
          <w:p w14:paraId="5CA6BDC1"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9.2</w:t>
            </w:r>
          </w:p>
        </w:tc>
        <w:tc>
          <w:tcPr>
            <w:tcW w:w="952" w:type="dxa"/>
          </w:tcPr>
          <w:p w14:paraId="03CA79E5"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3</w:t>
            </w:r>
            <w:r>
              <w:rPr>
                <w:rFonts w:asciiTheme="majorHAnsi" w:hAnsiTheme="majorHAnsi"/>
                <w:sz w:val="20"/>
                <w:szCs w:val="20"/>
              </w:rPr>
              <w:t>45</w:t>
            </w:r>
          </w:p>
        </w:tc>
        <w:tc>
          <w:tcPr>
            <w:tcW w:w="961" w:type="dxa"/>
          </w:tcPr>
          <w:p w14:paraId="09B3056F"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40</w:t>
            </w:r>
          </w:p>
        </w:tc>
      </w:tr>
      <w:tr w:rsidR="00AE1DEF" w:rsidRPr="00B04640" w14:paraId="3A280BAF" w14:textId="77777777" w:rsidTr="00B32A54">
        <w:tc>
          <w:tcPr>
            <w:tcW w:w="1648" w:type="dxa"/>
          </w:tcPr>
          <w:p w14:paraId="5471C3F8"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Payback &lt; 10yrs</w:t>
            </w:r>
          </w:p>
        </w:tc>
        <w:tc>
          <w:tcPr>
            <w:tcW w:w="1188" w:type="dxa"/>
          </w:tcPr>
          <w:p w14:paraId="2B77E3C7" w14:textId="77777777" w:rsidR="00AE1DEF" w:rsidRPr="00B04640" w:rsidRDefault="00AE1DEF" w:rsidP="00B32A54">
            <w:pPr>
              <w:rPr>
                <w:rFonts w:asciiTheme="majorHAnsi" w:hAnsiTheme="majorHAnsi"/>
                <w:sz w:val="20"/>
                <w:szCs w:val="20"/>
              </w:rPr>
            </w:pPr>
            <w:r>
              <w:rPr>
                <w:rFonts w:asciiTheme="majorHAnsi" w:hAnsiTheme="majorHAnsi"/>
                <w:sz w:val="20"/>
                <w:szCs w:val="20"/>
              </w:rPr>
              <w:t>15</w:t>
            </w:r>
          </w:p>
        </w:tc>
        <w:tc>
          <w:tcPr>
            <w:tcW w:w="949" w:type="dxa"/>
          </w:tcPr>
          <w:p w14:paraId="316A053D" w14:textId="77777777" w:rsidR="00AE1DEF" w:rsidRPr="00B04640" w:rsidRDefault="00AE1DEF" w:rsidP="00B32A54">
            <w:pPr>
              <w:rPr>
                <w:rFonts w:asciiTheme="majorHAnsi" w:hAnsiTheme="majorHAnsi"/>
                <w:sz w:val="20"/>
                <w:szCs w:val="20"/>
              </w:rPr>
            </w:pPr>
            <w:r>
              <w:rPr>
                <w:rFonts w:asciiTheme="majorHAnsi" w:hAnsiTheme="majorHAnsi"/>
                <w:sz w:val="20"/>
                <w:szCs w:val="20"/>
              </w:rPr>
              <w:t>7.9</w:t>
            </w:r>
          </w:p>
        </w:tc>
        <w:tc>
          <w:tcPr>
            <w:tcW w:w="1249" w:type="dxa"/>
          </w:tcPr>
          <w:p w14:paraId="4B57B4A0" w14:textId="77777777" w:rsidR="00AE1DEF" w:rsidRPr="00B04640" w:rsidRDefault="00AE1DEF" w:rsidP="00B32A54">
            <w:pPr>
              <w:rPr>
                <w:rFonts w:asciiTheme="majorHAnsi" w:hAnsiTheme="majorHAnsi"/>
                <w:sz w:val="20"/>
                <w:szCs w:val="20"/>
              </w:rPr>
            </w:pPr>
            <w:r>
              <w:rPr>
                <w:rFonts w:asciiTheme="majorHAnsi" w:hAnsiTheme="majorHAnsi"/>
                <w:sz w:val="20"/>
                <w:szCs w:val="20"/>
              </w:rPr>
              <w:t>7.1</w:t>
            </w:r>
          </w:p>
        </w:tc>
        <w:tc>
          <w:tcPr>
            <w:tcW w:w="908" w:type="dxa"/>
          </w:tcPr>
          <w:p w14:paraId="7EB93231" w14:textId="77777777" w:rsidR="00AE1DEF" w:rsidRPr="00B04640" w:rsidRDefault="00AE1DEF" w:rsidP="00B32A54">
            <w:pPr>
              <w:rPr>
                <w:rFonts w:asciiTheme="majorHAnsi" w:hAnsiTheme="majorHAnsi"/>
                <w:sz w:val="20"/>
                <w:szCs w:val="20"/>
              </w:rPr>
            </w:pPr>
            <w:r>
              <w:rPr>
                <w:rFonts w:asciiTheme="majorHAnsi" w:hAnsiTheme="majorHAnsi"/>
                <w:sz w:val="20"/>
                <w:szCs w:val="20"/>
              </w:rPr>
              <w:t>5.7</w:t>
            </w:r>
          </w:p>
        </w:tc>
        <w:tc>
          <w:tcPr>
            <w:tcW w:w="952" w:type="dxa"/>
          </w:tcPr>
          <w:p w14:paraId="21C77A5D" w14:textId="77777777" w:rsidR="00AE1DEF" w:rsidRPr="00B04640" w:rsidRDefault="00AE1DEF" w:rsidP="00B32A54">
            <w:pPr>
              <w:rPr>
                <w:rFonts w:asciiTheme="majorHAnsi" w:hAnsiTheme="majorHAnsi"/>
                <w:sz w:val="20"/>
                <w:szCs w:val="20"/>
              </w:rPr>
            </w:pPr>
            <w:r>
              <w:rPr>
                <w:rFonts w:asciiTheme="majorHAnsi" w:hAnsiTheme="majorHAnsi"/>
                <w:sz w:val="20"/>
                <w:szCs w:val="20"/>
              </w:rPr>
              <w:t>186</w:t>
            </w:r>
          </w:p>
        </w:tc>
        <w:tc>
          <w:tcPr>
            <w:tcW w:w="961" w:type="dxa"/>
          </w:tcPr>
          <w:p w14:paraId="7CADFF4C" w14:textId="77777777" w:rsidR="00AE1DEF" w:rsidRPr="00B04640" w:rsidRDefault="00AE1DEF" w:rsidP="00B32A54">
            <w:pPr>
              <w:rPr>
                <w:rFonts w:asciiTheme="majorHAnsi" w:hAnsiTheme="majorHAnsi"/>
                <w:sz w:val="20"/>
                <w:szCs w:val="20"/>
              </w:rPr>
            </w:pPr>
            <w:r>
              <w:rPr>
                <w:rFonts w:asciiTheme="majorHAnsi" w:hAnsiTheme="majorHAnsi"/>
                <w:sz w:val="20"/>
                <w:szCs w:val="20"/>
              </w:rPr>
              <w:t>33</w:t>
            </w:r>
          </w:p>
        </w:tc>
      </w:tr>
      <w:tr w:rsidR="00AE1DEF" w:rsidRPr="00B04640" w14:paraId="04E2A5D7" w14:textId="77777777" w:rsidTr="00B32A54">
        <w:tc>
          <w:tcPr>
            <w:tcW w:w="1648" w:type="dxa"/>
          </w:tcPr>
          <w:p w14:paraId="2D5502D4"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Payback &lt; 5yrs</w:t>
            </w:r>
          </w:p>
        </w:tc>
        <w:tc>
          <w:tcPr>
            <w:tcW w:w="1188" w:type="dxa"/>
          </w:tcPr>
          <w:p w14:paraId="315A5915" w14:textId="77777777" w:rsidR="00AE1DEF" w:rsidRPr="00B04640" w:rsidRDefault="00AE1DEF" w:rsidP="00B32A54">
            <w:pPr>
              <w:rPr>
                <w:rFonts w:asciiTheme="majorHAnsi" w:hAnsiTheme="majorHAnsi"/>
                <w:sz w:val="20"/>
                <w:szCs w:val="20"/>
              </w:rPr>
            </w:pPr>
            <w:r>
              <w:rPr>
                <w:rFonts w:asciiTheme="majorHAnsi" w:hAnsiTheme="majorHAnsi"/>
                <w:sz w:val="20"/>
                <w:szCs w:val="20"/>
              </w:rPr>
              <w:t>8.8</w:t>
            </w:r>
          </w:p>
        </w:tc>
        <w:tc>
          <w:tcPr>
            <w:tcW w:w="949" w:type="dxa"/>
          </w:tcPr>
          <w:p w14:paraId="72183AD7"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3</w:t>
            </w:r>
            <w:r>
              <w:rPr>
                <w:rFonts w:asciiTheme="majorHAnsi" w:hAnsiTheme="majorHAnsi"/>
                <w:sz w:val="20"/>
                <w:szCs w:val="20"/>
              </w:rPr>
              <w:t>.9</w:t>
            </w:r>
          </w:p>
        </w:tc>
        <w:tc>
          <w:tcPr>
            <w:tcW w:w="1249" w:type="dxa"/>
          </w:tcPr>
          <w:p w14:paraId="26963D7F" w14:textId="77777777" w:rsidR="00AE1DEF" w:rsidRPr="00B04640" w:rsidRDefault="00AE1DEF" w:rsidP="00B32A54">
            <w:pPr>
              <w:rPr>
                <w:rFonts w:asciiTheme="majorHAnsi" w:hAnsiTheme="majorHAnsi"/>
                <w:sz w:val="20"/>
                <w:szCs w:val="20"/>
              </w:rPr>
            </w:pPr>
            <w:r>
              <w:rPr>
                <w:rFonts w:asciiTheme="majorHAnsi" w:hAnsiTheme="majorHAnsi"/>
                <w:sz w:val="20"/>
                <w:szCs w:val="20"/>
              </w:rPr>
              <w:t>4.9</w:t>
            </w:r>
          </w:p>
        </w:tc>
        <w:tc>
          <w:tcPr>
            <w:tcW w:w="908" w:type="dxa"/>
          </w:tcPr>
          <w:p w14:paraId="6CC2007C" w14:textId="77777777" w:rsidR="00AE1DEF" w:rsidRPr="00B04640" w:rsidRDefault="00AE1DEF" w:rsidP="00B32A54">
            <w:pPr>
              <w:rPr>
                <w:rFonts w:asciiTheme="majorHAnsi" w:hAnsiTheme="majorHAnsi"/>
                <w:sz w:val="20"/>
                <w:szCs w:val="20"/>
              </w:rPr>
            </w:pPr>
            <w:r>
              <w:rPr>
                <w:rFonts w:asciiTheme="majorHAnsi" w:hAnsiTheme="majorHAnsi"/>
                <w:sz w:val="20"/>
                <w:szCs w:val="20"/>
              </w:rPr>
              <w:t>5.2</w:t>
            </w:r>
          </w:p>
        </w:tc>
        <w:tc>
          <w:tcPr>
            <w:tcW w:w="952" w:type="dxa"/>
          </w:tcPr>
          <w:p w14:paraId="69997C98" w14:textId="77777777" w:rsidR="00AE1DEF" w:rsidRPr="00B04640" w:rsidRDefault="00AE1DEF" w:rsidP="00B32A54">
            <w:pPr>
              <w:rPr>
                <w:rFonts w:asciiTheme="majorHAnsi" w:hAnsiTheme="majorHAnsi"/>
                <w:sz w:val="20"/>
                <w:szCs w:val="20"/>
              </w:rPr>
            </w:pPr>
            <w:r>
              <w:rPr>
                <w:rFonts w:asciiTheme="majorHAnsi" w:hAnsiTheme="majorHAnsi"/>
                <w:sz w:val="20"/>
                <w:szCs w:val="20"/>
              </w:rPr>
              <w:t>175</w:t>
            </w:r>
          </w:p>
        </w:tc>
        <w:tc>
          <w:tcPr>
            <w:tcW w:w="961" w:type="dxa"/>
          </w:tcPr>
          <w:p w14:paraId="404DD49F" w14:textId="77777777" w:rsidR="00AE1DEF" w:rsidRPr="00B04640" w:rsidRDefault="00AE1DEF" w:rsidP="00B32A54">
            <w:pPr>
              <w:rPr>
                <w:rFonts w:asciiTheme="majorHAnsi" w:hAnsiTheme="majorHAnsi"/>
                <w:sz w:val="20"/>
                <w:szCs w:val="20"/>
              </w:rPr>
            </w:pPr>
            <w:r>
              <w:rPr>
                <w:rFonts w:ascii="Cambria" w:hAnsi="Cambria"/>
                <w:sz w:val="20"/>
                <w:szCs w:val="20"/>
              </w:rPr>
              <w:t>20</w:t>
            </w:r>
          </w:p>
        </w:tc>
      </w:tr>
      <w:tr w:rsidR="00AE1DEF" w:rsidRPr="00B04640" w14:paraId="40A84F63" w14:textId="77777777" w:rsidTr="00B32A54">
        <w:tc>
          <w:tcPr>
            <w:tcW w:w="1648" w:type="dxa"/>
          </w:tcPr>
          <w:p w14:paraId="0600E6ED"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Voucher scheme</w:t>
            </w:r>
          </w:p>
        </w:tc>
        <w:tc>
          <w:tcPr>
            <w:tcW w:w="1188" w:type="dxa"/>
          </w:tcPr>
          <w:p w14:paraId="6BA7BFF4"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37</w:t>
            </w:r>
            <w:r>
              <w:rPr>
                <w:rFonts w:asciiTheme="majorHAnsi" w:hAnsiTheme="majorHAnsi"/>
                <w:sz w:val="20"/>
                <w:szCs w:val="20"/>
              </w:rPr>
              <w:t>.1</w:t>
            </w:r>
          </w:p>
        </w:tc>
        <w:tc>
          <w:tcPr>
            <w:tcW w:w="949" w:type="dxa"/>
          </w:tcPr>
          <w:p w14:paraId="1D7BD3C7" w14:textId="77777777" w:rsidR="00AE1DEF" w:rsidRPr="00B04640" w:rsidRDefault="00AE1DEF" w:rsidP="00B32A54">
            <w:pPr>
              <w:rPr>
                <w:rFonts w:asciiTheme="majorHAnsi" w:hAnsiTheme="majorHAnsi"/>
                <w:sz w:val="20"/>
                <w:szCs w:val="20"/>
              </w:rPr>
            </w:pPr>
            <w:r>
              <w:rPr>
                <w:rFonts w:asciiTheme="majorHAnsi" w:hAnsiTheme="majorHAnsi"/>
                <w:sz w:val="20"/>
                <w:szCs w:val="20"/>
              </w:rPr>
              <w:t>28.7</w:t>
            </w:r>
          </w:p>
        </w:tc>
        <w:tc>
          <w:tcPr>
            <w:tcW w:w="1249" w:type="dxa"/>
          </w:tcPr>
          <w:p w14:paraId="32782E91" w14:textId="77777777" w:rsidR="00AE1DEF" w:rsidRPr="00B04640" w:rsidRDefault="00AE1DEF" w:rsidP="00B32A54">
            <w:pPr>
              <w:rPr>
                <w:rFonts w:asciiTheme="majorHAnsi" w:hAnsiTheme="majorHAnsi"/>
                <w:sz w:val="20"/>
                <w:szCs w:val="20"/>
              </w:rPr>
            </w:pPr>
            <w:r>
              <w:rPr>
                <w:rFonts w:asciiTheme="majorHAnsi" w:hAnsiTheme="majorHAnsi"/>
                <w:sz w:val="20"/>
                <w:szCs w:val="20"/>
              </w:rPr>
              <w:t>8.4</w:t>
            </w:r>
          </w:p>
        </w:tc>
        <w:tc>
          <w:tcPr>
            <w:tcW w:w="908" w:type="dxa"/>
          </w:tcPr>
          <w:p w14:paraId="479F5022" w14:textId="77777777" w:rsidR="00AE1DEF" w:rsidRPr="00B04640" w:rsidRDefault="00AE1DEF" w:rsidP="00B32A54">
            <w:pPr>
              <w:rPr>
                <w:rFonts w:asciiTheme="majorHAnsi" w:hAnsiTheme="majorHAnsi"/>
                <w:sz w:val="20"/>
                <w:szCs w:val="20"/>
              </w:rPr>
            </w:pPr>
            <w:r>
              <w:rPr>
                <w:rFonts w:asciiTheme="majorHAnsi" w:hAnsiTheme="majorHAnsi"/>
                <w:sz w:val="20"/>
                <w:szCs w:val="20"/>
              </w:rPr>
              <w:t>9</w:t>
            </w:r>
          </w:p>
        </w:tc>
        <w:tc>
          <w:tcPr>
            <w:tcW w:w="952" w:type="dxa"/>
          </w:tcPr>
          <w:p w14:paraId="45D211ED" w14:textId="77777777" w:rsidR="00AE1DEF" w:rsidRPr="00B04640" w:rsidRDefault="00AE1DEF" w:rsidP="00B32A54">
            <w:pPr>
              <w:rPr>
                <w:rFonts w:asciiTheme="majorHAnsi" w:hAnsiTheme="majorHAnsi"/>
                <w:sz w:val="20"/>
                <w:szCs w:val="20"/>
              </w:rPr>
            </w:pPr>
            <w:r>
              <w:rPr>
                <w:rFonts w:asciiTheme="majorHAnsi" w:hAnsiTheme="majorHAnsi"/>
                <w:sz w:val="20"/>
                <w:szCs w:val="20"/>
              </w:rPr>
              <w:t>352</w:t>
            </w:r>
          </w:p>
        </w:tc>
        <w:tc>
          <w:tcPr>
            <w:tcW w:w="961" w:type="dxa"/>
          </w:tcPr>
          <w:p w14:paraId="27068851" w14:textId="77777777" w:rsidR="00AE1DEF" w:rsidRPr="00B04640" w:rsidRDefault="00AE1DEF" w:rsidP="00B32A54">
            <w:pPr>
              <w:rPr>
                <w:rFonts w:asciiTheme="majorHAnsi" w:hAnsiTheme="majorHAnsi"/>
                <w:sz w:val="20"/>
                <w:szCs w:val="20"/>
              </w:rPr>
            </w:pPr>
            <w:r>
              <w:rPr>
                <w:rFonts w:asciiTheme="majorHAnsi" w:hAnsiTheme="majorHAnsi"/>
                <w:sz w:val="20"/>
                <w:szCs w:val="20"/>
              </w:rPr>
              <w:t>45</w:t>
            </w:r>
          </w:p>
        </w:tc>
      </w:tr>
      <w:tr w:rsidR="00AE1DEF" w:rsidRPr="00B04640" w14:paraId="5411B739" w14:textId="77777777" w:rsidTr="00B32A54">
        <w:tc>
          <w:tcPr>
            <w:tcW w:w="1648" w:type="dxa"/>
          </w:tcPr>
          <w:p w14:paraId="13FA5924" w14:textId="77777777" w:rsidR="00AE1DEF" w:rsidRPr="00B04640" w:rsidRDefault="00AE1DEF" w:rsidP="00B32A54">
            <w:pPr>
              <w:rPr>
                <w:rFonts w:asciiTheme="majorHAnsi" w:hAnsiTheme="majorHAnsi"/>
                <w:sz w:val="20"/>
                <w:szCs w:val="20"/>
              </w:rPr>
            </w:pPr>
            <w:r>
              <w:rPr>
                <w:rFonts w:asciiTheme="majorHAnsi" w:hAnsiTheme="majorHAnsi"/>
                <w:sz w:val="20"/>
                <w:szCs w:val="20"/>
              </w:rPr>
              <w:t>Voucher scheme plus 10yr</w:t>
            </w:r>
            <w:r w:rsidRPr="00B04640">
              <w:rPr>
                <w:rFonts w:asciiTheme="majorHAnsi" w:hAnsiTheme="majorHAnsi"/>
                <w:sz w:val="20"/>
                <w:szCs w:val="20"/>
              </w:rPr>
              <w:t xml:space="preserve"> 10% payback</w:t>
            </w:r>
          </w:p>
        </w:tc>
        <w:tc>
          <w:tcPr>
            <w:tcW w:w="1188" w:type="dxa"/>
          </w:tcPr>
          <w:p w14:paraId="063A7B32"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37</w:t>
            </w:r>
            <w:r>
              <w:rPr>
                <w:rFonts w:asciiTheme="majorHAnsi" w:hAnsiTheme="majorHAnsi"/>
                <w:sz w:val="20"/>
                <w:szCs w:val="20"/>
              </w:rPr>
              <w:t>.1</w:t>
            </w:r>
          </w:p>
        </w:tc>
        <w:tc>
          <w:tcPr>
            <w:tcW w:w="949" w:type="dxa"/>
          </w:tcPr>
          <w:p w14:paraId="0C94DAB9" w14:textId="77777777" w:rsidR="00AE1DEF" w:rsidRPr="00B04640" w:rsidRDefault="00AE1DEF" w:rsidP="00B32A54">
            <w:pPr>
              <w:rPr>
                <w:rFonts w:asciiTheme="majorHAnsi" w:hAnsiTheme="majorHAnsi"/>
                <w:sz w:val="20"/>
                <w:szCs w:val="20"/>
              </w:rPr>
            </w:pPr>
            <w:r>
              <w:rPr>
                <w:rFonts w:asciiTheme="majorHAnsi" w:hAnsiTheme="majorHAnsi"/>
                <w:sz w:val="20"/>
                <w:szCs w:val="20"/>
              </w:rPr>
              <w:t>26.7</w:t>
            </w:r>
          </w:p>
        </w:tc>
        <w:tc>
          <w:tcPr>
            <w:tcW w:w="1249" w:type="dxa"/>
          </w:tcPr>
          <w:p w14:paraId="4597AF77" w14:textId="77777777" w:rsidR="00AE1DEF" w:rsidRPr="00B04640" w:rsidRDefault="00AE1DEF" w:rsidP="00B32A54">
            <w:pPr>
              <w:rPr>
                <w:rFonts w:asciiTheme="majorHAnsi" w:hAnsiTheme="majorHAnsi"/>
                <w:sz w:val="20"/>
                <w:szCs w:val="20"/>
              </w:rPr>
            </w:pPr>
            <w:r>
              <w:rPr>
                <w:rFonts w:asciiTheme="majorHAnsi" w:hAnsiTheme="majorHAnsi"/>
                <w:sz w:val="20"/>
                <w:szCs w:val="20"/>
              </w:rPr>
              <w:t>10.4</w:t>
            </w:r>
          </w:p>
        </w:tc>
        <w:tc>
          <w:tcPr>
            <w:tcW w:w="908" w:type="dxa"/>
          </w:tcPr>
          <w:p w14:paraId="67335446" w14:textId="77777777" w:rsidR="00AE1DEF" w:rsidRPr="00B04640" w:rsidRDefault="00AE1DEF" w:rsidP="00B32A54">
            <w:pPr>
              <w:rPr>
                <w:rFonts w:asciiTheme="majorHAnsi" w:hAnsiTheme="majorHAnsi"/>
                <w:sz w:val="20"/>
                <w:szCs w:val="20"/>
              </w:rPr>
            </w:pPr>
            <w:r w:rsidRPr="00B04640">
              <w:rPr>
                <w:rFonts w:asciiTheme="majorHAnsi" w:hAnsiTheme="majorHAnsi"/>
                <w:sz w:val="20"/>
                <w:szCs w:val="20"/>
              </w:rPr>
              <w:t>9.1</w:t>
            </w:r>
          </w:p>
        </w:tc>
        <w:tc>
          <w:tcPr>
            <w:tcW w:w="952" w:type="dxa"/>
          </w:tcPr>
          <w:p w14:paraId="3734FEC9" w14:textId="77777777" w:rsidR="00AE1DEF" w:rsidRPr="00B04640" w:rsidRDefault="00AE1DEF" w:rsidP="00B32A54">
            <w:pPr>
              <w:rPr>
                <w:rFonts w:asciiTheme="majorHAnsi" w:hAnsiTheme="majorHAnsi"/>
                <w:sz w:val="20"/>
                <w:szCs w:val="20"/>
              </w:rPr>
            </w:pPr>
            <w:r>
              <w:rPr>
                <w:rFonts w:asciiTheme="majorHAnsi" w:hAnsiTheme="majorHAnsi"/>
                <w:sz w:val="20"/>
                <w:szCs w:val="20"/>
              </w:rPr>
              <w:t>353</w:t>
            </w:r>
          </w:p>
        </w:tc>
        <w:tc>
          <w:tcPr>
            <w:tcW w:w="961" w:type="dxa"/>
          </w:tcPr>
          <w:p w14:paraId="071F3A71" w14:textId="77777777" w:rsidR="00AE1DEF" w:rsidRPr="00B04640" w:rsidRDefault="00AE1DEF" w:rsidP="00B32A54">
            <w:pPr>
              <w:rPr>
                <w:rFonts w:asciiTheme="majorHAnsi" w:hAnsiTheme="majorHAnsi"/>
                <w:sz w:val="20"/>
                <w:szCs w:val="20"/>
              </w:rPr>
            </w:pPr>
            <w:r>
              <w:rPr>
                <w:rFonts w:asciiTheme="majorHAnsi" w:hAnsiTheme="majorHAnsi"/>
                <w:sz w:val="20"/>
                <w:szCs w:val="20"/>
              </w:rPr>
              <w:t>41</w:t>
            </w:r>
          </w:p>
        </w:tc>
      </w:tr>
      <w:tr w:rsidR="00AE1DEF" w:rsidRPr="00B04640" w14:paraId="467E860C" w14:textId="77777777" w:rsidTr="00B32A54">
        <w:tc>
          <w:tcPr>
            <w:tcW w:w="1648" w:type="dxa"/>
          </w:tcPr>
          <w:p w14:paraId="46AEEC0F" w14:textId="77777777" w:rsidR="00AE1DEF" w:rsidRPr="004068C0" w:rsidRDefault="00AE1DEF" w:rsidP="00B32A54">
            <w:pPr>
              <w:rPr>
                <w:rFonts w:asciiTheme="majorHAnsi" w:hAnsiTheme="majorHAnsi"/>
                <w:sz w:val="20"/>
                <w:szCs w:val="20"/>
              </w:rPr>
            </w:pPr>
            <w:r>
              <w:rPr>
                <w:rFonts w:asciiTheme="majorHAnsi" w:hAnsiTheme="majorHAnsi"/>
                <w:sz w:val="20"/>
                <w:szCs w:val="20"/>
              </w:rPr>
              <w:t xml:space="preserve">Government </w:t>
            </w:r>
            <w:r w:rsidRPr="004068C0">
              <w:rPr>
                <w:rFonts w:asciiTheme="majorHAnsi" w:hAnsiTheme="majorHAnsi"/>
                <w:sz w:val="20"/>
                <w:szCs w:val="20"/>
              </w:rPr>
              <w:t>subsidised</w:t>
            </w:r>
            <w:r>
              <w:rPr>
                <w:rFonts w:asciiTheme="majorHAnsi" w:hAnsiTheme="majorHAnsi"/>
                <w:sz w:val="20"/>
                <w:szCs w:val="20"/>
              </w:rPr>
              <w:t xml:space="preserve"> interest (cost to Govt. is £6.2bn)</w:t>
            </w:r>
          </w:p>
        </w:tc>
        <w:tc>
          <w:tcPr>
            <w:tcW w:w="1188" w:type="dxa"/>
          </w:tcPr>
          <w:p w14:paraId="3FA2D9EF" w14:textId="77777777" w:rsidR="00AE1DEF" w:rsidRPr="00B04640" w:rsidRDefault="00AE1DEF" w:rsidP="00B32A54">
            <w:pPr>
              <w:rPr>
                <w:rFonts w:asciiTheme="majorHAnsi" w:hAnsiTheme="majorHAnsi"/>
                <w:sz w:val="20"/>
                <w:szCs w:val="20"/>
              </w:rPr>
            </w:pPr>
            <w:r>
              <w:rPr>
                <w:rFonts w:asciiTheme="majorHAnsi" w:hAnsiTheme="majorHAnsi"/>
                <w:sz w:val="20"/>
                <w:szCs w:val="20"/>
              </w:rPr>
              <w:t>33.7</w:t>
            </w:r>
          </w:p>
        </w:tc>
        <w:tc>
          <w:tcPr>
            <w:tcW w:w="949" w:type="dxa"/>
          </w:tcPr>
          <w:p w14:paraId="658F8189" w14:textId="77777777" w:rsidR="00AE1DEF" w:rsidRDefault="00AE1DEF" w:rsidP="00B32A54">
            <w:pPr>
              <w:rPr>
                <w:rFonts w:asciiTheme="majorHAnsi" w:hAnsiTheme="majorHAnsi"/>
                <w:sz w:val="20"/>
                <w:szCs w:val="20"/>
              </w:rPr>
            </w:pPr>
            <w:r>
              <w:rPr>
                <w:rFonts w:asciiTheme="majorHAnsi" w:hAnsiTheme="majorHAnsi"/>
                <w:sz w:val="20"/>
                <w:szCs w:val="20"/>
              </w:rPr>
              <w:t>20.6</w:t>
            </w:r>
          </w:p>
        </w:tc>
        <w:tc>
          <w:tcPr>
            <w:tcW w:w="1249" w:type="dxa"/>
          </w:tcPr>
          <w:p w14:paraId="4D694B32" w14:textId="77777777" w:rsidR="00AE1DEF" w:rsidRDefault="00AE1DEF" w:rsidP="00B32A54">
            <w:pPr>
              <w:rPr>
                <w:rFonts w:asciiTheme="majorHAnsi" w:hAnsiTheme="majorHAnsi"/>
                <w:sz w:val="20"/>
                <w:szCs w:val="20"/>
              </w:rPr>
            </w:pPr>
            <w:r>
              <w:rPr>
                <w:rFonts w:asciiTheme="majorHAnsi" w:hAnsiTheme="majorHAnsi"/>
                <w:sz w:val="20"/>
                <w:szCs w:val="20"/>
              </w:rPr>
              <w:t>13.1</w:t>
            </w:r>
          </w:p>
        </w:tc>
        <w:tc>
          <w:tcPr>
            <w:tcW w:w="908" w:type="dxa"/>
          </w:tcPr>
          <w:p w14:paraId="5B76A29E" w14:textId="77777777" w:rsidR="00AE1DEF" w:rsidRPr="00B04640" w:rsidRDefault="00AE1DEF" w:rsidP="00B32A54">
            <w:pPr>
              <w:rPr>
                <w:rFonts w:asciiTheme="majorHAnsi" w:hAnsiTheme="majorHAnsi"/>
                <w:sz w:val="20"/>
                <w:szCs w:val="20"/>
              </w:rPr>
            </w:pPr>
            <w:r>
              <w:rPr>
                <w:rFonts w:asciiTheme="majorHAnsi" w:hAnsiTheme="majorHAnsi"/>
                <w:sz w:val="20"/>
                <w:szCs w:val="20"/>
              </w:rPr>
              <w:t>9.4</w:t>
            </w:r>
          </w:p>
        </w:tc>
        <w:tc>
          <w:tcPr>
            <w:tcW w:w="952" w:type="dxa"/>
          </w:tcPr>
          <w:p w14:paraId="71495EFD" w14:textId="77777777" w:rsidR="00AE1DEF" w:rsidRDefault="00AE1DEF" w:rsidP="00B32A54">
            <w:pPr>
              <w:rPr>
                <w:rFonts w:asciiTheme="majorHAnsi" w:hAnsiTheme="majorHAnsi"/>
                <w:sz w:val="20"/>
                <w:szCs w:val="20"/>
              </w:rPr>
            </w:pPr>
            <w:r>
              <w:rPr>
                <w:rFonts w:asciiTheme="majorHAnsi" w:hAnsiTheme="majorHAnsi"/>
                <w:sz w:val="20"/>
                <w:szCs w:val="20"/>
              </w:rPr>
              <w:t>354</w:t>
            </w:r>
          </w:p>
        </w:tc>
        <w:tc>
          <w:tcPr>
            <w:tcW w:w="961" w:type="dxa"/>
          </w:tcPr>
          <w:p w14:paraId="26CDF6B7" w14:textId="77777777" w:rsidR="00AE1DEF" w:rsidRDefault="00AE1DEF" w:rsidP="00B32A54">
            <w:pPr>
              <w:rPr>
                <w:rFonts w:asciiTheme="majorHAnsi" w:hAnsiTheme="majorHAnsi"/>
                <w:sz w:val="20"/>
                <w:szCs w:val="20"/>
              </w:rPr>
            </w:pPr>
            <w:r>
              <w:rPr>
                <w:rFonts w:asciiTheme="majorHAnsi" w:hAnsiTheme="majorHAnsi"/>
                <w:sz w:val="20"/>
                <w:szCs w:val="20"/>
              </w:rPr>
              <w:t>24</w:t>
            </w:r>
          </w:p>
        </w:tc>
      </w:tr>
    </w:tbl>
    <w:p w14:paraId="13E00106" w14:textId="77777777" w:rsidR="00BA5809" w:rsidRPr="00AE1DEF" w:rsidRDefault="00BA5809" w:rsidP="00AE1DEF">
      <w:pPr>
        <w:spacing w:line="480" w:lineRule="auto"/>
        <w:rPr>
          <w:rFonts w:asciiTheme="majorHAnsi" w:hAnsiTheme="majorHAnsi"/>
        </w:rPr>
      </w:pPr>
      <w:bookmarkStart w:id="0" w:name="_GoBack"/>
      <w:bookmarkEnd w:id="0"/>
    </w:p>
    <w:p w14:paraId="55525182" w14:textId="77777777" w:rsidR="00942AA0" w:rsidRPr="00906B0D" w:rsidRDefault="00942AA0" w:rsidP="00AB0182">
      <w:pPr>
        <w:spacing w:line="480" w:lineRule="auto"/>
        <w:rPr>
          <w:rFonts w:asciiTheme="majorHAnsi" w:hAnsiTheme="majorHAnsi" w:cs="Arial"/>
        </w:rPr>
      </w:pPr>
    </w:p>
    <w:p w14:paraId="520DBC5F" w14:textId="77777777" w:rsidR="00942AA0" w:rsidRPr="00906B0D" w:rsidRDefault="00942AA0" w:rsidP="00AB0182">
      <w:pPr>
        <w:spacing w:line="480" w:lineRule="auto"/>
        <w:rPr>
          <w:rFonts w:asciiTheme="majorHAnsi" w:hAnsiTheme="majorHAnsi" w:cs="Arial"/>
        </w:rPr>
      </w:pPr>
    </w:p>
    <w:p w14:paraId="14933FEA" w14:textId="4B656289" w:rsidR="001D6A3D" w:rsidRPr="00906B0D" w:rsidRDefault="001D6A3D" w:rsidP="00AB0182">
      <w:pPr>
        <w:spacing w:line="480" w:lineRule="auto"/>
        <w:rPr>
          <w:rFonts w:asciiTheme="majorHAnsi" w:hAnsiTheme="majorHAnsi" w:cs="Arial"/>
        </w:rPr>
      </w:pPr>
    </w:p>
    <w:sectPr w:rsidR="001D6A3D" w:rsidRPr="00906B0D" w:rsidSect="00AB0182">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7F62D" w14:textId="77777777" w:rsidR="003979B1" w:rsidRDefault="003979B1" w:rsidP="005F3843">
      <w:r>
        <w:separator/>
      </w:r>
    </w:p>
  </w:endnote>
  <w:endnote w:type="continuationSeparator" w:id="0">
    <w:p w14:paraId="53D41EC8" w14:textId="77777777" w:rsidR="003979B1" w:rsidRDefault="003979B1" w:rsidP="005F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5790B" w14:textId="77777777" w:rsidR="003979B1" w:rsidRDefault="003979B1" w:rsidP="005F3843">
      <w:r>
        <w:separator/>
      </w:r>
    </w:p>
  </w:footnote>
  <w:footnote w:type="continuationSeparator" w:id="0">
    <w:p w14:paraId="18785A4C" w14:textId="77777777" w:rsidR="003979B1" w:rsidRDefault="003979B1" w:rsidP="005F3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2"/>
    <w:multiLevelType w:val="multilevel"/>
    <w:tmpl w:val="00000002"/>
    <w:name w:val="WWNum1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4"/>
    <w:multiLevelType w:val="multilevel"/>
    <w:tmpl w:val="00000004"/>
    <w:name w:val="WWNum1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05"/>
    <w:multiLevelType w:val="multilevel"/>
    <w:tmpl w:val="00000005"/>
    <w:name w:val="WWNum1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1302BAD"/>
    <w:multiLevelType w:val="hybridMultilevel"/>
    <w:tmpl w:val="9B243BEC"/>
    <w:lvl w:ilvl="0" w:tplc="434C34B6">
      <w:start w:val="1"/>
      <w:numFmt w:val="bullet"/>
      <w:lvlText w:val="•"/>
      <w:lvlJc w:val="left"/>
      <w:pPr>
        <w:tabs>
          <w:tab w:val="num" w:pos="720"/>
        </w:tabs>
        <w:ind w:left="720" w:hanging="360"/>
      </w:pPr>
      <w:rPr>
        <w:rFonts w:ascii="Arial" w:hAnsi="Arial" w:hint="default"/>
      </w:rPr>
    </w:lvl>
    <w:lvl w:ilvl="1" w:tplc="882A54D6" w:tentative="1">
      <w:start w:val="1"/>
      <w:numFmt w:val="bullet"/>
      <w:lvlText w:val="•"/>
      <w:lvlJc w:val="left"/>
      <w:pPr>
        <w:tabs>
          <w:tab w:val="num" w:pos="1440"/>
        </w:tabs>
        <w:ind w:left="1440" w:hanging="360"/>
      </w:pPr>
      <w:rPr>
        <w:rFonts w:ascii="Arial" w:hAnsi="Arial" w:hint="default"/>
      </w:rPr>
    </w:lvl>
    <w:lvl w:ilvl="2" w:tplc="F67EF35C" w:tentative="1">
      <w:start w:val="1"/>
      <w:numFmt w:val="bullet"/>
      <w:lvlText w:val="•"/>
      <w:lvlJc w:val="left"/>
      <w:pPr>
        <w:tabs>
          <w:tab w:val="num" w:pos="2160"/>
        </w:tabs>
        <w:ind w:left="2160" w:hanging="360"/>
      </w:pPr>
      <w:rPr>
        <w:rFonts w:ascii="Arial" w:hAnsi="Arial" w:hint="default"/>
      </w:rPr>
    </w:lvl>
    <w:lvl w:ilvl="3" w:tplc="C9704F12" w:tentative="1">
      <w:start w:val="1"/>
      <w:numFmt w:val="bullet"/>
      <w:lvlText w:val="•"/>
      <w:lvlJc w:val="left"/>
      <w:pPr>
        <w:tabs>
          <w:tab w:val="num" w:pos="2880"/>
        </w:tabs>
        <w:ind w:left="2880" w:hanging="360"/>
      </w:pPr>
      <w:rPr>
        <w:rFonts w:ascii="Arial" w:hAnsi="Arial" w:hint="default"/>
      </w:rPr>
    </w:lvl>
    <w:lvl w:ilvl="4" w:tplc="F51828C8" w:tentative="1">
      <w:start w:val="1"/>
      <w:numFmt w:val="bullet"/>
      <w:lvlText w:val="•"/>
      <w:lvlJc w:val="left"/>
      <w:pPr>
        <w:tabs>
          <w:tab w:val="num" w:pos="3600"/>
        </w:tabs>
        <w:ind w:left="3600" w:hanging="360"/>
      </w:pPr>
      <w:rPr>
        <w:rFonts w:ascii="Arial" w:hAnsi="Arial" w:hint="default"/>
      </w:rPr>
    </w:lvl>
    <w:lvl w:ilvl="5" w:tplc="F73668F6" w:tentative="1">
      <w:start w:val="1"/>
      <w:numFmt w:val="bullet"/>
      <w:lvlText w:val="•"/>
      <w:lvlJc w:val="left"/>
      <w:pPr>
        <w:tabs>
          <w:tab w:val="num" w:pos="4320"/>
        </w:tabs>
        <w:ind w:left="4320" w:hanging="360"/>
      </w:pPr>
      <w:rPr>
        <w:rFonts w:ascii="Arial" w:hAnsi="Arial" w:hint="default"/>
      </w:rPr>
    </w:lvl>
    <w:lvl w:ilvl="6" w:tplc="00CA974C" w:tentative="1">
      <w:start w:val="1"/>
      <w:numFmt w:val="bullet"/>
      <w:lvlText w:val="•"/>
      <w:lvlJc w:val="left"/>
      <w:pPr>
        <w:tabs>
          <w:tab w:val="num" w:pos="5040"/>
        </w:tabs>
        <w:ind w:left="5040" w:hanging="360"/>
      </w:pPr>
      <w:rPr>
        <w:rFonts w:ascii="Arial" w:hAnsi="Arial" w:hint="default"/>
      </w:rPr>
    </w:lvl>
    <w:lvl w:ilvl="7" w:tplc="BA54B52E" w:tentative="1">
      <w:start w:val="1"/>
      <w:numFmt w:val="bullet"/>
      <w:lvlText w:val="•"/>
      <w:lvlJc w:val="left"/>
      <w:pPr>
        <w:tabs>
          <w:tab w:val="num" w:pos="5760"/>
        </w:tabs>
        <w:ind w:left="5760" w:hanging="360"/>
      </w:pPr>
      <w:rPr>
        <w:rFonts w:ascii="Arial" w:hAnsi="Arial" w:hint="default"/>
      </w:rPr>
    </w:lvl>
    <w:lvl w:ilvl="8" w:tplc="324E5E3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3715DE"/>
    <w:multiLevelType w:val="hybridMultilevel"/>
    <w:tmpl w:val="2F60D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CD3F29"/>
    <w:multiLevelType w:val="hybridMultilevel"/>
    <w:tmpl w:val="777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E72625"/>
    <w:multiLevelType w:val="hybridMultilevel"/>
    <w:tmpl w:val="44F02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FB05CB"/>
    <w:multiLevelType w:val="hybridMultilevel"/>
    <w:tmpl w:val="DF707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4F1345"/>
    <w:multiLevelType w:val="hybridMultilevel"/>
    <w:tmpl w:val="F8A8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14691"/>
    <w:multiLevelType w:val="hybridMultilevel"/>
    <w:tmpl w:val="F550B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8263F0"/>
    <w:multiLevelType w:val="hybridMultilevel"/>
    <w:tmpl w:val="90F821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46F4E"/>
    <w:multiLevelType w:val="multilevel"/>
    <w:tmpl w:val="8CFC40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7856AD"/>
    <w:multiLevelType w:val="hybridMultilevel"/>
    <w:tmpl w:val="FA6E1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F02CC7"/>
    <w:multiLevelType w:val="hybridMultilevel"/>
    <w:tmpl w:val="171E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D6DEB"/>
    <w:multiLevelType w:val="hybridMultilevel"/>
    <w:tmpl w:val="49686C0E"/>
    <w:lvl w:ilvl="0" w:tplc="BBA89FAC">
      <w:start w:val="1"/>
      <w:numFmt w:val="bullet"/>
      <w:lvlText w:val="•"/>
      <w:lvlJc w:val="left"/>
      <w:pPr>
        <w:tabs>
          <w:tab w:val="num" w:pos="720"/>
        </w:tabs>
        <w:ind w:left="720" w:hanging="360"/>
      </w:pPr>
      <w:rPr>
        <w:rFonts w:ascii="Arial" w:hAnsi="Arial" w:hint="default"/>
      </w:rPr>
    </w:lvl>
    <w:lvl w:ilvl="1" w:tplc="060EB890" w:tentative="1">
      <w:start w:val="1"/>
      <w:numFmt w:val="bullet"/>
      <w:lvlText w:val="•"/>
      <w:lvlJc w:val="left"/>
      <w:pPr>
        <w:tabs>
          <w:tab w:val="num" w:pos="1440"/>
        </w:tabs>
        <w:ind w:left="1440" w:hanging="360"/>
      </w:pPr>
      <w:rPr>
        <w:rFonts w:ascii="Arial" w:hAnsi="Arial" w:hint="default"/>
      </w:rPr>
    </w:lvl>
    <w:lvl w:ilvl="2" w:tplc="22DEE0EE" w:tentative="1">
      <w:start w:val="1"/>
      <w:numFmt w:val="bullet"/>
      <w:lvlText w:val="•"/>
      <w:lvlJc w:val="left"/>
      <w:pPr>
        <w:tabs>
          <w:tab w:val="num" w:pos="2160"/>
        </w:tabs>
        <w:ind w:left="2160" w:hanging="360"/>
      </w:pPr>
      <w:rPr>
        <w:rFonts w:ascii="Arial" w:hAnsi="Arial" w:hint="default"/>
      </w:rPr>
    </w:lvl>
    <w:lvl w:ilvl="3" w:tplc="9F96C21C" w:tentative="1">
      <w:start w:val="1"/>
      <w:numFmt w:val="bullet"/>
      <w:lvlText w:val="•"/>
      <w:lvlJc w:val="left"/>
      <w:pPr>
        <w:tabs>
          <w:tab w:val="num" w:pos="2880"/>
        </w:tabs>
        <w:ind w:left="2880" w:hanging="360"/>
      </w:pPr>
      <w:rPr>
        <w:rFonts w:ascii="Arial" w:hAnsi="Arial" w:hint="default"/>
      </w:rPr>
    </w:lvl>
    <w:lvl w:ilvl="4" w:tplc="340AC1AA" w:tentative="1">
      <w:start w:val="1"/>
      <w:numFmt w:val="bullet"/>
      <w:lvlText w:val="•"/>
      <w:lvlJc w:val="left"/>
      <w:pPr>
        <w:tabs>
          <w:tab w:val="num" w:pos="3600"/>
        </w:tabs>
        <w:ind w:left="3600" w:hanging="360"/>
      </w:pPr>
      <w:rPr>
        <w:rFonts w:ascii="Arial" w:hAnsi="Arial" w:hint="default"/>
      </w:rPr>
    </w:lvl>
    <w:lvl w:ilvl="5" w:tplc="1F24270C" w:tentative="1">
      <w:start w:val="1"/>
      <w:numFmt w:val="bullet"/>
      <w:lvlText w:val="•"/>
      <w:lvlJc w:val="left"/>
      <w:pPr>
        <w:tabs>
          <w:tab w:val="num" w:pos="4320"/>
        </w:tabs>
        <w:ind w:left="4320" w:hanging="360"/>
      </w:pPr>
      <w:rPr>
        <w:rFonts w:ascii="Arial" w:hAnsi="Arial" w:hint="default"/>
      </w:rPr>
    </w:lvl>
    <w:lvl w:ilvl="6" w:tplc="3A32EA2A" w:tentative="1">
      <w:start w:val="1"/>
      <w:numFmt w:val="bullet"/>
      <w:lvlText w:val="•"/>
      <w:lvlJc w:val="left"/>
      <w:pPr>
        <w:tabs>
          <w:tab w:val="num" w:pos="5040"/>
        </w:tabs>
        <w:ind w:left="5040" w:hanging="360"/>
      </w:pPr>
      <w:rPr>
        <w:rFonts w:ascii="Arial" w:hAnsi="Arial" w:hint="default"/>
      </w:rPr>
    </w:lvl>
    <w:lvl w:ilvl="7" w:tplc="FADEAACC" w:tentative="1">
      <w:start w:val="1"/>
      <w:numFmt w:val="bullet"/>
      <w:lvlText w:val="•"/>
      <w:lvlJc w:val="left"/>
      <w:pPr>
        <w:tabs>
          <w:tab w:val="num" w:pos="5760"/>
        </w:tabs>
        <w:ind w:left="5760" w:hanging="360"/>
      </w:pPr>
      <w:rPr>
        <w:rFonts w:ascii="Arial" w:hAnsi="Arial" w:hint="default"/>
      </w:rPr>
    </w:lvl>
    <w:lvl w:ilvl="8" w:tplc="C94051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766F9C"/>
    <w:multiLevelType w:val="hybridMultilevel"/>
    <w:tmpl w:val="3C4469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A0A78E8"/>
    <w:multiLevelType w:val="multilevel"/>
    <w:tmpl w:val="4B1E2AFE"/>
    <w:lvl w:ilvl="0">
      <w:start w:val="3"/>
      <w:numFmt w:val="decimal"/>
      <w:lvlText w:val="%1"/>
      <w:lvlJc w:val="left"/>
      <w:pPr>
        <w:ind w:left="360" w:hanging="360"/>
      </w:pPr>
      <w:rPr>
        <w:rFonts w:cs="Arial" w:hint="default"/>
        <w:i w:val="0"/>
      </w:rPr>
    </w:lvl>
    <w:lvl w:ilvl="1">
      <w:start w:val="3"/>
      <w:numFmt w:val="decimal"/>
      <w:lvlText w:val="%1.%2"/>
      <w:lvlJc w:val="left"/>
      <w:pPr>
        <w:ind w:left="360" w:hanging="360"/>
      </w:pPr>
      <w:rPr>
        <w:rFonts w:cs="Arial" w:hint="default"/>
        <w:i w:val="0"/>
      </w:rPr>
    </w:lvl>
    <w:lvl w:ilvl="2">
      <w:start w:val="1"/>
      <w:numFmt w:val="decimal"/>
      <w:lvlText w:val="%1.%2.%3"/>
      <w:lvlJc w:val="left"/>
      <w:pPr>
        <w:ind w:left="720" w:hanging="720"/>
      </w:pPr>
      <w:rPr>
        <w:rFonts w:cs="Arial" w:hint="default"/>
        <w:i w:val="0"/>
      </w:rPr>
    </w:lvl>
    <w:lvl w:ilvl="3">
      <w:start w:val="1"/>
      <w:numFmt w:val="decimal"/>
      <w:lvlText w:val="%1.%2.%3.%4"/>
      <w:lvlJc w:val="left"/>
      <w:pPr>
        <w:ind w:left="720" w:hanging="720"/>
      </w:pPr>
      <w:rPr>
        <w:rFonts w:cs="Arial" w:hint="default"/>
        <w:i w:val="0"/>
      </w:rPr>
    </w:lvl>
    <w:lvl w:ilvl="4">
      <w:start w:val="1"/>
      <w:numFmt w:val="decimal"/>
      <w:lvlText w:val="%1.%2.%3.%4.%5"/>
      <w:lvlJc w:val="left"/>
      <w:pPr>
        <w:ind w:left="1080" w:hanging="1080"/>
      </w:pPr>
      <w:rPr>
        <w:rFonts w:cs="Arial" w:hint="default"/>
        <w:i w:val="0"/>
      </w:rPr>
    </w:lvl>
    <w:lvl w:ilvl="5">
      <w:start w:val="1"/>
      <w:numFmt w:val="decimal"/>
      <w:lvlText w:val="%1.%2.%3.%4.%5.%6"/>
      <w:lvlJc w:val="left"/>
      <w:pPr>
        <w:ind w:left="1080" w:hanging="1080"/>
      </w:pPr>
      <w:rPr>
        <w:rFonts w:cs="Arial" w:hint="default"/>
        <w:i w:val="0"/>
      </w:rPr>
    </w:lvl>
    <w:lvl w:ilvl="6">
      <w:start w:val="1"/>
      <w:numFmt w:val="decimal"/>
      <w:lvlText w:val="%1.%2.%3.%4.%5.%6.%7"/>
      <w:lvlJc w:val="left"/>
      <w:pPr>
        <w:ind w:left="1440" w:hanging="1440"/>
      </w:pPr>
      <w:rPr>
        <w:rFonts w:cs="Arial" w:hint="default"/>
        <w:i w:val="0"/>
      </w:rPr>
    </w:lvl>
    <w:lvl w:ilvl="7">
      <w:start w:val="1"/>
      <w:numFmt w:val="decimal"/>
      <w:lvlText w:val="%1.%2.%3.%4.%5.%6.%7.%8"/>
      <w:lvlJc w:val="left"/>
      <w:pPr>
        <w:ind w:left="1440" w:hanging="1440"/>
      </w:pPr>
      <w:rPr>
        <w:rFonts w:cs="Arial" w:hint="default"/>
        <w:i w:val="0"/>
      </w:rPr>
    </w:lvl>
    <w:lvl w:ilvl="8">
      <w:start w:val="1"/>
      <w:numFmt w:val="decimal"/>
      <w:lvlText w:val="%1.%2.%3.%4.%5.%6.%7.%8.%9"/>
      <w:lvlJc w:val="left"/>
      <w:pPr>
        <w:ind w:left="1800" w:hanging="1800"/>
      </w:pPr>
      <w:rPr>
        <w:rFonts w:cs="Arial" w:hint="default"/>
        <w:i w:val="0"/>
      </w:rPr>
    </w:lvl>
  </w:abstractNum>
  <w:abstractNum w:abstractNumId="18" w15:restartNumberingAfterBreak="0">
    <w:nsid w:val="32CE49A1"/>
    <w:multiLevelType w:val="hybridMultilevel"/>
    <w:tmpl w:val="F15CD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B3248"/>
    <w:multiLevelType w:val="hybridMultilevel"/>
    <w:tmpl w:val="6AB64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058F7"/>
    <w:multiLevelType w:val="hybridMultilevel"/>
    <w:tmpl w:val="669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94055"/>
    <w:multiLevelType w:val="hybridMultilevel"/>
    <w:tmpl w:val="80CECC24"/>
    <w:lvl w:ilvl="0" w:tplc="89CE219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741955"/>
    <w:multiLevelType w:val="hybridMultilevel"/>
    <w:tmpl w:val="1354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9C19F7"/>
    <w:multiLevelType w:val="hybridMultilevel"/>
    <w:tmpl w:val="84760ADC"/>
    <w:lvl w:ilvl="0" w:tplc="1F566F56">
      <w:start w:val="1"/>
      <w:numFmt w:val="bullet"/>
      <w:lvlText w:val="•"/>
      <w:lvlJc w:val="left"/>
      <w:pPr>
        <w:tabs>
          <w:tab w:val="num" w:pos="720"/>
        </w:tabs>
        <w:ind w:left="720" w:hanging="360"/>
      </w:pPr>
      <w:rPr>
        <w:rFonts w:ascii="Arial" w:hAnsi="Arial" w:hint="default"/>
      </w:rPr>
    </w:lvl>
    <w:lvl w:ilvl="1" w:tplc="9CC2419C" w:tentative="1">
      <w:start w:val="1"/>
      <w:numFmt w:val="bullet"/>
      <w:lvlText w:val="•"/>
      <w:lvlJc w:val="left"/>
      <w:pPr>
        <w:tabs>
          <w:tab w:val="num" w:pos="1440"/>
        </w:tabs>
        <w:ind w:left="1440" w:hanging="360"/>
      </w:pPr>
      <w:rPr>
        <w:rFonts w:ascii="Arial" w:hAnsi="Arial" w:hint="default"/>
      </w:rPr>
    </w:lvl>
    <w:lvl w:ilvl="2" w:tplc="51768BFA" w:tentative="1">
      <w:start w:val="1"/>
      <w:numFmt w:val="bullet"/>
      <w:lvlText w:val="•"/>
      <w:lvlJc w:val="left"/>
      <w:pPr>
        <w:tabs>
          <w:tab w:val="num" w:pos="2160"/>
        </w:tabs>
        <w:ind w:left="2160" w:hanging="360"/>
      </w:pPr>
      <w:rPr>
        <w:rFonts w:ascii="Arial" w:hAnsi="Arial" w:hint="default"/>
      </w:rPr>
    </w:lvl>
    <w:lvl w:ilvl="3" w:tplc="676E4DB2" w:tentative="1">
      <w:start w:val="1"/>
      <w:numFmt w:val="bullet"/>
      <w:lvlText w:val="•"/>
      <w:lvlJc w:val="left"/>
      <w:pPr>
        <w:tabs>
          <w:tab w:val="num" w:pos="2880"/>
        </w:tabs>
        <w:ind w:left="2880" w:hanging="360"/>
      </w:pPr>
      <w:rPr>
        <w:rFonts w:ascii="Arial" w:hAnsi="Arial" w:hint="default"/>
      </w:rPr>
    </w:lvl>
    <w:lvl w:ilvl="4" w:tplc="0AC0DFD2" w:tentative="1">
      <w:start w:val="1"/>
      <w:numFmt w:val="bullet"/>
      <w:lvlText w:val="•"/>
      <w:lvlJc w:val="left"/>
      <w:pPr>
        <w:tabs>
          <w:tab w:val="num" w:pos="3600"/>
        </w:tabs>
        <w:ind w:left="3600" w:hanging="360"/>
      </w:pPr>
      <w:rPr>
        <w:rFonts w:ascii="Arial" w:hAnsi="Arial" w:hint="default"/>
      </w:rPr>
    </w:lvl>
    <w:lvl w:ilvl="5" w:tplc="371A4A5E" w:tentative="1">
      <w:start w:val="1"/>
      <w:numFmt w:val="bullet"/>
      <w:lvlText w:val="•"/>
      <w:lvlJc w:val="left"/>
      <w:pPr>
        <w:tabs>
          <w:tab w:val="num" w:pos="4320"/>
        </w:tabs>
        <w:ind w:left="4320" w:hanging="360"/>
      </w:pPr>
      <w:rPr>
        <w:rFonts w:ascii="Arial" w:hAnsi="Arial" w:hint="default"/>
      </w:rPr>
    </w:lvl>
    <w:lvl w:ilvl="6" w:tplc="577CBF00" w:tentative="1">
      <w:start w:val="1"/>
      <w:numFmt w:val="bullet"/>
      <w:lvlText w:val="•"/>
      <w:lvlJc w:val="left"/>
      <w:pPr>
        <w:tabs>
          <w:tab w:val="num" w:pos="5040"/>
        </w:tabs>
        <w:ind w:left="5040" w:hanging="360"/>
      </w:pPr>
      <w:rPr>
        <w:rFonts w:ascii="Arial" w:hAnsi="Arial" w:hint="default"/>
      </w:rPr>
    </w:lvl>
    <w:lvl w:ilvl="7" w:tplc="0740631C" w:tentative="1">
      <w:start w:val="1"/>
      <w:numFmt w:val="bullet"/>
      <w:lvlText w:val="•"/>
      <w:lvlJc w:val="left"/>
      <w:pPr>
        <w:tabs>
          <w:tab w:val="num" w:pos="5760"/>
        </w:tabs>
        <w:ind w:left="5760" w:hanging="360"/>
      </w:pPr>
      <w:rPr>
        <w:rFonts w:ascii="Arial" w:hAnsi="Arial" w:hint="default"/>
      </w:rPr>
    </w:lvl>
    <w:lvl w:ilvl="8" w:tplc="A73882B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C74EFD"/>
    <w:multiLevelType w:val="hybridMultilevel"/>
    <w:tmpl w:val="FF980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87892"/>
    <w:multiLevelType w:val="hybridMultilevel"/>
    <w:tmpl w:val="912CD90C"/>
    <w:lvl w:ilvl="0" w:tplc="2BF47B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F5A7C"/>
    <w:multiLevelType w:val="hybridMultilevel"/>
    <w:tmpl w:val="3F88B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953C7"/>
    <w:multiLevelType w:val="hybridMultilevel"/>
    <w:tmpl w:val="E078E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656E2"/>
    <w:multiLevelType w:val="multilevel"/>
    <w:tmpl w:val="B05895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732D6C"/>
    <w:multiLevelType w:val="hybridMultilevel"/>
    <w:tmpl w:val="6F324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AD3A88"/>
    <w:multiLevelType w:val="hybridMultilevel"/>
    <w:tmpl w:val="504248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9D03D08"/>
    <w:multiLevelType w:val="hybridMultilevel"/>
    <w:tmpl w:val="AED83E7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F10797"/>
    <w:multiLevelType w:val="hybridMultilevel"/>
    <w:tmpl w:val="B2DE87F0"/>
    <w:lvl w:ilvl="0" w:tplc="9716B2EA">
      <w:start w:val="1"/>
      <w:numFmt w:val="bullet"/>
      <w:lvlText w:val="•"/>
      <w:lvlJc w:val="left"/>
      <w:pPr>
        <w:tabs>
          <w:tab w:val="num" w:pos="720"/>
        </w:tabs>
        <w:ind w:left="720" w:hanging="360"/>
      </w:pPr>
      <w:rPr>
        <w:rFonts w:ascii="Arial" w:hAnsi="Arial" w:hint="default"/>
      </w:rPr>
    </w:lvl>
    <w:lvl w:ilvl="1" w:tplc="60BC75A8" w:tentative="1">
      <w:start w:val="1"/>
      <w:numFmt w:val="bullet"/>
      <w:lvlText w:val="•"/>
      <w:lvlJc w:val="left"/>
      <w:pPr>
        <w:tabs>
          <w:tab w:val="num" w:pos="1440"/>
        </w:tabs>
        <w:ind w:left="1440" w:hanging="360"/>
      </w:pPr>
      <w:rPr>
        <w:rFonts w:ascii="Arial" w:hAnsi="Arial" w:hint="default"/>
      </w:rPr>
    </w:lvl>
    <w:lvl w:ilvl="2" w:tplc="3F529726" w:tentative="1">
      <w:start w:val="1"/>
      <w:numFmt w:val="bullet"/>
      <w:lvlText w:val="•"/>
      <w:lvlJc w:val="left"/>
      <w:pPr>
        <w:tabs>
          <w:tab w:val="num" w:pos="2160"/>
        </w:tabs>
        <w:ind w:left="2160" w:hanging="360"/>
      </w:pPr>
      <w:rPr>
        <w:rFonts w:ascii="Arial" w:hAnsi="Arial" w:hint="default"/>
      </w:rPr>
    </w:lvl>
    <w:lvl w:ilvl="3" w:tplc="18D29624" w:tentative="1">
      <w:start w:val="1"/>
      <w:numFmt w:val="bullet"/>
      <w:lvlText w:val="•"/>
      <w:lvlJc w:val="left"/>
      <w:pPr>
        <w:tabs>
          <w:tab w:val="num" w:pos="2880"/>
        </w:tabs>
        <w:ind w:left="2880" w:hanging="360"/>
      </w:pPr>
      <w:rPr>
        <w:rFonts w:ascii="Arial" w:hAnsi="Arial" w:hint="default"/>
      </w:rPr>
    </w:lvl>
    <w:lvl w:ilvl="4" w:tplc="674ADA4C" w:tentative="1">
      <w:start w:val="1"/>
      <w:numFmt w:val="bullet"/>
      <w:lvlText w:val="•"/>
      <w:lvlJc w:val="left"/>
      <w:pPr>
        <w:tabs>
          <w:tab w:val="num" w:pos="3600"/>
        </w:tabs>
        <w:ind w:left="3600" w:hanging="360"/>
      </w:pPr>
      <w:rPr>
        <w:rFonts w:ascii="Arial" w:hAnsi="Arial" w:hint="default"/>
      </w:rPr>
    </w:lvl>
    <w:lvl w:ilvl="5" w:tplc="327E5D0E" w:tentative="1">
      <w:start w:val="1"/>
      <w:numFmt w:val="bullet"/>
      <w:lvlText w:val="•"/>
      <w:lvlJc w:val="left"/>
      <w:pPr>
        <w:tabs>
          <w:tab w:val="num" w:pos="4320"/>
        </w:tabs>
        <w:ind w:left="4320" w:hanging="360"/>
      </w:pPr>
      <w:rPr>
        <w:rFonts w:ascii="Arial" w:hAnsi="Arial" w:hint="default"/>
      </w:rPr>
    </w:lvl>
    <w:lvl w:ilvl="6" w:tplc="42F0808A" w:tentative="1">
      <w:start w:val="1"/>
      <w:numFmt w:val="bullet"/>
      <w:lvlText w:val="•"/>
      <w:lvlJc w:val="left"/>
      <w:pPr>
        <w:tabs>
          <w:tab w:val="num" w:pos="5040"/>
        </w:tabs>
        <w:ind w:left="5040" w:hanging="360"/>
      </w:pPr>
      <w:rPr>
        <w:rFonts w:ascii="Arial" w:hAnsi="Arial" w:hint="default"/>
      </w:rPr>
    </w:lvl>
    <w:lvl w:ilvl="7" w:tplc="A4306738" w:tentative="1">
      <w:start w:val="1"/>
      <w:numFmt w:val="bullet"/>
      <w:lvlText w:val="•"/>
      <w:lvlJc w:val="left"/>
      <w:pPr>
        <w:tabs>
          <w:tab w:val="num" w:pos="5760"/>
        </w:tabs>
        <w:ind w:left="5760" w:hanging="360"/>
      </w:pPr>
      <w:rPr>
        <w:rFonts w:ascii="Arial" w:hAnsi="Arial" w:hint="default"/>
      </w:rPr>
    </w:lvl>
    <w:lvl w:ilvl="8" w:tplc="443046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7A1134"/>
    <w:multiLevelType w:val="hybridMultilevel"/>
    <w:tmpl w:val="691A73B0"/>
    <w:lvl w:ilvl="0" w:tplc="89CE219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671F70"/>
    <w:multiLevelType w:val="hybridMultilevel"/>
    <w:tmpl w:val="88F0F7F6"/>
    <w:lvl w:ilvl="0" w:tplc="5240B078">
      <w:start w:val="1"/>
      <w:numFmt w:val="bullet"/>
      <w:lvlText w:val="•"/>
      <w:lvlJc w:val="left"/>
      <w:pPr>
        <w:tabs>
          <w:tab w:val="num" w:pos="720"/>
        </w:tabs>
        <w:ind w:left="720" w:hanging="360"/>
      </w:pPr>
      <w:rPr>
        <w:rFonts w:ascii="Arial" w:hAnsi="Arial" w:hint="default"/>
      </w:rPr>
    </w:lvl>
    <w:lvl w:ilvl="1" w:tplc="9B3CE6EA" w:tentative="1">
      <w:start w:val="1"/>
      <w:numFmt w:val="bullet"/>
      <w:lvlText w:val="•"/>
      <w:lvlJc w:val="left"/>
      <w:pPr>
        <w:tabs>
          <w:tab w:val="num" w:pos="1440"/>
        </w:tabs>
        <w:ind w:left="1440" w:hanging="360"/>
      </w:pPr>
      <w:rPr>
        <w:rFonts w:ascii="Arial" w:hAnsi="Arial" w:hint="default"/>
      </w:rPr>
    </w:lvl>
    <w:lvl w:ilvl="2" w:tplc="2F8A2810" w:tentative="1">
      <w:start w:val="1"/>
      <w:numFmt w:val="bullet"/>
      <w:lvlText w:val="•"/>
      <w:lvlJc w:val="left"/>
      <w:pPr>
        <w:tabs>
          <w:tab w:val="num" w:pos="2160"/>
        </w:tabs>
        <w:ind w:left="2160" w:hanging="360"/>
      </w:pPr>
      <w:rPr>
        <w:rFonts w:ascii="Arial" w:hAnsi="Arial" w:hint="default"/>
      </w:rPr>
    </w:lvl>
    <w:lvl w:ilvl="3" w:tplc="70226BF6" w:tentative="1">
      <w:start w:val="1"/>
      <w:numFmt w:val="bullet"/>
      <w:lvlText w:val="•"/>
      <w:lvlJc w:val="left"/>
      <w:pPr>
        <w:tabs>
          <w:tab w:val="num" w:pos="2880"/>
        </w:tabs>
        <w:ind w:left="2880" w:hanging="360"/>
      </w:pPr>
      <w:rPr>
        <w:rFonts w:ascii="Arial" w:hAnsi="Arial" w:hint="default"/>
      </w:rPr>
    </w:lvl>
    <w:lvl w:ilvl="4" w:tplc="3C6E9E7C" w:tentative="1">
      <w:start w:val="1"/>
      <w:numFmt w:val="bullet"/>
      <w:lvlText w:val="•"/>
      <w:lvlJc w:val="left"/>
      <w:pPr>
        <w:tabs>
          <w:tab w:val="num" w:pos="3600"/>
        </w:tabs>
        <w:ind w:left="3600" w:hanging="360"/>
      </w:pPr>
      <w:rPr>
        <w:rFonts w:ascii="Arial" w:hAnsi="Arial" w:hint="default"/>
      </w:rPr>
    </w:lvl>
    <w:lvl w:ilvl="5" w:tplc="91DE78CC" w:tentative="1">
      <w:start w:val="1"/>
      <w:numFmt w:val="bullet"/>
      <w:lvlText w:val="•"/>
      <w:lvlJc w:val="left"/>
      <w:pPr>
        <w:tabs>
          <w:tab w:val="num" w:pos="4320"/>
        </w:tabs>
        <w:ind w:left="4320" w:hanging="360"/>
      </w:pPr>
      <w:rPr>
        <w:rFonts w:ascii="Arial" w:hAnsi="Arial" w:hint="default"/>
      </w:rPr>
    </w:lvl>
    <w:lvl w:ilvl="6" w:tplc="B406F380" w:tentative="1">
      <w:start w:val="1"/>
      <w:numFmt w:val="bullet"/>
      <w:lvlText w:val="•"/>
      <w:lvlJc w:val="left"/>
      <w:pPr>
        <w:tabs>
          <w:tab w:val="num" w:pos="5040"/>
        </w:tabs>
        <w:ind w:left="5040" w:hanging="360"/>
      </w:pPr>
      <w:rPr>
        <w:rFonts w:ascii="Arial" w:hAnsi="Arial" w:hint="default"/>
      </w:rPr>
    </w:lvl>
    <w:lvl w:ilvl="7" w:tplc="18664576" w:tentative="1">
      <w:start w:val="1"/>
      <w:numFmt w:val="bullet"/>
      <w:lvlText w:val="•"/>
      <w:lvlJc w:val="left"/>
      <w:pPr>
        <w:tabs>
          <w:tab w:val="num" w:pos="5760"/>
        </w:tabs>
        <w:ind w:left="5760" w:hanging="360"/>
      </w:pPr>
      <w:rPr>
        <w:rFonts w:ascii="Arial" w:hAnsi="Arial" w:hint="default"/>
      </w:rPr>
    </w:lvl>
    <w:lvl w:ilvl="8" w:tplc="2C1EDED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DBC45F3"/>
    <w:multiLevelType w:val="hybridMultilevel"/>
    <w:tmpl w:val="981880A8"/>
    <w:lvl w:ilvl="0" w:tplc="383E2946">
      <w:start w:val="1"/>
      <w:numFmt w:val="bullet"/>
      <w:lvlText w:val="•"/>
      <w:lvlJc w:val="left"/>
      <w:pPr>
        <w:tabs>
          <w:tab w:val="num" w:pos="720"/>
        </w:tabs>
        <w:ind w:left="720" w:hanging="360"/>
      </w:pPr>
      <w:rPr>
        <w:rFonts w:ascii="Arial" w:hAnsi="Arial" w:hint="default"/>
      </w:rPr>
    </w:lvl>
    <w:lvl w:ilvl="1" w:tplc="CCBE16F8" w:tentative="1">
      <w:start w:val="1"/>
      <w:numFmt w:val="bullet"/>
      <w:lvlText w:val="•"/>
      <w:lvlJc w:val="left"/>
      <w:pPr>
        <w:tabs>
          <w:tab w:val="num" w:pos="1440"/>
        </w:tabs>
        <w:ind w:left="1440" w:hanging="360"/>
      </w:pPr>
      <w:rPr>
        <w:rFonts w:ascii="Arial" w:hAnsi="Arial" w:hint="default"/>
      </w:rPr>
    </w:lvl>
    <w:lvl w:ilvl="2" w:tplc="9446D256" w:tentative="1">
      <w:start w:val="1"/>
      <w:numFmt w:val="bullet"/>
      <w:lvlText w:val="•"/>
      <w:lvlJc w:val="left"/>
      <w:pPr>
        <w:tabs>
          <w:tab w:val="num" w:pos="2160"/>
        </w:tabs>
        <w:ind w:left="2160" w:hanging="360"/>
      </w:pPr>
      <w:rPr>
        <w:rFonts w:ascii="Arial" w:hAnsi="Arial" w:hint="default"/>
      </w:rPr>
    </w:lvl>
    <w:lvl w:ilvl="3" w:tplc="DE82AB9A" w:tentative="1">
      <w:start w:val="1"/>
      <w:numFmt w:val="bullet"/>
      <w:lvlText w:val="•"/>
      <w:lvlJc w:val="left"/>
      <w:pPr>
        <w:tabs>
          <w:tab w:val="num" w:pos="2880"/>
        </w:tabs>
        <w:ind w:left="2880" w:hanging="360"/>
      </w:pPr>
      <w:rPr>
        <w:rFonts w:ascii="Arial" w:hAnsi="Arial" w:hint="default"/>
      </w:rPr>
    </w:lvl>
    <w:lvl w:ilvl="4" w:tplc="DE1A0802" w:tentative="1">
      <w:start w:val="1"/>
      <w:numFmt w:val="bullet"/>
      <w:lvlText w:val="•"/>
      <w:lvlJc w:val="left"/>
      <w:pPr>
        <w:tabs>
          <w:tab w:val="num" w:pos="3600"/>
        </w:tabs>
        <w:ind w:left="3600" w:hanging="360"/>
      </w:pPr>
      <w:rPr>
        <w:rFonts w:ascii="Arial" w:hAnsi="Arial" w:hint="default"/>
      </w:rPr>
    </w:lvl>
    <w:lvl w:ilvl="5" w:tplc="7966B9D4" w:tentative="1">
      <w:start w:val="1"/>
      <w:numFmt w:val="bullet"/>
      <w:lvlText w:val="•"/>
      <w:lvlJc w:val="left"/>
      <w:pPr>
        <w:tabs>
          <w:tab w:val="num" w:pos="4320"/>
        </w:tabs>
        <w:ind w:left="4320" w:hanging="360"/>
      </w:pPr>
      <w:rPr>
        <w:rFonts w:ascii="Arial" w:hAnsi="Arial" w:hint="default"/>
      </w:rPr>
    </w:lvl>
    <w:lvl w:ilvl="6" w:tplc="A81CEBF4" w:tentative="1">
      <w:start w:val="1"/>
      <w:numFmt w:val="bullet"/>
      <w:lvlText w:val="•"/>
      <w:lvlJc w:val="left"/>
      <w:pPr>
        <w:tabs>
          <w:tab w:val="num" w:pos="5040"/>
        </w:tabs>
        <w:ind w:left="5040" w:hanging="360"/>
      </w:pPr>
      <w:rPr>
        <w:rFonts w:ascii="Arial" w:hAnsi="Arial" w:hint="default"/>
      </w:rPr>
    </w:lvl>
    <w:lvl w:ilvl="7" w:tplc="9A3C56A4" w:tentative="1">
      <w:start w:val="1"/>
      <w:numFmt w:val="bullet"/>
      <w:lvlText w:val="•"/>
      <w:lvlJc w:val="left"/>
      <w:pPr>
        <w:tabs>
          <w:tab w:val="num" w:pos="5760"/>
        </w:tabs>
        <w:ind w:left="5760" w:hanging="360"/>
      </w:pPr>
      <w:rPr>
        <w:rFonts w:ascii="Arial" w:hAnsi="Arial" w:hint="default"/>
      </w:rPr>
    </w:lvl>
    <w:lvl w:ilvl="8" w:tplc="63C603B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C66E10"/>
    <w:multiLevelType w:val="hybridMultilevel"/>
    <w:tmpl w:val="5846DFDA"/>
    <w:lvl w:ilvl="0" w:tplc="2C3423B4">
      <w:start w:val="1"/>
      <w:numFmt w:val="bullet"/>
      <w:lvlText w:val="•"/>
      <w:lvlJc w:val="left"/>
      <w:pPr>
        <w:tabs>
          <w:tab w:val="num" w:pos="720"/>
        </w:tabs>
        <w:ind w:left="720" w:hanging="360"/>
      </w:pPr>
      <w:rPr>
        <w:rFonts w:ascii="Arial" w:hAnsi="Arial" w:hint="default"/>
      </w:rPr>
    </w:lvl>
    <w:lvl w:ilvl="1" w:tplc="2460F316" w:tentative="1">
      <w:start w:val="1"/>
      <w:numFmt w:val="bullet"/>
      <w:lvlText w:val="•"/>
      <w:lvlJc w:val="left"/>
      <w:pPr>
        <w:tabs>
          <w:tab w:val="num" w:pos="1440"/>
        </w:tabs>
        <w:ind w:left="1440" w:hanging="360"/>
      </w:pPr>
      <w:rPr>
        <w:rFonts w:ascii="Arial" w:hAnsi="Arial" w:hint="default"/>
      </w:rPr>
    </w:lvl>
    <w:lvl w:ilvl="2" w:tplc="19C8677C" w:tentative="1">
      <w:start w:val="1"/>
      <w:numFmt w:val="bullet"/>
      <w:lvlText w:val="•"/>
      <w:lvlJc w:val="left"/>
      <w:pPr>
        <w:tabs>
          <w:tab w:val="num" w:pos="2160"/>
        </w:tabs>
        <w:ind w:left="2160" w:hanging="360"/>
      </w:pPr>
      <w:rPr>
        <w:rFonts w:ascii="Arial" w:hAnsi="Arial" w:hint="default"/>
      </w:rPr>
    </w:lvl>
    <w:lvl w:ilvl="3" w:tplc="8AE047DA" w:tentative="1">
      <w:start w:val="1"/>
      <w:numFmt w:val="bullet"/>
      <w:lvlText w:val="•"/>
      <w:lvlJc w:val="left"/>
      <w:pPr>
        <w:tabs>
          <w:tab w:val="num" w:pos="2880"/>
        </w:tabs>
        <w:ind w:left="2880" w:hanging="360"/>
      </w:pPr>
      <w:rPr>
        <w:rFonts w:ascii="Arial" w:hAnsi="Arial" w:hint="default"/>
      </w:rPr>
    </w:lvl>
    <w:lvl w:ilvl="4" w:tplc="0804F318" w:tentative="1">
      <w:start w:val="1"/>
      <w:numFmt w:val="bullet"/>
      <w:lvlText w:val="•"/>
      <w:lvlJc w:val="left"/>
      <w:pPr>
        <w:tabs>
          <w:tab w:val="num" w:pos="3600"/>
        </w:tabs>
        <w:ind w:left="3600" w:hanging="360"/>
      </w:pPr>
      <w:rPr>
        <w:rFonts w:ascii="Arial" w:hAnsi="Arial" w:hint="default"/>
      </w:rPr>
    </w:lvl>
    <w:lvl w:ilvl="5" w:tplc="5FBAF01E" w:tentative="1">
      <w:start w:val="1"/>
      <w:numFmt w:val="bullet"/>
      <w:lvlText w:val="•"/>
      <w:lvlJc w:val="left"/>
      <w:pPr>
        <w:tabs>
          <w:tab w:val="num" w:pos="4320"/>
        </w:tabs>
        <w:ind w:left="4320" w:hanging="360"/>
      </w:pPr>
      <w:rPr>
        <w:rFonts w:ascii="Arial" w:hAnsi="Arial" w:hint="default"/>
      </w:rPr>
    </w:lvl>
    <w:lvl w:ilvl="6" w:tplc="4CFE18AE" w:tentative="1">
      <w:start w:val="1"/>
      <w:numFmt w:val="bullet"/>
      <w:lvlText w:val="•"/>
      <w:lvlJc w:val="left"/>
      <w:pPr>
        <w:tabs>
          <w:tab w:val="num" w:pos="5040"/>
        </w:tabs>
        <w:ind w:left="5040" w:hanging="360"/>
      </w:pPr>
      <w:rPr>
        <w:rFonts w:ascii="Arial" w:hAnsi="Arial" w:hint="default"/>
      </w:rPr>
    </w:lvl>
    <w:lvl w:ilvl="7" w:tplc="3E28FBE2" w:tentative="1">
      <w:start w:val="1"/>
      <w:numFmt w:val="bullet"/>
      <w:lvlText w:val="•"/>
      <w:lvlJc w:val="left"/>
      <w:pPr>
        <w:tabs>
          <w:tab w:val="num" w:pos="5760"/>
        </w:tabs>
        <w:ind w:left="5760" w:hanging="360"/>
      </w:pPr>
      <w:rPr>
        <w:rFonts w:ascii="Arial" w:hAnsi="Arial" w:hint="default"/>
      </w:rPr>
    </w:lvl>
    <w:lvl w:ilvl="8" w:tplc="C708F7D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923A12"/>
    <w:multiLevelType w:val="hybridMultilevel"/>
    <w:tmpl w:val="036820DA"/>
    <w:lvl w:ilvl="0" w:tplc="89CE219A">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E5588E"/>
    <w:multiLevelType w:val="hybridMultilevel"/>
    <w:tmpl w:val="FA4495E2"/>
    <w:lvl w:ilvl="0" w:tplc="6F1282DE">
      <w:start w:val="1"/>
      <w:numFmt w:val="bullet"/>
      <w:lvlText w:val="•"/>
      <w:lvlJc w:val="left"/>
      <w:pPr>
        <w:tabs>
          <w:tab w:val="num" w:pos="720"/>
        </w:tabs>
        <w:ind w:left="720" w:hanging="360"/>
      </w:pPr>
      <w:rPr>
        <w:rFonts w:ascii="Arial" w:hAnsi="Arial" w:hint="default"/>
      </w:rPr>
    </w:lvl>
    <w:lvl w:ilvl="1" w:tplc="DFF43296" w:tentative="1">
      <w:start w:val="1"/>
      <w:numFmt w:val="bullet"/>
      <w:lvlText w:val="•"/>
      <w:lvlJc w:val="left"/>
      <w:pPr>
        <w:tabs>
          <w:tab w:val="num" w:pos="1440"/>
        </w:tabs>
        <w:ind w:left="1440" w:hanging="360"/>
      </w:pPr>
      <w:rPr>
        <w:rFonts w:ascii="Arial" w:hAnsi="Arial" w:hint="default"/>
      </w:rPr>
    </w:lvl>
    <w:lvl w:ilvl="2" w:tplc="EDC8CA18" w:tentative="1">
      <w:start w:val="1"/>
      <w:numFmt w:val="bullet"/>
      <w:lvlText w:val="•"/>
      <w:lvlJc w:val="left"/>
      <w:pPr>
        <w:tabs>
          <w:tab w:val="num" w:pos="2160"/>
        </w:tabs>
        <w:ind w:left="2160" w:hanging="360"/>
      </w:pPr>
      <w:rPr>
        <w:rFonts w:ascii="Arial" w:hAnsi="Arial" w:hint="default"/>
      </w:rPr>
    </w:lvl>
    <w:lvl w:ilvl="3" w:tplc="87FE9DE6" w:tentative="1">
      <w:start w:val="1"/>
      <w:numFmt w:val="bullet"/>
      <w:lvlText w:val="•"/>
      <w:lvlJc w:val="left"/>
      <w:pPr>
        <w:tabs>
          <w:tab w:val="num" w:pos="2880"/>
        </w:tabs>
        <w:ind w:left="2880" w:hanging="360"/>
      </w:pPr>
      <w:rPr>
        <w:rFonts w:ascii="Arial" w:hAnsi="Arial" w:hint="default"/>
      </w:rPr>
    </w:lvl>
    <w:lvl w:ilvl="4" w:tplc="157237CC" w:tentative="1">
      <w:start w:val="1"/>
      <w:numFmt w:val="bullet"/>
      <w:lvlText w:val="•"/>
      <w:lvlJc w:val="left"/>
      <w:pPr>
        <w:tabs>
          <w:tab w:val="num" w:pos="3600"/>
        </w:tabs>
        <w:ind w:left="3600" w:hanging="360"/>
      </w:pPr>
      <w:rPr>
        <w:rFonts w:ascii="Arial" w:hAnsi="Arial" w:hint="default"/>
      </w:rPr>
    </w:lvl>
    <w:lvl w:ilvl="5" w:tplc="1CD43CAC" w:tentative="1">
      <w:start w:val="1"/>
      <w:numFmt w:val="bullet"/>
      <w:lvlText w:val="•"/>
      <w:lvlJc w:val="left"/>
      <w:pPr>
        <w:tabs>
          <w:tab w:val="num" w:pos="4320"/>
        </w:tabs>
        <w:ind w:left="4320" w:hanging="360"/>
      </w:pPr>
      <w:rPr>
        <w:rFonts w:ascii="Arial" w:hAnsi="Arial" w:hint="default"/>
      </w:rPr>
    </w:lvl>
    <w:lvl w:ilvl="6" w:tplc="01069B94" w:tentative="1">
      <w:start w:val="1"/>
      <w:numFmt w:val="bullet"/>
      <w:lvlText w:val="•"/>
      <w:lvlJc w:val="left"/>
      <w:pPr>
        <w:tabs>
          <w:tab w:val="num" w:pos="5040"/>
        </w:tabs>
        <w:ind w:left="5040" w:hanging="360"/>
      </w:pPr>
      <w:rPr>
        <w:rFonts w:ascii="Arial" w:hAnsi="Arial" w:hint="default"/>
      </w:rPr>
    </w:lvl>
    <w:lvl w:ilvl="7" w:tplc="260625F4" w:tentative="1">
      <w:start w:val="1"/>
      <w:numFmt w:val="bullet"/>
      <w:lvlText w:val="•"/>
      <w:lvlJc w:val="left"/>
      <w:pPr>
        <w:tabs>
          <w:tab w:val="num" w:pos="5760"/>
        </w:tabs>
        <w:ind w:left="5760" w:hanging="360"/>
      </w:pPr>
      <w:rPr>
        <w:rFonts w:ascii="Arial" w:hAnsi="Arial" w:hint="default"/>
      </w:rPr>
    </w:lvl>
    <w:lvl w:ilvl="8" w:tplc="8F86896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FB76D30"/>
    <w:multiLevelType w:val="hybridMultilevel"/>
    <w:tmpl w:val="9F201CA8"/>
    <w:lvl w:ilvl="0" w:tplc="97481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8"/>
  </w:num>
  <w:num w:numId="3">
    <w:abstractNumId w:val="5"/>
  </w:num>
  <w:num w:numId="4">
    <w:abstractNumId w:val="36"/>
  </w:num>
  <w:num w:numId="5">
    <w:abstractNumId w:val="15"/>
  </w:num>
  <w:num w:numId="6">
    <w:abstractNumId w:val="4"/>
  </w:num>
  <w:num w:numId="7">
    <w:abstractNumId w:val="35"/>
  </w:num>
  <w:num w:numId="8">
    <w:abstractNumId w:val="23"/>
  </w:num>
  <w:num w:numId="9">
    <w:abstractNumId w:val="34"/>
  </w:num>
  <w:num w:numId="10">
    <w:abstractNumId w:val="9"/>
  </w:num>
  <w:num w:numId="11">
    <w:abstractNumId w:val="8"/>
  </w:num>
  <w:num w:numId="12">
    <w:abstractNumId w:val="20"/>
  </w:num>
  <w:num w:numId="13">
    <w:abstractNumId w:val="33"/>
  </w:num>
  <w:num w:numId="14">
    <w:abstractNumId w:val="21"/>
  </w:num>
  <w:num w:numId="15">
    <w:abstractNumId w:val="24"/>
  </w:num>
  <w:num w:numId="16">
    <w:abstractNumId w:val="39"/>
  </w:num>
  <w:num w:numId="17">
    <w:abstractNumId w:val="18"/>
  </w:num>
  <w:num w:numId="18">
    <w:abstractNumId w:val="0"/>
  </w:num>
  <w:num w:numId="19">
    <w:abstractNumId w:val="1"/>
  </w:num>
  <w:num w:numId="20">
    <w:abstractNumId w:val="2"/>
  </w:num>
  <w:num w:numId="21">
    <w:abstractNumId w:val="3"/>
  </w:num>
  <w:num w:numId="22">
    <w:abstractNumId w:val="7"/>
  </w:num>
  <w:num w:numId="23">
    <w:abstractNumId w:val="29"/>
  </w:num>
  <w:num w:numId="24">
    <w:abstractNumId w:val="10"/>
  </w:num>
  <w:num w:numId="25">
    <w:abstractNumId w:val="13"/>
  </w:num>
  <w:num w:numId="26">
    <w:abstractNumId w:val="6"/>
  </w:num>
  <w:num w:numId="27">
    <w:abstractNumId w:val="19"/>
  </w:num>
  <w:num w:numId="28">
    <w:abstractNumId w:val="31"/>
  </w:num>
  <w:num w:numId="29">
    <w:abstractNumId w:val="30"/>
  </w:num>
  <w:num w:numId="30">
    <w:abstractNumId w:val="16"/>
  </w:num>
  <w:num w:numId="31">
    <w:abstractNumId w:val="25"/>
  </w:num>
  <w:num w:numId="32">
    <w:abstractNumId w:val="26"/>
  </w:num>
  <w:num w:numId="33">
    <w:abstractNumId w:val="37"/>
  </w:num>
  <w:num w:numId="34">
    <w:abstractNumId w:val="27"/>
  </w:num>
  <w:num w:numId="35">
    <w:abstractNumId w:val="11"/>
  </w:num>
  <w:num w:numId="36">
    <w:abstractNumId w:val="17"/>
  </w:num>
  <w:num w:numId="37">
    <w:abstractNumId w:val="28"/>
  </w:num>
  <w:num w:numId="38">
    <w:abstractNumId w:val="14"/>
  </w:num>
  <w:num w:numId="39">
    <w:abstractNumId w:val="1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D6"/>
    <w:rsid w:val="000159CA"/>
    <w:rsid w:val="0002561A"/>
    <w:rsid w:val="00031C7D"/>
    <w:rsid w:val="0003230D"/>
    <w:rsid w:val="00033D46"/>
    <w:rsid w:val="00042397"/>
    <w:rsid w:val="00054C03"/>
    <w:rsid w:val="00055504"/>
    <w:rsid w:val="00072E90"/>
    <w:rsid w:val="000774F1"/>
    <w:rsid w:val="0007778D"/>
    <w:rsid w:val="000823E1"/>
    <w:rsid w:val="00084633"/>
    <w:rsid w:val="00087E5A"/>
    <w:rsid w:val="00091900"/>
    <w:rsid w:val="00092F50"/>
    <w:rsid w:val="00094208"/>
    <w:rsid w:val="00095C4D"/>
    <w:rsid w:val="000A40F1"/>
    <w:rsid w:val="000A68C2"/>
    <w:rsid w:val="000B255F"/>
    <w:rsid w:val="000B2BE3"/>
    <w:rsid w:val="000B31A4"/>
    <w:rsid w:val="000B39A0"/>
    <w:rsid w:val="000B5A31"/>
    <w:rsid w:val="000B6627"/>
    <w:rsid w:val="000C793E"/>
    <w:rsid w:val="000E4B56"/>
    <w:rsid w:val="000E7151"/>
    <w:rsid w:val="000F769E"/>
    <w:rsid w:val="00101F0B"/>
    <w:rsid w:val="00104640"/>
    <w:rsid w:val="00105CE3"/>
    <w:rsid w:val="00107D17"/>
    <w:rsid w:val="001202CD"/>
    <w:rsid w:val="00123023"/>
    <w:rsid w:val="00140C06"/>
    <w:rsid w:val="00141C0D"/>
    <w:rsid w:val="00145751"/>
    <w:rsid w:val="0015171F"/>
    <w:rsid w:val="00156B2F"/>
    <w:rsid w:val="00157643"/>
    <w:rsid w:val="001640A2"/>
    <w:rsid w:val="001702C4"/>
    <w:rsid w:val="00170B36"/>
    <w:rsid w:val="00174104"/>
    <w:rsid w:val="0019241A"/>
    <w:rsid w:val="001942E5"/>
    <w:rsid w:val="00194554"/>
    <w:rsid w:val="001A01C8"/>
    <w:rsid w:val="001A1AA6"/>
    <w:rsid w:val="001A4366"/>
    <w:rsid w:val="001A5CC0"/>
    <w:rsid w:val="001B19B0"/>
    <w:rsid w:val="001B44E9"/>
    <w:rsid w:val="001B4737"/>
    <w:rsid w:val="001C2110"/>
    <w:rsid w:val="001D2F12"/>
    <w:rsid w:val="001D6A3D"/>
    <w:rsid w:val="001E59DB"/>
    <w:rsid w:val="001F4EB2"/>
    <w:rsid w:val="001F6C26"/>
    <w:rsid w:val="001F7CBF"/>
    <w:rsid w:val="002023CA"/>
    <w:rsid w:val="00203618"/>
    <w:rsid w:val="00207FA7"/>
    <w:rsid w:val="00217903"/>
    <w:rsid w:val="002215F4"/>
    <w:rsid w:val="0022227E"/>
    <w:rsid w:val="002264A6"/>
    <w:rsid w:val="002266FC"/>
    <w:rsid w:val="002336B5"/>
    <w:rsid w:val="00237099"/>
    <w:rsid w:val="002438A4"/>
    <w:rsid w:val="00246639"/>
    <w:rsid w:val="00252418"/>
    <w:rsid w:val="00264EEF"/>
    <w:rsid w:val="00273DC3"/>
    <w:rsid w:val="002761BB"/>
    <w:rsid w:val="002858E9"/>
    <w:rsid w:val="00292095"/>
    <w:rsid w:val="00292BB4"/>
    <w:rsid w:val="002932B5"/>
    <w:rsid w:val="00297F03"/>
    <w:rsid w:val="002A0A0F"/>
    <w:rsid w:val="002A1708"/>
    <w:rsid w:val="002A2C6E"/>
    <w:rsid w:val="002A7E68"/>
    <w:rsid w:val="002C6FD3"/>
    <w:rsid w:val="002E3F2B"/>
    <w:rsid w:val="002F1B13"/>
    <w:rsid w:val="002F386A"/>
    <w:rsid w:val="00310AE6"/>
    <w:rsid w:val="003227AF"/>
    <w:rsid w:val="00336208"/>
    <w:rsid w:val="00344D9D"/>
    <w:rsid w:val="00344EAF"/>
    <w:rsid w:val="00345664"/>
    <w:rsid w:val="0035015D"/>
    <w:rsid w:val="00357816"/>
    <w:rsid w:val="00357C2E"/>
    <w:rsid w:val="0037004C"/>
    <w:rsid w:val="003760DB"/>
    <w:rsid w:val="00383A4E"/>
    <w:rsid w:val="003979B1"/>
    <w:rsid w:val="00397D02"/>
    <w:rsid w:val="003A4F5F"/>
    <w:rsid w:val="003B2FD0"/>
    <w:rsid w:val="003C0787"/>
    <w:rsid w:val="003C3F11"/>
    <w:rsid w:val="003D3C9E"/>
    <w:rsid w:val="003D4C46"/>
    <w:rsid w:val="00404127"/>
    <w:rsid w:val="00405830"/>
    <w:rsid w:val="00407C3B"/>
    <w:rsid w:val="00410439"/>
    <w:rsid w:val="00412480"/>
    <w:rsid w:val="00415218"/>
    <w:rsid w:val="004200C8"/>
    <w:rsid w:val="00431129"/>
    <w:rsid w:val="004427B9"/>
    <w:rsid w:val="00442D9A"/>
    <w:rsid w:val="00453094"/>
    <w:rsid w:val="004535C9"/>
    <w:rsid w:val="004548A5"/>
    <w:rsid w:val="00465E3D"/>
    <w:rsid w:val="00466BB0"/>
    <w:rsid w:val="00472E93"/>
    <w:rsid w:val="00475064"/>
    <w:rsid w:val="00482FFB"/>
    <w:rsid w:val="004A0861"/>
    <w:rsid w:val="004A200C"/>
    <w:rsid w:val="004A33BA"/>
    <w:rsid w:val="004B54DC"/>
    <w:rsid w:val="004C1205"/>
    <w:rsid w:val="004C653F"/>
    <w:rsid w:val="004C78F8"/>
    <w:rsid w:val="004C7F28"/>
    <w:rsid w:val="004D4289"/>
    <w:rsid w:val="004D6A4B"/>
    <w:rsid w:val="004E15AF"/>
    <w:rsid w:val="004E37E0"/>
    <w:rsid w:val="004F1070"/>
    <w:rsid w:val="004F1BEA"/>
    <w:rsid w:val="00500B0D"/>
    <w:rsid w:val="00504583"/>
    <w:rsid w:val="00511080"/>
    <w:rsid w:val="005121F8"/>
    <w:rsid w:val="00522D0A"/>
    <w:rsid w:val="00522DF8"/>
    <w:rsid w:val="005332BC"/>
    <w:rsid w:val="0054206E"/>
    <w:rsid w:val="005430D7"/>
    <w:rsid w:val="00547CF0"/>
    <w:rsid w:val="005540F6"/>
    <w:rsid w:val="0055723F"/>
    <w:rsid w:val="005762B1"/>
    <w:rsid w:val="00576F83"/>
    <w:rsid w:val="005819D8"/>
    <w:rsid w:val="00584BC0"/>
    <w:rsid w:val="0059565C"/>
    <w:rsid w:val="00595A07"/>
    <w:rsid w:val="005B1D07"/>
    <w:rsid w:val="005B66A0"/>
    <w:rsid w:val="005C7B7A"/>
    <w:rsid w:val="005D1BBA"/>
    <w:rsid w:val="005F3843"/>
    <w:rsid w:val="00603301"/>
    <w:rsid w:val="00616901"/>
    <w:rsid w:val="00620DA3"/>
    <w:rsid w:val="00623937"/>
    <w:rsid w:val="00623D6F"/>
    <w:rsid w:val="006241D0"/>
    <w:rsid w:val="00625F6C"/>
    <w:rsid w:val="00630E3D"/>
    <w:rsid w:val="00632FCD"/>
    <w:rsid w:val="0063507D"/>
    <w:rsid w:val="00640ABC"/>
    <w:rsid w:val="006504EC"/>
    <w:rsid w:val="00650E01"/>
    <w:rsid w:val="006512C0"/>
    <w:rsid w:val="00656773"/>
    <w:rsid w:val="00664FB5"/>
    <w:rsid w:val="006664DA"/>
    <w:rsid w:val="00676EC8"/>
    <w:rsid w:val="0068068F"/>
    <w:rsid w:val="00686150"/>
    <w:rsid w:val="0069412A"/>
    <w:rsid w:val="0069570E"/>
    <w:rsid w:val="006A57E3"/>
    <w:rsid w:val="006B4636"/>
    <w:rsid w:val="006C3343"/>
    <w:rsid w:val="006C40B7"/>
    <w:rsid w:val="006D10BA"/>
    <w:rsid w:val="006D6328"/>
    <w:rsid w:val="006D7B76"/>
    <w:rsid w:val="006E7F67"/>
    <w:rsid w:val="006F1ABC"/>
    <w:rsid w:val="006F698D"/>
    <w:rsid w:val="006F702A"/>
    <w:rsid w:val="007064A2"/>
    <w:rsid w:val="00716501"/>
    <w:rsid w:val="00723595"/>
    <w:rsid w:val="007256DE"/>
    <w:rsid w:val="007557AA"/>
    <w:rsid w:val="00763187"/>
    <w:rsid w:val="00765C3B"/>
    <w:rsid w:val="007849C8"/>
    <w:rsid w:val="00786A6D"/>
    <w:rsid w:val="00790D1F"/>
    <w:rsid w:val="0079411B"/>
    <w:rsid w:val="00797EA8"/>
    <w:rsid w:val="007A1B9C"/>
    <w:rsid w:val="007A23EF"/>
    <w:rsid w:val="007A4EB7"/>
    <w:rsid w:val="007A536F"/>
    <w:rsid w:val="007A67AA"/>
    <w:rsid w:val="007B1A63"/>
    <w:rsid w:val="007B44E7"/>
    <w:rsid w:val="007C2ECC"/>
    <w:rsid w:val="007C5E44"/>
    <w:rsid w:val="007D4941"/>
    <w:rsid w:val="007D51E2"/>
    <w:rsid w:val="007D57F1"/>
    <w:rsid w:val="007E0B31"/>
    <w:rsid w:val="007E37E3"/>
    <w:rsid w:val="00801D75"/>
    <w:rsid w:val="00802A4A"/>
    <w:rsid w:val="008046B6"/>
    <w:rsid w:val="00810D34"/>
    <w:rsid w:val="008203D9"/>
    <w:rsid w:val="00833186"/>
    <w:rsid w:val="00834999"/>
    <w:rsid w:val="00854062"/>
    <w:rsid w:val="00861C5C"/>
    <w:rsid w:val="00862C5F"/>
    <w:rsid w:val="00862FF4"/>
    <w:rsid w:val="00864432"/>
    <w:rsid w:val="00884B21"/>
    <w:rsid w:val="00891FCE"/>
    <w:rsid w:val="00892441"/>
    <w:rsid w:val="00895B96"/>
    <w:rsid w:val="008B09D6"/>
    <w:rsid w:val="008B406C"/>
    <w:rsid w:val="008B7610"/>
    <w:rsid w:val="008C1A6A"/>
    <w:rsid w:val="008D2326"/>
    <w:rsid w:val="008D2A62"/>
    <w:rsid w:val="008E1275"/>
    <w:rsid w:val="008E1784"/>
    <w:rsid w:val="008F7418"/>
    <w:rsid w:val="00900EA9"/>
    <w:rsid w:val="00906B0D"/>
    <w:rsid w:val="00917529"/>
    <w:rsid w:val="00917617"/>
    <w:rsid w:val="009336D9"/>
    <w:rsid w:val="00935159"/>
    <w:rsid w:val="00942AA0"/>
    <w:rsid w:val="009448A2"/>
    <w:rsid w:val="00944D30"/>
    <w:rsid w:val="00946D42"/>
    <w:rsid w:val="00952844"/>
    <w:rsid w:val="0096169A"/>
    <w:rsid w:val="00975623"/>
    <w:rsid w:val="00982613"/>
    <w:rsid w:val="0098719F"/>
    <w:rsid w:val="00990EAA"/>
    <w:rsid w:val="0099572E"/>
    <w:rsid w:val="009B7CE8"/>
    <w:rsid w:val="009C2495"/>
    <w:rsid w:val="009C6AF1"/>
    <w:rsid w:val="009D029E"/>
    <w:rsid w:val="009D49CA"/>
    <w:rsid w:val="009D766A"/>
    <w:rsid w:val="009E1037"/>
    <w:rsid w:val="009E3EFB"/>
    <w:rsid w:val="009E5272"/>
    <w:rsid w:val="009E5F56"/>
    <w:rsid w:val="009E646A"/>
    <w:rsid w:val="009E790D"/>
    <w:rsid w:val="009E7EFA"/>
    <w:rsid w:val="009E7FF3"/>
    <w:rsid w:val="009F2ACA"/>
    <w:rsid w:val="009F5C1F"/>
    <w:rsid w:val="00A03739"/>
    <w:rsid w:val="00A10AAA"/>
    <w:rsid w:val="00A2076A"/>
    <w:rsid w:val="00A25427"/>
    <w:rsid w:val="00A33B2E"/>
    <w:rsid w:val="00A445B2"/>
    <w:rsid w:val="00A4625B"/>
    <w:rsid w:val="00A52545"/>
    <w:rsid w:val="00A5376B"/>
    <w:rsid w:val="00A53AAF"/>
    <w:rsid w:val="00A541BB"/>
    <w:rsid w:val="00A6036E"/>
    <w:rsid w:val="00A66491"/>
    <w:rsid w:val="00A6719B"/>
    <w:rsid w:val="00A73091"/>
    <w:rsid w:val="00A97BF9"/>
    <w:rsid w:val="00AB0182"/>
    <w:rsid w:val="00AB1986"/>
    <w:rsid w:val="00AC1253"/>
    <w:rsid w:val="00AD0E48"/>
    <w:rsid w:val="00AD27D7"/>
    <w:rsid w:val="00AD374A"/>
    <w:rsid w:val="00AD37AE"/>
    <w:rsid w:val="00AD37D5"/>
    <w:rsid w:val="00AD4E44"/>
    <w:rsid w:val="00AD65E0"/>
    <w:rsid w:val="00AE1DEF"/>
    <w:rsid w:val="00AE76E2"/>
    <w:rsid w:val="00AF0B83"/>
    <w:rsid w:val="00AF11D6"/>
    <w:rsid w:val="00B04640"/>
    <w:rsid w:val="00B050BB"/>
    <w:rsid w:val="00B066A1"/>
    <w:rsid w:val="00B1070C"/>
    <w:rsid w:val="00B10DB5"/>
    <w:rsid w:val="00B2074B"/>
    <w:rsid w:val="00B44EB4"/>
    <w:rsid w:val="00B458C6"/>
    <w:rsid w:val="00B474A8"/>
    <w:rsid w:val="00B54288"/>
    <w:rsid w:val="00B66AC1"/>
    <w:rsid w:val="00B75386"/>
    <w:rsid w:val="00B86246"/>
    <w:rsid w:val="00B86988"/>
    <w:rsid w:val="00B90DB9"/>
    <w:rsid w:val="00B91686"/>
    <w:rsid w:val="00B93295"/>
    <w:rsid w:val="00B941DE"/>
    <w:rsid w:val="00BA5809"/>
    <w:rsid w:val="00BC6379"/>
    <w:rsid w:val="00BD3A03"/>
    <w:rsid w:val="00BD6478"/>
    <w:rsid w:val="00BE099A"/>
    <w:rsid w:val="00BE5B49"/>
    <w:rsid w:val="00BF2A00"/>
    <w:rsid w:val="00C040F8"/>
    <w:rsid w:val="00C158A4"/>
    <w:rsid w:val="00C21FB0"/>
    <w:rsid w:val="00C3256B"/>
    <w:rsid w:val="00C409A5"/>
    <w:rsid w:val="00C42E9F"/>
    <w:rsid w:val="00C555FF"/>
    <w:rsid w:val="00C60919"/>
    <w:rsid w:val="00C61594"/>
    <w:rsid w:val="00C65D19"/>
    <w:rsid w:val="00C71C04"/>
    <w:rsid w:val="00C8204B"/>
    <w:rsid w:val="00C86F5B"/>
    <w:rsid w:val="00C91247"/>
    <w:rsid w:val="00C91B2C"/>
    <w:rsid w:val="00C967EC"/>
    <w:rsid w:val="00CA42EA"/>
    <w:rsid w:val="00CA78D6"/>
    <w:rsid w:val="00CB03F2"/>
    <w:rsid w:val="00CD11E5"/>
    <w:rsid w:val="00CD2298"/>
    <w:rsid w:val="00CF4D1F"/>
    <w:rsid w:val="00CF79D0"/>
    <w:rsid w:val="00D11307"/>
    <w:rsid w:val="00D128F0"/>
    <w:rsid w:val="00D23C3A"/>
    <w:rsid w:val="00D33479"/>
    <w:rsid w:val="00D351E4"/>
    <w:rsid w:val="00D37215"/>
    <w:rsid w:val="00D42E45"/>
    <w:rsid w:val="00D43368"/>
    <w:rsid w:val="00D45589"/>
    <w:rsid w:val="00D53129"/>
    <w:rsid w:val="00D5406F"/>
    <w:rsid w:val="00D55DC6"/>
    <w:rsid w:val="00D65821"/>
    <w:rsid w:val="00D65B34"/>
    <w:rsid w:val="00D70A92"/>
    <w:rsid w:val="00D71E6F"/>
    <w:rsid w:val="00D76577"/>
    <w:rsid w:val="00D7754D"/>
    <w:rsid w:val="00D9175C"/>
    <w:rsid w:val="00DA4C2A"/>
    <w:rsid w:val="00DA7705"/>
    <w:rsid w:val="00DB2FE2"/>
    <w:rsid w:val="00DB5EA5"/>
    <w:rsid w:val="00DD26A8"/>
    <w:rsid w:val="00DD4C11"/>
    <w:rsid w:val="00DE62AE"/>
    <w:rsid w:val="00DF51E3"/>
    <w:rsid w:val="00E001D8"/>
    <w:rsid w:val="00E139C8"/>
    <w:rsid w:val="00E35B04"/>
    <w:rsid w:val="00E44611"/>
    <w:rsid w:val="00E512B5"/>
    <w:rsid w:val="00E552E0"/>
    <w:rsid w:val="00E56075"/>
    <w:rsid w:val="00E57A90"/>
    <w:rsid w:val="00E6684C"/>
    <w:rsid w:val="00E72BF2"/>
    <w:rsid w:val="00E75D05"/>
    <w:rsid w:val="00E8394E"/>
    <w:rsid w:val="00E911F2"/>
    <w:rsid w:val="00E92568"/>
    <w:rsid w:val="00E94476"/>
    <w:rsid w:val="00EB1D43"/>
    <w:rsid w:val="00ED7B69"/>
    <w:rsid w:val="00F07135"/>
    <w:rsid w:val="00F23029"/>
    <w:rsid w:val="00F230B2"/>
    <w:rsid w:val="00F237B6"/>
    <w:rsid w:val="00F33DA8"/>
    <w:rsid w:val="00F408D2"/>
    <w:rsid w:val="00F41269"/>
    <w:rsid w:val="00F44995"/>
    <w:rsid w:val="00F55F42"/>
    <w:rsid w:val="00F600E4"/>
    <w:rsid w:val="00F602C3"/>
    <w:rsid w:val="00F60378"/>
    <w:rsid w:val="00F66B81"/>
    <w:rsid w:val="00F76535"/>
    <w:rsid w:val="00F84167"/>
    <w:rsid w:val="00F85FBD"/>
    <w:rsid w:val="00F90F96"/>
    <w:rsid w:val="00F91A0D"/>
    <w:rsid w:val="00FA29CF"/>
    <w:rsid w:val="00FB49A9"/>
    <w:rsid w:val="00FB6382"/>
    <w:rsid w:val="00FC3073"/>
    <w:rsid w:val="00FC524C"/>
    <w:rsid w:val="00FC61B3"/>
    <w:rsid w:val="00FD0CF2"/>
    <w:rsid w:val="00FD1DEB"/>
    <w:rsid w:val="00FD6FAF"/>
    <w:rsid w:val="00FF3185"/>
    <w:rsid w:val="00FF5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E57F5"/>
  <w14:defaultImageDpi w14:val="300"/>
  <w15:docId w15:val="{66369174-7857-49A5-A22E-D70C5565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3">
    <w:name w:val="heading 3"/>
    <w:basedOn w:val="Normal"/>
    <w:next w:val="Normal"/>
    <w:link w:val="Heading3Char"/>
    <w:autoRedefine/>
    <w:uiPriority w:val="9"/>
    <w:unhideWhenUsed/>
    <w:qFormat/>
    <w:rsid w:val="009C2495"/>
    <w:pPr>
      <w:keepNext/>
      <w:keepLines/>
      <w:spacing w:before="240" w:after="120" w:line="276" w:lineRule="auto"/>
      <w:outlineLvl w:val="2"/>
    </w:pPr>
    <w:rPr>
      <w:rFonts w:ascii="Arial" w:eastAsiaTheme="maj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2495"/>
    <w:rPr>
      <w:rFonts w:ascii="Arial" w:eastAsiaTheme="majorEastAsia" w:hAnsi="Arial" w:cs="Arial"/>
      <w:b/>
      <w:bCs/>
      <w:lang w:val="en-GB"/>
    </w:rPr>
  </w:style>
  <w:style w:type="character" w:styleId="Emphasis">
    <w:name w:val="Emphasis"/>
    <w:basedOn w:val="DefaultParagraphFont"/>
    <w:uiPriority w:val="20"/>
    <w:qFormat/>
    <w:rsid w:val="009C2495"/>
    <w:rPr>
      <w:i/>
      <w:iCs/>
    </w:rPr>
  </w:style>
  <w:style w:type="paragraph" w:styleId="ListParagraph">
    <w:name w:val="List Paragraph"/>
    <w:basedOn w:val="Normal"/>
    <w:uiPriority w:val="34"/>
    <w:qFormat/>
    <w:rsid w:val="009C2495"/>
    <w:pPr>
      <w:spacing w:before="120" w:line="276" w:lineRule="auto"/>
      <w:ind w:left="720"/>
      <w:contextualSpacing/>
    </w:pPr>
    <w:rPr>
      <w:rFonts w:ascii="Arial" w:eastAsiaTheme="minorHAnsi" w:hAnsi="Arial" w:cs="Arial"/>
    </w:rPr>
  </w:style>
  <w:style w:type="character" w:styleId="Hyperlink">
    <w:name w:val="Hyperlink"/>
    <w:basedOn w:val="DefaultParagraphFont"/>
    <w:uiPriority w:val="99"/>
    <w:unhideWhenUsed/>
    <w:rsid w:val="00092F50"/>
    <w:rPr>
      <w:color w:val="0000FF" w:themeColor="hyperlink"/>
      <w:u w:val="single"/>
    </w:rPr>
  </w:style>
  <w:style w:type="character" w:styleId="CommentReference">
    <w:name w:val="annotation reference"/>
    <w:basedOn w:val="DefaultParagraphFont"/>
    <w:uiPriority w:val="99"/>
    <w:semiHidden/>
    <w:unhideWhenUsed/>
    <w:rsid w:val="00B1070C"/>
    <w:rPr>
      <w:sz w:val="18"/>
      <w:szCs w:val="18"/>
    </w:rPr>
  </w:style>
  <w:style w:type="paragraph" w:styleId="CommentText">
    <w:name w:val="annotation text"/>
    <w:basedOn w:val="Normal"/>
    <w:link w:val="CommentTextChar"/>
    <w:uiPriority w:val="99"/>
    <w:semiHidden/>
    <w:unhideWhenUsed/>
    <w:rsid w:val="00B1070C"/>
  </w:style>
  <w:style w:type="character" w:customStyle="1" w:styleId="CommentTextChar">
    <w:name w:val="Comment Text Char"/>
    <w:basedOn w:val="DefaultParagraphFont"/>
    <w:link w:val="CommentText"/>
    <w:uiPriority w:val="99"/>
    <w:semiHidden/>
    <w:rsid w:val="00B1070C"/>
  </w:style>
  <w:style w:type="paragraph" w:styleId="CommentSubject">
    <w:name w:val="annotation subject"/>
    <w:basedOn w:val="CommentText"/>
    <w:next w:val="CommentText"/>
    <w:link w:val="CommentSubjectChar"/>
    <w:uiPriority w:val="99"/>
    <w:semiHidden/>
    <w:unhideWhenUsed/>
    <w:rsid w:val="00B1070C"/>
    <w:rPr>
      <w:b/>
      <w:bCs/>
      <w:sz w:val="20"/>
      <w:szCs w:val="20"/>
    </w:rPr>
  </w:style>
  <w:style w:type="character" w:customStyle="1" w:styleId="CommentSubjectChar">
    <w:name w:val="Comment Subject Char"/>
    <w:basedOn w:val="CommentTextChar"/>
    <w:link w:val="CommentSubject"/>
    <w:uiPriority w:val="99"/>
    <w:semiHidden/>
    <w:rsid w:val="00B1070C"/>
    <w:rPr>
      <w:b/>
      <w:bCs/>
      <w:sz w:val="20"/>
      <w:szCs w:val="20"/>
    </w:rPr>
  </w:style>
  <w:style w:type="paragraph" w:styleId="BalloonText">
    <w:name w:val="Balloon Text"/>
    <w:basedOn w:val="Normal"/>
    <w:link w:val="BalloonTextChar"/>
    <w:uiPriority w:val="99"/>
    <w:semiHidden/>
    <w:unhideWhenUsed/>
    <w:rsid w:val="00B107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070C"/>
    <w:rPr>
      <w:rFonts w:ascii="Lucida Grande" w:hAnsi="Lucida Grande" w:cs="Lucida Grande"/>
      <w:sz w:val="18"/>
      <w:szCs w:val="18"/>
    </w:rPr>
  </w:style>
  <w:style w:type="character" w:styleId="FollowedHyperlink">
    <w:name w:val="FollowedHyperlink"/>
    <w:basedOn w:val="DefaultParagraphFont"/>
    <w:uiPriority w:val="99"/>
    <w:semiHidden/>
    <w:unhideWhenUsed/>
    <w:rsid w:val="00A97BF9"/>
    <w:rPr>
      <w:color w:val="800080" w:themeColor="followedHyperlink"/>
      <w:u w:val="single"/>
    </w:rPr>
  </w:style>
  <w:style w:type="table" w:styleId="TableGrid">
    <w:name w:val="Table Grid"/>
    <w:basedOn w:val="TableNormal"/>
    <w:uiPriority w:val="59"/>
    <w:rsid w:val="00A33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5F3843"/>
  </w:style>
  <w:style w:type="character" w:styleId="FootnoteReference">
    <w:name w:val="footnote reference"/>
    <w:uiPriority w:val="99"/>
    <w:rsid w:val="005F3843"/>
    <w:rPr>
      <w:vertAlign w:val="superscript"/>
    </w:rPr>
  </w:style>
  <w:style w:type="paragraph" w:styleId="FootnoteText">
    <w:name w:val="footnote text"/>
    <w:basedOn w:val="Normal"/>
    <w:link w:val="FootnoteTextChar"/>
    <w:rsid w:val="005F3843"/>
    <w:pPr>
      <w:suppressLineNumbers/>
      <w:suppressAutoHyphens/>
      <w:ind w:left="283" w:hanging="283"/>
    </w:pPr>
    <w:rPr>
      <w:rFonts w:ascii="Times New Roman" w:eastAsia="SimSun" w:hAnsi="Times New Roman" w:cs="Mangal"/>
      <w:kern w:val="1"/>
      <w:sz w:val="20"/>
      <w:szCs w:val="20"/>
      <w:lang w:eastAsia="hi-IN" w:bidi="hi-IN"/>
    </w:rPr>
  </w:style>
  <w:style w:type="character" w:customStyle="1" w:styleId="FootnoteTextChar">
    <w:name w:val="Footnote Text Char"/>
    <w:basedOn w:val="DefaultParagraphFont"/>
    <w:link w:val="FootnoteText"/>
    <w:rsid w:val="005F3843"/>
    <w:rPr>
      <w:rFonts w:ascii="Times New Roman" w:eastAsia="SimSun" w:hAnsi="Times New Roman" w:cs="Mangal"/>
      <w:kern w:val="1"/>
      <w:sz w:val="20"/>
      <w:szCs w:val="20"/>
      <w:lang w:val="en-GB" w:eastAsia="hi-IN" w:bidi="hi-IN"/>
    </w:rPr>
  </w:style>
  <w:style w:type="paragraph" w:styleId="NormalWeb">
    <w:name w:val="Normal (Web)"/>
    <w:basedOn w:val="Normal"/>
    <w:uiPriority w:val="99"/>
    <w:semiHidden/>
    <w:unhideWhenUsed/>
    <w:rsid w:val="00E35B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9545">
      <w:bodyDiv w:val="1"/>
      <w:marLeft w:val="0"/>
      <w:marRight w:val="0"/>
      <w:marTop w:val="0"/>
      <w:marBottom w:val="0"/>
      <w:divBdr>
        <w:top w:val="none" w:sz="0" w:space="0" w:color="auto"/>
        <w:left w:val="none" w:sz="0" w:space="0" w:color="auto"/>
        <w:bottom w:val="none" w:sz="0" w:space="0" w:color="auto"/>
        <w:right w:val="none" w:sz="0" w:space="0" w:color="auto"/>
      </w:divBdr>
      <w:divsChild>
        <w:div w:id="60713531">
          <w:marLeft w:val="0"/>
          <w:marRight w:val="0"/>
          <w:marTop w:val="0"/>
          <w:marBottom w:val="0"/>
          <w:divBdr>
            <w:top w:val="none" w:sz="0" w:space="0" w:color="auto"/>
            <w:left w:val="none" w:sz="0" w:space="0" w:color="auto"/>
            <w:bottom w:val="none" w:sz="0" w:space="0" w:color="auto"/>
            <w:right w:val="none" w:sz="0" w:space="0" w:color="auto"/>
          </w:divBdr>
          <w:divsChild>
            <w:div w:id="1547137342">
              <w:marLeft w:val="0"/>
              <w:marRight w:val="0"/>
              <w:marTop w:val="0"/>
              <w:marBottom w:val="0"/>
              <w:divBdr>
                <w:top w:val="none" w:sz="0" w:space="0" w:color="auto"/>
                <w:left w:val="none" w:sz="0" w:space="0" w:color="auto"/>
                <w:bottom w:val="none" w:sz="0" w:space="0" w:color="auto"/>
                <w:right w:val="none" w:sz="0" w:space="0" w:color="auto"/>
              </w:divBdr>
              <w:divsChild>
                <w:div w:id="4113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1750">
      <w:bodyDiv w:val="1"/>
      <w:marLeft w:val="0"/>
      <w:marRight w:val="0"/>
      <w:marTop w:val="0"/>
      <w:marBottom w:val="0"/>
      <w:divBdr>
        <w:top w:val="none" w:sz="0" w:space="0" w:color="auto"/>
        <w:left w:val="none" w:sz="0" w:space="0" w:color="auto"/>
        <w:bottom w:val="none" w:sz="0" w:space="0" w:color="auto"/>
        <w:right w:val="none" w:sz="0" w:space="0" w:color="auto"/>
      </w:divBdr>
      <w:divsChild>
        <w:div w:id="1008675066">
          <w:marLeft w:val="0"/>
          <w:marRight w:val="0"/>
          <w:marTop w:val="0"/>
          <w:marBottom w:val="0"/>
          <w:divBdr>
            <w:top w:val="none" w:sz="0" w:space="0" w:color="auto"/>
            <w:left w:val="none" w:sz="0" w:space="0" w:color="auto"/>
            <w:bottom w:val="none" w:sz="0" w:space="0" w:color="auto"/>
            <w:right w:val="none" w:sz="0" w:space="0" w:color="auto"/>
          </w:divBdr>
          <w:divsChild>
            <w:div w:id="1538422737">
              <w:marLeft w:val="0"/>
              <w:marRight w:val="0"/>
              <w:marTop w:val="0"/>
              <w:marBottom w:val="0"/>
              <w:divBdr>
                <w:top w:val="none" w:sz="0" w:space="0" w:color="auto"/>
                <w:left w:val="none" w:sz="0" w:space="0" w:color="auto"/>
                <w:bottom w:val="none" w:sz="0" w:space="0" w:color="auto"/>
                <w:right w:val="none" w:sz="0" w:space="0" w:color="auto"/>
              </w:divBdr>
              <w:divsChild>
                <w:div w:id="7027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37903">
      <w:bodyDiv w:val="1"/>
      <w:marLeft w:val="0"/>
      <w:marRight w:val="0"/>
      <w:marTop w:val="0"/>
      <w:marBottom w:val="0"/>
      <w:divBdr>
        <w:top w:val="none" w:sz="0" w:space="0" w:color="auto"/>
        <w:left w:val="none" w:sz="0" w:space="0" w:color="auto"/>
        <w:bottom w:val="none" w:sz="0" w:space="0" w:color="auto"/>
        <w:right w:val="none" w:sz="0" w:space="0" w:color="auto"/>
      </w:divBdr>
      <w:divsChild>
        <w:div w:id="270091883">
          <w:marLeft w:val="0"/>
          <w:marRight w:val="0"/>
          <w:marTop w:val="0"/>
          <w:marBottom w:val="0"/>
          <w:divBdr>
            <w:top w:val="none" w:sz="0" w:space="0" w:color="auto"/>
            <w:left w:val="none" w:sz="0" w:space="0" w:color="auto"/>
            <w:bottom w:val="none" w:sz="0" w:space="0" w:color="auto"/>
            <w:right w:val="none" w:sz="0" w:space="0" w:color="auto"/>
          </w:divBdr>
          <w:divsChild>
            <w:div w:id="567112465">
              <w:marLeft w:val="0"/>
              <w:marRight w:val="0"/>
              <w:marTop w:val="0"/>
              <w:marBottom w:val="0"/>
              <w:divBdr>
                <w:top w:val="none" w:sz="0" w:space="0" w:color="auto"/>
                <w:left w:val="none" w:sz="0" w:space="0" w:color="auto"/>
                <w:bottom w:val="none" w:sz="0" w:space="0" w:color="auto"/>
                <w:right w:val="none" w:sz="0" w:space="0" w:color="auto"/>
              </w:divBdr>
              <w:divsChild>
                <w:div w:id="12006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0494">
      <w:bodyDiv w:val="1"/>
      <w:marLeft w:val="0"/>
      <w:marRight w:val="0"/>
      <w:marTop w:val="0"/>
      <w:marBottom w:val="0"/>
      <w:divBdr>
        <w:top w:val="none" w:sz="0" w:space="0" w:color="auto"/>
        <w:left w:val="none" w:sz="0" w:space="0" w:color="auto"/>
        <w:bottom w:val="none" w:sz="0" w:space="0" w:color="auto"/>
        <w:right w:val="none" w:sz="0" w:space="0" w:color="auto"/>
      </w:divBdr>
      <w:divsChild>
        <w:div w:id="825320499">
          <w:marLeft w:val="0"/>
          <w:marRight w:val="0"/>
          <w:marTop w:val="0"/>
          <w:marBottom w:val="0"/>
          <w:divBdr>
            <w:top w:val="none" w:sz="0" w:space="0" w:color="auto"/>
            <w:left w:val="none" w:sz="0" w:space="0" w:color="auto"/>
            <w:bottom w:val="none" w:sz="0" w:space="0" w:color="auto"/>
            <w:right w:val="none" w:sz="0" w:space="0" w:color="auto"/>
          </w:divBdr>
          <w:divsChild>
            <w:div w:id="223221416">
              <w:marLeft w:val="0"/>
              <w:marRight w:val="0"/>
              <w:marTop w:val="0"/>
              <w:marBottom w:val="0"/>
              <w:divBdr>
                <w:top w:val="none" w:sz="0" w:space="0" w:color="auto"/>
                <w:left w:val="none" w:sz="0" w:space="0" w:color="auto"/>
                <w:bottom w:val="none" w:sz="0" w:space="0" w:color="auto"/>
                <w:right w:val="none" w:sz="0" w:space="0" w:color="auto"/>
              </w:divBdr>
              <w:divsChild>
                <w:div w:id="17440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3506">
      <w:bodyDiv w:val="1"/>
      <w:marLeft w:val="0"/>
      <w:marRight w:val="0"/>
      <w:marTop w:val="0"/>
      <w:marBottom w:val="0"/>
      <w:divBdr>
        <w:top w:val="none" w:sz="0" w:space="0" w:color="auto"/>
        <w:left w:val="none" w:sz="0" w:space="0" w:color="auto"/>
        <w:bottom w:val="none" w:sz="0" w:space="0" w:color="auto"/>
        <w:right w:val="none" w:sz="0" w:space="0" w:color="auto"/>
      </w:divBdr>
      <w:divsChild>
        <w:div w:id="1300380157">
          <w:marLeft w:val="0"/>
          <w:marRight w:val="0"/>
          <w:marTop w:val="0"/>
          <w:marBottom w:val="0"/>
          <w:divBdr>
            <w:top w:val="none" w:sz="0" w:space="0" w:color="auto"/>
            <w:left w:val="none" w:sz="0" w:space="0" w:color="auto"/>
            <w:bottom w:val="none" w:sz="0" w:space="0" w:color="auto"/>
            <w:right w:val="none" w:sz="0" w:space="0" w:color="auto"/>
          </w:divBdr>
          <w:divsChild>
            <w:div w:id="865750237">
              <w:marLeft w:val="0"/>
              <w:marRight w:val="0"/>
              <w:marTop w:val="0"/>
              <w:marBottom w:val="0"/>
              <w:divBdr>
                <w:top w:val="none" w:sz="0" w:space="0" w:color="auto"/>
                <w:left w:val="none" w:sz="0" w:space="0" w:color="auto"/>
                <w:bottom w:val="none" w:sz="0" w:space="0" w:color="auto"/>
                <w:right w:val="none" w:sz="0" w:space="0" w:color="auto"/>
              </w:divBdr>
              <w:divsChild>
                <w:div w:id="929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00112">
      <w:bodyDiv w:val="1"/>
      <w:marLeft w:val="0"/>
      <w:marRight w:val="0"/>
      <w:marTop w:val="0"/>
      <w:marBottom w:val="0"/>
      <w:divBdr>
        <w:top w:val="none" w:sz="0" w:space="0" w:color="auto"/>
        <w:left w:val="none" w:sz="0" w:space="0" w:color="auto"/>
        <w:bottom w:val="none" w:sz="0" w:space="0" w:color="auto"/>
        <w:right w:val="none" w:sz="0" w:space="0" w:color="auto"/>
      </w:divBdr>
    </w:div>
    <w:div w:id="1297875584">
      <w:bodyDiv w:val="1"/>
      <w:marLeft w:val="0"/>
      <w:marRight w:val="0"/>
      <w:marTop w:val="0"/>
      <w:marBottom w:val="0"/>
      <w:divBdr>
        <w:top w:val="none" w:sz="0" w:space="0" w:color="auto"/>
        <w:left w:val="none" w:sz="0" w:space="0" w:color="auto"/>
        <w:bottom w:val="none" w:sz="0" w:space="0" w:color="auto"/>
        <w:right w:val="none" w:sz="0" w:space="0" w:color="auto"/>
      </w:divBdr>
    </w:div>
    <w:div w:id="1458178494">
      <w:bodyDiv w:val="1"/>
      <w:marLeft w:val="0"/>
      <w:marRight w:val="0"/>
      <w:marTop w:val="0"/>
      <w:marBottom w:val="0"/>
      <w:divBdr>
        <w:top w:val="none" w:sz="0" w:space="0" w:color="auto"/>
        <w:left w:val="none" w:sz="0" w:space="0" w:color="auto"/>
        <w:bottom w:val="none" w:sz="0" w:space="0" w:color="auto"/>
        <w:right w:val="none" w:sz="0" w:space="0" w:color="auto"/>
      </w:divBdr>
      <w:divsChild>
        <w:div w:id="136843281">
          <w:marLeft w:val="274"/>
          <w:marRight w:val="0"/>
          <w:marTop w:val="0"/>
          <w:marBottom w:val="0"/>
          <w:divBdr>
            <w:top w:val="none" w:sz="0" w:space="0" w:color="auto"/>
            <w:left w:val="none" w:sz="0" w:space="0" w:color="auto"/>
            <w:bottom w:val="none" w:sz="0" w:space="0" w:color="auto"/>
            <w:right w:val="none" w:sz="0" w:space="0" w:color="auto"/>
          </w:divBdr>
        </w:div>
      </w:divsChild>
    </w:div>
    <w:div w:id="1476993282">
      <w:bodyDiv w:val="1"/>
      <w:marLeft w:val="0"/>
      <w:marRight w:val="0"/>
      <w:marTop w:val="0"/>
      <w:marBottom w:val="0"/>
      <w:divBdr>
        <w:top w:val="none" w:sz="0" w:space="0" w:color="auto"/>
        <w:left w:val="none" w:sz="0" w:space="0" w:color="auto"/>
        <w:bottom w:val="none" w:sz="0" w:space="0" w:color="auto"/>
        <w:right w:val="none" w:sz="0" w:space="0" w:color="auto"/>
      </w:divBdr>
      <w:divsChild>
        <w:div w:id="360515937">
          <w:marLeft w:val="0"/>
          <w:marRight w:val="0"/>
          <w:marTop w:val="0"/>
          <w:marBottom w:val="0"/>
          <w:divBdr>
            <w:top w:val="none" w:sz="0" w:space="0" w:color="auto"/>
            <w:left w:val="none" w:sz="0" w:space="0" w:color="auto"/>
            <w:bottom w:val="none" w:sz="0" w:space="0" w:color="auto"/>
            <w:right w:val="none" w:sz="0" w:space="0" w:color="auto"/>
          </w:divBdr>
          <w:divsChild>
            <w:div w:id="1320890529">
              <w:marLeft w:val="0"/>
              <w:marRight w:val="0"/>
              <w:marTop w:val="0"/>
              <w:marBottom w:val="0"/>
              <w:divBdr>
                <w:top w:val="none" w:sz="0" w:space="0" w:color="auto"/>
                <w:left w:val="none" w:sz="0" w:space="0" w:color="auto"/>
                <w:bottom w:val="none" w:sz="0" w:space="0" w:color="auto"/>
                <w:right w:val="none" w:sz="0" w:space="0" w:color="auto"/>
              </w:divBdr>
              <w:divsChild>
                <w:div w:id="17786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4020">
      <w:bodyDiv w:val="1"/>
      <w:marLeft w:val="0"/>
      <w:marRight w:val="0"/>
      <w:marTop w:val="0"/>
      <w:marBottom w:val="0"/>
      <w:divBdr>
        <w:top w:val="none" w:sz="0" w:space="0" w:color="auto"/>
        <w:left w:val="none" w:sz="0" w:space="0" w:color="auto"/>
        <w:bottom w:val="none" w:sz="0" w:space="0" w:color="auto"/>
        <w:right w:val="none" w:sz="0" w:space="0" w:color="auto"/>
      </w:divBdr>
      <w:divsChild>
        <w:div w:id="388384579">
          <w:marLeft w:val="0"/>
          <w:marRight w:val="0"/>
          <w:marTop w:val="0"/>
          <w:marBottom w:val="0"/>
          <w:divBdr>
            <w:top w:val="none" w:sz="0" w:space="0" w:color="auto"/>
            <w:left w:val="none" w:sz="0" w:space="0" w:color="auto"/>
            <w:bottom w:val="none" w:sz="0" w:space="0" w:color="auto"/>
            <w:right w:val="none" w:sz="0" w:space="0" w:color="auto"/>
          </w:divBdr>
          <w:divsChild>
            <w:div w:id="891228565">
              <w:marLeft w:val="0"/>
              <w:marRight w:val="0"/>
              <w:marTop w:val="0"/>
              <w:marBottom w:val="0"/>
              <w:divBdr>
                <w:top w:val="none" w:sz="0" w:space="0" w:color="auto"/>
                <w:left w:val="none" w:sz="0" w:space="0" w:color="auto"/>
                <w:bottom w:val="none" w:sz="0" w:space="0" w:color="auto"/>
                <w:right w:val="none" w:sz="0" w:space="0" w:color="auto"/>
              </w:divBdr>
              <w:divsChild>
                <w:div w:id="15466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42661">
      <w:bodyDiv w:val="1"/>
      <w:marLeft w:val="0"/>
      <w:marRight w:val="0"/>
      <w:marTop w:val="0"/>
      <w:marBottom w:val="0"/>
      <w:divBdr>
        <w:top w:val="none" w:sz="0" w:space="0" w:color="auto"/>
        <w:left w:val="none" w:sz="0" w:space="0" w:color="auto"/>
        <w:bottom w:val="none" w:sz="0" w:space="0" w:color="auto"/>
        <w:right w:val="none" w:sz="0" w:space="0" w:color="auto"/>
      </w:divBdr>
      <w:divsChild>
        <w:div w:id="1455253173">
          <w:marLeft w:val="0"/>
          <w:marRight w:val="0"/>
          <w:marTop w:val="0"/>
          <w:marBottom w:val="0"/>
          <w:divBdr>
            <w:top w:val="none" w:sz="0" w:space="0" w:color="auto"/>
            <w:left w:val="none" w:sz="0" w:space="0" w:color="auto"/>
            <w:bottom w:val="none" w:sz="0" w:space="0" w:color="auto"/>
            <w:right w:val="none" w:sz="0" w:space="0" w:color="auto"/>
          </w:divBdr>
          <w:divsChild>
            <w:div w:id="2136750763">
              <w:marLeft w:val="0"/>
              <w:marRight w:val="0"/>
              <w:marTop w:val="0"/>
              <w:marBottom w:val="0"/>
              <w:divBdr>
                <w:top w:val="none" w:sz="0" w:space="0" w:color="auto"/>
                <w:left w:val="none" w:sz="0" w:space="0" w:color="auto"/>
                <w:bottom w:val="none" w:sz="0" w:space="0" w:color="auto"/>
                <w:right w:val="none" w:sz="0" w:space="0" w:color="auto"/>
              </w:divBdr>
              <w:divsChild>
                <w:div w:id="11319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uldson@leeds.ac.uk" TargetMode="External"/><Relationship Id="rId13" Type="http://schemas.openxmlformats.org/officeDocument/2006/relationships/hyperlink" Target="mailto:rory@rorysullivan.org"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rrado.topi@york.ac.uk"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leedscityregion.gov.uk/our-work/housing/"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freeman@lboro.ac.uk" TargetMode="External"/><Relationship Id="rId5" Type="http://schemas.openxmlformats.org/officeDocument/2006/relationships/webSettings" Target="webSettings.xml"/><Relationship Id="rId15" Type="http://schemas.openxmlformats.org/officeDocument/2006/relationships/hyperlink" Target="http://www.energysaverspartnerships.co.uk/birmingham" TargetMode="External"/><Relationship Id="rId10" Type="http://schemas.openxmlformats.org/officeDocument/2006/relationships/hyperlink" Target="mailto:jmhopkins@gmail.co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n.kerr@leeds.ac.uk" TargetMode="External"/><Relationship Id="rId14" Type="http://schemas.openxmlformats.org/officeDocument/2006/relationships/hyperlink" Target="mailto:a.gouldson@leeds.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BRE08</b:Tag>
    <b:SourceType>Report</b:SourceType>
    <b:Guid>{880BE386-5B4D-4588-B1C7-4475E50C0527}</b:Guid>
    <b:Author>
      <b:Author>
        <b:NameList>
          <b:Person>
            <b:Last>BRE</b:Last>
          </b:Person>
        </b:NameList>
      </b:Author>
    </b:Author>
    <b:Title>MAC Curves for the Domestic and Non-Domestic Building Sectors - Technical Documentation</b:Title>
    <b:Year>2008</b:Year>
    <b:RefOrder>1</b:RefOrder>
  </b:Source>
</b:Sources>
</file>

<file path=customXml/itemProps1.xml><?xml version="1.0" encoding="utf-8"?>
<ds:datastoreItem xmlns:ds="http://schemas.openxmlformats.org/officeDocument/2006/customXml" ds:itemID="{7F9C95BA-B6BE-4ECB-8202-6CF1911D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42</Pages>
  <Words>10115</Words>
  <Characters>57659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Gouldson</dc:creator>
  <cp:lastModifiedBy>Mark Freeman</cp:lastModifiedBy>
  <cp:revision>5</cp:revision>
  <cp:lastPrinted>2014-08-01T15:35:00Z</cp:lastPrinted>
  <dcterms:created xsi:type="dcterms:W3CDTF">2015-08-04T18:58:00Z</dcterms:created>
  <dcterms:modified xsi:type="dcterms:W3CDTF">2017-01-31T09:03:00Z</dcterms:modified>
</cp:coreProperties>
</file>