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310" w:rsidRPr="005D1EBB" w:rsidRDefault="001B4AC3" w:rsidP="00D01999">
      <w:pPr>
        <w:pStyle w:val="Title1"/>
        <w:rPr>
          <w:lang w:val="en-US"/>
        </w:rPr>
      </w:pPr>
      <w:bookmarkStart w:id="0" w:name="_GoBack"/>
      <w:bookmarkEnd w:id="0"/>
      <w:r w:rsidRPr="00227448">
        <w:t>Carbocation-</w:t>
      </w:r>
      <w:r>
        <w:t>p</w:t>
      </w:r>
      <w:r w:rsidRPr="00227448">
        <w:t xml:space="preserve">olyol </w:t>
      </w:r>
      <w:r>
        <w:t>s</w:t>
      </w:r>
      <w:r w:rsidRPr="00227448">
        <w:t xml:space="preserve">ystems as </w:t>
      </w:r>
      <w:r>
        <w:t>e</w:t>
      </w:r>
      <w:r w:rsidRPr="00227448">
        <w:t xml:space="preserve">fficient </w:t>
      </w:r>
      <w:r>
        <w:t>o</w:t>
      </w:r>
      <w:r w:rsidRPr="00227448">
        <w:t xml:space="preserve">rganic </w:t>
      </w:r>
      <w:r>
        <w:t>c</w:t>
      </w:r>
      <w:r w:rsidRPr="00227448">
        <w:t xml:space="preserve">atalysts for the </w:t>
      </w:r>
      <w:r>
        <w:t>p</w:t>
      </w:r>
      <w:r w:rsidRPr="00227448">
        <w:t xml:space="preserve">reparation of </w:t>
      </w:r>
      <w:r>
        <w:t>c</w:t>
      </w:r>
      <w:r w:rsidRPr="00227448">
        <w:t xml:space="preserve">yclic </w:t>
      </w:r>
      <w:r>
        <w:t>o</w:t>
      </w:r>
      <w:r w:rsidRPr="00227448">
        <w:t xml:space="preserve">rganic </w:t>
      </w:r>
      <w:r>
        <w:t>c</w:t>
      </w:r>
      <w:r w:rsidRPr="00227448">
        <w:t>arbonates</w:t>
      </w:r>
    </w:p>
    <w:p w:rsidR="002A5E9C" w:rsidRPr="00205632" w:rsidRDefault="001B4AC3" w:rsidP="002A5E9C">
      <w:pPr>
        <w:pStyle w:val="Authors"/>
      </w:pPr>
      <w:r w:rsidRPr="000E6D92">
        <w:rPr>
          <w:rFonts w:cs="AdvMYR4"/>
          <w:lang w:val="en-US"/>
        </w:rPr>
        <w:t>Yuri A. Rulev,</w:t>
      </w:r>
      <w:r>
        <w:rPr>
          <w:rFonts w:cs="AdvMYR4"/>
          <w:vertAlign w:val="superscript"/>
          <w:lang w:val="en-US"/>
        </w:rPr>
        <w:t>[a]</w:t>
      </w:r>
      <w:r>
        <w:rPr>
          <w:rFonts w:cs="AdvMYR4"/>
          <w:lang w:val="en-US"/>
        </w:rPr>
        <w:t xml:space="preserve"> </w:t>
      </w:r>
      <w:r w:rsidRPr="000E6D92">
        <w:rPr>
          <w:rFonts w:cs="ArialMT-Regular"/>
          <w:lang w:val="en-US"/>
        </w:rPr>
        <w:t>Zalina</w:t>
      </w:r>
      <w:r>
        <w:rPr>
          <w:rFonts w:cs="ArialMT-Regular"/>
          <w:lang w:val="en-US"/>
        </w:rPr>
        <w:t xml:space="preserve"> T. </w:t>
      </w:r>
      <w:r w:rsidRPr="000E6D92">
        <w:rPr>
          <w:rFonts w:cs="ArialMT-Regular"/>
          <w:lang w:val="en-US"/>
        </w:rPr>
        <w:t>Gugkaeva</w:t>
      </w:r>
      <w:r>
        <w:rPr>
          <w:rFonts w:cs="ArialMT-Regular"/>
          <w:lang w:val="en-US"/>
        </w:rPr>
        <w:t>,</w:t>
      </w:r>
      <w:r>
        <w:rPr>
          <w:rFonts w:cs="ArialMT-Regular"/>
          <w:vertAlign w:val="superscript"/>
          <w:lang w:val="en-US"/>
        </w:rPr>
        <w:t>[</w:t>
      </w:r>
      <w:r>
        <w:rPr>
          <w:rFonts w:cs="AdvMYR4"/>
          <w:vertAlign w:val="superscript"/>
          <w:lang w:val="en-US"/>
        </w:rPr>
        <w:t>a]</w:t>
      </w:r>
      <w:r w:rsidRPr="000E6D92">
        <w:rPr>
          <w:rFonts w:cs="AdvMYR4"/>
          <w:lang w:val="en-US"/>
        </w:rPr>
        <w:t xml:space="preserve"> Anastasia V. Lokutova,</w:t>
      </w:r>
      <w:r>
        <w:rPr>
          <w:rFonts w:cs="AdvMYR4"/>
          <w:vertAlign w:val="superscript"/>
          <w:lang w:val="en-US"/>
        </w:rPr>
        <w:t xml:space="preserve">[a] </w:t>
      </w:r>
      <w:r w:rsidRPr="000E6D92">
        <w:rPr>
          <w:rFonts w:cs="AdvMYR4"/>
          <w:lang w:val="en-US"/>
        </w:rPr>
        <w:t>Victor I. Maleev,</w:t>
      </w:r>
      <w:r>
        <w:rPr>
          <w:rFonts w:cs="AdvMYR4"/>
          <w:vertAlign w:val="superscript"/>
          <w:lang w:val="en-US"/>
        </w:rPr>
        <w:t>[a]</w:t>
      </w:r>
      <w:r w:rsidRPr="000E6D92">
        <w:rPr>
          <w:rFonts w:cs="AdvMYR4"/>
          <w:lang w:val="en-US"/>
        </w:rPr>
        <w:t xml:space="preserve"> </w:t>
      </w:r>
      <w:r>
        <w:rPr>
          <w:rFonts w:cs="AdvMYR4"/>
          <w:lang w:val="en-US"/>
        </w:rPr>
        <w:t>Alexander S. Peregudov,</w:t>
      </w:r>
      <w:r>
        <w:rPr>
          <w:rFonts w:cs="AdvMYR4"/>
          <w:vertAlign w:val="superscript"/>
          <w:lang w:val="en-US"/>
        </w:rPr>
        <w:t>[a]</w:t>
      </w:r>
      <w:r>
        <w:rPr>
          <w:rFonts w:cs="AdvMYR4"/>
          <w:lang w:val="en-US"/>
        </w:rPr>
        <w:t xml:space="preserve"> </w:t>
      </w:r>
      <w:r>
        <w:t>Xiao Wu</w:t>
      </w:r>
      <w:r w:rsidRPr="00F007F5">
        <w:t>,</w:t>
      </w:r>
      <w:r>
        <w:rPr>
          <w:vertAlign w:val="superscript"/>
        </w:rPr>
        <w:t>[b</w:t>
      </w:r>
      <w:r w:rsidRPr="00F007F5">
        <w:rPr>
          <w:vertAlign w:val="superscript"/>
        </w:rPr>
        <w:t>]</w:t>
      </w:r>
      <w:r>
        <w:t xml:space="preserve"> </w:t>
      </w:r>
      <w:r>
        <w:rPr>
          <w:rFonts w:cs="AdvMYR4"/>
          <w:lang w:val="en-US"/>
        </w:rPr>
        <w:t>Michael North</w:t>
      </w:r>
      <w:r w:rsidRPr="000E6D92">
        <w:rPr>
          <w:rFonts w:cs="AdvMYR4"/>
          <w:lang w:val="en-US"/>
        </w:rPr>
        <w:t>*</w:t>
      </w:r>
      <w:r>
        <w:rPr>
          <w:rFonts w:cs="AdvMYR4"/>
          <w:vertAlign w:val="superscript"/>
          <w:lang w:val="en-US"/>
        </w:rPr>
        <w:t>[b]</w:t>
      </w:r>
      <w:r w:rsidRPr="000E6D92">
        <w:rPr>
          <w:rFonts w:cs="AdvMYR4"/>
          <w:lang w:val="en-US"/>
        </w:rPr>
        <w:t xml:space="preserve"> and Yuri N. Belokon*</w:t>
      </w:r>
      <w:r>
        <w:rPr>
          <w:rFonts w:cs="AdvMYR4"/>
          <w:vertAlign w:val="superscript"/>
          <w:lang w:val="en-US"/>
        </w:rPr>
        <w:t>[a]</w:t>
      </w:r>
      <w:r>
        <w:rPr>
          <w:noProof/>
          <w:lang w:eastAsia="en-GB"/>
        </w:rPr>
        <w:t xml:space="preserve"> </w:t>
      </w:r>
      <w:r w:rsidR="002A5E9C">
        <w:rPr>
          <w:noProof/>
          <w:lang w:eastAsia="en-GB"/>
        </w:rPr>
        <mc:AlternateContent>
          <mc:Choice Requires="wps">
            <w:drawing>
              <wp:anchor distT="180340" distB="0" distL="114300" distR="180340" simplePos="0" relativeHeight="251660800" behindDoc="0" locked="1" layoutInCell="1" allowOverlap="1">
                <wp:simplePos x="0" y="0"/>
                <wp:positionH relativeFrom="column">
                  <wp:posOffset>-34925</wp:posOffset>
                </wp:positionH>
                <wp:positionV relativeFrom="page">
                  <wp:posOffset>8312785</wp:posOffset>
                </wp:positionV>
                <wp:extent cx="3150235" cy="872490"/>
                <wp:effectExtent l="0" t="0" r="0" b="0"/>
                <wp:wrapSquare wrapText="right"/>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872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866" w:rsidRDefault="00166866" w:rsidP="00751EA9">
                            <w:pPr>
                              <w:pStyle w:val="Adress"/>
                              <w:pBdr>
                                <w:top w:val="single" w:sz="4" w:space="1" w:color="000000"/>
                              </w:pBdr>
                              <w:rPr>
                                <w:rFonts w:cs="AdvMYR4I"/>
                                <w:lang w:val="en-US"/>
                              </w:rPr>
                            </w:pPr>
                          </w:p>
                          <w:p w:rsidR="00166866" w:rsidRDefault="00166866" w:rsidP="00751EA9">
                            <w:pPr>
                              <w:ind w:left="420" w:hanging="420"/>
                              <w:rPr>
                                <w:rFonts w:ascii="Arial" w:hAnsi="Arial" w:cs="Arial"/>
                                <w:sz w:val="14"/>
                                <w:szCs w:val="14"/>
                                <w:lang w:val="en-US"/>
                              </w:rPr>
                            </w:pPr>
                            <w:r w:rsidRPr="00531B5E">
                              <w:rPr>
                                <w:rFonts w:ascii="Arial" w:hAnsi="Arial" w:cs="Arial"/>
                                <w:sz w:val="14"/>
                                <w:szCs w:val="14"/>
                                <w:lang w:val="en-GB"/>
                              </w:rPr>
                              <w:t>[a]</w:t>
                            </w:r>
                            <w:r w:rsidRPr="00531B5E">
                              <w:rPr>
                                <w:rFonts w:ascii="Arial" w:hAnsi="Arial" w:cs="Arial"/>
                                <w:sz w:val="14"/>
                                <w:szCs w:val="14"/>
                                <w:lang w:val="en-GB"/>
                              </w:rPr>
                              <w:tab/>
                              <w:t xml:space="preserve">Mr. Y. A. Rulev, Dr. Z. T. Gugkaeva, Dr. A. V. Lokutova, Dr. V. I. </w:t>
                            </w:r>
                            <w:r w:rsidRPr="00531B5E">
                              <w:rPr>
                                <w:rFonts w:ascii="Arial" w:hAnsi="Arial" w:cs="Arial"/>
                                <w:sz w:val="14"/>
                                <w:szCs w:val="14"/>
                                <w:lang w:val="en-US"/>
                              </w:rPr>
                              <w:t>Maleev, Dr. A. S. Peregudov and Prof. Y. N. Belokon</w:t>
                            </w:r>
                          </w:p>
                          <w:p w:rsidR="00166866" w:rsidRDefault="00166866" w:rsidP="00751EA9">
                            <w:pPr>
                              <w:ind w:left="420"/>
                              <w:rPr>
                                <w:rFonts w:ascii="Arial" w:hAnsi="Arial" w:cs="Arial"/>
                                <w:sz w:val="14"/>
                                <w:szCs w:val="14"/>
                                <w:lang w:val="en-US"/>
                              </w:rPr>
                            </w:pPr>
                            <w:r w:rsidRPr="00531B5E">
                              <w:rPr>
                                <w:rFonts w:ascii="Arial" w:hAnsi="Arial" w:cs="Arial"/>
                                <w:sz w:val="14"/>
                                <w:szCs w:val="14"/>
                                <w:lang w:val="en-US"/>
                              </w:rPr>
                              <w:t>Nesmeyanov Institute of Organoelement Compounds, Moscow 19991, Russia</w:t>
                            </w:r>
                          </w:p>
                          <w:p w:rsidR="00166866" w:rsidRPr="00531B5E" w:rsidRDefault="00166866" w:rsidP="00751EA9">
                            <w:pPr>
                              <w:rPr>
                                <w:rStyle w:val="Hyperlink"/>
                                <w:rFonts w:ascii="Arial" w:hAnsi="Arial" w:cs="Arial"/>
                                <w:sz w:val="14"/>
                                <w:szCs w:val="14"/>
                                <w:lang w:val="en-US"/>
                              </w:rPr>
                            </w:pPr>
                            <w:r w:rsidRPr="00531B5E">
                              <w:rPr>
                                <w:rFonts w:ascii="Arial" w:hAnsi="Arial" w:cs="Arial"/>
                                <w:sz w:val="14"/>
                                <w:szCs w:val="14"/>
                                <w:lang w:val="en-US"/>
                              </w:rPr>
                              <w:tab/>
                              <w:t xml:space="preserve">E-mail: </w:t>
                            </w:r>
                            <w:hyperlink r:id="rId8" w:history="1">
                              <w:r w:rsidRPr="00531B5E">
                                <w:rPr>
                                  <w:rStyle w:val="Hyperlink"/>
                                  <w:rFonts w:ascii="Arial" w:hAnsi="Arial" w:cs="Arial"/>
                                  <w:sz w:val="14"/>
                                  <w:szCs w:val="14"/>
                                  <w:lang w:val="en-US"/>
                                </w:rPr>
                                <w:t>yubel@ineos.ac.ru</w:t>
                              </w:r>
                            </w:hyperlink>
                          </w:p>
                          <w:p w:rsidR="00166866" w:rsidRPr="00531B5E" w:rsidRDefault="00166866" w:rsidP="00751EA9">
                            <w:pPr>
                              <w:rPr>
                                <w:rFonts w:ascii="Arial" w:hAnsi="Arial" w:cs="Arial"/>
                                <w:sz w:val="14"/>
                                <w:szCs w:val="14"/>
                              </w:rPr>
                            </w:pPr>
                            <w:r w:rsidRPr="00531B5E">
                              <w:rPr>
                                <w:rFonts w:ascii="Arial" w:hAnsi="Arial" w:cs="Arial"/>
                                <w:sz w:val="14"/>
                                <w:szCs w:val="14"/>
                                <w:lang w:val="en-GB"/>
                              </w:rPr>
                              <w:t>[b]</w:t>
                            </w:r>
                            <w:r w:rsidRPr="00531B5E">
                              <w:rPr>
                                <w:rFonts w:ascii="Arial" w:hAnsi="Arial" w:cs="Arial"/>
                                <w:sz w:val="14"/>
                                <w:szCs w:val="14"/>
                                <w:lang w:val="en-GB"/>
                              </w:rPr>
                              <w:tab/>
                              <w:t>Dr. X. Wu and Prof. M. North</w:t>
                            </w:r>
                          </w:p>
                          <w:p w:rsidR="00166866" w:rsidRPr="00531B5E" w:rsidRDefault="00166866" w:rsidP="00751EA9">
                            <w:pPr>
                              <w:ind w:left="420"/>
                              <w:rPr>
                                <w:rFonts w:ascii="Arial" w:hAnsi="Arial" w:cs="Arial"/>
                                <w:sz w:val="14"/>
                                <w:szCs w:val="14"/>
                              </w:rPr>
                            </w:pPr>
                            <w:r w:rsidRPr="00531B5E">
                              <w:rPr>
                                <w:rFonts w:ascii="Arial" w:hAnsi="Arial" w:cs="Arial"/>
                                <w:sz w:val="14"/>
                                <w:szCs w:val="14"/>
                                <w:lang w:val="en-GB"/>
                              </w:rPr>
                              <w:t>Green Chemistry Centre of Excellence, Department of Chemistry, University of York, Heslington, YO10 5DD, UK</w:t>
                            </w:r>
                          </w:p>
                          <w:p w:rsidR="00166866" w:rsidRPr="00531B5E" w:rsidRDefault="00166866" w:rsidP="00751EA9">
                            <w:pPr>
                              <w:rPr>
                                <w:rStyle w:val="Hyperlink"/>
                                <w:rFonts w:ascii="Arial" w:hAnsi="Arial" w:cs="Arial"/>
                                <w:sz w:val="14"/>
                                <w:szCs w:val="14"/>
                              </w:rPr>
                            </w:pPr>
                            <w:r w:rsidRPr="00531B5E">
                              <w:rPr>
                                <w:rFonts w:ascii="Arial" w:hAnsi="Arial" w:cs="Arial"/>
                                <w:sz w:val="14"/>
                                <w:szCs w:val="14"/>
                              </w:rPr>
                              <w:tab/>
                            </w:r>
                            <w:r w:rsidRPr="00531B5E">
                              <w:rPr>
                                <w:rFonts w:ascii="Arial" w:hAnsi="Arial" w:cs="Arial"/>
                                <w:sz w:val="14"/>
                                <w:szCs w:val="14"/>
                                <w:lang w:val="en-GB"/>
                              </w:rPr>
                              <w:t xml:space="preserve">E-mail: </w:t>
                            </w:r>
                            <w:hyperlink r:id="rId9" w:history="1">
                              <w:r w:rsidRPr="00531B5E">
                                <w:rPr>
                                  <w:rStyle w:val="Hyperlink"/>
                                  <w:rFonts w:ascii="Arial" w:hAnsi="Arial" w:cs="Arial"/>
                                  <w:sz w:val="14"/>
                                  <w:szCs w:val="14"/>
                                  <w:lang w:val="en-GB"/>
                                </w:rPr>
                                <w:t>michael.north@york.ac.uk</w:t>
                              </w:r>
                            </w:hyperlink>
                          </w:p>
                          <w:p w:rsidR="00166866" w:rsidRPr="00531B5E" w:rsidRDefault="00166866" w:rsidP="00751EA9">
                            <w:pPr>
                              <w:ind w:firstLine="720"/>
                              <w:rPr>
                                <w:rFonts w:ascii="Arial" w:hAnsi="Arial" w:cs="Arial"/>
                                <w:sz w:val="14"/>
                                <w:szCs w:val="14"/>
                              </w:rPr>
                            </w:pPr>
                          </w:p>
                          <w:p w:rsidR="00166866" w:rsidRPr="00751EA9" w:rsidRDefault="00166866" w:rsidP="00751EA9">
                            <w:pPr>
                              <w:rPr>
                                <w:rFonts w:ascii="Arial" w:hAnsi="Arial" w:cs="Arial"/>
                                <w:sz w:val="14"/>
                                <w:szCs w:val="14"/>
                              </w:rPr>
                            </w:pPr>
                            <w:r w:rsidRPr="00531B5E">
                              <w:rPr>
                                <w:rFonts w:ascii="Arial" w:hAnsi="Arial" w:cs="Arial"/>
                                <w:sz w:val="14"/>
                                <w:szCs w:val="14"/>
                              </w:rPr>
                              <w:t>Supporting information for this article is given via a link at the end of the document.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75pt;margin-top:654.55pt;width:248.05pt;height:68.7pt;z-index:251660800;visibility:visible;mso-wrap-style:square;mso-width-percent:0;mso-height-percent:0;mso-wrap-distance-left:9pt;mso-wrap-distance-top:14.2pt;mso-wrap-distance-right:14.2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" stroked="f">
                <v:fill opacity="0"/>
                <v:textbox style="mso-fit-shape-to-text:t">
                  <w:txbxContent>
                    <w:p w:rsidR="00166866" w:rsidRDefault="00166866" w:rsidP="00751EA9">
                      <w:pPr>
                        <w:pStyle w:val="Adress"/>
                        <w:pBdr>
                          <w:top w:val="single" w:sz="4" w:space="1" w:color="000000"/>
                        </w:pBdr>
                        <w:rPr>
                          <w:rFonts w:cs="AdvMYR4I"/>
                          <w:lang w:val="en-US"/>
                        </w:rPr>
                      </w:pPr>
                    </w:p>
                    <w:p w:rsidR="00166866" w:rsidRDefault="00166866" w:rsidP="00751EA9">
                      <w:pPr>
                        <w:ind w:left="420" w:hanging="420"/>
                        <w:rPr>
                          <w:rFonts w:ascii="Arial" w:hAnsi="Arial" w:cs="Arial"/>
                          <w:sz w:val="14"/>
                          <w:szCs w:val="14"/>
                          <w:lang w:val="en-US"/>
                        </w:rPr>
                      </w:pPr>
                      <w:r w:rsidRPr="00531B5E">
                        <w:rPr>
                          <w:rFonts w:ascii="Arial" w:hAnsi="Arial" w:cs="Arial"/>
                          <w:sz w:val="14"/>
                          <w:szCs w:val="14"/>
                          <w:lang w:val="en-GB"/>
                        </w:rPr>
                        <w:t>[a]</w:t>
                      </w:r>
                      <w:r w:rsidRPr="00531B5E">
                        <w:rPr>
                          <w:rFonts w:ascii="Arial" w:hAnsi="Arial" w:cs="Arial"/>
                          <w:sz w:val="14"/>
                          <w:szCs w:val="14"/>
                          <w:lang w:val="en-GB"/>
                        </w:rPr>
                        <w:tab/>
                        <w:t xml:space="preserve">Mr. Y. A. Rulev, Dr. Z. T. Gugkaeva, Dr. A. V. Lokutova, Dr. V. I. </w:t>
                      </w:r>
                      <w:r w:rsidRPr="00531B5E">
                        <w:rPr>
                          <w:rFonts w:ascii="Arial" w:hAnsi="Arial" w:cs="Arial"/>
                          <w:sz w:val="14"/>
                          <w:szCs w:val="14"/>
                          <w:lang w:val="en-US"/>
                        </w:rPr>
                        <w:t>Maleev, Dr. A. S. Peregudov and Prof. Y. N. Belokon</w:t>
                      </w:r>
                    </w:p>
                    <w:p w:rsidR="00166866" w:rsidRDefault="00166866" w:rsidP="00751EA9">
                      <w:pPr>
                        <w:ind w:left="420"/>
                        <w:rPr>
                          <w:rFonts w:ascii="Arial" w:hAnsi="Arial" w:cs="Arial"/>
                          <w:sz w:val="14"/>
                          <w:szCs w:val="14"/>
                          <w:lang w:val="en-US"/>
                        </w:rPr>
                      </w:pPr>
                      <w:r w:rsidRPr="00531B5E">
                        <w:rPr>
                          <w:rFonts w:ascii="Arial" w:hAnsi="Arial" w:cs="Arial"/>
                          <w:sz w:val="14"/>
                          <w:szCs w:val="14"/>
                          <w:lang w:val="en-US"/>
                        </w:rPr>
                        <w:t>Nesmeyanov Institute of Organoelement Compounds, Moscow 19991, Russia</w:t>
                      </w:r>
                    </w:p>
                    <w:p w:rsidR="00166866" w:rsidRPr="00531B5E" w:rsidRDefault="00166866" w:rsidP="00751EA9">
                      <w:pPr>
                        <w:rPr>
                          <w:rStyle w:val="Hyperlink"/>
                          <w:rFonts w:ascii="Arial" w:hAnsi="Arial" w:cs="Arial"/>
                          <w:sz w:val="14"/>
                          <w:szCs w:val="14"/>
                          <w:lang w:val="en-US"/>
                        </w:rPr>
                      </w:pPr>
                      <w:r w:rsidRPr="00531B5E">
                        <w:rPr>
                          <w:rFonts w:ascii="Arial" w:hAnsi="Arial" w:cs="Arial"/>
                          <w:sz w:val="14"/>
                          <w:szCs w:val="14"/>
                          <w:lang w:val="en-US"/>
                        </w:rPr>
                        <w:tab/>
                        <w:t xml:space="preserve">E-mail: </w:t>
                      </w:r>
                      <w:hyperlink r:id="rId10" w:history="1">
                        <w:r w:rsidRPr="00531B5E">
                          <w:rPr>
                            <w:rStyle w:val="Hyperlink"/>
                            <w:rFonts w:ascii="Arial" w:hAnsi="Arial" w:cs="Arial"/>
                            <w:sz w:val="14"/>
                            <w:szCs w:val="14"/>
                            <w:lang w:val="en-US"/>
                          </w:rPr>
                          <w:t>yubel@ineos.ac.ru</w:t>
                        </w:r>
                      </w:hyperlink>
                    </w:p>
                    <w:p w:rsidR="00166866" w:rsidRPr="00531B5E" w:rsidRDefault="00166866" w:rsidP="00751EA9">
                      <w:pPr>
                        <w:rPr>
                          <w:rFonts w:ascii="Arial" w:hAnsi="Arial" w:cs="Arial"/>
                          <w:sz w:val="14"/>
                          <w:szCs w:val="14"/>
                        </w:rPr>
                      </w:pPr>
                      <w:r w:rsidRPr="00531B5E">
                        <w:rPr>
                          <w:rFonts w:ascii="Arial" w:hAnsi="Arial" w:cs="Arial"/>
                          <w:sz w:val="14"/>
                          <w:szCs w:val="14"/>
                          <w:lang w:val="en-GB"/>
                        </w:rPr>
                        <w:t>[b]</w:t>
                      </w:r>
                      <w:r w:rsidRPr="00531B5E">
                        <w:rPr>
                          <w:rFonts w:ascii="Arial" w:hAnsi="Arial" w:cs="Arial"/>
                          <w:sz w:val="14"/>
                          <w:szCs w:val="14"/>
                          <w:lang w:val="en-GB"/>
                        </w:rPr>
                        <w:tab/>
                        <w:t>Dr. X. Wu and Prof. M. North</w:t>
                      </w:r>
                    </w:p>
                    <w:p w:rsidR="00166866" w:rsidRPr="00531B5E" w:rsidRDefault="00166866" w:rsidP="00751EA9">
                      <w:pPr>
                        <w:ind w:left="420"/>
                        <w:rPr>
                          <w:rFonts w:ascii="Arial" w:hAnsi="Arial" w:cs="Arial"/>
                          <w:sz w:val="14"/>
                          <w:szCs w:val="14"/>
                        </w:rPr>
                      </w:pPr>
                      <w:r w:rsidRPr="00531B5E">
                        <w:rPr>
                          <w:rFonts w:ascii="Arial" w:hAnsi="Arial" w:cs="Arial"/>
                          <w:sz w:val="14"/>
                          <w:szCs w:val="14"/>
                          <w:lang w:val="en-GB"/>
                        </w:rPr>
                        <w:t>Green Chemistry Centre of Excellence, Department of Chemistry, University of York, Heslington, YO10 5DD, UK</w:t>
                      </w:r>
                    </w:p>
                    <w:p w:rsidR="00166866" w:rsidRPr="00531B5E" w:rsidRDefault="00166866" w:rsidP="00751EA9">
                      <w:pPr>
                        <w:rPr>
                          <w:rStyle w:val="Hyperlink"/>
                          <w:rFonts w:ascii="Arial" w:hAnsi="Arial" w:cs="Arial"/>
                          <w:sz w:val="14"/>
                          <w:szCs w:val="14"/>
                        </w:rPr>
                      </w:pPr>
                      <w:r w:rsidRPr="00531B5E">
                        <w:rPr>
                          <w:rFonts w:ascii="Arial" w:hAnsi="Arial" w:cs="Arial"/>
                          <w:sz w:val="14"/>
                          <w:szCs w:val="14"/>
                        </w:rPr>
                        <w:tab/>
                      </w:r>
                      <w:r w:rsidRPr="00531B5E">
                        <w:rPr>
                          <w:rFonts w:ascii="Arial" w:hAnsi="Arial" w:cs="Arial"/>
                          <w:sz w:val="14"/>
                          <w:szCs w:val="14"/>
                          <w:lang w:val="en-GB"/>
                        </w:rPr>
                        <w:t xml:space="preserve">E-mail: </w:t>
                      </w:r>
                      <w:hyperlink r:id="rId11" w:history="1">
                        <w:r w:rsidRPr="00531B5E">
                          <w:rPr>
                            <w:rStyle w:val="Hyperlink"/>
                            <w:rFonts w:ascii="Arial" w:hAnsi="Arial" w:cs="Arial"/>
                            <w:sz w:val="14"/>
                            <w:szCs w:val="14"/>
                            <w:lang w:val="en-GB"/>
                          </w:rPr>
                          <w:t>michael.north@york.ac.uk</w:t>
                        </w:r>
                      </w:hyperlink>
                    </w:p>
                    <w:p w:rsidR="00166866" w:rsidRPr="00531B5E" w:rsidRDefault="00166866" w:rsidP="00751EA9">
                      <w:pPr>
                        <w:ind w:firstLine="720"/>
                        <w:rPr>
                          <w:rFonts w:ascii="Arial" w:hAnsi="Arial" w:cs="Arial"/>
                          <w:sz w:val="14"/>
                          <w:szCs w:val="14"/>
                        </w:rPr>
                      </w:pPr>
                    </w:p>
                    <w:p w:rsidR="00166866" w:rsidRPr="00751EA9" w:rsidRDefault="00166866" w:rsidP="00751EA9">
                      <w:pPr>
                        <w:rPr>
                          <w:rFonts w:ascii="Arial" w:hAnsi="Arial" w:cs="Arial"/>
                          <w:sz w:val="14"/>
                          <w:szCs w:val="14"/>
                        </w:rPr>
                      </w:pPr>
                      <w:r w:rsidRPr="00531B5E">
                        <w:rPr>
                          <w:rFonts w:ascii="Arial" w:hAnsi="Arial" w:cs="Arial"/>
                          <w:sz w:val="14"/>
                          <w:szCs w:val="14"/>
                        </w:rPr>
                        <w:t>Supporting information for this article is given via a link at the end of the document.</w:t>
                      </w:r>
                    </w:p>
                  </w:txbxContent>
                </v:textbox>
                <w10:wrap type="square" side="right" anchory="page"/>
                <w10:anchorlock/>
              </v:shape>
            </w:pict>
          </mc:Fallback>
        </mc:AlternateContent>
      </w:r>
      <w:r w:rsidR="002A5E9C" w:rsidRPr="00F007F5">
        <w:t xml:space="preserve"> </w:t>
      </w:r>
    </w:p>
    <w:p w:rsidR="006D4F77" w:rsidRPr="005D1EBB" w:rsidRDefault="006D4F77" w:rsidP="006D4F77">
      <w:pPr>
        <w:pStyle w:val="Dedication"/>
        <w:rPr>
          <w:lang w:val="en-US"/>
        </w:rPr>
        <w:sectPr w:rsidR="006D4F77" w:rsidRPr="005D1EBB" w:rsidSect="0095126A">
          <w:headerReference w:type="even" r:id="rId12"/>
          <w:headerReference w:type="default" r:id="rId13"/>
          <w:footerReference w:type="default" r:id="rId14"/>
          <w:headerReference w:type="first" r:id="rId15"/>
          <w:endnotePr>
            <w:numFmt w:val="decimal"/>
          </w:endnotePr>
          <w:pgSz w:w="11906" w:h="16838" w:code="9"/>
          <w:pgMar w:top="1134" w:right="936" w:bottom="1134" w:left="936" w:header="1021" w:footer="0" w:gutter="0"/>
          <w:cols w:space="425"/>
          <w:docGrid w:linePitch="360"/>
        </w:sectPr>
      </w:pPr>
    </w:p>
    <w:p w:rsidR="00AD78DA" w:rsidRPr="003A5198" w:rsidRDefault="00591262" w:rsidP="00AD78DA">
      <w:pPr>
        <w:pStyle w:val="Abstract"/>
      </w:pPr>
      <w:r w:rsidRPr="002D5B99">
        <w:rPr>
          <w:b/>
          <w:lang w:val="en-US"/>
        </w:rPr>
        <w:t>Abstract:</w:t>
      </w:r>
      <w:r>
        <w:rPr>
          <w:lang w:val="en-US"/>
        </w:rPr>
        <w:t xml:space="preserve"> </w:t>
      </w:r>
      <w:r w:rsidR="001B4AC3" w:rsidRPr="00EB3E64">
        <w:rPr>
          <w:lang w:val="en-US"/>
        </w:rPr>
        <w:t xml:space="preserve">Carbocation-polyol systems </w:t>
      </w:r>
      <w:r w:rsidR="001B4AC3">
        <w:rPr>
          <w:lang w:val="en-US"/>
        </w:rPr>
        <w:t>are</w:t>
      </w:r>
      <w:r w:rsidR="001B4AC3" w:rsidRPr="00EB3E64">
        <w:rPr>
          <w:lang w:val="en-US"/>
        </w:rPr>
        <w:t xml:space="preserve"> shown to be highly efficient catalysts for the synthesis of cyclic carbonates from epoxides and carbon dioxide at 50</w:t>
      </w:r>
      <w:r w:rsidR="001B4AC3">
        <w:rPr>
          <w:lang w:val="en-US"/>
        </w:rPr>
        <w:t xml:space="preserve"> </w:t>
      </w:r>
      <w:r w:rsidR="001B4AC3" w:rsidRPr="00EB3E64">
        <w:rPr>
          <w:vertAlign w:val="superscript"/>
          <w:lang w:val="en-US"/>
        </w:rPr>
        <w:t>o</w:t>
      </w:r>
      <w:r w:rsidR="001B4AC3" w:rsidRPr="00EB3E64">
        <w:rPr>
          <w:lang w:val="en-US"/>
        </w:rPr>
        <w:t>C and 5</w:t>
      </w:r>
      <w:r w:rsidR="001B4AC3">
        <w:rPr>
          <w:lang w:val="en-US"/>
        </w:rPr>
        <w:t xml:space="preserve"> </w:t>
      </w:r>
      <w:r w:rsidR="001B4AC3" w:rsidRPr="00EB3E64">
        <w:rPr>
          <w:lang w:val="en-US"/>
        </w:rPr>
        <w:t>MPa CO</w:t>
      </w:r>
      <w:r w:rsidR="001B4AC3" w:rsidRPr="00EB3E64">
        <w:rPr>
          <w:vertAlign w:val="subscript"/>
          <w:lang w:val="en-US"/>
        </w:rPr>
        <w:t>2</w:t>
      </w:r>
      <w:r w:rsidR="001B4AC3" w:rsidRPr="00EB3E64">
        <w:rPr>
          <w:lang w:val="en-US"/>
        </w:rPr>
        <w:t xml:space="preserve"> pressure. Th</w:t>
      </w:r>
      <w:r w:rsidR="001B4AC3">
        <w:rPr>
          <w:lang w:val="en-US"/>
        </w:rPr>
        <w:t>e best activity was shown by the combination of</w:t>
      </w:r>
      <w:r w:rsidR="001B4AC3" w:rsidRPr="00EB3E64">
        <w:rPr>
          <w:lang w:val="en-US"/>
        </w:rPr>
        <w:t xml:space="preserve"> </w:t>
      </w:r>
      <w:r w:rsidR="001B4AC3">
        <w:rPr>
          <w:lang w:val="en-US"/>
        </w:rPr>
        <w:t>c</w:t>
      </w:r>
      <w:r w:rsidR="001B4AC3" w:rsidRPr="00EB3E64">
        <w:rPr>
          <w:lang w:val="en-US"/>
        </w:rPr>
        <w:t xml:space="preserve">rystal </w:t>
      </w:r>
      <w:r w:rsidR="001B4AC3">
        <w:rPr>
          <w:lang w:val="en-US"/>
        </w:rPr>
        <w:t>v</w:t>
      </w:r>
      <w:r w:rsidR="001B4AC3" w:rsidRPr="00EB3E64">
        <w:rPr>
          <w:lang w:val="en-US"/>
        </w:rPr>
        <w:t>iol</w:t>
      </w:r>
      <w:r w:rsidR="001B4AC3">
        <w:rPr>
          <w:lang w:val="en-US"/>
        </w:rPr>
        <w:t>et and BINOL and</w:t>
      </w:r>
      <w:r w:rsidR="001B4AC3" w:rsidRPr="00EB3E64">
        <w:rPr>
          <w:lang w:val="en-US"/>
        </w:rPr>
        <w:t xml:space="preserve"> this system could be recycled </w:t>
      </w:r>
      <w:r w:rsidR="001B4AC3" w:rsidRPr="00C05111">
        <w:rPr>
          <w:lang w:val="en-US"/>
        </w:rPr>
        <w:t xml:space="preserve">five </w:t>
      </w:r>
      <w:r w:rsidR="001B4AC3" w:rsidRPr="00EB3E64">
        <w:rPr>
          <w:lang w:val="en-US"/>
        </w:rPr>
        <w:t xml:space="preserve">times with no loss of activity. </w:t>
      </w:r>
      <w:r w:rsidR="00CA2102" w:rsidRPr="00EB3E64">
        <w:rPr>
          <w:lang w:val="en-US"/>
        </w:rPr>
        <w:t xml:space="preserve">The presence of specific interactions between </w:t>
      </w:r>
      <w:r w:rsidR="00CA2102">
        <w:rPr>
          <w:lang w:val="en-US"/>
        </w:rPr>
        <w:t xml:space="preserve">the </w:t>
      </w:r>
      <w:r w:rsidR="00CA2102" w:rsidRPr="00EB3E64">
        <w:rPr>
          <w:lang w:val="en-US"/>
        </w:rPr>
        <w:t>amino</w:t>
      </w:r>
      <w:r w:rsidR="00CA2102">
        <w:rPr>
          <w:lang w:val="en-US"/>
        </w:rPr>
        <w:t xml:space="preserve"> </w:t>
      </w:r>
      <w:r w:rsidR="00CA2102" w:rsidRPr="00EB3E64">
        <w:rPr>
          <w:lang w:val="en-US"/>
        </w:rPr>
        <w:t xml:space="preserve">groups of </w:t>
      </w:r>
      <w:r w:rsidR="00CA2102">
        <w:rPr>
          <w:lang w:val="en-US"/>
        </w:rPr>
        <w:t xml:space="preserve">the </w:t>
      </w:r>
      <w:r w:rsidR="00CA2102" w:rsidRPr="00EB3E64">
        <w:rPr>
          <w:lang w:val="en-US"/>
        </w:rPr>
        <w:t>carbocation and hydroxy</w:t>
      </w:r>
      <w:r w:rsidR="00CA2102">
        <w:rPr>
          <w:lang w:val="en-US"/>
        </w:rPr>
        <w:t>l</w:t>
      </w:r>
      <w:r w:rsidR="00CA2102" w:rsidRPr="00EB3E64">
        <w:rPr>
          <w:lang w:val="en-US"/>
        </w:rPr>
        <w:t xml:space="preserve"> protons was confir</w:t>
      </w:r>
      <w:r w:rsidR="00CA2102">
        <w:rPr>
          <w:lang w:val="en-US"/>
        </w:rPr>
        <w:t>med by NMR experiments. Job</w:t>
      </w:r>
      <w:r w:rsidR="00CA2102" w:rsidRPr="00EB3E64">
        <w:rPr>
          <w:lang w:val="en-US"/>
        </w:rPr>
        <w:t xml:space="preserve">’s </w:t>
      </w:r>
      <w:r w:rsidR="00CA2102" w:rsidRPr="000F6D15">
        <w:rPr>
          <w:color w:val="000000" w:themeColor="text1"/>
          <w:lang w:val="en-US"/>
        </w:rPr>
        <w:t xml:space="preserve">plots for the crystal violet iodide / BINOL and brilliant green iodide / BINOL were </w:t>
      </w:r>
      <w:r w:rsidR="00CA2102">
        <w:rPr>
          <w:lang w:val="en-US"/>
        </w:rPr>
        <w:t>constructed and showed that the catalytic system consists of one molecule of carbocation and one molecule of BINOL</w:t>
      </w:r>
      <w:r w:rsidR="00CA2102">
        <w:t xml:space="preserve">. Mechanistic studies </w:t>
      </w:r>
      <w:r w:rsidR="00CD2E28">
        <w:t xml:space="preserve">using a deuterated epoxide </w:t>
      </w:r>
      <w:r w:rsidR="00CA2102">
        <w:t>indicate</w:t>
      </w:r>
      <w:r w:rsidR="00CD2E28">
        <w:t>d</w:t>
      </w:r>
      <w:r w:rsidR="00CA2102">
        <w:t xml:space="preserve"> </w:t>
      </w:r>
      <w:r w:rsidR="00CD2E28">
        <w:t>that there is some loss of epoxide stereochemistry during the reaction, but that predominant retention o</w:t>
      </w:r>
      <w:r w:rsidR="00D2571F">
        <w:t>f</w:t>
      </w:r>
      <w:r w:rsidR="00CD2E28">
        <w:t xml:space="preserve"> stereochemistry is observed</w:t>
      </w:r>
      <w:r w:rsidR="001B4AC3" w:rsidRPr="00693362">
        <w:rPr>
          <w:rFonts w:cs="AdvMYR4"/>
          <w:color w:val="000000" w:themeColor="text1"/>
          <w:lang w:val="en-US"/>
        </w:rPr>
        <w:t>.</w:t>
      </w:r>
      <w:r w:rsidR="00CD2E28">
        <w:rPr>
          <w:rFonts w:cs="AdvMYR4"/>
          <w:color w:val="000000" w:themeColor="text1"/>
          <w:lang w:val="en-US"/>
        </w:rPr>
        <w:t xml:space="preserve"> On this basis a catalytic cycle is proposed.</w:t>
      </w:r>
      <w:r w:rsidR="001B4AC3" w:rsidRPr="00693362">
        <w:rPr>
          <w:rFonts w:cs="AdvMYR4"/>
          <w:color w:val="000000" w:themeColor="text1"/>
          <w:lang w:val="en-US"/>
        </w:rPr>
        <w:t xml:space="preserve"> </w:t>
      </w:r>
    </w:p>
    <w:p w:rsidR="001B4AC3" w:rsidRDefault="001B4AC3" w:rsidP="001B4AC3">
      <w:pPr>
        <w:pStyle w:val="H1"/>
      </w:pPr>
      <w:r>
        <w:t>Introduction</w:t>
      </w:r>
    </w:p>
    <w:p w:rsidR="002A5E9C" w:rsidRDefault="001B4AC3" w:rsidP="002A5E9C">
      <w:pPr>
        <w:pStyle w:val="P1"/>
      </w:pPr>
      <w:r>
        <w:rPr>
          <w:lang w:eastAsia="ru-RU"/>
        </w:rPr>
        <w:t>The search for valorization</w:t>
      </w:r>
      <w:r w:rsidRPr="007F6484">
        <w:rPr>
          <w:lang w:eastAsia="ru-RU"/>
        </w:rPr>
        <w:t xml:space="preserve"> </w:t>
      </w:r>
      <w:r>
        <w:rPr>
          <w:lang w:eastAsia="ru-RU"/>
        </w:rPr>
        <w:t>technologies for emitted c</w:t>
      </w:r>
      <w:r w:rsidRPr="007F6484">
        <w:rPr>
          <w:lang w:eastAsia="ru-RU"/>
        </w:rPr>
        <w:t>arbon dioxide</w:t>
      </w:r>
      <w:r>
        <w:rPr>
          <w:lang w:eastAsia="ru-RU"/>
        </w:rPr>
        <w:t xml:space="preserve"> (CO</w:t>
      </w:r>
      <w:r w:rsidRPr="00CA2115">
        <w:rPr>
          <w:vertAlign w:val="subscript"/>
          <w:lang w:eastAsia="ru-RU"/>
        </w:rPr>
        <w:t>2</w:t>
      </w:r>
      <w:r>
        <w:rPr>
          <w:lang w:eastAsia="ru-RU"/>
        </w:rPr>
        <w:t>) is one of the most rapidly burgeoning fields of chemical exploration.</w:t>
      </w:r>
      <w:r>
        <w:rPr>
          <w:vertAlign w:val="superscript"/>
          <w:lang w:eastAsia="ru-RU"/>
        </w:rPr>
        <w:t>[</w:t>
      </w:r>
      <w:r w:rsidRPr="00CA2115">
        <w:rPr>
          <w:vertAlign w:val="superscript"/>
          <w:lang w:eastAsia="ru-RU"/>
        </w:rPr>
        <w:t>1</w:t>
      </w:r>
      <w:r>
        <w:rPr>
          <w:vertAlign w:val="superscript"/>
          <w:lang w:eastAsia="ru-RU"/>
        </w:rPr>
        <w:t>]</w:t>
      </w:r>
      <w:r>
        <w:rPr>
          <w:lang w:eastAsia="ru-RU"/>
        </w:rPr>
        <w:t xml:space="preserve"> The coupling of CO</w:t>
      </w:r>
      <w:r w:rsidRPr="00CA2115">
        <w:rPr>
          <w:vertAlign w:val="subscript"/>
          <w:lang w:eastAsia="ru-RU"/>
        </w:rPr>
        <w:t>2</w:t>
      </w:r>
      <w:r>
        <w:rPr>
          <w:lang w:eastAsia="ru-RU"/>
        </w:rPr>
        <w:t xml:space="preserve"> with epoxides is a highly atom</w:t>
      </w:r>
      <w:r w:rsidRPr="00C05111">
        <w:rPr>
          <w:lang w:eastAsia="ru-RU"/>
        </w:rPr>
        <w:t xml:space="preserve"> economical process, leading to </w:t>
      </w:r>
      <w:r>
        <w:rPr>
          <w:lang w:eastAsia="ru-RU"/>
        </w:rPr>
        <w:t xml:space="preserve">the </w:t>
      </w:r>
      <w:r w:rsidRPr="00C05111">
        <w:rPr>
          <w:lang w:eastAsia="ru-RU"/>
        </w:rPr>
        <w:t>production of</w:t>
      </w:r>
      <w:r>
        <w:rPr>
          <w:lang w:eastAsia="ru-RU"/>
        </w:rPr>
        <w:t xml:space="preserve"> cyclic carbonates (Scheme 1) which are an</w:t>
      </w:r>
      <w:r w:rsidRPr="00C05111">
        <w:rPr>
          <w:lang w:eastAsia="ru-RU"/>
        </w:rPr>
        <w:t xml:space="preserve"> important class of industrial intermediates and solvents.</w:t>
      </w:r>
      <w:r>
        <w:rPr>
          <w:vertAlign w:val="superscript"/>
          <w:lang w:eastAsia="ru-RU"/>
        </w:rPr>
        <w:t>[</w:t>
      </w:r>
      <w:r w:rsidRPr="00C05111">
        <w:rPr>
          <w:vertAlign w:val="superscript"/>
          <w:lang w:eastAsia="ru-RU"/>
        </w:rPr>
        <w:t>1-4</w:t>
      </w:r>
      <w:r>
        <w:rPr>
          <w:vertAlign w:val="superscript"/>
          <w:lang w:eastAsia="ru-RU"/>
        </w:rPr>
        <w:t>]</w:t>
      </w:r>
      <w:r w:rsidRPr="00C05111">
        <w:rPr>
          <w:lang w:eastAsia="ru-RU"/>
        </w:rPr>
        <w:t xml:space="preserve"> </w:t>
      </w:r>
      <w:r>
        <w:rPr>
          <w:lang w:eastAsia="ru-RU"/>
        </w:rPr>
        <w:t>This methodology</w:t>
      </w:r>
      <w:r w:rsidRPr="00C05111">
        <w:rPr>
          <w:lang w:eastAsia="ru-RU"/>
        </w:rPr>
        <w:t xml:space="preserve"> is highly sustainable, already utilized in industry and the volume of cyclic carbonate production is expected to grow </w:t>
      </w:r>
      <w:r>
        <w:rPr>
          <w:lang w:eastAsia="ru-RU"/>
        </w:rPr>
        <w:t>substantially</w:t>
      </w:r>
      <w:r w:rsidRPr="00C05111">
        <w:rPr>
          <w:lang w:eastAsia="ru-RU"/>
        </w:rPr>
        <w:t xml:space="preserve"> in the near future</w:t>
      </w:r>
      <w:r>
        <w:rPr>
          <w:lang w:eastAsia="ru-RU"/>
        </w:rPr>
        <w:t xml:space="preserve"> due to their use as electrolytes in lithium ion batteries</w:t>
      </w:r>
      <w:r w:rsidRPr="00C05111">
        <w:rPr>
          <w:lang w:eastAsia="ru-RU"/>
        </w:rPr>
        <w:t xml:space="preserve">. The best catalysts </w:t>
      </w:r>
      <w:r>
        <w:rPr>
          <w:lang w:eastAsia="ru-RU"/>
        </w:rPr>
        <w:t>for cyclic carbonate synthesis are based on a two</w:t>
      </w:r>
      <w:r w:rsidR="00B65AE7">
        <w:rPr>
          <w:lang w:eastAsia="ru-RU"/>
        </w:rPr>
        <w:t>-</w:t>
      </w:r>
      <w:r>
        <w:rPr>
          <w:lang w:eastAsia="ru-RU"/>
        </w:rPr>
        <w:t>component</w:t>
      </w:r>
      <w:r w:rsidRPr="00C05111">
        <w:rPr>
          <w:lang w:eastAsia="ru-RU"/>
        </w:rPr>
        <w:t xml:space="preserve"> metal </w:t>
      </w:r>
      <w:r>
        <w:rPr>
          <w:lang w:eastAsia="ru-RU"/>
        </w:rPr>
        <w:t>complex / nucleophile catalyst</w:t>
      </w:r>
      <w:r w:rsidRPr="00C05111">
        <w:rPr>
          <w:lang w:eastAsia="ru-RU"/>
        </w:rPr>
        <w:t xml:space="preserve"> combination.</w:t>
      </w:r>
      <w:r>
        <w:rPr>
          <w:vertAlign w:val="superscript"/>
          <w:lang w:eastAsia="ru-RU"/>
        </w:rPr>
        <w:t>[</w:t>
      </w:r>
      <w:r w:rsidRPr="00C05111">
        <w:rPr>
          <w:vertAlign w:val="superscript"/>
          <w:lang w:eastAsia="ru-RU"/>
        </w:rPr>
        <w:t>2,3</w:t>
      </w:r>
      <w:r>
        <w:rPr>
          <w:vertAlign w:val="superscript"/>
          <w:lang w:eastAsia="ru-RU"/>
        </w:rPr>
        <w:t>]</w:t>
      </w:r>
      <w:r w:rsidRPr="00C05111">
        <w:rPr>
          <w:lang w:eastAsia="ru-RU"/>
        </w:rPr>
        <w:t xml:space="preserve"> Recently, purely organic catalysts </w:t>
      </w:r>
      <w:r>
        <w:rPr>
          <w:lang w:eastAsia="ru-RU"/>
        </w:rPr>
        <w:t>have beco</w:t>
      </w:r>
      <w:r w:rsidRPr="00C05111">
        <w:rPr>
          <w:lang w:eastAsia="ru-RU"/>
        </w:rPr>
        <w:t>me a focus of studies</w:t>
      </w:r>
      <w:r w:rsidRPr="001B4AC3">
        <w:rPr>
          <w:vertAlign w:val="superscript"/>
          <w:lang w:eastAsia="ru-RU"/>
        </w:rPr>
        <w:t>[</w:t>
      </w:r>
      <w:r w:rsidRPr="00C05111">
        <w:rPr>
          <w:vertAlign w:val="superscript"/>
          <w:lang w:eastAsia="ru-RU"/>
        </w:rPr>
        <w:t>4</w:t>
      </w:r>
      <w:r w:rsidR="008C77DE">
        <w:rPr>
          <w:vertAlign w:val="superscript"/>
          <w:lang w:eastAsia="ru-RU"/>
        </w:rPr>
        <w:t>]</w:t>
      </w:r>
      <w:r w:rsidRPr="00C05111">
        <w:rPr>
          <w:lang w:eastAsia="ru-RU"/>
        </w:rPr>
        <w:t xml:space="preserve"> because their use </w:t>
      </w:r>
      <w:r>
        <w:rPr>
          <w:lang w:eastAsia="ru-RU"/>
        </w:rPr>
        <w:t>can be</w:t>
      </w:r>
      <w:r w:rsidRPr="00C05111">
        <w:rPr>
          <w:lang w:eastAsia="ru-RU"/>
        </w:rPr>
        <w:t xml:space="preserve"> more cost-eff</w:t>
      </w:r>
      <w:r>
        <w:rPr>
          <w:lang w:eastAsia="ru-RU"/>
        </w:rPr>
        <w:t>ective</w:t>
      </w:r>
      <w:r w:rsidRPr="00C05111">
        <w:rPr>
          <w:lang w:eastAsia="ru-RU"/>
        </w:rPr>
        <w:t xml:space="preserve">, the catalysts are commercially available, and </w:t>
      </w:r>
      <w:r>
        <w:rPr>
          <w:lang w:eastAsia="ru-RU"/>
        </w:rPr>
        <w:t xml:space="preserve">usually more sustainable and </w:t>
      </w:r>
      <w:r w:rsidRPr="00C05111">
        <w:rPr>
          <w:lang w:eastAsia="ru-RU"/>
        </w:rPr>
        <w:t>less toxic</w:t>
      </w:r>
      <w:r>
        <w:rPr>
          <w:lang w:eastAsia="ru-RU"/>
        </w:rPr>
        <w:t xml:space="preserve"> than metal complexes</w:t>
      </w:r>
      <w:r w:rsidRPr="00C05111">
        <w:rPr>
          <w:lang w:eastAsia="ru-RU"/>
        </w:rPr>
        <w:t xml:space="preserve">. </w:t>
      </w:r>
      <w:r w:rsidRPr="00C05111">
        <w:t xml:space="preserve">In particular, quaternary ammonium and phosphonium salts </w:t>
      </w:r>
      <w:r>
        <w:t>are</w:t>
      </w:r>
      <w:r w:rsidRPr="00C05111">
        <w:t xml:space="preserve"> widely </w:t>
      </w:r>
      <w:r>
        <w:t>utilized as catalysts</w:t>
      </w:r>
      <w:r w:rsidRPr="00C05111">
        <w:t>.</w:t>
      </w:r>
      <w:r>
        <w:rPr>
          <w:vertAlign w:val="superscript"/>
        </w:rPr>
        <w:t>[</w:t>
      </w:r>
      <w:r w:rsidRPr="00C05111">
        <w:rPr>
          <w:vertAlign w:val="superscript"/>
        </w:rPr>
        <w:t>4-8</w:t>
      </w:r>
      <w:r>
        <w:rPr>
          <w:vertAlign w:val="superscript"/>
        </w:rPr>
        <w:t>]</w:t>
      </w:r>
      <w:r w:rsidRPr="00C05111">
        <w:t xml:space="preserve"> There are </w:t>
      </w:r>
      <w:r>
        <w:t xml:space="preserve">also </w:t>
      </w:r>
      <w:r w:rsidRPr="00C05111">
        <w:t xml:space="preserve">examples of </w:t>
      </w:r>
      <w:r>
        <w:t>the use</w:t>
      </w:r>
      <w:r w:rsidRPr="00C05111">
        <w:t xml:space="preserve"> of imidazolium salts</w:t>
      </w:r>
      <w:r w:rsidRPr="001B4AC3">
        <w:rPr>
          <w:vertAlign w:val="superscript"/>
        </w:rPr>
        <w:t>[</w:t>
      </w:r>
      <w:r w:rsidRPr="00C05111">
        <w:rPr>
          <w:vertAlign w:val="superscript"/>
        </w:rPr>
        <w:t>9-15</w:t>
      </w:r>
      <w:r>
        <w:rPr>
          <w:vertAlign w:val="superscript"/>
        </w:rPr>
        <w:t>]</w:t>
      </w:r>
      <w:r w:rsidRPr="00C05111">
        <w:t xml:space="preserve"> and imidazolium-based ionic</w:t>
      </w:r>
      <w:r w:rsidRPr="00184285">
        <w:t xml:space="preserve"> </w:t>
      </w:r>
      <w:r w:rsidRPr="00C05111">
        <w:t>liquids</w:t>
      </w:r>
      <w:r w:rsidRPr="001B4AC3">
        <w:rPr>
          <w:vertAlign w:val="superscript"/>
        </w:rPr>
        <w:t>[</w:t>
      </w:r>
      <w:r w:rsidRPr="00C05111">
        <w:rPr>
          <w:vertAlign w:val="superscript"/>
        </w:rPr>
        <w:t>16</w:t>
      </w:r>
      <w:r>
        <w:rPr>
          <w:vertAlign w:val="superscript"/>
        </w:rPr>
        <w:t>]</w:t>
      </w:r>
      <w:r w:rsidRPr="00C05111">
        <w:t xml:space="preserve"> as catalysts for cyclic</w:t>
      </w:r>
      <w:r>
        <w:t xml:space="preserve"> </w:t>
      </w:r>
      <w:r w:rsidRPr="00C05111">
        <w:t>carbonate synthesis.</w:t>
      </w:r>
      <w:r>
        <w:t xml:space="preserve"> </w:t>
      </w:r>
      <w:r w:rsidRPr="00C05111">
        <w:t xml:space="preserve">In addition, two-component systems </w:t>
      </w:r>
      <w:r>
        <w:t xml:space="preserve">comprising an </w:t>
      </w:r>
      <w:r w:rsidRPr="00C05111">
        <w:t xml:space="preserve">alcohol (or phenol) </w:t>
      </w:r>
      <w:r>
        <w:t>and a</w:t>
      </w:r>
      <w:r w:rsidRPr="00C05111">
        <w:t xml:space="preserve"> quaternary ammonium salt </w:t>
      </w:r>
      <w:r>
        <w:t>have been</w:t>
      </w:r>
      <w:r w:rsidRPr="00C05111">
        <w:t xml:space="preserve"> successfully tested.</w:t>
      </w:r>
      <w:r>
        <w:rPr>
          <w:vertAlign w:val="superscript"/>
        </w:rPr>
        <w:t>[</w:t>
      </w:r>
      <w:r w:rsidRPr="00C05111">
        <w:rPr>
          <w:vertAlign w:val="superscript"/>
        </w:rPr>
        <w:t>17,18</w:t>
      </w:r>
      <w:r>
        <w:rPr>
          <w:vertAlign w:val="superscript"/>
        </w:rPr>
        <w:t>]</w:t>
      </w:r>
      <w:r w:rsidRPr="00C05111">
        <w:t xml:space="preserve"> Th</w:t>
      </w:r>
      <w:r>
        <w:t>is</w:t>
      </w:r>
      <w:r w:rsidRPr="00C05111">
        <w:t xml:space="preserve"> system </w:t>
      </w:r>
      <w:r w:rsidRPr="00C05111">
        <w:rPr>
          <w:lang w:eastAsia="ru-RU"/>
        </w:rPr>
        <w:t>represent</w:t>
      </w:r>
      <w:r>
        <w:rPr>
          <w:lang w:eastAsia="ru-RU"/>
        </w:rPr>
        <w:t>s</w:t>
      </w:r>
      <w:r w:rsidRPr="00C05111">
        <w:rPr>
          <w:lang w:eastAsia="ru-RU"/>
        </w:rPr>
        <w:t xml:space="preserve"> a promising class of organic catalysts with </w:t>
      </w:r>
      <w:r>
        <w:rPr>
          <w:lang w:eastAsia="ru-RU"/>
        </w:rPr>
        <w:t>the potential</w:t>
      </w:r>
      <w:r w:rsidRPr="00C05111">
        <w:rPr>
          <w:lang w:eastAsia="ru-RU"/>
        </w:rPr>
        <w:t xml:space="preserve"> for </w:t>
      </w:r>
      <w:r>
        <w:rPr>
          <w:lang w:eastAsia="ru-RU"/>
        </w:rPr>
        <w:t xml:space="preserve">further </w:t>
      </w:r>
      <w:r w:rsidRPr="00C05111">
        <w:rPr>
          <w:lang w:eastAsia="ru-RU"/>
        </w:rPr>
        <w:t>improvement</w:t>
      </w:r>
      <w:r w:rsidRPr="00C05111">
        <w:t>.</w:t>
      </w:r>
      <w:r>
        <w:rPr>
          <w:vertAlign w:val="superscript"/>
        </w:rPr>
        <w:t>[</w:t>
      </w:r>
      <w:r w:rsidRPr="00C05111">
        <w:rPr>
          <w:vertAlign w:val="superscript"/>
        </w:rPr>
        <w:t>4</w:t>
      </w:r>
      <w:r>
        <w:rPr>
          <w:vertAlign w:val="superscript"/>
        </w:rPr>
        <w:t>]</w:t>
      </w:r>
      <w:r w:rsidRPr="00C05111">
        <w:t xml:space="preserve"> </w:t>
      </w:r>
      <w:r w:rsidRPr="00C05111">
        <w:rPr>
          <w:lang w:eastAsia="ru-RU"/>
        </w:rPr>
        <w:t xml:space="preserve">Unfortunately, up to </w:t>
      </w:r>
      <w:r w:rsidRPr="00C05111">
        <w:rPr>
          <w:lang w:eastAsia="ru-RU"/>
        </w:rPr>
        <w:t>now the efficiency of the organic catalysts is no match for metal based catalysts.</w:t>
      </w:r>
      <w:r>
        <w:rPr>
          <w:vertAlign w:val="superscript"/>
          <w:lang w:eastAsia="ru-RU"/>
        </w:rPr>
        <w:t>[</w:t>
      </w:r>
      <w:r w:rsidRPr="00C05111">
        <w:rPr>
          <w:vertAlign w:val="superscript"/>
        </w:rPr>
        <w:t>4</w:t>
      </w:r>
      <w:r>
        <w:rPr>
          <w:vertAlign w:val="superscript"/>
        </w:rPr>
        <w:t>]</w:t>
      </w:r>
      <w:r w:rsidRPr="00C05111">
        <w:rPr>
          <w:lang w:eastAsia="ru-RU"/>
        </w:rPr>
        <w:t xml:space="preserve"> </w:t>
      </w:r>
      <w:r>
        <w:rPr>
          <w:lang w:eastAsia="ru-RU"/>
        </w:rPr>
        <w:t>This</w:t>
      </w:r>
      <w:r w:rsidRPr="00C05111">
        <w:rPr>
          <w:lang w:eastAsia="ru-RU"/>
        </w:rPr>
        <w:t xml:space="preserve"> justifies the se</w:t>
      </w:r>
      <w:r>
        <w:rPr>
          <w:lang w:eastAsia="ru-RU"/>
        </w:rPr>
        <w:t>arch for novel classes of organic catalysts.</w:t>
      </w:r>
    </w:p>
    <w:p w:rsidR="006D4F77" w:rsidRDefault="002130FD" w:rsidP="002A5E9C">
      <w:pPr>
        <w:jc w:val="center"/>
        <w:rPr>
          <w:color w:val="FF0000"/>
        </w:rPr>
      </w:pPr>
      <w:r>
        <w:object w:dxaOrig="3728"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50.25pt" o:ole="">
            <v:imagedata r:id="rId16" o:title=""/>
          </v:shape>
          <o:OLEObject Type="Embed" ProgID="ChemDraw.Document.6.0" ShapeID="_x0000_i1025" DrawAspect="Content" ObjectID="_1544967550" r:id="rId17"/>
        </w:object>
      </w:r>
    </w:p>
    <w:p w:rsidR="002A5E9C" w:rsidRPr="00622835" w:rsidRDefault="002A5E9C" w:rsidP="002A5E9C">
      <w:pPr>
        <w:pStyle w:val="SchemeCaption"/>
      </w:pPr>
      <w:r w:rsidRPr="00622835">
        <w:rPr>
          <w:b/>
        </w:rPr>
        <w:t>Scheme 1.</w:t>
      </w:r>
      <w:r w:rsidRPr="00622835">
        <w:t xml:space="preserve"> </w:t>
      </w:r>
      <w:r w:rsidR="00F72699">
        <w:t>Synthesis of cyclic carbonates</w:t>
      </w:r>
      <w:r w:rsidRPr="00622835">
        <w:t>.</w:t>
      </w:r>
    </w:p>
    <w:p w:rsidR="002A5E9C" w:rsidRDefault="00F72699" w:rsidP="002A5E9C">
      <w:pPr>
        <w:pStyle w:val="P1"/>
        <w:ind w:firstLine="425"/>
      </w:pPr>
      <w:r>
        <w:rPr>
          <w:lang w:eastAsia="ru-RU"/>
        </w:rPr>
        <w:t>W</w:t>
      </w:r>
      <w:r w:rsidRPr="00C05111">
        <w:rPr>
          <w:lang w:eastAsia="ru-RU"/>
        </w:rPr>
        <w:t xml:space="preserve">e </w:t>
      </w:r>
      <w:r>
        <w:rPr>
          <w:lang w:eastAsia="ru-RU"/>
        </w:rPr>
        <w:t xml:space="preserve">have previously </w:t>
      </w:r>
      <w:r w:rsidRPr="00C05111">
        <w:rPr>
          <w:lang w:eastAsia="ru-RU"/>
        </w:rPr>
        <w:t xml:space="preserve">developed several catalytic systems </w:t>
      </w:r>
      <w:r>
        <w:rPr>
          <w:lang w:eastAsia="ru-RU"/>
        </w:rPr>
        <w:t>for</w:t>
      </w:r>
      <w:r w:rsidRPr="00C05111">
        <w:rPr>
          <w:lang w:eastAsia="ru-RU"/>
        </w:rPr>
        <w:t xml:space="preserve"> </w:t>
      </w:r>
      <w:r>
        <w:rPr>
          <w:lang w:eastAsia="ru-RU"/>
        </w:rPr>
        <w:t>the synthesis of cyclic carbonates</w:t>
      </w:r>
      <w:r w:rsidRPr="00C05111">
        <w:rPr>
          <w:lang w:eastAsia="ru-RU"/>
        </w:rPr>
        <w:t xml:space="preserve"> by coupling </w:t>
      </w:r>
      <w:r>
        <w:rPr>
          <w:lang w:eastAsia="ru-RU"/>
        </w:rPr>
        <w:t xml:space="preserve">of </w:t>
      </w:r>
      <w:r w:rsidRPr="00C05111">
        <w:rPr>
          <w:lang w:eastAsia="ru-RU"/>
        </w:rPr>
        <w:t>CO</w:t>
      </w:r>
      <w:r w:rsidRPr="00C05111">
        <w:rPr>
          <w:vertAlign w:val="subscript"/>
          <w:lang w:eastAsia="ru-RU"/>
        </w:rPr>
        <w:t>2</w:t>
      </w:r>
      <w:r>
        <w:rPr>
          <w:lang w:eastAsia="ru-RU"/>
        </w:rPr>
        <w:t xml:space="preserve"> and epoxides. </w:t>
      </w:r>
      <w:r w:rsidRPr="00C05111">
        <w:rPr>
          <w:lang w:eastAsia="ru-RU"/>
        </w:rPr>
        <w:t xml:space="preserve">These included highly efficient and robust </w:t>
      </w:r>
      <w:r>
        <w:rPr>
          <w:lang w:eastAsia="ru-RU"/>
        </w:rPr>
        <w:t>aluminium(salen)</w:t>
      </w:r>
      <w:r w:rsidRPr="00C05111">
        <w:rPr>
          <w:lang w:eastAsia="ru-RU"/>
        </w:rPr>
        <w:t xml:space="preserve"> complexes,</w:t>
      </w:r>
      <w:r>
        <w:rPr>
          <w:vertAlign w:val="superscript"/>
          <w:lang w:eastAsia="ru-RU"/>
        </w:rPr>
        <w:t>[</w:t>
      </w:r>
      <w:r w:rsidRPr="00C05111">
        <w:rPr>
          <w:vertAlign w:val="superscript"/>
          <w:lang w:eastAsia="ru-RU"/>
        </w:rPr>
        <w:t>19,20</w:t>
      </w:r>
      <w:r>
        <w:rPr>
          <w:vertAlign w:val="superscript"/>
          <w:lang w:eastAsia="ru-RU"/>
        </w:rPr>
        <w:t>]</w:t>
      </w:r>
      <w:r w:rsidR="008C77DE">
        <w:rPr>
          <w:lang w:eastAsia="ru-RU"/>
        </w:rPr>
        <w:t xml:space="preserve"> and st</w:t>
      </w:r>
      <w:r w:rsidRPr="00C05111">
        <w:rPr>
          <w:lang w:eastAsia="ru-RU"/>
        </w:rPr>
        <w:t>e</w:t>
      </w:r>
      <w:r>
        <w:rPr>
          <w:lang w:eastAsia="ru-RU"/>
        </w:rPr>
        <w:t>re</w:t>
      </w:r>
      <w:r w:rsidRPr="00C05111">
        <w:rPr>
          <w:lang w:eastAsia="ru-RU"/>
        </w:rPr>
        <w:t xml:space="preserve">ochemically </w:t>
      </w:r>
      <w:r>
        <w:rPr>
          <w:lang w:eastAsia="ru-RU"/>
        </w:rPr>
        <w:t>inert Co(III) complexes which function</w:t>
      </w:r>
      <w:r w:rsidRPr="00C05111">
        <w:rPr>
          <w:lang w:eastAsia="ru-RU"/>
        </w:rPr>
        <w:t xml:space="preserve"> as “Br</w:t>
      </w:r>
      <w:r>
        <w:rPr>
          <w:lang w:eastAsia="ru-RU"/>
        </w:rPr>
        <w:t>ø</w:t>
      </w:r>
      <w:r w:rsidRPr="00C05111">
        <w:rPr>
          <w:lang w:eastAsia="ru-RU"/>
        </w:rPr>
        <w:t>nsted acids in disguise” with the central metal ion only serving as an activator of the catalytically ac</w:t>
      </w:r>
      <w:r>
        <w:rPr>
          <w:lang w:eastAsia="ru-RU"/>
        </w:rPr>
        <w:t>tive Brønsted acidic NH groups</w:t>
      </w:r>
      <w:r w:rsidRPr="00C05111">
        <w:rPr>
          <w:lang w:eastAsia="ru-RU"/>
        </w:rPr>
        <w:t>.</w:t>
      </w:r>
      <w:r>
        <w:rPr>
          <w:vertAlign w:val="superscript"/>
          <w:lang w:eastAsia="ru-RU"/>
        </w:rPr>
        <w:t>[</w:t>
      </w:r>
      <w:r w:rsidRPr="00C05111">
        <w:rPr>
          <w:vertAlign w:val="superscript"/>
          <w:lang w:eastAsia="ru-RU"/>
        </w:rPr>
        <w:t>21</w:t>
      </w:r>
      <w:r>
        <w:rPr>
          <w:vertAlign w:val="superscript"/>
          <w:lang w:eastAsia="ru-RU"/>
        </w:rPr>
        <w:t>]</w:t>
      </w:r>
    </w:p>
    <w:p w:rsidR="00FC4150" w:rsidRDefault="00F72699" w:rsidP="002A5E9C">
      <w:pPr>
        <w:pStyle w:val="P1"/>
        <w:ind w:firstLine="425"/>
        <w:rPr>
          <w:rStyle w:val="algo-summary"/>
        </w:rPr>
      </w:pPr>
      <w:r w:rsidRPr="00C05111">
        <w:rPr>
          <w:lang w:eastAsia="ru-RU"/>
        </w:rPr>
        <w:t>Herein, we describe the use of well known</w:t>
      </w:r>
      <w:r>
        <w:rPr>
          <w:lang w:eastAsia="ru-RU"/>
        </w:rPr>
        <w:t>,</w:t>
      </w:r>
      <w:r w:rsidRPr="00C05111">
        <w:rPr>
          <w:lang w:eastAsia="ru-RU"/>
        </w:rPr>
        <w:t xml:space="preserve"> </w:t>
      </w:r>
      <w:r w:rsidRPr="00C05111">
        <w:t xml:space="preserve">commercially available </w:t>
      </w:r>
      <w:r>
        <w:rPr>
          <w:lang w:eastAsia="ru-RU"/>
        </w:rPr>
        <w:t>stable carbocations</w:t>
      </w:r>
      <w:r w:rsidRPr="00C05111">
        <w:rPr>
          <w:lang w:eastAsia="ru-RU"/>
        </w:rPr>
        <w:t xml:space="preserve"> </w:t>
      </w:r>
      <w:r>
        <w:rPr>
          <w:lang w:eastAsia="ru-RU"/>
        </w:rPr>
        <w:t xml:space="preserve">in the form of </w:t>
      </w:r>
      <w:r>
        <w:rPr>
          <w:rStyle w:val="algo-summary"/>
        </w:rPr>
        <w:t>triarylmethane dyes (Figure</w:t>
      </w:r>
      <w:r w:rsidRPr="00C05111">
        <w:rPr>
          <w:rStyle w:val="algo-summary"/>
        </w:rPr>
        <w:t xml:space="preserve"> 1) as catalysts </w:t>
      </w:r>
      <w:r>
        <w:rPr>
          <w:rStyle w:val="algo-summary"/>
        </w:rPr>
        <w:t>for</w:t>
      </w:r>
      <w:r w:rsidRPr="00C05111">
        <w:rPr>
          <w:rStyle w:val="algo-summary"/>
        </w:rPr>
        <w:t xml:space="preserve"> cyclic carbonate </w:t>
      </w:r>
      <w:r>
        <w:rPr>
          <w:rStyle w:val="algo-summary"/>
        </w:rPr>
        <w:t>synthesis</w:t>
      </w:r>
      <w:r w:rsidRPr="00C05111">
        <w:rPr>
          <w:rStyle w:val="algo-summary"/>
        </w:rPr>
        <w:t xml:space="preserve">. For this purpose we tested the iodide salt form of malachite green (MGI), brilliant green </w:t>
      </w:r>
      <w:r>
        <w:rPr>
          <w:rStyle w:val="algo-summary"/>
        </w:rPr>
        <w:t>(</w:t>
      </w:r>
      <w:r w:rsidRPr="00C05111">
        <w:rPr>
          <w:rStyle w:val="algo-summary"/>
        </w:rPr>
        <w:t xml:space="preserve">BGI), and crystal violet </w:t>
      </w:r>
      <w:r>
        <w:rPr>
          <w:rStyle w:val="algo-summary"/>
        </w:rPr>
        <w:t>(</w:t>
      </w:r>
      <w:r w:rsidRPr="00C05111">
        <w:rPr>
          <w:rStyle w:val="algo-summary"/>
        </w:rPr>
        <w:t xml:space="preserve">CVI) as bifunctional catalysts, </w:t>
      </w:r>
      <w:r>
        <w:rPr>
          <w:rStyle w:val="algo-summary"/>
        </w:rPr>
        <w:t xml:space="preserve">the </w:t>
      </w:r>
      <w:r w:rsidRPr="00C05111">
        <w:rPr>
          <w:rStyle w:val="algo-summary"/>
        </w:rPr>
        <w:t>activities of which were augmented by the addition of Br</w:t>
      </w:r>
      <w:r>
        <w:rPr>
          <w:lang w:eastAsia="ru-RU"/>
        </w:rPr>
        <w:t>ø</w:t>
      </w:r>
      <w:r w:rsidRPr="00C05111">
        <w:rPr>
          <w:rStyle w:val="algo-summary"/>
        </w:rPr>
        <w:t>nsted acids</w:t>
      </w:r>
      <w:r>
        <w:rPr>
          <w:rStyle w:val="algo-summary"/>
        </w:rPr>
        <w:t>.</w:t>
      </w:r>
    </w:p>
    <w:p w:rsidR="00F72699" w:rsidRPr="004B0A00" w:rsidRDefault="00F72699" w:rsidP="002A5E9C">
      <w:pPr>
        <w:pStyle w:val="P1"/>
        <w:ind w:firstLine="425"/>
        <w:rPr>
          <w:vertAlign w:val="superscript"/>
        </w:rPr>
      </w:pPr>
    </w:p>
    <w:p w:rsidR="008512EA" w:rsidRDefault="002130FD" w:rsidP="008512EA">
      <w:pPr>
        <w:jc w:val="center"/>
        <w:rPr>
          <w:color w:val="FF0000"/>
        </w:rPr>
      </w:pPr>
      <w:r>
        <w:object w:dxaOrig="6847" w:dyaOrig="5273">
          <v:shape id="_x0000_i1026" type="#_x0000_t75" style="width:240pt;height:184.5pt" o:ole="">
            <v:imagedata r:id="rId18" o:title=""/>
          </v:shape>
          <o:OLEObject Type="Embed" ProgID="ChemDraw.Document.6.0" ShapeID="_x0000_i1026" DrawAspect="Content" ObjectID="_1544967551" r:id="rId19"/>
        </w:object>
      </w:r>
    </w:p>
    <w:p w:rsidR="008512EA" w:rsidRDefault="002C428B" w:rsidP="008512EA">
      <w:pPr>
        <w:pStyle w:val="SchemeCaption"/>
      </w:pPr>
      <w:r>
        <w:rPr>
          <w:b/>
        </w:rPr>
        <w:t>Figure</w:t>
      </w:r>
      <w:r w:rsidR="008512EA">
        <w:rPr>
          <w:b/>
        </w:rPr>
        <w:t xml:space="preserve"> 1</w:t>
      </w:r>
      <w:r w:rsidR="008512EA" w:rsidRPr="00622835">
        <w:rPr>
          <w:b/>
        </w:rPr>
        <w:t>.</w:t>
      </w:r>
      <w:r w:rsidR="008512EA" w:rsidRPr="00622835">
        <w:t xml:space="preserve"> </w:t>
      </w:r>
      <w:r w:rsidR="00F72699">
        <w:t>Carbocation dyes used as catalysts for cyclic carbonate synthesis</w:t>
      </w:r>
      <w:r w:rsidR="008512EA" w:rsidRPr="00622835">
        <w:t>.</w:t>
      </w:r>
    </w:p>
    <w:p w:rsidR="00F72699" w:rsidRDefault="00F72699" w:rsidP="00F72699">
      <w:pPr>
        <w:pStyle w:val="H1"/>
      </w:pPr>
      <w:r>
        <w:t>Results and Discussion</w:t>
      </w:r>
    </w:p>
    <w:p w:rsidR="00F72699" w:rsidRDefault="00F72699" w:rsidP="00F72699">
      <w:pPr>
        <w:pStyle w:val="P1"/>
      </w:pPr>
      <w:r w:rsidRPr="00C05111">
        <w:rPr>
          <w:rStyle w:val="algo-summary"/>
        </w:rPr>
        <w:t>Although rare</w:t>
      </w:r>
      <w:r>
        <w:rPr>
          <w:rStyle w:val="algo-summary"/>
        </w:rPr>
        <w:t>,</w:t>
      </w:r>
      <w:r w:rsidRPr="00C05111">
        <w:rPr>
          <w:rStyle w:val="algo-summary"/>
        </w:rPr>
        <w:t xml:space="preserve"> use of </w:t>
      </w:r>
      <w:r w:rsidRPr="00C05111">
        <w:rPr>
          <w:rFonts w:cs="AdvMYR4"/>
        </w:rPr>
        <w:t xml:space="preserve">triarylmethylium (trityl) </w:t>
      </w:r>
      <w:r w:rsidRPr="00C05111">
        <w:t xml:space="preserve">carbocations as catalysts for organic transformations, such as Diels-Alder and Michael reactions </w:t>
      </w:r>
      <w:r>
        <w:t xml:space="preserve">has been </w:t>
      </w:r>
      <w:r w:rsidR="00751EA9">
        <w:t>disclosed</w:t>
      </w:r>
      <w:r>
        <w:t>.</w:t>
      </w:r>
      <w:r>
        <w:rPr>
          <w:vertAlign w:val="superscript"/>
        </w:rPr>
        <w:t>[22]</w:t>
      </w:r>
      <w:r w:rsidRPr="00C05111">
        <w:t xml:space="preserve"> </w:t>
      </w:r>
      <w:r>
        <w:t>However, the use</w:t>
      </w:r>
      <w:r w:rsidRPr="00C05111">
        <w:t xml:space="preserve"> of</w:t>
      </w:r>
      <w:r w:rsidRPr="00C05111">
        <w:rPr>
          <w:rStyle w:val="algo-summary"/>
        </w:rPr>
        <w:t xml:space="preserve"> triarylmethane dyes as organic catalysts, </w:t>
      </w:r>
      <w:r>
        <w:rPr>
          <w:rStyle w:val="algo-summary"/>
        </w:rPr>
        <w:t xml:space="preserve">has </w:t>
      </w:r>
      <w:r w:rsidRPr="00C05111">
        <w:rPr>
          <w:rStyle w:val="algo-summary"/>
        </w:rPr>
        <w:t xml:space="preserve">to the best of our </w:t>
      </w:r>
      <w:r w:rsidRPr="00C05111">
        <w:rPr>
          <w:rStyle w:val="algo-summary"/>
        </w:rPr>
        <w:lastRenderedPageBreak/>
        <w:t xml:space="preserve">knowledge, not </w:t>
      </w:r>
      <w:r>
        <w:rPr>
          <w:rStyle w:val="algo-summary"/>
        </w:rPr>
        <w:t xml:space="preserve">been previously </w:t>
      </w:r>
      <w:r w:rsidRPr="00C05111">
        <w:rPr>
          <w:rStyle w:val="algo-summary"/>
        </w:rPr>
        <w:t>reported</w:t>
      </w:r>
      <w:r w:rsidRPr="00C05111">
        <w:t xml:space="preserve">. The reason for this seems </w:t>
      </w:r>
      <w:r>
        <w:t>to be connected to</w:t>
      </w:r>
      <w:r w:rsidRPr="00C05111">
        <w:t xml:space="preserve"> the fact that the activity of </w:t>
      </w:r>
      <w:r>
        <w:t xml:space="preserve">a </w:t>
      </w:r>
      <w:r w:rsidRPr="00C05111">
        <w:t>carbocation is inversely related to its stability.</w:t>
      </w:r>
      <w:r>
        <w:rPr>
          <w:vertAlign w:val="superscript"/>
        </w:rPr>
        <w:t>[</w:t>
      </w:r>
      <w:r w:rsidRPr="00C05111">
        <w:rPr>
          <w:vertAlign w:val="superscript"/>
        </w:rPr>
        <w:t>22-25</w:t>
      </w:r>
      <w:r>
        <w:rPr>
          <w:vertAlign w:val="superscript"/>
        </w:rPr>
        <w:t>]</w:t>
      </w:r>
      <w:r w:rsidRPr="00C05111">
        <w:t xml:space="preserve"> </w:t>
      </w:r>
      <w:r>
        <w:t>However</w:t>
      </w:r>
      <w:r w:rsidRPr="00C05111">
        <w:t>, the carboca</w:t>
      </w:r>
      <w:r>
        <w:t>tions exist as halide salts and thus</w:t>
      </w:r>
      <w:r w:rsidRPr="00C05111">
        <w:t xml:space="preserve"> are bifunctional</w:t>
      </w:r>
      <w:r>
        <w:t xml:space="preserve"> systems</w:t>
      </w:r>
      <w:r w:rsidRPr="00C05111">
        <w:t xml:space="preserve"> involving </w:t>
      </w:r>
      <w:r>
        <w:t>a Lewis acidic</w:t>
      </w:r>
      <w:r w:rsidRPr="00C05111">
        <w:t xml:space="preserve"> center and a </w:t>
      </w:r>
      <w:r>
        <w:t xml:space="preserve">nucleophilic </w:t>
      </w:r>
      <w:r w:rsidRPr="00C05111">
        <w:t>counterion</w:t>
      </w:r>
      <w:r>
        <w:t xml:space="preserve">. As such, they have similarity with ammonium salts which are a well-known class of catalysts for cyclic carbonate </w:t>
      </w:r>
      <w:r w:rsidRPr="00DB4B1C">
        <w:rPr>
          <w:color w:val="000000" w:themeColor="text1"/>
        </w:rPr>
        <w:t>synthesis.</w:t>
      </w:r>
      <w:r>
        <w:rPr>
          <w:color w:val="000000" w:themeColor="text1"/>
          <w:vertAlign w:val="superscript"/>
        </w:rPr>
        <w:t>[</w:t>
      </w:r>
      <w:r w:rsidRPr="00DB4B1C">
        <w:rPr>
          <w:color w:val="000000" w:themeColor="text1"/>
          <w:vertAlign w:val="superscript"/>
        </w:rPr>
        <w:t>4-8</w:t>
      </w:r>
      <w:r>
        <w:rPr>
          <w:color w:val="000000" w:themeColor="text1"/>
          <w:vertAlign w:val="superscript"/>
        </w:rPr>
        <w:t>]</w:t>
      </w:r>
      <w:r w:rsidRPr="00DB4B1C">
        <w:rPr>
          <w:color w:val="000000" w:themeColor="text1"/>
        </w:rPr>
        <w:t xml:space="preserve"> </w:t>
      </w:r>
      <w:r>
        <w:t xml:space="preserve">In addition, the amino substituents of </w:t>
      </w:r>
      <w:r w:rsidRPr="00C05111">
        <w:rPr>
          <w:rStyle w:val="algo-summary"/>
        </w:rPr>
        <w:t>triarylmethane dyes</w:t>
      </w:r>
      <w:r>
        <w:t xml:space="preserve"> could interact with a Br</w:t>
      </w:r>
      <w:r>
        <w:rPr>
          <w:lang w:eastAsia="ru-RU"/>
        </w:rPr>
        <w:t>ø</w:t>
      </w:r>
      <w:r>
        <w:t>nsted acid catalyst component. The resulting hydrogen bond formation would increase the Lewis acidities of the dyes</w:t>
      </w:r>
      <w:r w:rsidR="00C83B78">
        <w:t>.</w:t>
      </w:r>
    </w:p>
    <w:p w:rsidR="00C83B78" w:rsidRDefault="00C83B78" w:rsidP="00C83B78">
      <w:pPr>
        <w:pStyle w:val="P1"/>
        <w:ind w:firstLine="425"/>
      </w:pPr>
      <w:r w:rsidRPr="00DB4B1C">
        <w:rPr>
          <w:color w:val="000000" w:themeColor="text1"/>
        </w:rPr>
        <w:t xml:space="preserve">Based </w:t>
      </w:r>
      <w:r>
        <w:t>on the accepted mechanism of bifunctional Lewis acid / halide ion catalysis, a potential mechanism of CO</w:t>
      </w:r>
      <w:r w:rsidRPr="00DA2308">
        <w:rPr>
          <w:vertAlign w:val="subscript"/>
        </w:rPr>
        <w:t>2</w:t>
      </w:r>
      <w:r>
        <w:t xml:space="preserve"> addition to epoxides promoted by the dyes is shown in Scheme 2. The Lewis acidic carbocation could activate the epoxide towards nucleophilic attack by the iodide anion. Subsequent addition of CO</w:t>
      </w:r>
      <w:r>
        <w:rPr>
          <w:vertAlign w:val="subscript"/>
        </w:rPr>
        <w:softHyphen/>
        <w:t>2</w:t>
      </w:r>
      <w:r>
        <w:t xml:space="preserve"> and the elimination of iodide, bring the reaction to completion and regenerate the catalyst.</w:t>
      </w:r>
    </w:p>
    <w:p w:rsidR="00F72699" w:rsidRDefault="00F72699" w:rsidP="00F72699">
      <w:pPr>
        <w:pStyle w:val="P1"/>
      </w:pPr>
    </w:p>
    <w:p w:rsidR="00C83B78" w:rsidRDefault="002130FD" w:rsidP="00C83B78">
      <w:pPr>
        <w:jc w:val="center"/>
        <w:rPr>
          <w:color w:val="FF0000"/>
        </w:rPr>
      </w:pPr>
      <w:r>
        <w:object w:dxaOrig="5458" w:dyaOrig="5136">
          <v:shape id="_x0000_i1027" type="#_x0000_t75" style="width:191.25pt;height:180pt" o:ole="">
            <v:imagedata r:id="rId20" o:title=""/>
          </v:shape>
          <o:OLEObject Type="Embed" ProgID="ChemDraw.Document.6.0" ShapeID="_x0000_i1027" DrawAspect="Content" ObjectID="_1544967552" r:id="rId21"/>
        </w:object>
      </w:r>
    </w:p>
    <w:p w:rsidR="00C83B78" w:rsidRPr="00622835" w:rsidRDefault="00C83B78" w:rsidP="00C83B78">
      <w:pPr>
        <w:pStyle w:val="SchemeCaption"/>
      </w:pPr>
      <w:r w:rsidRPr="00622835">
        <w:rPr>
          <w:b/>
        </w:rPr>
        <w:t xml:space="preserve">Scheme </w:t>
      </w:r>
      <w:r>
        <w:rPr>
          <w:b/>
        </w:rPr>
        <w:t>2</w:t>
      </w:r>
      <w:r w:rsidRPr="00622835">
        <w:rPr>
          <w:b/>
        </w:rPr>
        <w:t>.</w:t>
      </w:r>
      <w:r w:rsidRPr="00622835">
        <w:t xml:space="preserve"> </w:t>
      </w:r>
      <w:r>
        <w:t>Proposed mechanism of cyclic carbonate synthesis promoted by triarylmethane dyes</w:t>
      </w:r>
      <w:r w:rsidRPr="00622835">
        <w:t>.</w:t>
      </w:r>
    </w:p>
    <w:p w:rsidR="00C83B78" w:rsidRDefault="00C83B78" w:rsidP="00C83B78">
      <w:pPr>
        <w:jc w:val="center"/>
        <w:rPr>
          <w:color w:val="FF0000"/>
        </w:rPr>
      </w:pPr>
      <w:r>
        <w:rPr>
          <w:noProof/>
          <w:lang w:val="en-GB" w:eastAsia="en-GB"/>
        </w:rPr>
        <w:drawing>
          <wp:inline distT="0" distB="0" distL="0" distR="0" wp14:anchorId="37038F07" wp14:editId="1E92E047">
            <wp:extent cx="3095625" cy="22306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95625" cy="2230662"/>
                    </a:xfrm>
                    <a:prstGeom prst="rect">
                      <a:avLst/>
                    </a:prstGeom>
                    <a:noFill/>
                    <a:ln>
                      <a:noFill/>
                    </a:ln>
                  </pic:spPr>
                </pic:pic>
              </a:graphicData>
            </a:graphic>
          </wp:inline>
        </w:drawing>
      </w:r>
    </w:p>
    <w:p w:rsidR="00C83B78" w:rsidRPr="00943CC7" w:rsidRDefault="00C83B78" w:rsidP="00C83B78">
      <w:pPr>
        <w:pStyle w:val="SchemeCaption"/>
        <w:rPr>
          <w:color w:val="000000" w:themeColor="text1"/>
        </w:rPr>
      </w:pPr>
      <w:r>
        <w:rPr>
          <w:b/>
        </w:rPr>
        <w:t>Figure 2</w:t>
      </w:r>
      <w:r w:rsidRPr="00622835">
        <w:rPr>
          <w:b/>
        </w:rPr>
        <w:t>.</w:t>
      </w:r>
      <w:r w:rsidRPr="00622835">
        <w:t xml:space="preserve"> </w:t>
      </w:r>
      <w:r>
        <w:rPr>
          <w:rStyle w:val="shorttext"/>
          <w:lang w:val="en-US"/>
        </w:rPr>
        <w:t>Shifts of the signals of CVI’s central carbon on the addition of increasing concentrations of PO in CD</w:t>
      </w:r>
      <w:r w:rsidRPr="00DA2308">
        <w:rPr>
          <w:rStyle w:val="shorttext"/>
          <w:vertAlign w:val="subscript"/>
          <w:lang w:val="en-US"/>
        </w:rPr>
        <w:t>2</w:t>
      </w:r>
      <w:r>
        <w:rPr>
          <w:rStyle w:val="shorttext"/>
          <w:lang w:val="en-US"/>
        </w:rPr>
        <w:t>Cl</w:t>
      </w:r>
      <w:r w:rsidRPr="00DA2308">
        <w:rPr>
          <w:rStyle w:val="shorttext"/>
          <w:vertAlign w:val="subscript"/>
          <w:lang w:val="en-US"/>
        </w:rPr>
        <w:t>2</w:t>
      </w:r>
      <w:r>
        <w:rPr>
          <w:rStyle w:val="shorttext"/>
          <w:lang w:val="en-US"/>
        </w:rPr>
        <w:t xml:space="preserve">. a) just CVI </w:t>
      </w:r>
      <w:r w:rsidRPr="00C03197">
        <w:rPr>
          <w:rStyle w:val="shorttext"/>
          <w:lang w:val="en-US"/>
        </w:rPr>
        <w:t>(</w:t>
      </w:r>
      <w:smartTag w:uri="urn:schemas-microsoft-com:office:smarttags" w:element="metricconverter">
        <w:smartTagPr>
          <w:attr w:name="ProductID" w:val="0.33 M"/>
        </w:smartTagPr>
        <w:r w:rsidRPr="00C03197">
          <w:rPr>
            <w:rStyle w:val="shorttext"/>
            <w:lang w:val="en-US"/>
          </w:rPr>
          <w:t>0.33 M</w:t>
        </w:r>
      </w:smartTag>
      <w:r w:rsidRPr="00C03197">
        <w:rPr>
          <w:rStyle w:val="shorttext"/>
          <w:lang w:val="en-US"/>
        </w:rPr>
        <w:t>)</w:t>
      </w:r>
      <w:r>
        <w:rPr>
          <w:rStyle w:val="shorttext"/>
          <w:lang w:val="en-US"/>
        </w:rPr>
        <w:t xml:space="preserve">, b) CVI:PO = 2:1, c) CVI:PO = 1:1, d) CVI:PO = </w:t>
      </w:r>
      <w:r w:rsidRPr="00C64D9A">
        <w:rPr>
          <w:rStyle w:val="shorttext"/>
          <w:lang w:val="en-US"/>
        </w:rPr>
        <w:t>1</w:t>
      </w:r>
      <w:r>
        <w:rPr>
          <w:rStyle w:val="shorttext"/>
          <w:lang w:val="en-US"/>
        </w:rPr>
        <w:t>:</w:t>
      </w:r>
      <w:r w:rsidRPr="00C64D9A">
        <w:rPr>
          <w:rStyle w:val="shorttext"/>
          <w:lang w:val="en-US"/>
        </w:rPr>
        <w:t>2</w:t>
      </w:r>
      <w:r>
        <w:rPr>
          <w:rStyle w:val="shorttext"/>
          <w:lang w:val="en-US"/>
        </w:rPr>
        <w:t xml:space="preserve">, e) CVI:PO = </w:t>
      </w:r>
      <w:r w:rsidRPr="00C64D9A">
        <w:rPr>
          <w:rStyle w:val="shorttext"/>
          <w:lang w:val="en-US"/>
        </w:rPr>
        <w:t>1:3</w:t>
      </w:r>
      <w:r>
        <w:rPr>
          <w:rStyle w:val="shorttext"/>
          <w:lang w:val="en-US"/>
        </w:rPr>
        <w:t xml:space="preserve">, f) CVI:PO = </w:t>
      </w:r>
      <w:r w:rsidRPr="00C64D9A">
        <w:rPr>
          <w:rStyle w:val="shorttext"/>
          <w:lang w:val="en-US"/>
        </w:rPr>
        <w:t>1:</w:t>
      </w:r>
      <w:r w:rsidRPr="00943CC7">
        <w:rPr>
          <w:rStyle w:val="shorttext"/>
          <w:color w:val="000000" w:themeColor="text1"/>
          <w:lang w:val="en-US"/>
        </w:rPr>
        <w:t xml:space="preserve">10. </w:t>
      </w:r>
      <w:r w:rsidR="00943CC7" w:rsidRPr="00943CC7">
        <w:rPr>
          <w:rStyle w:val="shorttext"/>
          <w:color w:val="000000" w:themeColor="text1"/>
          <w:lang w:val="en-US"/>
        </w:rPr>
        <w:t xml:space="preserve">The splitting of the </w:t>
      </w:r>
      <w:r w:rsidR="00943CC7" w:rsidRPr="00943CC7">
        <w:rPr>
          <w:rStyle w:val="shorttext"/>
          <w:color w:val="000000" w:themeColor="text1"/>
          <w:vertAlign w:val="superscript"/>
          <w:lang w:val="en-US"/>
        </w:rPr>
        <w:t>13</w:t>
      </w:r>
      <w:r w:rsidR="00943CC7" w:rsidRPr="00943CC7">
        <w:rPr>
          <w:rStyle w:val="shorttext"/>
          <w:color w:val="000000" w:themeColor="text1"/>
          <w:lang w:val="en-US"/>
        </w:rPr>
        <w:t xml:space="preserve">C signal in spectra e) and f) suggests that at high PO to CVI ratios, two PO molecules may interact with each CVI. </w:t>
      </w:r>
    </w:p>
    <w:p w:rsidR="00C83B78" w:rsidRDefault="00C83B78" w:rsidP="00C83B78">
      <w:pPr>
        <w:pStyle w:val="P1"/>
        <w:ind w:firstLine="425"/>
        <w:rPr>
          <w:rStyle w:val="shorttext"/>
        </w:rPr>
      </w:pPr>
      <w:r>
        <w:rPr>
          <w:rStyle w:val="shorttext"/>
        </w:rPr>
        <w:t>To demonstrate a Lewis acidic interaction of the carbocations with epoxides, NMR experiments on mixtures of CVI and propylene oxide (PO) were carried out in CD</w:t>
      </w:r>
      <w:r w:rsidRPr="00C05111">
        <w:rPr>
          <w:rStyle w:val="shorttext"/>
          <w:vertAlign w:val="subscript"/>
        </w:rPr>
        <w:t>2</w:t>
      </w:r>
      <w:r>
        <w:rPr>
          <w:rStyle w:val="shorttext"/>
        </w:rPr>
        <w:t>Cl</w:t>
      </w:r>
      <w:r w:rsidRPr="00C05111">
        <w:rPr>
          <w:rStyle w:val="shorttext"/>
          <w:vertAlign w:val="subscript"/>
        </w:rPr>
        <w:t>2</w:t>
      </w:r>
      <w:r>
        <w:rPr>
          <w:rStyle w:val="shorttext"/>
        </w:rPr>
        <w:t xml:space="preserve">. Both </w:t>
      </w:r>
      <w:r w:rsidRPr="00136D70">
        <w:rPr>
          <w:rStyle w:val="shorttext"/>
          <w:vertAlign w:val="superscript"/>
        </w:rPr>
        <w:t>1</w:t>
      </w:r>
      <w:r>
        <w:rPr>
          <w:rStyle w:val="shorttext"/>
        </w:rPr>
        <w:t xml:space="preserve">H and </w:t>
      </w:r>
      <w:smartTag w:uri="urn:schemas-microsoft-com:office:smarttags" w:element="metricconverter">
        <w:smartTagPr>
          <w:attr w:name="ProductID" w:val="13C"/>
        </w:smartTagPr>
        <w:r w:rsidRPr="00136D70">
          <w:rPr>
            <w:rStyle w:val="shorttext"/>
            <w:vertAlign w:val="superscript"/>
          </w:rPr>
          <w:t>13</w:t>
        </w:r>
        <w:r>
          <w:rPr>
            <w:rStyle w:val="shorttext"/>
          </w:rPr>
          <w:t>C</w:t>
        </w:r>
      </w:smartTag>
      <w:r>
        <w:rPr>
          <w:rStyle w:val="shorttext"/>
        </w:rPr>
        <w:t xml:space="preserve"> NMR spectra revealed significant shifts of the signals of the dimethylamino groups of CVI and the epoxide’s methyl group to higher fields as the PO concentration increased (see the Supporting information). Moreover, the </w:t>
      </w:r>
      <w:r w:rsidRPr="00136D70">
        <w:rPr>
          <w:rStyle w:val="shorttext"/>
          <w:vertAlign w:val="superscript"/>
        </w:rPr>
        <w:t>13</w:t>
      </w:r>
      <w:r>
        <w:rPr>
          <w:rStyle w:val="shorttext"/>
        </w:rPr>
        <w:t>C</w:t>
      </w:r>
      <w:r w:rsidRPr="00C83B78">
        <w:t xml:space="preserve"> </w:t>
      </w:r>
      <w:r>
        <w:rPr>
          <w:rStyle w:val="shorttext"/>
        </w:rPr>
        <w:t>NMR spectra showed a shift of the carbocation’s carbon signal (178.02 ppm) to higher field, correlated with increasing epoxide concentration (Figure 2). Thus the spectra indicate that the epoxide did coordinate with the carbocation of CVI.</w:t>
      </w:r>
    </w:p>
    <w:p w:rsidR="00C83B78" w:rsidRDefault="00C83B78" w:rsidP="00C83B78">
      <w:pPr>
        <w:pStyle w:val="P1"/>
        <w:ind w:firstLine="425"/>
      </w:pPr>
      <w:r>
        <w:t>The addition of CO</w:t>
      </w:r>
      <w:r w:rsidRPr="00576145">
        <w:rPr>
          <w:vertAlign w:val="subscript"/>
        </w:rPr>
        <w:t>2</w:t>
      </w:r>
      <w:r>
        <w:t xml:space="preserve"> to neat styrene oxide (SO) was selected as a benchmark reaction to test the activities of the dyes. As the dyes were commercially available in their chloride form, both MG and CV were tested in their original (Table 1, entries 1,2) and iodide forms (Table 1, entries 3,5). The chloride to iodide exchange was easily brought about, in a two phase CH</w:t>
      </w:r>
      <w:r w:rsidRPr="003B104E">
        <w:rPr>
          <w:vertAlign w:val="subscript"/>
        </w:rPr>
        <w:t>2</w:t>
      </w:r>
      <w:r>
        <w:t>Cl</w:t>
      </w:r>
      <w:r w:rsidRPr="003B104E">
        <w:rPr>
          <w:vertAlign w:val="subscript"/>
        </w:rPr>
        <w:t>2</w:t>
      </w:r>
      <w:r>
        <w:t>-H</w:t>
      </w:r>
      <w:r w:rsidRPr="003B104E">
        <w:rPr>
          <w:vertAlign w:val="subscript"/>
        </w:rPr>
        <w:t>2</w:t>
      </w:r>
      <w:r>
        <w:t>O system, using a twentyfold excess of potassium iodide. As expected, the iodide form was much more active</w:t>
      </w:r>
      <w:r w:rsidR="0014445C">
        <w:t>,</w:t>
      </w:r>
      <w:r>
        <w:t xml:space="preserve"> </w:t>
      </w:r>
      <w:r w:rsidR="0014445C">
        <w:t>so</w:t>
      </w:r>
      <w:r>
        <w:t xml:space="preserve"> for all the dyes it was their iodide form that was tested further.</w:t>
      </w:r>
    </w:p>
    <w:p w:rsidR="00A178FA" w:rsidRDefault="00A178FA" w:rsidP="00C83B78">
      <w:pPr>
        <w:pStyle w:val="P1"/>
        <w:ind w:firstLine="425"/>
      </w:pPr>
    </w:p>
    <w:tbl>
      <w:tblPr>
        <w:tblW w:w="0" w:type="auto"/>
        <w:tblLook w:val="01E0" w:firstRow="1" w:lastRow="1" w:firstColumn="1" w:lastColumn="1" w:noHBand="0" w:noVBand="0"/>
      </w:tblPr>
      <w:tblGrid>
        <w:gridCol w:w="1023"/>
        <w:gridCol w:w="1317"/>
        <w:gridCol w:w="2751"/>
      </w:tblGrid>
      <w:tr w:rsidR="00C83B78" w:rsidRPr="00F01D4C" w:rsidTr="00AE57A1">
        <w:tc>
          <w:tcPr>
            <w:tcW w:w="0" w:type="auto"/>
            <w:gridSpan w:val="3"/>
            <w:shd w:val="clear" w:color="auto" w:fill="auto"/>
          </w:tcPr>
          <w:p w:rsidR="00C83B78" w:rsidRPr="000633E7" w:rsidRDefault="00C83B78" w:rsidP="009951B0">
            <w:pPr>
              <w:pStyle w:val="TableCaption"/>
              <w:rPr>
                <w:b/>
                <w:vertAlign w:val="superscript"/>
              </w:rPr>
            </w:pPr>
            <w:r w:rsidRPr="00B11686">
              <w:rPr>
                <w:b/>
              </w:rPr>
              <w:t>Table 1.</w:t>
            </w:r>
            <w:r>
              <w:t xml:space="preserve"> </w:t>
            </w:r>
            <w:r>
              <w:rPr>
                <w:lang w:val="en-US"/>
              </w:rPr>
              <w:t>Comparison of the catalytic activities of MGI, BGI, CVI and TBAI</w:t>
            </w:r>
            <w:r>
              <w:t>.</w:t>
            </w:r>
            <w:r>
              <w:rPr>
                <w:vertAlign w:val="superscript"/>
              </w:rPr>
              <w:t>[a]</w:t>
            </w:r>
          </w:p>
        </w:tc>
      </w:tr>
      <w:tr w:rsidR="00C83B78" w:rsidRPr="00F01D4C" w:rsidTr="00AE57A1">
        <w:tc>
          <w:tcPr>
            <w:tcW w:w="0" w:type="auto"/>
            <w:gridSpan w:val="3"/>
            <w:tcBorders>
              <w:bottom w:val="single" w:sz="8" w:space="0" w:color="000000"/>
            </w:tcBorders>
            <w:shd w:val="clear" w:color="auto" w:fill="auto"/>
          </w:tcPr>
          <w:p w:rsidR="00C83B78" w:rsidRPr="00B11686" w:rsidRDefault="002130FD" w:rsidP="00C83B78">
            <w:pPr>
              <w:pStyle w:val="TableCaption"/>
              <w:spacing w:line="240" w:lineRule="atLeast"/>
              <w:jc w:val="center"/>
              <w:rPr>
                <w:b/>
              </w:rPr>
            </w:pPr>
            <w:r>
              <w:object w:dxaOrig="3802" w:dyaOrig="1318">
                <v:shape id="_x0000_i1028" type="#_x0000_t75" style="width:147pt;height:51pt" o:ole="">
                  <v:imagedata r:id="rId23" o:title=""/>
                </v:shape>
                <o:OLEObject Type="Embed" ProgID="ChemDraw.Document.6.0" ShapeID="_x0000_i1028" DrawAspect="Content" ObjectID="_1544967553" r:id="rId24"/>
              </w:object>
            </w:r>
          </w:p>
        </w:tc>
      </w:tr>
      <w:tr w:rsidR="00C83B78" w:rsidRPr="00EA067A" w:rsidTr="00C83B78">
        <w:trPr>
          <w:trHeight w:val="232"/>
        </w:trPr>
        <w:tc>
          <w:tcPr>
            <w:tcW w:w="0" w:type="auto"/>
            <w:tcBorders>
              <w:top w:val="single" w:sz="8" w:space="0" w:color="000000"/>
              <w:bottom w:val="single" w:sz="8" w:space="0" w:color="000000"/>
            </w:tcBorders>
          </w:tcPr>
          <w:p w:rsidR="00C83B78" w:rsidRPr="00C83B78" w:rsidRDefault="00C83B78" w:rsidP="00C83B78">
            <w:pPr>
              <w:pStyle w:val="TableBody"/>
              <w:pBdr>
                <w:top w:val="none" w:sz="0" w:space="0" w:color="auto"/>
                <w:left w:val="none" w:sz="0" w:space="0" w:color="auto"/>
                <w:bottom w:val="none" w:sz="0" w:space="0" w:color="auto"/>
                <w:right w:val="none" w:sz="0" w:space="0" w:color="auto"/>
              </w:pBdr>
              <w:jc w:val="center"/>
              <w:rPr>
                <w:b/>
              </w:rPr>
            </w:pPr>
            <w:r w:rsidRPr="00C83B78">
              <w:rPr>
                <w:b/>
              </w:rPr>
              <w:t>Entry</w:t>
            </w:r>
          </w:p>
        </w:tc>
        <w:tc>
          <w:tcPr>
            <w:tcW w:w="0" w:type="auto"/>
            <w:tcBorders>
              <w:top w:val="single" w:sz="8" w:space="0" w:color="000000"/>
              <w:bottom w:val="single" w:sz="8" w:space="0" w:color="000000"/>
            </w:tcBorders>
          </w:tcPr>
          <w:p w:rsidR="00C83B78" w:rsidRPr="00C83B78" w:rsidRDefault="00C83B78" w:rsidP="00C83B78">
            <w:pPr>
              <w:pStyle w:val="TableBody"/>
              <w:pBdr>
                <w:top w:val="none" w:sz="0" w:space="0" w:color="auto"/>
                <w:left w:val="none" w:sz="0" w:space="0" w:color="auto"/>
                <w:bottom w:val="none" w:sz="0" w:space="0" w:color="auto"/>
                <w:right w:val="none" w:sz="0" w:space="0" w:color="auto"/>
              </w:pBdr>
              <w:jc w:val="center"/>
              <w:rPr>
                <w:b/>
              </w:rPr>
            </w:pPr>
            <w:r w:rsidRPr="00C83B78">
              <w:rPr>
                <w:b/>
              </w:rPr>
              <w:t>Catalyst</w:t>
            </w:r>
          </w:p>
        </w:tc>
        <w:tc>
          <w:tcPr>
            <w:tcW w:w="0" w:type="auto"/>
            <w:tcBorders>
              <w:top w:val="single" w:sz="8" w:space="0" w:color="000000"/>
              <w:bottom w:val="single" w:sz="8" w:space="0" w:color="000000"/>
            </w:tcBorders>
          </w:tcPr>
          <w:p w:rsidR="00C83B78" w:rsidRPr="00A178FA" w:rsidRDefault="00C83B78" w:rsidP="00C83B78">
            <w:pPr>
              <w:pStyle w:val="TableBody"/>
              <w:pBdr>
                <w:top w:val="none" w:sz="0" w:space="0" w:color="auto"/>
                <w:left w:val="none" w:sz="0" w:space="0" w:color="auto"/>
                <w:bottom w:val="none" w:sz="0" w:space="0" w:color="auto"/>
                <w:right w:val="none" w:sz="0" w:space="0" w:color="auto"/>
              </w:pBdr>
              <w:jc w:val="center"/>
              <w:rPr>
                <w:b/>
                <w:vertAlign w:val="superscript"/>
              </w:rPr>
            </w:pPr>
            <w:r w:rsidRPr="00C83B78">
              <w:rPr>
                <w:b/>
              </w:rPr>
              <w:t>Conversion% (selectivity%)</w:t>
            </w:r>
            <w:r w:rsidR="00A178FA">
              <w:rPr>
                <w:b/>
                <w:vertAlign w:val="superscript"/>
              </w:rPr>
              <w:t>[b]</w:t>
            </w:r>
          </w:p>
        </w:tc>
      </w:tr>
      <w:tr w:rsidR="00C83B78" w:rsidRPr="00EA067A" w:rsidTr="00C83B78">
        <w:tc>
          <w:tcPr>
            <w:tcW w:w="0" w:type="auto"/>
            <w:tcBorders>
              <w:top w:val="single" w:sz="8" w:space="0" w:color="000000"/>
            </w:tcBorders>
          </w:tcPr>
          <w:p w:rsidR="00C83B78" w:rsidRPr="009D1A01" w:rsidRDefault="00C83B78" w:rsidP="009951B0">
            <w:pPr>
              <w:pStyle w:val="RSCT03TableBody"/>
              <w:rPr>
                <w:rStyle w:val="CommentReference"/>
                <w:vertAlign w:val="superscript"/>
                <w:lang w:val="pt-BR"/>
              </w:rPr>
            </w:pPr>
            <w:r w:rsidRPr="003A682E">
              <w:rPr>
                <w:rStyle w:val="CommentReference"/>
                <w:lang w:val="pt-BR"/>
              </w:rPr>
              <w:t>1</w:t>
            </w:r>
            <w:r w:rsidR="00A178FA">
              <w:rPr>
                <w:rStyle w:val="CommentReference"/>
                <w:vertAlign w:val="superscript"/>
                <w:lang w:val="pt-BR"/>
              </w:rPr>
              <w:t>[</w:t>
            </w:r>
            <w:r w:rsidRPr="00A178FA">
              <w:rPr>
                <w:rStyle w:val="CommentReference"/>
                <w:vertAlign w:val="superscript"/>
                <w:lang w:val="pt-BR"/>
              </w:rPr>
              <w:t>c</w:t>
            </w:r>
            <w:r w:rsidR="00A178FA">
              <w:rPr>
                <w:rStyle w:val="CommentReference"/>
                <w:vertAlign w:val="superscript"/>
                <w:lang w:val="pt-BR"/>
              </w:rPr>
              <w:t>]</w:t>
            </w:r>
          </w:p>
        </w:tc>
        <w:tc>
          <w:tcPr>
            <w:tcW w:w="0" w:type="auto"/>
            <w:tcBorders>
              <w:top w:val="single" w:sz="8" w:space="0" w:color="000000"/>
            </w:tcBorders>
          </w:tcPr>
          <w:p w:rsidR="00C83B78" w:rsidRDefault="00C83B78" w:rsidP="009951B0">
            <w:pPr>
              <w:pStyle w:val="RSCT03TableBody"/>
              <w:rPr>
                <w:rStyle w:val="CommentReference"/>
                <w:lang w:val="pt-BR"/>
              </w:rPr>
            </w:pPr>
            <w:r>
              <w:rPr>
                <w:rStyle w:val="CommentReference"/>
                <w:lang w:val="pt-BR"/>
              </w:rPr>
              <w:t>MG</w:t>
            </w:r>
          </w:p>
        </w:tc>
        <w:tc>
          <w:tcPr>
            <w:tcW w:w="0" w:type="auto"/>
            <w:tcBorders>
              <w:top w:val="single" w:sz="8" w:space="0" w:color="000000"/>
            </w:tcBorders>
          </w:tcPr>
          <w:p w:rsidR="00C83B78" w:rsidRDefault="00C83B78" w:rsidP="009951B0">
            <w:pPr>
              <w:pStyle w:val="RSCT03TableBody"/>
              <w:rPr>
                <w:rStyle w:val="CommentReference"/>
                <w:lang w:val="pt-BR"/>
              </w:rPr>
            </w:pPr>
            <w:r>
              <w:rPr>
                <w:rStyle w:val="CommentReference"/>
                <w:lang w:val="pt-BR"/>
              </w:rPr>
              <w:t>&lt;1 (not determined)</w:t>
            </w:r>
          </w:p>
        </w:tc>
      </w:tr>
      <w:tr w:rsidR="00C83B78" w:rsidRPr="00EA067A" w:rsidTr="00C83B78">
        <w:tc>
          <w:tcPr>
            <w:tcW w:w="0" w:type="auto"/>
          </w:tcPr>
          <w:p w:rsidR="00C83B78" w:rsidRPr="009D1A01" w:rsidRDefault="00C83B78" w:rsidP="009951B0">
            <w:pPr>
              <w:pStyle w:val="RSCT03TableBody"/>
              <w:rPr>
                <w:rStyle w:val="CommentReference"/>
                <w:vertAlign w:val="superscript"/>
                <w:lang w:val="pt-BR"/>
              </w:rPr>
            </w:pPr>
            <w:r>
              <w:rPr>
                <w:rStyle w:val="CommentReference"/>
                <w:lang w:val="pt-BR"/>
              </w:rPr>
              <w:t>2</w:t>
            </w:r>
            <w:r w:rsidR="00A178FA">
              <w:rPr>
                <w:rStyle w:val="CommentReference"/>
                <w:vertAlign w:val="superscript"/>
                <w:lang w:val="pt-BR"/>
              </w:rPr>
              <w:t>[</w:t>
            </w:r>
            <w:r w:rsidR="00A178FA" w:rsidRPr="00A178FA">
              <w:rPr>
                <w:rStyle w:val="CommentReference"/>
                <w:vertAlign w:val="superscript"/>
                <w:lang w:val="pt-BR"/>
              </w:rPr>
              <w:t>c</w:t>
            </w:r>
            <w:r w:rsidR="00A178FA">
              <w:rPr>
                <w:rStyle w:val="CommentReference"/>
                <w:vertAlign w:val="superscript"/>
                <w:lang w:val="pt-BR"/>
              </w:rPr>
              <w:t>]</w:t>
            </w:r>
          </w:p>
        </w:tc>
        <w:tc>
          <w:tcPr>
            <w:tcW w:w="0" w:type="auto"/>
          </w:tcPr>
          <w:p w:rsidR="00C83B78" w:rsidRDefault="00C83B78" w:rsidP="009951B0">
            <w:pPr>
              <w:pStyle w:val="RSCT03TableBody"/>
              <w:rPr>
                <w:rStyle w:val="CommentReference"/>
                <w:lang w:val="pt-BR"/>
              </w:rPr>
            </w:pPr>
            <w:r>
              <w:rPr>
                <w:rStyle w:val="CommentReference"/>
                <w:lang w:val="pt-BR"/>
              </w:rPr>
              <w:t>CV</w:t>
            </w:r>
          </w:p>
        </w:tc>
        <w:tc>
          <w:tcPr>
            <w:tcW w:w="0" w:type="auto"/>
          </w:tcPr>
          <w:p w:rsidR="00C83B78" w:rsidRDefault="00C83B78" w:rsidP="009951B0">
            <w:pPr>
              <w:pStyle w:val="RSCT03TableBody"/>
              <w:rPr>
                <w:rStyle w:val="CommentReference"/>
                <w:lang w:val="pt-BR"/>
              </w:rPr>
            </w:pPr>
            <w:r>
              <w:rPr>
                <w:rStyle w:val="CommentReference"/>
                <w:lang w:val="pt-BR"/>
              </w:rPr>
              <w:t>&lt;1 (not determined)</w:t>
            </w:r>
          </w:p>
        </w:tc>
      </w:tr>
      <w:tr w:rsidR="00C83B78" w:rsidRPr="00EA067A" w:rsidTr="009951B0">
        <w:tc>
          <w:tcPr>
            <w:tcW w:w="0" w:type="auto"/>
          </w:tcPr>
          <w:p w:rsidR="00C83B78" w:rsidRPr="009D1A01" w:rsidRDefault="00C83B78" w:rsidP="009951B0">
            <w:pPr>
              <w:pStyle w:val="RSCT03TableBody"/>
              <w:rPr>
                <w:rStyle w:val="CommentReference"/>
                <w:lang w:val="pt-BR"/>
              </w:rPr>
            </w:pPr>
            <w:r w:rsidRPr="009D1A01">
              <w:rPr>
                <w:rStyle w:val="CommentReference"/>
                <w:lang w:val="pt-BR"/>
              </w:rPr>
              <w:t>3</w:t>
            </w:r>
          </w:p>
        </w:tc>
        <w:tc>
          <w:tcPr>
            <w:tcW w:w="0" w:type="auto"/>
          </w:tcPr>
          <w:p w:rsidR="00C83B78" w:rsidRDefault="00C83B78" w:rsidP="009951B0">
            <w:pPr>
              <w:pStyle w:val="RSCT03TableBody"/>
              <w:rPr>
                <w:rStyle w:val="CommentReference"/>
                <w:lang w:val="pt-BR"/>
              </w:rPr>
            </w:pPr>
            <w:r>
              <w:rPr>
                <w:rStyle w:val="CommentReference"/>
                <w:lang w:val="pt-BR"/>
              </w:rPr>
              <w:t>MGI</w:t>
            </w:r>
          </w:p>
        </w:tc>
        <w:tc>
          <w:tcPr>
            <w:tcW w:w="0" w:type="auto"/>
            <w:vAlign w:val="center"/>
          </w:tcPr>
          <w:p w:rsidR="00C83B78" w:rsidRPr="009D1A01" w:rsidRDefault="00C83B78" w:rsidP="009951B0">
            <w:pPr>
              <w:pStyle w:val="RSCT03TableBody"/>
              <w:rPr>
                <w:rStyle w:val="CommentReference"/>
                <w:lang w:val="pt-BR"/>
              </w:rPr>
            </w:pPr>
            <w:r w:rsidRPr="009D1A01">
              <w:rPr>
                <w:rStyle w:val="CommentReference"/>
                <w:lang w:val="pt-BR"/>
              </w:rPr>
              <w:t>8 (&gt;99)</w:t>
            </w:r>
          </w:p>
        </w:tc>
      </w:tr>
      <w:tr w:rsidR="00C83B78" w:rsidRPr="00EA067A" w:rsidTr="009951B0">
        <w:tc>
          <w:tcPr>
            <w:tcW w:w="0" w:type="auto"/>
          </w:tcPr>
          <w:p w:rsidR="00C83B78" w:rsidRPr="003C5304" w:rsidRDefault="00C83B78" w:rsidP="009951B0">
            <w:pPr>
              <w:pStyle w:val="RSCT03TableBody"/>
              <w:rPr>
                <w:rStyle w:val="CommentReference"/>
                <w:color w:val="000000" w:themeColor="text1"/>
                <w:lang w:val="pt-BR"/>
              </w:rPr>
            </w:pPr>
            <w:r>
              <w:rPr>
                <w:rStyle w:val="CommentReference"/>
                <w:color w:val="000000" w:themeColor="text1"/>
                <w:lang w:val="pt-BR"/>
              </w:rPr>
              <w:t>4</w:t>
            </w:r>
          </w:p>
        </w:tc>
        <w:tc>
          <w:tcPr>
            <w:tcW w:w="0" w:type="auto"/>
          </w:tcPr>
          <w:p w:rsidR="00C83B78" w:rsidRPr="003C5304" w:rsidRDefault="00C83B78" w:rsidP="009951B0">
            <w:pPr>
              <w:pStyle w:val="RSCT03TableBody"/>
              <w:rPr>
                <w:rStyle w:val="CommentReference"/>
                <w:color w:val="000000" w:themeColor="text1"/>
                <w:lang w:val="pt-BR"/>
              </w:rPr>
            </w:pPr>
            <w:r>
              <w:rPr>
                <w:rStyle w:val="CommentReference"/>
                <w:color w:val="000000" w:themeColor="text1"/>
                <w:lang w:val="pt-BR"/>
              </w:rPr>
              <w:t>BGI</w:t>
            </w:r>
          </w:p>
        </w:tc>
        <w:tc>
          <w:tcPr>
            <w:tcW w:w="0" w:type="auto"/>
            <w:vAlign w:val="center"/>
          </w:tcPr>
          <w:p w:rsidR="00C83B78" w:rsidRPr="009D1A01" w:rsidRDefault="00C83B78" w:rsidP="009951B0">
            <w:pPr>
              <w:pStyle w:val="RSCT03TableBody"/>
              <w:rPr>
                <w:rStyle w:val="CommentReference"/>
                <w:lang w:val="pt-BR"/>
              </w:rPr>
            </w:pPr>
            <w:r w:rsidRPr="009D1A01">
              <w:rPr>
                <w:rStyle w:val="CommentReference"/>
                <w:lang w:val="pt-BR"/>
              </w:rPr>
              <w:t xml:space="preserve"> 28 (&gt;99) </w:t>
            </w:r>
          </w:p>
        </w:tc>
      </w:tr>
      <w:tr w:rsidR="00C83B78" w:rsidRPr="00EA067A" w:rsidTr="009951B0">
        <w:tc>
          <w:tcPr>
            <w:tcW w:w="0" w:type="auto"/>
          </w:tcPr>
          <w:p w:rsidR="00C83B78" w:rsidRPr="002D3028" w:rsidRDefault="00C83B78" w:rsidP="009951B0">
            <w:pPr>
              <w:pStyle w:val="RSCT03TableBody"/>
              <w:rPr>
                <w:rStyle w:val="CommentReference"/>
                <w:color w:val="000000" w:themeColor="text1"/>
                <w:lang w:val="pt-BR"/>
              </w:rPr>
            </w:pPr>
            <w:r>
              <w:rPr>
                <w:rStyle w:val="CommentReference"/>
                <w:color w:val="000000" w:themeColor="text1"/>
                <w:lang w:val="pt-BR"/>
              </w:rPr>
              <w:t>5</w:t>
            </w:r>
          </w:p>
        </w:tc>
        <w:tc>
          <w:tcPr>
            <w:tcW w:w="0" w:type="auto"/>
          </w:tcPr>
          <w:p w:rsidR="00C83B78" w:rsidRPr="002D3028" w:rsidRDefault="00C83B78" w:rsidP="009951B0">
            <w:pPr>
              <w:pStyle w:val="RSCT03TableBody"/>
              <w:rPr>
                <w:rStyle w:val="CommentReference"/>
                <w:color w:val="000000" w:themeColor="text1"/>
                <w:lang w:val="pt-BR"/>
              </w:rPr>
            </w:pPr>
            <w:r>
              <w:rPr>
                <w:rStyle w:val="CommentReference"/>
                <w:color w:val="000000" w:themeColor="text1"/>
                <w:lang w:val="pt-BR"/>
              </w:rPr>
              <w:t>CVI</w:t>
            </w:r>
          </w:p>
        </w:tc>
        <w:tc>
          <w:tcPr>
            <w:tcW w:w="0" w:type="auto"/>
            <w:vAlign w:val="center"/>
          </w:tcPr>
          <w:p w:rsidR="00C83B78" w:rsidRPr="009D1A01" w:rsidRDefault="00C83B78" w:rsidP="009951B0">
            <w:pPr>
              <w:pStyle w:val="RSCT03TableBody"/>
              <w:rPr>
                <w:rStyle w:val="CommentReference"/>
                <w:lang w:val="pt-BR"/>
              </w:rPr>
            </w:pPr>
            <w:r w:rsidRPr="009D1A01">
              <w:rPr>
                <w:rStyle w:val="CommentReference"/>
                <w:lang w:val="pt-BR"/>
              </w:rPr>
              <w:t xml:space="preserve"> 45 (&gt;99)</w:t>
            </w:r>
          </w:p>
        </w:tc>
      </w:tr>
      <w:tr w:rsidR="00C83B78" w:rsidRPr="00EA067A" w:rsidTr="009951B0">
        <w:tc>
          <w:tcPr>
            <w:tcW w:w="0" w:type="auto"/>
          </w:tcPr>
          <w:p w:rsidR="00C83B78" w:rsidRPr="009D1A01" w:rsidRDefault="00C83B78" w:rsidP="009951B0">
            <w:pPr>
              <w:pStyle w:val="RSCT03TableBody"/>
              <w:rPr>
                <w:rStyle w:val="CommentReference"/>
                <w:vertAlign w:val="superscript"/>
                <w:lang w:val="pt-BR"/>
              </w:rPr>
            </w:pPr>
            <w:r>
              <w:rPr>
                <w:rStyle w:val="CommentReference"/>
                <w:lang w:val="pt-BR"/>
              </w:rPr>
              <w:t>6</w:t>
            </w:r>
            <w:r w:rsidR="00A178FA">
              <w:rPr>
                <w:rStyle w:val="CommentReference"/>
                <w:vertAlign w:val="superscript"/>
                <w:lang w:val="pt-BR"/>
              </w:rPr>
              <w:t>[d]</w:t>
            </w:r>
          </w:p>
        </w:tc>
        <w:tc>
          <w:tcPr>
            <w:tcW w:w="0" w:type="auto"/>
          </w:tcPr>
          <w:p w:rsidR="00C83B78" w:rsidRPr="00025E98" w:rsidRDefault="00C83B78" w:rsidP="009951B0">
            <w:pPr>
              <w:pStyle w:val="RSCT03TableBody"/>
              <w:rPr>
                <w:rStyle w:val="CommentReference"/>
                <w:color w:val="000000" w:themeColor="text1"/>
                <w:lang w:val="pt-BR"/>
              </w:rPr>
            </w:pPr>
            <w:r>
              <w:rPr>
                <w:rStyle w:val="CommentReference"/>
                <w:color w:val="000000" w:themeColor="text1"/>
                <w:lang w:val="pt-BR"/>
              </w:rPr>
              <w:t>CVI</w:t>
            </w:r>
          </w:p>
        </w:tc>
        <w:tc>
          <w:tcPr>
            <w:tcW w:w="0" w:type="auto"/>
            <w:vAlign w:val="center"/>
          </w:tcPr>
          <w:p w:rsidR="00C83B78" w:rsidRPr="009D1A01" w:rsidRDefault="00C83B78" w:rsidP="009951B0">
            <w:pPr>
              <w:pStyle w:val="RSCT03TableBody"/>
              <w:rPr>
                <w:rStyle w:val="CommentReference"/>
                <w:lang w:val="pt-BR"/>
              </w:rPr>
            </w:pPr>
            <w:r w:rsidRPr="009D1A01">
              <w:rPr>
                <w:rStyle w:val="CommentReference"/>
                <w:lang w:val="pt-BR"/>
              </w:rPr>
              <w:t xml:space="preserve"> 32 (&gt;99)</w:t>
            </w:r>
          </w:p>
        </w:tc>
      </w:tr>
      <w:tr w:rsidR="00C83B78" w:rsidRPr="00EA067A" w:rsidTr="009951B0">
        <w:tc>
          <w:tcPr>
            <w:tcW w:w="0" w:type="auto"/>
          </w:tcPr>
          <w:p w:rsidR="00C83B78" w:rsidRPr="00575ECF" w:rsidRDefault="00C83B78" w:rsidP="009951B0">
            <w:pPr>
              <w:pStyle w:val="RSCT03TableBody"/>
              <w:rPr>
                <w:rStyle w:val="CommentReference"/>
                <w:lang w:val="pt-BR"/>
              </w:rPr>
            </w:pPr>
            <w:r>
              <w:rPr>
                <w:rStyle w:val="CommentReference"/>
                <w:lang w:val="pt-BR"/>
              </w:rPr>
              <w:t>7</w:t>
            </w:r>
          </w:p>
        </w:tc>
        <w:tc>
          <w:tcPr>
            <w:tcW w:w="0" w:type="auto"/>
          </w:tcPr>
          <w:p w:rsidR="00C83B78" w:rsidRPr="00575ECF" w:rsidRDefault="00C83B78" w:rsidP="009951B0">
            <w:pPr>
              <w:pStyle w:val="RSCT03TableBody"/>
              <w:rPr>
                <w:rStyle w:val="CommentReference"/>
                <w:lang w:val="pt-BR"/>
              </w:rPr>
            </w:pPr>
            <w:r>
              <w:rPr>
                <w:rStyle w:val="CommentReference"/>
                <w:lang w:val="pt-BR"/>
              </w:rPr>
              <w:t>Bu</w:t>
            </w:r>
            <w:r w:rsidRPr="009D1A01">
              <w:rPr>
                <w:rStyle w:val="CommentReference"/>
                <w:vertAlign w:val="subscript"/>
                <w:lang w:val="pt-BR"/>
              </w:rPr>
              <w:t>4</w:t>
            </w:r>
            <w:r>
              <w:rPr>
                <w:rStyle w:val="CommentReference"/>
                <w:lang w:val="pt-BR"/>
              </w:rPr>
              <w:t>NI</w:t>
            </w:r>
          </w:p>
        </w:tc>
        <w:tc>
          <w:tcPr>
            <w:tcW w:w="0" w:type="auto"/>
            <w:vAlign w:val="center"/>
          </w:tcPr>
          <w:p w:rsidR="00C83B78" w:rsidRPr="009D1A01" w:rsidRDefault="00C83B78" w:rsidP="009951B0">
            <w:pPr>
              <w:pStyle w:val="RSCT03TableBody"/>
              <w:rPr>
                <w:rStyle w:val="CommentReference"/>
                <w:lang w:val="pt-BR"/>
              </w:rPr>
            </w:pPr>
            <w:r w:rsidRPr="009D1A01">
              <w:rPr>
                <w:rStyle w:val="CommentReference"/>
                <w:lang w:val="pt-BR"/>
              </w:rPr>
              <w:t xml:space="preserve">  41 (&gt;99)</w:t>
            </w:r>
          </w:p>
        </w:tc>
      </w:tr>
      <w:tr w:rsidR="00C83B78" w:rsidRPr="00F54B9B" w:rsidTr="00C83B78">
        <w:tc>
          <w:tcPr>
            <w:tcW w:w="0" w:type="auto"/>
            <w:gridSpan w:val="3"/>
            <w:tcBorders>
              <w:top w:val="single" w:sz="8" w:space="0" w:color="000000"/>
            </w:tcBorders>
          </w:tcPr>
          <w:p w:rsidR="00C83B78" w:rsidRDefault="00C83B78" w:rsidP="009951B0">
            <w:pPr>
              <w:pStyle w:val="TableFoot"/>
            </w:pPr>
            <w:r>
              <w:t xml:space="preserve">[a] </w:t>
            </w:r>
            <w:r w:rsidR="00A178FA">
              <w:rPr>
                <w:lang w:val="en-US"/>
              </w:rPr>
              <w:t>Reaction conditions: 2 mol% catalyst unless specified otherwise, neat SO</w:t>
            </w:r>
            <w:r w:rsidR="00A178FA" w:rsidRPr="007C72F2">
              <w:rPr>
                <w:lang w:val="en-US"/>
              </w:rPr>
              <w:t>.</w:t>
            </w:r>
            <w:r w:rsidR="00A178FA">
              <w:rPr>
                <w:lang w:val="en-US"/>
              </w:rPr>
              <w:t xml:space="preserve"> [b] Conversions were determined by </w:t>
            </w:r>
            <w:r w:rsidR="00A178FA" w:rsidRPr="003B104E">
              <w:rPr>
                <w:vertAlign w:val="superscript"/>
                <w:lang w:val="en-US"/>
              </w:rPr>
              <w:t>1</w:t>
            </w:r>
            <w:r w:rsidR="00A178FA">
              <w:rPr>
                <w:lang w:val="en-US"/>
              </w:rPr>
              <w:t>H NMR using the catalyst signals as internal standard.  [c] The dyes were used in their chloride forms. [d] The catalyst loading was 1% mol.</w:t>
            </w:r>
          </w:p>
        </w:tc>
      </w:tr>
    </w:tbl>
    <w:p w:rsidR="00A178FA" w:rsidRDefault="00A178FA" w:rsidP="00C83B78">
      <w:pPr>
        <w:pStyle w:val="P1"/>
        <w:ind w:firstLine="425"/>
        <w:rPr>
          <w:color w:val="000000" w:themeColor="text1"/>
        </w:rPr>
      </w:pPr>
    </w:p>
    <w:p w:rsidR="00C83B78" w:rsidRDefault="00C83B78" w:rsidP="00C83B78">
      <w:pPr>
        <w:pStyle w:val="P1"/>
        <w:ind w:firstLine="425"/>
      </w:pPr>
      <w:r w:rsidRPr="00FC6012">
        <w:rPr>
          <w:color w:val="000000" w:themeColor="text1"/>
        </w:rPr>
        <w:t>Among the dyes, CVI was the most active and its catalytic activity was similar to that of tetrabutylammonium iodide (TBAI) (Table 1, entries 5 and 7). Both MGI and BGI were much inferior to CVI and TBAI (Table 1, runs 3,4 and 5,7). The relative order of activity of the dyes was unexpected. Had the Lewis acidity of the cations been the most important factor, the</w:t>
      </w:r>
      <w:r w:rsidR="00A178FA" w:rsidRPr="00A178FA">
        <w:rPr>
          <w:color w:val="000000" w:themeColor="text1"/>
        </w:rPr>
        <w:t xml:space="preserve"> </w:t>
      </w:r>
      <w:r w:rsidR="00A178FA" w:rsidRPr="00FC6012">
        <w:rPr>
          <w:color w:val="000000" w:themeColor="text1"/>
        </w:rPr>
        <w:t>opposite trend would have been expected since the pK</w:t>
      </w:r>
      <w:r w:rsidR="00A178FA" w:rsidRPr="00FC6012">
        <w:rPr>
          <w:color w:val="000000" w:themeColor="text1"/>
          <w:vertAlign w:val="subscript"/>
        </w:rPr>
        <w:t xml:space="preserve">R+ </w:t>
      </w:r>
      <w:r w:rsidR="00A178FA" w:rsidRPr="00FC6012">
        <w:rPr>
          <w:color w:val="000000" w:themeColor="text1"/>
        </w:rPr>
        <w:t xml:space="preserve">values for MGI and CVI are 6.9 and 9.4 </w:t>
      </w:r>
      <w:r w:rsidR="00A178FA" w:rsidRPr="00731209">
        <w:rPr>
          <w:color w:val="000000" w:themeColor="text1"/>
        </w:rPr>
        <w:t>respectively.</w:t>
      </w:r>
      <w:r w:rsidR="00A178FA">
        <w:rPr>
          <w:color w:val="000000" w:themeColor="text1"/>
          <w:vertAlign w:val="superscript"/>
        </w:rPr>
        <w:t>[</w:t>
      </w:r>
      <w:r w:rsidR="00A178FA" w:rsidRPr="00731209">
        <w:rPr>
          <w:color w:val="000000" w:themeColor="text1"/>
          <w:vertAlign w:val="superscript"/>
        </w:rPr>
        <w:t>22</w:t>
      </w:r>
      <w:r w:rsidR="00A178FA">
        <w:rPr>
          <w:color w:val="000000" w:themeColor="text1"/>
          <w:vertAlign w:val="superscript"/>
        </w:rPr>
        <w:t>]</w:t>
      </w:r>
      <w:r w:rsidR="00A178FA" w:rsidRPr="00731209">
        <w:rPr>
          <w:color w:val="000000" w:themeColor="text1"/>
          <w:vertAlign w:val="superscript"/>
        </w:rPr>
        <w:t xml:space="preserve"> </w:t>
      </w:r>
      <w:r w:rsidR="00A178FA" w:rsidRPr="00731209">
        <w:rPr>
          <w:color w:val="000000" w:themeColor="text1"/>
        </w:rPr>
        <w:t>This suggests that there was a compensating effect influencing the catalytic activity of the dye / iodide ion bifunctional catalyst. Most likely, the tighter the ion pair, the less active is the catalyst and the expected activity trend in the series of dyes would then be MGI &lt; BGI &lt; CVI as observed. The dissociation of the ion pairs should lead to better catalytic performance which was supported by experiments. Thus, halving the CVI concentration led to a relatively small change in the conversion of SO (Table 1, entries 4 and 6), consistent with greater ion pair dissociation, accompanying the CVI dilution.</w:t>
      </w:r>
    </w:p>
    <w:p w:rsidR="00F72699" w:rsidRDefault="003A682E" w:rsidP="003A682E">
      <w:pPr>
        <w:pStyle w:val="P1"/>
        <w:ind w:firstLine="425"/>
      </w:pPr>
      <w:r>
        <w:t xml:space="preserve">The introduction of anion complexing agents should lead to better catalytic performance by separating the ion pairs into </w:t>
      </w:r>
      <w:r>
        <w:lastRenderedPageBreak/>
        <w:t xml:space="preserve">Lewis acidic and nucleophilic parts and, thus, revealing the hidden potential of their activity. For this purpose several polyalcohols and carboxylic acids (Figure 3) were investigated. These can complex iodide whilst simultaneously forming hydrogen bonds with the amino groups </w:t>
      </w:r>
      <w:r w:rsidR="00CD2E28">
        <w:t xml:space="preserve">of the dyes and coordinating an </w:t>
      </w:r>
      <w:r>
        <w:t>alcoholic oxygen to the cationic center of the dye.</w:t>
      </w:r>
    </w:p>
    <w:p w:rsidR="003A682E" w:rsidRDefault="00E34D0D" w:rsidP="003A682E">
      <w:pPr>
        <w:jc w:val="center"/>
        <w:rPr>
          <w:color w:val="FF0000"/>
        </w:rPr>
      </w:pPr>
      <w:r>
        <w:object w:dxaOrig="6668" w:dyaOrig="9749">
          <v:shape id="_x0000_i1029" type="#_x0000_t75" style="width:234pt;height:342pt" o:ole="">
            <v:imagedata r:id="rId25" o:title=""/>
          </v:shape>
          <o:OLEObject Type="Embed" ProgID="ChemDraw.Document.6.0" ShapeID="_x0000_i1029" DrawAspect="Content" ObjectID="_1544967554" r:id="rId26"/>
        </w:object>
      </w:r>
    </w:p>
    <w:p w:rsidR="003A682E" w:rsidRDefault="003A682E" w:rsidP="003A682E">
      <w:pPr>
        <w:pStyle w:val="SchemeCaption"/>
      </w:pPr>
      <w:r>
        <w:rPr>
          <w:b/>
        </w:rPr>
        <w:t>Figure 3</w:t>
      </w:r>
      <w:r w:rsidRPr="00622835">
        <w:rPr>
          <w:b/>
        </w:rPr>
        <w:t>.</w:t>
      </w:r>
      <w:r w:rsidRPr="00622835">
        <w:t xml:space="preserve"> </w:t>
      </w:r>
      <w:r w:rsidR="00B65AE7">
        <w:rPr>
          <w:lang w:val="en-US"/>
        </w:rPr>
        <w:t>Compounds used as</w:t>
      </w:r>
      <w:r>
        <w:rPr>
          <w:lang w:val="en-US"/>
        </w:rPr>
        <w:t xml:space="preserve"> Brønsted acid additives and an example of their postulated mode of action.</w:t>
      </w:r>
    </w:p>
    <w:tbl>
      <w:tblPr>
        <w:tblW w:w="5000" w:type="pct"/>
        <w:tblLayout w:type="fixed"/>
        <w:tblLook w:val="01E0" w:firstRow="1" w:lastRow="1" w:firstColumn="1" w:lastColumn="1" w:noHBand="0" w:noVBand="0"/>
      </w:tblPr>
      <w:tblGrid>
        <w:gridCol w:w="751"/>
        <w:gridCol w:w="1469"/>
        <w:gridCol w:w="1388"/>
        <w:gridCol w:w="1483"/>
      </w:tblGrid>
      <w:tr w:rsidR="00CA2102" w:rsidRPr="00F01D4C" w:rsidTr="00CD2E28">
        <w:tc>
          <w:tcPr>
            <w:tcW w:w="5091" w:type="dxa"/>
            <w:gridSpan w:val="4"/>
            <w:tcBorders>
              <w:bottom w:val="single" w:sz="8" w:space="0" w:color="000000"/>
            </w:tcBorders>
          </w:tcPr>
          <w:p w:rsidR="00CA2102" w:rsidRPr="000633E7" w:rsidRDefault="00CA2102" w:rsidP="00CD2E28">
            <w:pPr>
              <w:pStyle w:val="TableCaption"/>
              <w:rPr>
                <w:b/>
                <w:vertAlign w:val="superscript"/>
              </w:rPr>
            </w:pPr>
            <w:r w:rsidRPr="00B11686">
              <w:rPr>
                <w:b/>
              </w:rPr>
              <w:t xml:space="preserve">Table </w:t>
            </w:r>
            <w:r>
              <w:rPr>
                <w:b/>
              </w:rPr>
              <w:t>2</w:t>
            </w:r>
            <w:r w:rsidRPr="00B11686">
              <w:rPr>
                <w:b/>
              </w:rPr>
              <w:t>.</w:t>
            </w:r>
            <w:r>
              <w:t xml:space="preserve"> </w:t>
            </w:r>
            <w:r>
              <w:rPr>
                <w:lang w:val="en-US"/>
              </w:rPr>
              <w:t>Activity of polyol additives in the reaction of styrene oxide with CO</w:t>
            </w:r>
            <w:r w:rsidRPr="002621F2">
              <w:rPr>
                <w:vertAlign w:val="subscript"/>
                <w:lang w:val="en-US"/>
              </w:rPr>
              <w:t>2</w:t>
            </w:r>
            <w:r>
              <w:rPr>
                <w:lang w:val="en-US"/>
              </w:rPr>
              <w:t>.</w:t>
            </w:r>
            <w:r>
              <w:rPr>
                <w:vertAlign w:val="superscript"/>
              </w:rPr>
              <w:t xml:space="preserve"> [a]</w:t>
            </w:r>
          </w:p>
        </w:tc>
      </w:tr>
      <w:tr w:rsidR="00CA2102" w:rsidRPr="00EA067A" w:rsidTr="00CD2E28">
        <w:trPr>
          <w:trHeight w:val="232"/>
        </w:trPr>
        <w:tc>
          <w:tcPr>
            <w:tcW w:w="751" w:type="dxa"/>
            <w:tcBorders>
              <w:top w:val="single" w:sz="8" w:space="0" w:color="000000"/>
              <w:bottom w:val="single" w:sz="8" w:space="0" w:color="000000"/>
            </w:tcBorders>
          </w:tcPr>
          <w:p w:rsidR="00CA2102" w:rsidRPr="003A682E" w:rsidRDefault="00CA2102" w:rsidP="00CD2E28">
            <w:pPr>
              <w:pStyle w:val="TableBody"/>
              <w:pBdr>
                <w:top w:val="none" w:sz="0" w:space="0" w:color="auto"/>
                <w:left w:val="none" w:sz="0" w:space="0" w:color="auto"/>
                <w:bottom w:val="none" w:sz="0" w:space="0" w:color="auto"/>
                <w:right w:val="none" w:sz="0" w:space="0" w:color="auto"/>
              </w:pBdr>
              <w:jc w:val="center"/>
              <w:rPr>
                <w:rFonts w:asciiTheme="minorHAnsi" w:hAnsiTheme="minorHAnsi"/>
                <w:b/>
                <w:sz w:val="16"/>
                <w:szCs w:val="16"/>
              </w:rPr>
            </w:pPr>
            <w:r w:rsidRPr="003A682E">
              <w:rPr>
                <w:rFonts w:asciiTheme="minorHAnsi" w:hAnsiTheme="minorHAnsi"/>
                <w:b/>
                <w:sz w:val="16"/>
                <w:szCs w:val="16"/>
              </w:rPr>
              <w:t>Entry</w:t>
            </w:r>
          </w:p>
        </w:tc>
        <w:tc>
          <w:tcPr>
            <w:tcW w:w="1469" w:type="dxa"/>
            <w:tcBorders>
              <w:top w:val="single" w:sz="8" w:space="0" w:color="000000"/>
              <w:bottom w:val="single" w:sz="8" w:space="0" w:color="000000"/>
            </w:tcBorders>
          </w:tcPr>
          <w:p w:rsidR="00CA2102" w:rsidRPr="003A682E" w:rsidRDefault="00CA2102" w:rsidP="00CD2E28">
            <w:pPr>
              <w:pStyle w:val="TableBody"/>
              <w:pBdr>
                <w:top w:val="none" w:sz="0" w:space="0" w:color="auto"/>
                <w:left w:val="none" w:sz="0" w:space="0" w:color="auto"/>
                <w:bottom w:val="none" w:sz="0" w:space="0" w:color="auto"/>
                <w:right w:val="none" w:sz="0" w:space="0" w:color="auto"/>
              </w:pBdr>
              <w:jc w:val="center"/>
              <w:rPr>
                <w:rFonts w:asciiTheme="minorHAnsi" w:hAnsiTheme="minorHAnsi"/>
                <w:b/>
                <w:sz w:val="16"/>
                <w:szCs w:val="16"/>
              </w:rPr>
            </w:pPr>
            <w:r w:rsidRPr="003A682E">
              <w:rPr>
                <w:rFonts w:asciiTheme="minorHAnsi" w:hAnsiTheme="minorHAnsi"/>
                <w:b/>
                <w:sz w:val="16"/>
                <w:szCs w:val="16"/>
              </w:rPr>
              <w:t>Polyol</w:t>
            </w:r>
          </w:p>
        </w:tc>
        <w:tc>
          <w:tcPr>
            <w:tcW w:w="1388" w:type="dxa"/>
            <w:tcBorders>
              <w:top w:val="single" w:sz="8" w:space="0" w:color="000000"/>
              <w:bottom w:val="single" w:sz="8" w:space="0" w:color="000000"/>
            </w:tcBorders>
          </w:tcPr>
          <w:p w:rsidR="00CA2102" w:rsidRPr="003A682E" w:rsidRDefault="00CA2102" w:rsidP="00CD2E28">
            <w:pPr>
              <w:pStyle w:val="TableBody"/>
              <w:pBdr>
                <w:top w:val="none" w:sz="0" w:space="0" w:color="auto"/>
                <w:left w:val="none" w:sz="0" w:space="0" w:color="auto"/>
                <w:bottom w:val="none" w:sz="0" w:space="0" w:color="auto"/>
                <w:right w:val="none" w:sz="0" w:space="0" w:color="auto"/>
              </w:pBdr>
              <w:jc w:val="center"/>
              <w:rPr>
                <w:rFonts w:asciiTheme="minorHAnsi" w:hAnsiTheme="minorHAnsi"/>
                <w:b/>
                <w:sz w:val="16"/>
                <w:szCs w:val="16"/>
              </w:rPr>
            </w:pPr>
            <w:r w:rsidRPr="003A682E">
              <w:rPr>
                <w:rFonts w:asciiTheme="minorHAnsi" w:hAnsiTheme="minorHAnsi"/>
                <w:b/>
                <w:sz w:val="16"/>
                <w:szCs w:val="16"/>
              </w:rPr>
              <w:t>Catalyst</w:t>
            </w:r>
          </w:p>
        </w:tc>
        <w:tc>
          <w:tcPr>
            <w:tcW w:w="1483" w:type="dxa"/>
            <w:tcBorders>
              <w:top w:val="single" w:sz="8" w:space="0" w:color="000000"/>
              <w:bottom w:val="single" w:sz="8" w:space="0" w:color="000000"/>
            </w:tcBorders>
          </w:tcPr>
          <w:p w:rsidR="00CA2102" w:rsidRPr="003A682E" w:rsidRDefault="00CA2102" w:rsidP="00CD2E28">
            <w:pPr>
              <w:pStyle w:val="TableBody"/>
              <w:pBdr>
                <w:top w:val="none" w:sz="0" w:space="0" w:color="auto"/>
                <w:left w:val="none" w:sz="0" w:space="0" w:color="auto"/>
                <w:bottom w:val="none" w:sz="0" w:space="0" w:color="auto"/>
                <w:right w:val="none" w:sz="0" w:space="0" w:color="auto"/>
              </w:pBdr>
              <w:jc w:val="center"/>
              <w:rPr>
                <w:rFonts w:asciiTheme="minorHAnsi" w:hAnsiTheme="minorHAnsi"/>
                <w:b/>
                <w:sz w:val="16"/>
                <w:szCs w:val="16"/>
                <w:vertAlign w:val="superscript"/>
              </w:rPr>
            </w:pPr>
            <w:r w:rsidRPr="003A682E">
              <w:rPr>
                <w:rFonts w:asciiTheme="minorHAnsi" w:hAnsiTheme="minorHAnsi"/>
                <w:b/>
                <w:sz w:val="16"/>
                <w:szCs w:val="16"/>
              </w:rPr>
              <w:t>Conversion%</w:t>
            </w:r>
            <w:r w:rsidRPr="003A682E">
              <w:rPr>
                <w:rFonts w:asciiTheme="minorHAnsi" w:hAnsiTheme="minorHAnsi"/>
                <w:b/>
                <w:sz w:val="16"/>
                <w:szCs w:val="16"/>
                <w:vertAlign w:val="superscript"/>
              </w:rPr>
              <w:t>[b]</w:t>
            </w:r>
          </w:p>
        </w:tc>
      </w:tr>
      <w:tr w:rsidR="00CA2102" w:rsidRPr="00EA067A" w:rsidTr="00CD2E28">
        <w:tc>
          <w:tcPr>
            <w:tcW w:w="751" w:type="dxa"/>
            <w:tcBorders>
              <w:top w:val="single" w:sz="8" w:space="0" w:color="000000"/>
            </w:tcBorders>
          </w:tcPr>
          <w:p w:rsidR="00CA2102" w:rsidRPr="003A682E" w:rsidRDefault="00CA2102" w:rsidP="00CD2E28">
            <w:pPr>
              <w:pStyle w:val="RSCT03TableBody"/>
              <w:rPr>
                <w:rStyle w:val="CommentReference"/>
                <w:vertAlign w:val="superscript"/>
                <w:lang w:val="pt-BR"/>
              </w:rPr>
            </w:pPr>
            <w:r w:rsidRPr="003A682E">
              <w:rPr>
                <w:rStyle w:val="CommentReference"/>
                <w:lang w:val="pt-BR"/>
              </w:rPr>
              <w:t>1</w:t>
            </w:r>
          </w:p>
        </w:tc>
        <w:tc>
          <w:tcPr>
            <w:tcW w:w="1469" w:type="dxa"/>
            <w:tcBorders>
              <w:top w:val="single" w:sz="8" w:space="0" w:color="000000"/>
            </w:tcBorders>
          </w:tcPr>
          <w:p w:rsidR="00CA2102" w:rsidRPr="003A682E" w:rsidRDefault="00CA2102" w:rsidP="00CD2E28">
            <w:pPr>
              <w:pStyle w:val="RSCT03TableBody"/>
              <w:rPr>
                <w:rStyle w:val="CommentReference"/>
                <w:lang w:val="pt-BR"/>
              </w:rPr>
            </w:pPr>
            <w:r w:rsidRPr="003A682E">
              <w:rPr>
                <w:rStyle w:val="CommentReference"/>
                <w:lang w:val="pt-BR"/>
              </w:rPr>
              <w:t>TADDOL</w:t>
            </w:r>
          </w:p>
        </w:tc>
        <w:tc>
          <w:tcPr>
            <w:tcW w:w="1388" w:type="dxa"/>
            <w:tcBorders>
              <w:top w:val="single" w:sz="8" w:space="0" w:color="000000"/>
            </w:tcBorders>
          </w:tcPr>
          <w:p w:rsidR="00CA2102" w:rsidRPr="003A682E" w:rsidRDefault="00CA2102" w:rsidP="00CD2E28">
            <w:pPr>
              <w:pStyle w:val="RSCT03TableBody"/>
              <w:rPr>
                <w:rStyle w:val="CommentReference"/>
                <w:lang w:val="pt-BR"/>
              </w:rPr>
            </w:pPr>
            <w:r w:rsidRPr="003A682E">
              <w:rPr>
                <w:rStyle w:val="CommentReference"/>
                <w:lang w:val="pt-BR"/>
              </w:rPr>
              <w:t>Bu</w:t>
            </w:r>
            <w:r w:rsidRPr="003A682E">
              <w:rPr>
                <w:rStyle w:val="CommentReference"/>
                <w:vertAlign w:val="subscript"/>
                <w:lang w:val="pt-BR"/>
              </w:rPr>
              <w:t>4</w:t>
            </w:r>
            <w:r w:rsidRPr="003A682E">
              <w:rPr>
                <w:rStyle w:val="CommentReference"/>
                <w:lang w:val="pt-BR"/>
              </w:rPr>
              <w:t>NI</w:t>
            </w:r>
          </w:p>
        </w:tc>
        <w:tc>
          <w:tcPr>
            <w:tcW w:w="1483" w:type="dxa"/>
            <w:tcBorders>
              <w:top w:val="single" w:sz="8" w:space="0" w:color="000000"/>
            </w:tcBorders>
          </w:tcPr>
          <w:p w:rsidR="00CA2102" w:rsidRPr="003A682E" w:rsidRDefault="00CA2102" w:rsidP="00CD2E28">
            <w:pPr>
              <w:pStyle w:val="RSCT03TableBody"/>
              <w:rPr>
                <w:rStyle w:val="CommentReference"/>
                <w:lang w:val="pt-BR"/>
              </w:rPr>
            </w:pPr>
            <w:r w:rsidRPr="003A682E">
              <w:rPr>
                <w:rStyle w:val="CommentReference"/>
                <w:lang w:val="pt-BR"/>
              </w:rPr>
              <w:t>70</w:t>
            </w:r>
          </w:p>
        </w:tc>
      </w:tr>
      <w:tr w:rsidR="00CA2102" w:rsidRPr="00EA067A" w:rsidTr="00CD2E28">
        <w:tc>
          <w:tcPr>
            <w:tcW w:w="751" w:type="dxa"/>
          </w:tcPr>
          <w:p w:rsidR="00CA2102" w:rsidRPr="003A682E" w:rsidRDefault="00CA2102" w:rsidP="00CD2E28">
            <w:pPr>
              <w:pStyle w:val="RSCT03TableBody"/>
              <w:rPr>
                <w:rStyle w:val="CommentReference"/>
                <w:vertAlign w:val="superscript"/>
                <w:lang w:val="pt-BR"/>
              </w:rPr>
            </w:pPr>
            <w:r w:rsidRPr="003A682E">
              <w:rPr>
                <w:rStyle w:val="CommentReference"/>
                <w:lang w:val="pt-BR"/>
              </w:rPr>
              <w:t>2</w:t>
            </w:r>
          </w:p>
        </w:tc>
        <w:tc>
          <w:tcPr>
            <w:tcW w:w="1469" w:type="dxa"/>
          </w:tcPr>
          <w:p w:rsidR="00CA2102" w:rsidRPr="003A682E" w:rsidRDefault="00CA2102" w:rsidP="00CD2E28">
            <w:pPr>
              <w:pStyle w:val="RSCT03TableBody"/>
              <w:rPr>
                <w:rStyle w:val="CommentReference"/>
                <w:lang w:val="pt-BR"/>
              </w:rPr>
            </w:pPr>
            <w:r w:rsidRPr="003A682E">
              <w:rPr>
                <w:rStyle w:val="CommentReference"/>
                <w:i/>
                <w:lang w:val="pt-BR"/>
              </w:rPr>
              <w:t>Meta-bis-</w:t>
            </w:r>
            <w:r w:rsidRPr="003A682E">
              <w:rPr>
                <w:rStyle w:val="CommentReference"/>
                <w:lang w:val="pt-BR"/>
              </w:rPr>
              <w:t>TADDOL</w:t>
            </w:r>
          </w:p>
        </w:tc>
        <w:tc>
          <w:tcPr>
            <w:tcW w:w="1388" w:type="dxa"/>
          </w:tcPr>
          <w:p w:rsidR="00CA2102" w:rsidRPr="003A682E" w:rsidRDefault="00CA2102" w:rsidP="00CD2E28">
            <w:pPr>
              <w:pStyle w:val="RSCT03TableBody"/>
              <w:rPr>
                <w:rStyle w:val="CommentReference"/>
                <w:lang w:val="pt-BR"/>
              </w:rPr>
            </w:pPr>
            <w:r w:rsidRPr="003A682E">
              <w:rPr>
                <w:rStyle w:val="CommentReference"/>
                <w:lang w:val="pt-BR"/>
              </w:rPr>
              <w:t>Bu</w:t>
            </w:r>
            <w:r w:rsidRPr="003A682E">
              <w:rPr>
                <w:rStyle w:val="CommentReference"/>
                <w:vertAlign w:val="subscript"/>
                <w:lang w:val="pt-BR"/>
              </w:rPr>
              <w:t>4</w:t>
            </w:r>
            <w:r w:rsidRPr="003A682E">
              <w:rPr>
                <w:rStyle w:val="CommentReference"/>
                <w:lang w:val="pt-BR"/>
              </w:rPr>
              <w:t>NI</w:t>
            </w:r>
          </w:p>
        </w:tc>
        <w:tc>
          <w:tcPr>
            <w:tcW w:w="1483" w:type="dxa"/>
          </w:tcPr>
          <w:p w:rsidR="00CA2102" w:rsidRPr="003A682E" w:rsidRDefault="00CA2102" w:rsidP="00CD2E28">
            <w:pPr>
              <w:pStyle w:val="RSCT03TableBody"/>
              <w:rPr>
                <w:rStyle w:val="CommentReference"/>
                <w:lang w:val="pt-BR"/>
              </w:rPr>
            </w:pPr>
            <w:r w:rsidRPr="003A682E">
              <w:rPr>
                <w:rStyle w:val="CommentReference"/>
                <w:lang w:val="pt-BR"/>
              </w:rPr>
              <w:t>71</w:t>
            </w:r>
          </w:p>
        </w:tc>
      </w:tr>
      <w:tr w:rsidR="00CA2102" w:rsidRPr="00EA067A" w:rsidTr="00CD2E28">
        <w:tc>
          <w:tcPr>
            <w:tcW w:w="751" w:type="dxa"/>
          </w:tcPr>
          <w:p w:rsidR="00CA2102" w:rsidRPr="003A682E" w:rsidRDefault="00CA2102" w:rsidP="00CD2E28">
            <w:pPr>
              <w:pStyle w:val="RSCT03TableBody"/>
              <w:rPr>
                <w:rStyle w:val="CommentReference"/>
                <w:lang w:val="pt-BR"/>
              </w:rPr>
            </w:pPr>
            <w:r w:rsidRPr="003A682E">
              <w:rPr>
                <w:rStyle w:val="CommentReference"/>
                <w:lang w:val="pt-BR"/>
              </w:rPr>
              <w:t>3</w:t>
            </w:r>
          </w:p>
        </w:tc>
        <w:tc>
          <w:tcPr>
            <w:tcW w:w="1469" w:type="dxa"/>
          </w:tcPr>
          <w:p w:rsidR="00CA2102" w:rsidRPr="003A682E" w:rsidRDefault="00CA2102" w:rsidP="00CD2E28">
            <w:pPr>
              <w:pStyle w:val="RSCT03TableBody"/>
              <w:rPr>
                <w:rStyle w:val="CommentReference"/>
                <w:lang w:val="pt-BR"/>
              </w:rPr>
            </w:pPr>
            <w:r w:rsidRPr="003A682E">
              <w:rPr>
                <w:rStyle w:val="CommentReference"/>
                <w:lang w:val="pt-BR"/>
              </w:rPr>
              <w:t>CH</w:t>
            </w:r>
            <w:r w:rsidRPr="003A682E">
              <w:rPr>
                <w:rStyle w:val="CommentReference"/>
                <w:vertAlign w:val="subscript"/>
                <w:lang w:val="pt-BR"/>
              </w:rPr>
              <w:t>2</w:t>
            </w:r>
            <w:r w:rsidRPr="003A682E">
              <w:rPr>
                <w:rStyle w:val="CommentReference"/>
                <w:i/>
                <w:lang w:val="pt-BR"/>
              </w:rPr>
              <w:t>-bis-</w:t>
            </w:r>
            <w:r w:rsidRPr="003A682E">
              <w:rPr>
                <w:rStyle w:val="CommentReference"/>
                <w:lang w:val="pt-BR"/>
              </w:rPr>
              <w:t>TADDOL</w:t>
            </w:r>
          </w:p>
        </w:tc>
        <w:tc>
          <w:tcPr>
            <w:tcW w:w="1388" w:type="dxa"/>
          </w:tcPr>
          <w:p w:rsidR="00CA2102" w:rsidRPr="003A682E" w:rsidRDefault="00CA2102" w:rsidP="00CD2E28">
            <w:pPr>
              <w:pStyle w:val="RSCT03TableBody"/>
              <w:rPr>
                <w:rStyle w:val="CommentReference"/>
                <w:lang w:val="pt-BR"/>
              </w:rPr>
            </w:pPr>
            <w:r w:rsidRPr="003A682E">
              <w:rPr>
                <w:rStyle w:val="CommentReference"/>
                <w:lang w:val="pt-BR"/>
              </w:rPr>
              <w:t>Bu</w:t>
            </w:r>
            <w:r w:rsidRPr="003A682E">
              <w:rPr>
                <w:rStyle w:val="CommentReference"/>
                <w:vertAlign w:val="subscript"/>
                <w:lang w:val="pt-BR"/>
              </w:rPr>
              <w:t>4</w:t>
            </w:r>
            <w:r w:rsidRPr="003A682E">
              <w:rPr>
                <w:rStyle w:val="CommentReference"/>
                <w:lang w:val="pt-BR"/>
              </w:rPr>
              <w:t>NI</w:t>
            </w:r>
          </w:p>
        </w:tc>
        <w:tc>
          <w:tcPr>
            <w:tcW w:w="1483" w:type="dxa"/>
            <w:vAlign w:val="center"/>
          </w:tcPr>
          <w:p w:rsidR="00CA2102" w:rsidRPr="003A682E" w:rsidRDefault="00CA2102" w:rsidP="00CD2E28">
            <w:pPr>
              <w:pStyle w:val="RSCT03TableBody"/>
              <w:rPr>
                <w:rStyle w:val="CommentReference"/>
                <w:lang w:val="pt-BR"/>
              </w:rPr>
            </w:pPr>
            <w:r w:rsidRPr="003A682E">
              <w:rPr>
                <w:rStyle w:val="CommentReference"/>
                <w:lang w:val="pt-BR"/>
              </w:rPr>
              <w:t>76</w:t>
            </w:r>
          </w:p>
        </w:tc>
      </w:tr>
      <w:tr w:rsidR="00CA2102" w:rsidRPr="00EA067A" w:rsidTr="00CD2E28">
        <w:tc>
          <w:tcPr>
            <w:tcW w:w="751" w:type="dxa"/>
          </w:tcPr>
          <w:p w:rsidR="00CA2102" w:rsidRPr="003A682E" w:rsidRDefault="00CA2102" w:rsidP="00CD2E28">
            <w:pPr>
              <w:pStyle w:val="RSCT03TableBody"/>
              <w:rPr>
                <w:rStyle w:val="CommentReference"/>
                <w:color w:val="000000" w:themeColor="text1"/>
                <w:lang w:val="pt-BR"/>
              </w:rPr>
            </w:pPr>
            <w:r w:rsidRPr="003A682E">
              <w:rPr>
                <w:rStyle w:val="CommentReference"/>
                <w:color w:val="000000" w:themeColor="text1"/>
                <w:lang w:val="pt-BR"/>
              </w:rPr>
              <w:t>4</w:t>
            </w:r>
          </w:p>
        </w:tc>
        <w:tc>
          <w:tcPr>
            <w:tcW w:w="1469" w:type="dxa"/>
          </w:tcPr>
          <w:p w:rsidR="00CA2102" w:rsidRPr="003A682E" w:rsidRDefault="00CA2102" w:rsidP="00CD2E28">
            <w:pPr>
              <w:pStyle w:val="RSCT03TableBody"/>
              <w:rPr>
                <w:rStyle w:val="CommentReference"/>
                <w:color w:val="000000" w:themeColor="text1"/>
                <w:lang w:val="pt-BR"/>
              </w:rPr>
            </w:pPr>
            <w:r w:rsidRPr="003A682E">
              <w:rPr>
                <w:rStyle w:val="CommentReference"/>
                <w:lang w:val="pt-BR"/>
              </w:rPr>
              <w:t>TADDOL</w:t>
            </w:r>
          </w:p>
        </w:tc>
        <w:tc>
          <w:tcPr>
            <w:tcW w:w="1388" w:type="dxa"/>
          </w:tcPr>
          <w:p w:rsidR="00CA2102" w:rsidRPr="003A682E" w:rsidRDefault="00CA2102" w:rsidP="00CD2E28">
            <w:pPr>
              <w:pStyle w:val="RSCT03TableBody"/>
              <w:rPr>
                <w:rStyle w:val="CommentReference"/>
                <w:color w:val="000000" w:themeColor="text1"/>
                <w:lang w:val="pt-BR"/>
              </w:rPr>
            </w:pPr>
            <w:r w:rsidRPr="003A682E">
              <w:rPr>
                <w:rStyle w:val="CommentReference"/>
                <w:color w:val="000000" w:themeColor="text1"/>
                <w:lang w:val="pt-BR"/>
              </w:rPr>
              <w:t>BGI</w:t>
            </w:r>
          </w:p>
        </w:tc>
        <w:tc>
          <w:tcPr>
            <w:tcW w:w="1483" w:type="dxa"/>
            <w:vAlign w:val="center"/>
          </w:tcPr>
          <w:p w:rsidR="00CA2102" w:rsidRPr="003A682E" w:rsidRDefault="00CA2102" w:rsidP="00CD2E28">
            <w:pPr>
              <w:pStyle w:val="RSCT03TableBody"/>
              <w:rPr>
                <w:rStyle w:val="CommentReference"/>
                <w:lang w:val="pt-BR"/>
              </w:rPr>
            </w:pPr>
            <w:r w:rsidRPr="003A682E">
              <w:rPr>
                <w:rStyle w:val="CommentReference"/>
                <w:lang w:val="pt-BR"/>
              </w:rPr>
              <w:t>41</w:t>
            </w:r>
          </w:p>
        </w:tc>
      </w:tr>
      <w:tr w:rsidR="00CA2102" w:rsidRPr="00EA067A" w:rsidTr="00CD2E28">
        <w:tc>
          <w:tcPr>
            <w:tcW w:w="751" w:type="dxa"/>
          </w:tcPr>
          <w:p w:rsidR="00CA2102" w:rsidRPr="003A682E" w:rsidRDefault="00CA2102" w:rsidP="00CD2E28">
            <w:pPr>
              <w:pStyle w:val="RSCT03TableBody"/>
              <w:rPr>
                <w:rStyle w:val="CommentReference"/>
                <w:color w:val="000000" w:themeColor="text1"/>
                <w:lang w:val="pt-BR"/>
              </w:rPr>
            </w:pPr>
            <w:r w:rsidRPr="003A682E">
              <w:rPr>
                <w:rStyle w:val="CommentReference"/>
                <w:color w:val="000000" w:themeColor="text1"/>
                <w:lang w:val="pt-BR"/>
              </w:rPr>
              <w:t>5</w:t>
            </w:r>
          </w:p>
        </w:tc>
        <w:tc>
          <w:tcPr>
            <w:tcW w:w="1469" w:type="dxa"/>
          </w:tcPr>
          <w:p w:rsidR="00CA2102" w:rsidRPr="003A682E" w:rsidRDefault="00CA2102" w:rsidP="00CD2E28">
            <w:pPr>
              <w:pStyle w:val="RSCT03TableBody"/>
              <w:rPr>
                <w:rStyle w:val="CommentReference"/>
                <w:color w:val="000000" w:themeColor="text1"/>
                <w:lang w:val="pt-BR"/>
              </w:rPr>
            </w:pPr>
            <w:r w:rsidRPr="003A682E">
              <w:rPr>
                <w:rStyle w:val="CommentReference"/>
                <w:i/>
                <w:lang w:val="pt-BR"/>
              </w:rPr>
              <w:t>Meta-bis-</w:t>
            </w:r>
            <w:r w:rsidRPr="003A682E">
              <w:rPr>
                <w:rStyle w:val="CommentReference"/>
                <w:lang w:val="pt-BR"/>
              </w:rPr>
              <w:t>TADDOL</w:t>
            </w:r>
          </w:p>
        </w:tc>
        <w:tc>
          <w:tcPr>
            <w:tcW w:w="1388" w:type="dxa"/>
          </w:tcPr>
          <w:p w:rsidR="00CA2102" w:rsidRPr="003A682E" w:rsidRDefault="00CA2102" w:rsidP="00CD2E28">
            <w:pPr>
              <w:pStyle w:val="RSCT03TableBody"/>
              <w:rPr>
                <w:rStyle w:val="CommentReference"/>
                <w:color w:val="000000" w:themeColor="text1"/>
                <w:lang w:val="pt-BR"/>
              </w:rPr>
            </w:pPr>
            <w:r w:rsidRPr="003A682E">
              <w:rPr>
                <w:rStyle w:val="CommentReference"/>
                <w:color w:val="000000" w:themeColor="text1"/>
                <w:lang w:val="pt-BR"/>
              </w:rPr>
              <w:t>BGI</w:t>
            </w:r>
          </w:p>
        </w:tc>
        <w:tc>
          <w:tcPr>
            <w:tcW w:w="1483" w:type="dxa"/>
            <w:vAlign w:val="center"/>
          </w:tcPr>
          <w:p w:rsidR="00CA2102" w:rsidRPr="003A682E" w:rsidRDefault="00CA2102" w:rsidP="00CD2E28">
            <w:pPr>
              <w:pStyle w:val="RSCT03TableBody"/>
              <w:rPr>
                <w:rStyle w:val="CommentReference"/>
                <w:lang w:val="pt-BR"/>
              </w:rPr>
            </w:pPr>
            <w:r w:rsidRPr="003A682E">
              <w:rPr>
                <w:rStyle w:val="CommentReference"/>
                <w:lang w:val="pt-BR"/>
              </w:rPr>
              <w:t>55</w:t>
            </w:r>
          </w:p>
        </w:tc>
      </w:tr>
      <w:tr w:rsidR="00CA2102" w:rsidRPr="00EA067A" w:rsidTr="00CD2E28">
        <w:tc>
          <w:tcPr>
            <w:tcW w:w="751" w:type="dxa"/>
          </w:tcPr>
          <w:p w:rsidR="00CA2102" w:rsidRPr="003A682E" w:rsidRDefault="00CA2102" w:rsidP="00CD2E28">
            <w:pPr>
              <w:pStyle w:val="RSCT03TableBody"/>
              <w:rPr>
                <w:rStyle w:val="CommentReference"/>
                <w:lang w:val="pt-BR"/>
              </w:rPr>
            </w:pPr>
            <w:r w:rsidRPr="003A682E">
              <w:rPr>
                <w:rStyle w:val="CommentReference"/>
                <w:lang w:val="pt-BR"/>
              </w:rPr>
              <w:t>6</w:t>
            </w:r>
          </w:p>
        </w:tc>
        <w:tc>
          <w:tcPr>
            <w:tcW w:w="1469" w:type="dxa"/>
          </w:tcPr>
          <w:p w:rsidR="00CA2102" w:rsidRPr="003A682E" w:rsidRDefault="00CA2102" w:rsidP="00CD2E28">
            <w:pPr>
              <w:pStyle w:val="RSCT03TableBody"/>
              <w:rPr>
                <w:rStyle w:val="CommentReference"/>
                <w:lang w:val="pt-BR"/>
              </w:rPr>
            </w:pPr>
            <w:r w:rsidRPr="003A682E">
              <w:rPr>
                <w:rStyle w:val="CommentReference"/>
                <w:lang w:val="pt-BR"/>
              </w:rPr>
              <w:t>CH</w:t>
            </w:r>
            <w:r w:rsidRPr="003A682E">
              <w:rPr>
                <w:rStyle w:val="CommentReference"/>
                <w:vertAlign w:val="subscript"/>
                <w:lang w:val="pt-BR"/>
              </w:rPr>
              <w:t>2</w:t>
            </w:r>
            <w:r w:rsidRPr="003A682E">
              <w:rPr>
                <w:rStyle w:val="CommentReference"/>
                <w:i/>
                <w:lang w:val="pt-BR"/>
              </w:rPr>
              <w:t>-bis-</w:t>
            </w:r>
            <w:r w:rsidRPr="003A682E">
              <w:rPr>
                <w:rStyle w:val="CommentReference"/>
                <w:lang w:val="pt-BR"/>
              </w:rPr>
              <w:t>TADDOL</w:t>
            </w:r>
          </w:p>
        </w:tc>
        <w:tc>
          <w:tcPr>
            <w:tcW w:w="1388" w:type="dxa"/>
          </w:tcPr>
          <w:p w:rsidR="00CA2102" w:rsidRPr="003A682E" w:rsidRDefault="00CA2102" w:rsidP="00CD2E28">
            <w:pPr>
              <w:pStyle w:val="RSCT03TableBody"/>
              <w:rPr>
                <w:rStyle w:val="CommentReference"/>
                <w:lang w:val="pt-BR"/>
              </w:rPr>
            </w:pPr>
            <w:r w:rsidRPr="003A682E">
              <w:rPr>
                <w:rStyle w:val="CommentReference"/>
                <w:lang w:val="pt-BR"/>
              </w:rPr>
              <w:t>BGI</w:t>
            </w:r>
          </w:p>
        </w:tc>
        <w:tc>
          <w:tcPr>
            <w:tcW w:w="1483" w:type="dxa"/>
            <w:vAlign w:val="center"/>
          </w:tcPr>
          <w:p w:rsidR="00CA2102" w:rsidRPr="003A682E" w:rsidRDefault="00CA2102" w:rsidP="00CD2E28">
            <w:pPr>
              <w:pStyle w:val="RSCT03TableBody"/>
              <w:rPr>
                <w:rStyle w:val="CommentReference"/>
                <w:lang w:val="pt-BR"/>
              </w:rPr>
            </w:pPr>
            <w:r w:rsidRPr="003A682E">
              <w:rPr>
                <w:rStyle w:val="CommentReference"/>
                <w:lang w:val="pt-BR"/>
              </w:rPr>
              <w:t>64</w:t>
            </w:r>
          </w:p>
        </w:tc>
      </w:tr>
      <w:tr w:rsidR="00CA2102" w:rsidRPr="00F54B9B" w:rsidTr="00CD2E28">
        <w:tc>
          <w:tcPr>
            <w:tcW w:w="5091" w:type="dxa"/>
            <w:gridSpan w:val="4"/>
            <w:tcBorders>
              <w:top w:val="single" w:sz="8" w:space="0" w:color="000000"/>
            </w:tcBorders>
          </w:tcPr>
          <w:p w:rsidR="00CA2102" w:rsidRDefault="00CA2102" w:rsidP="00CD2E28">
            <w:pPr>
              <w:pStyle w:val="TableFoot"/>
            </w:pPr>
            <w:r>
              <w:t xml:space="preserve">[a] </w:t>
            </w:r>
            <w:r w:rsidRPr="00712249">
              <w:rPr>
                <w:lang w:val="en-US"/>
              </w:rPr>
              <w:t xml:space="preserve">Reaction conditions: </w:t>
            </w:r>
            <w:r>
              <w:rPr>
                <w:lang w:val="en-US"/>
              </w:rPr>
              <w:t>1.25</w:t>
            </w:r>
            <w:r w:rsidRPr="00712249">
              <w:rPr>
                <w:lang w:val="en-US"/>
              </w:rPr>
              <w:t xml:space="preserve"> mol% of </w:t>
            </w:r>
            <w:r w:rsidRPr="002621F2">
              <w:rPr>
                <w:i/>
                <w:lang w:val="en-US"/>
              </w:rPr>
              <w:t>bis</w:t>
            </w:r>
            <w:r>
              <w:rPr>
                <w:lang w:val="en-US"/>
              </w:rPr>
              <w:t>-</w:t>
            </w:r>
            <w:r w:rsidRPr="00712249">
              <w:rPr>
                <w:lang w:val="en-US"/>
              </w:rPr>
              <w:t>TADDOL</w:t>
            </w:r>
            <w:r>
              <w:rPr>
                <w:lang w:val="en-US"/>
              </w:rPr>
              <w:t>s (or 2.5 mol% TADDOL)</w:t>
            </w:r>
            <w:r w:rsidRPr="00712249">
              <w:rPr>
                <w:lang w:val="en-US"/>
              </w:rPr>
              <w:t xml:space="preserve">, 2.5 mol% </w:t>
            </w:r>
            <w:r>
              <w:rPr>
                <w:lang w:val="en-US"/>
              </w:rPr>
              <w:t xml:space="preserve">of </w:t>
            </w:r>
            <w:r w:rsidRPr="00712249">
              <w:rPr>
                <w:lang w:val="en-US"/>
              </w:rPr>
              <w:t>TBAI (or BGI), neat SO, 50</w:t>
            </w:r>
            <w:r w:rsidRPr="00712249">
              <w:rPr>
                <w:vertAlign w:val="superscript"/>
                <w:lang w:val="en-US"/>
              </w:rPr>
              <w:t>o</w:t>
            </w:r>
            <w:r w:rsidRPr="00712249">
              <w:rPr>
                <w:lang w:val="en-US"/>
              </w:rPr>
              <w:t>C, 5 MPa CO</w:t>
            </w:r>
            <w:r w:rsidRPr="00712249">
              <w:rPr>
                <w:vertAlign w:val="subscript"/>
                <w:lang w:val="en-US"/>
              </w:rPr>
              <w:t>2</w:t>
            </w:r>
            <w:r>
              <w:rPr>
                <w:lang w:val="en-US"/>
              </w:rPr>
              <w:t>, 24 h. [b]</w:t>
            </w:r>
            <w:r w:rsidRPr="00712249">
              <w:rPr>
                <w:lang w:val="en-US"/>
              </w:rPr>
              <w:t xml:space="preserve"> Conversions w</w:t>
            </w:r>
            <w:r>
              <w:rPr>
                <w:lang w:val="en-US"/>
              </w:rPr>
              <w:t>e</w:t>
            </w:r>
            <w:r w:rsidRPr="00712249">
              <w:rPr>
                <w:lang w:val="en-US"/>
              </w:rPr>
              <w:t xml:space="preserve">re determined using </w:t>
            </w:r>
            <w:r w:rsidRPr="00712249">
              <w:rPr>
                <w:vertAlign w:val="superscript"/>
                <w:lang w:val="en-US"/>
              </w:rPr>
              <w:t>1</w:t>
            </w:r>
            <w:r>
              <w:rPr>
                <w:lang w:val="en-US"/>
              </w:rPr>
              <w:t>H NMR spectroscopy</w:t>
            </w:r>
            <w:r>
              <w:t>.</w:t>
            </w:r>
          </w:p>
        </w:tc>
      </w:tr>
    </w:tbl>
    <w:p w:rsidR="00C83B78" w:rsidRDefault="003A682E" w:rsidP="003A682E">
      <w:pPr>
        <w:pStyle w:val="P1"/>
        <w:ind w:firstLine="425"/>
      </w:pPr>
      <w:r w:rsidRPr="005C3DEE">
        <w:rPr>
          <w:color w:val="000000" w:themeColor="text1"/>
        </w:rPr>
        <w:t xml:space="preserve">Initially, TADDOL additives were tested with TBAI and BGI to investigate any cooperative interactions between the two catalyst partners. In these experiments, twice as much TADDOL as </w:t>
      </w:r>
      <w:r w:rsidRPr="005C3DEE">
        <w:rPr>
          <w:i/>
          <w:color w:val="000000" w:themeColor="text1"/>
        </w:rPr>
        <w:t>bis</w:t>
      </w:r>
      <w:r w:rsidRPr="005C3DEE">
        <w:rPr>
          <w:color w:val="000000" w:themeColor="text1"/>
        </w:rPr>
        <w:t>-TADDOL was used so that the total number of</w:t>
      </w:r>
      <w:r>
        <w:rPr>
          <w:color w:val="000000" w:themeColor="text1"/>
        </w:rPr>
        <w:t xml:space="preserve"> </w:t>
      </w:r>
      <w:r w:rsidRPr="00516068">
        <w:rPr>
          <w:color w:val="000000" w:themeColor="text1"/>
        </w:rPr>
        <w:t xml:space="preserve">available hydroxyl groups would be kept constant. The results are shown at Table 2. In the case of TBAI no significant difference in catalytic activities of the TADDOLs was detected (Table 2, entries 1–3). However, in the case of BGI, the TADDOLs were found to have markedly different activities (Table 2, entries 4–6). The best activator was found to be </w:t>
      </w:r>
      <w:r w:rsidRPr="00516068">
        <w:rPr>
          <w:rStyle w:val="shorttext"/>
          <w:color w:val="000000" w:themeColor="text1"/>
        </w:rPr>
        <w:t>CH</w:t>
      </w:r>
      <w:r w:rsidRPr="00516068">
        <w:rPr>
          <w:rStyle w:val="shorttext"/>
          <w:color w:val="000000" w:themeColor="text1"/>
          <w:vertAlign w:val="subscript"/>
        </w:rPr>
        <w:t>2</w:t>
      </w:r>
      <w:r w:rsidRPr="00516068">
        <w:rPr>
          <w:rStyle w:val="shorttext"/>
          <w:color w:val="000000" w:themeColor="text1"/>
        </w:rPr>
        <w:t>-</w:t>
      </w:r>
      <w:r w:rsidRPr="00516068">
        <w:rPr>
          <w:rStyle w:val="shorttext"/>
          <w:i/>
          <w:color w:val="000000" w:themeColor="text1"/>
        </w:rPr>
        <w:t>bis</w:t>
      </w:r>
      <w:r w:rsidRPr="00516068">
        <w:rPr>
          <w:rStyle w:val="shorttext"/>
          <w:color w:val="000000" w:themeColor="text1"/>
        </w:rPr>
        <w:t>-TADDOL</w:t>
      </w:r>
      <w:r w:rsidRPr="00516068">
        <w:rPr>
          <w:color w:val="000000" w:themeColor="text1"/>
        </w:rPr>
        <w:t xml:space="preserve"> which has the g</w:t>
      </w:r>
      <w:r>
        <w:rPr>
          <w:color w:val="000000" w:themeColor="text1"/>
        </w:rPr>
        <w:t>r</w:t>
      </w:r>
      <w:r w:rsidRPr="00516068">
        <w:rPr>
          <w:color w:val="000000" w:themeColor="text1"/>
        </w:rPr>
        <w:t xml:space="preserve">eatest distance between its two pairs of hydroxyl groups (Table 2, entry 6). </w:t>
      </w:r>
      <w:r w:rsidRPr="00516068">
        <w:rPr>
          <w:rStyle w:val="shorttext"/>
          <w:color w:val="000000" w:themeColor="text1"/>
        </w:rPr>
        <w:t>This observation supports the hypothesis that there would be activating interactions between the carbocation’s amino groups and hydroxyl protons of the polyols</w:t>
      </w:r>
    </w:p>
    <w:p w:rsidR="00DA2230" w:rsidRDefault="00DA2230" w:rsidP="00DA2230">
      <w:pPr>
        <w:pStyle w:val="P1"/>
        <w:ind w:firstLine="425"/>
      </w:pPr>
      <w:r w:rsidRPr="00957DC8">
        <w:rPr>
          <w:rStyle w:val="shorttext"/>
          <w:color w:val="000000" w:themeColor="text1"/>
        </w:rPr>
        <w:t xml:space="preserve">Table 3 summarizes the activities of the dyes relative to TBAI with </w:t>
      </w:r>
      <w:r>
        <w:rPr>
          <w:rStyle w:val="shorttext"/>
          <w:color w:val="000000" w:themeColor="text1"/>
        </w:rPr>
        <w:t>the other types of polyol</w:t>
      </w:r>
      <w:r w:rsidRPr="00957DC8">
        <w:rPr>
          <w:rStyle w:val="shorttext"/>
          <w:color w:val="000000" w:themeColor="text1"/>
        </w:rPr>
        <w:t xml:space="preserve"> additives. The polyols themselves were not catalytically active (Table 3, entry 1). The activity of TBAI was increased by use</w:t>
      </w:r>
      <w:r>
        <w:rPr>
          <w:rStyle w:val="shorttext"/>
          <w:color w:val="000000" w:themeColor="text1"/>
        </w:rPr>
        <w:t xml:space="preserve"> of polyols in the order BIMBOL&lt;TADDOL&lt;H8-BINOL&lt;</w:t>
      </w:r>
      <w:r w:rsidRPr="00957DC8">
        <w:rPr>
          <w:rStyle w:val="shorttext"/>
          <w:color w:val="000000" w:themeColor="text1"/>
        </w:rPr>
        <w:t xml:space="preserve">BINOL (Table </w:t>
      </w:r>
      <w:r>
        <w:rPr>
          <w:rStyle w:val="shorttext"/>
          <w:color w:val="000000" w:themeColor="text1"/>
        </w:rPr>
        <w:t>1, entry 7;</w:t>
      </w:r>
      <w:r w:rsidRPr="00957DC8">
        <w:rPr>
          <w:rStyle w:val="shorttext"/>
          <w:color w:val="000000" w:themeColor="text1"/>
        </w:rPr>
        <w:t xml:space="preserve"> Table 2, entries 1-3 and Table 3, entries 2-5). The addition of BINOL </w:t>
      </w:r>
      <w:r>
        <w:rPr>
          <w:rStyle w:val="shorttext"/>
          <w:color w:val="000000" w:themeColor="text1"/>
        </w:rPr>
        <w:t xml:space="preserve">also </w:t>
      </w:r>
      <w:r w:rsidRPr="00957DC8">
        <w:rPr>
          <w:rStyle w:val="shorttext"/>
          <w:color w:val="000000" w:themeColor="text1"/>
        </w:rPr>
        <w:t xml:space="preserve">led to </w:t>
      </w:r>
      <w:r>
        <w:rPr>
          <w:rStyle w:val="shorttext"/>
          <w:color w:val="000000" w:themeColor="text1"/>
        </w:rPr>
        <w:t xml:space="preserve">an </w:t>
      </w:r>
      <w:r w:rsidRPr="00957DC8">
        <w:rPr>
          <w:rStyle w:val="shorttext"/>
          <w:color w:val="000000" w:themeColor="text1"/>
        </w:rPr>
        <w:t xml:space="preserve">increase </w:t>
      </w:r>
      <w:r>
        <w:rPr>
          <w:rStyle w:val="shorttext"/>
          <w:color w:val="000000" w:themeColor="text1"/>
        </w:rPr>
        <w:t>in</w:t>
      </w:r>
      <w:r w:rsidRPr="00957DC8">
        <w:rPr>
          <w:rStyle w:val="shorttext"/>
          <w:color w:val="000000" w:themeColor="text1"/>
        </w:rPr>
        <w:t xml:space="preserve"> the activities </w:t>
      </w:r>
      <w:r>
        <w:rPr>
          <w:rStyle w:val="shorttext"/>
          <w:color w:val="000000" w:themeColor="text1"/>
        </w:rPr>
        <w:t xml:space="preserve">of the carbocation dyes, </w:t>
      </w:r>
      <w:r w:rsidRPr="00957DC8">
        <w:rPr>
          <w:rStyle w:val="shorttext"/>
          <w:color w:val="000000" w:themeColor="text1"/>
        </w:rPr>
        <w:t xml:space="preserve">even of </w:t>
      </w:r>
      <w:r>
        <w:rPr>
          <w:rStyle w:val="shorttext"/>
          <w:color w:val="000000" w:themeColor="text1"/>
        </w:rPr>
        <w:t>the least reactive</w:t>
      </w:r>
      <w:r w:rsidRPr="00957DC8">
        <w:rPr>
          <w:rStyle w:val="shorttext"/>
          <w:color w:val="000000" w:themeColor="text1"/>
        </w:rPr>
        <w:t xml:space="preserve"> MGI (Table 1, entry 3, Table 3, entry</w:t>
      </w:r>
      <w:r>
        <w:rPr>
          <w:rStyle w:val="shorttext"/>
          <w:color w:val="000000" w:themeColor="text1"/>
        </w:rPr>
        <w:t xml:space="preserve"> </w:t>
      </w:r>
      <w:r w:rsidRPr="00957DC8">
        <w:rPr>
          <w:rStyle w:val="shorttext"/>
          <w:color w:val="000000" w:themeColor="text1"/>
        </w:rPr>
        <w:t>6). The effect was even more pronounce</w:t>
      </w:r>
      <w:r>
        <w:rPr>
          <w:rStyle w:val="shorttext"/>
          <w:color w:val="000000" w:themeColor="text1"/>
        </w:rPr>
        <w:t>d</w:t>
      </w:r>
      <w:r w:rsidRPr="00957DC8">
        <w:rPr>
          <w:rStyle w:val="shorttext"/>
          <w:color w:val="000000" w:themeColor="text1"/>
        </w:rPr>
        <w:t xml:space="preserve"> in </w:t>
      </w:r>
      <w:r>
        <w:rPr>
          <w:rStyle w:val="shorttext"/>
          <w:color w:val="000000" w:themeColor="text1"/>
        </w:rPr>
        <w:t xml:space="preserve">the </w:t>
      </w:r>
      <w:r w:rsidRPr="00957DC8">
        <w:rPr>
          <w:rStyle w:val="shorttext"/>
          <w:color w:val="000000" w:themeColor="text1"/>
        </w:rPr>
        <w:t>case of BGI (Table 1, entry 4, Table 2 entries 4-6 and Table 3, entrie</w:t>
      </w:r>
      <w:r>
        <w:rPr>
          <w:rStyle w:val="shorttext"/>
          <w:color w:val="000000" w:themeColor="text1"/>
        </w:rPr>
        <w:t xml:space="preserve">s 7-10). The order of </w:t>
      </w:r>
      <w:r w:rsidRPr="00957DC8">
        <w:rPr>
          <w:rStyle w:val="shorttext"/>
          <w:color w:val="000000" w:themeColor="text1"/>
        </w:rPr>
        <w:t>efficien</w:t>
      </w:r>
      <w:r>
        <w:rPr>
          <w:rStyle w:val="shorttext"/>
          <w:color w:val="000000" w:themeColor="text1"/>
        </w:rPr>
        <w:t>cy of the additives was TADDOL&lt;BIMBOL&lt;H8-BINOL&lt;BINOL. A</w:t>
      </w:r>
      <w:r w:rsidRPr="00957DC8">
        <w:rPr>
          <w:rStyle w:val="shorttext"/>
          <w:color w:val="000000" w:themeColor="text1"/>
        </w:rPr>
        <w:t>t higher concentrations</w:t>
      </w:r>
      <w:r>
        <w:rPr>
          <w:rStyle w:val="shorttext"/>
          <w:color w:val="000000" w:themeColor="text1"/>
        </w:rPr>
        <w:t>,</w:t>
      </w:r>
      <w:r w:rsidRPr="00957DC8">
        <w:rPr>
          <w:rStyle w:val="shorttext"/>
          <w:color w:val="000000" w:themeColor="text1"/>
        </w:rPr>
        <w:t xml:space="preserve"> </w:t>
      </w:r>
      <w:r>
        <w:rPr>
          <w:rStyle w:val="shorttext"/>
          <w:color w:val="000000" w:themeColor="text1"/>
        </w:rPr>
        <w:t>the catalyst system of BGI/</w:t>
      </w:r>
      <w:r w:rsidRPr="00957DC8">
        <w:rPr>
          <w:rStyle w:val="shorttext"/>
          <w:color w:val="000000" w:themeColor="text1"/>
        </w:rPr>
        <w:t>BINOL becam</w:t>
      </w:r>
      <w:r>
        <w:rPr>
          <w:rStyle w:val="shorttext"/>
          <w:color w:val="000000" w:themeColor="text1"/>
        </w:rPr>
        <w:t>e more active than that of TBAI/</w:t>
      </w:r>
      <w:r w:rsidRPr="00957DC8">
        <w:rPr>
          <w:rStyle w:val="shorttext"/>
          <w:color w:val="000000" w:themeColor="text1"/>
        </w:rPr>
        <w:t xml:space="preserve">BINOL (Table 3, entries 4,5 and 9,10). Finally, the most efficient </w:t>
      </w:r>
      <w:r>
        <w:rPr>
          <w:rStyle w:val="shorttext"/>
          <w:color w:val="000000" w:themeColor="text1"/>
        </w:rPr>
        <w:t>catalyst was CVI/</w:t>
      </w:r>
      <w:r w:rsidRPr="00957DC8">
        <w:rPr>
          <w:rStyle w:val="shorttext"/>
          <w:color w:val="000000" w:themeColor="text1"/>
        </w:rPr>
        <w:t xml:space="preserve">BINOL </w:t>
      </w:r>
      <w:r>
        <w:rPr>
          <w:rStyle w:val="shorttext"/>
          <w:color w:val="000000" w:themeColor="text1"/>
        </w:rPr>
        <w:t>(Table 1, entries 5,</w:t>
      </w:r>
      <w:r w:rsidRPr="00957DC8">
        <w:rPr>
          <w:rStyle w:val="shorttext"/>
          <w:color w:val="000000" w:themeColor="text1"/>
        </w:rPr>
        <w:t xml:space="preserve">6 and Table 3, entries 12-14). The order of the efficiency was </w:t>
      </w:r>
      <w:r>
        <w:rPr>
          <w:rStyle w:val="shorttext"/>
          <w:color w:val="000000" w:themeColor="text1"/>
        </w:rPr>
        <w:t>TADDOL&lt;BIMBOL&lt;</w:t>
      </w:r>
      <w:r w:rsidRPr="00957DC8">
        <w:rPr>
          <w:rStyle w:val="shorttext"/>
          <w:color w:val="000000" w:themeColor="text1"/>
        </w:rPr>
        <w:t xml:space="preserve">BINOL. </w:t>
      </w:r>
      <w:r>
        <w:rPr>
          <w:rStyle w:val="shorttext"/>
          <w:color w:val="000000" w:themeColor="text1"/>
        </w:rPr>
        <w:t>It is notable that the inexpensive</w:t>
      </w:r>
      <w:r w:rsidRPr="00957DC8">
        <w:rPr>
          <w:rStyle w:val="shorttext"/>
          <w:color w:val="000000" w:themeColor="text1"/>
        </w:rPr>
        <w:t xml:space="preserve"> diol BINOL was more active th</w:t>
      </w:r>
      <w:r>
        <w:rPr>
          <w:rStyle w:val="shorttext"/>
          <w:color w:val="000000" w:themeColor="text1"/>
        </w:rPr>
        <w:t>a</w:t>
      </w:r>
      <w:r w:rsidRPr="00957DC8">
        <w:rPr>
          <w:rStyle w:val="shorttext"/>
          <w:color w:val="000000" w:themeColor="text1"/>
        </w:rPr>
        <w:t xml:space="preserve">n </w:t>
      </w:r>
      <w:r>
        <w:rPr>
          <w:rStyle w:val="shorttext"/>
          <w:color w:val="000000" w:themeColor="text1"/>
        </w:rPr>
        <w:t xml:space="preserve">the </w:t>
      </w:r>
      <w:r w:rsidRPr="00957DC8">
        <w:rPr>
          <w:rStyle w:val="shorttext"/>
          <w:color w:val="000000" w:themeColor="text1"/>
        </w:rPr>
        <w:t>TADDOL derivatives. The greater acidity of BINOL (pK</w:t>
      </w:r>
      <w:r w:rsidRPr="003207D6">
        <w:rPr>
          <w:rStyle w:val="shorttext"/>
          <w:color w:val="000000" w:themeColor="text1"/>
          <w:vertAlign w:val="subscript"/>
        </w:rPr>
        <w:t>a</w:t>
      </w:r>
      <w:r w:rsidRPr="00957DC8">
        <w:rPr>
          <w:rStyle w:val="shorttext"/>
          <w:color w:val="000000" w:themeColor="text1"/>
        </w:rPr>
        <w:t xml:space="preserve"> = 13.2,</w:t>
      </w:r>
      <w:r>
        <w:rPr>
          <w:rStyle w:val="shorttext"/>
          <w:color w:val="000000" w:themeColor="text1"/>
        </w:rPr>
        <w:t xml:space="preserve"> DMSO</w:t>
      </w:r>
      <w:r w:rsidRPr="003207D6">
        <w:rPr>
          <w:rStyle w:val="shorttext"/>
          <w:color w:val="000000" w:themeColor="text1"/>
          <w:vertAlign w:val="superscript"/>
        </w:rPr>
        <w:t>26</w:t>
      </w:r>
      <w:r>
        <w:rPr>
          <w:rStyle w:val="shorttext"/>
          <w:color w:val="000000" w:themeColor="text1"/>
        </w:rPr>
        <w:t>) and its lower</w:t>
      </w:r>
      <w:r w:rsidRPr="00957DC8">
        <w:rPr>
          <w:rStyle w:val="shorttext"/>
          <w:color w:val="000000" w:themeColor="text1"/>
        </w:rPr>
        <w:t xml:space="preserve"> steric bulk compared to TADDOL (pK</w:t>
      </w:r>
      <w:r w:rsidRPr="003207D6">
        <w:rPr>
          <w:rStyle w:val="shorttext"/>
          <w:color w:val="000000" w:themeColor="text1"/>
          <w:vertAlign w:val="subscript"/>
        </w:rPr>
        <w:t>a</w:t>
      </w:r>
      <w:r w:rsidRPr="00957DC8">
        <w:rPr>
          <w:rStyle w:val="shorttext"/>
          <w:color w:val="000000" w:themeColor="text1"/>
        </w:rPr>
        <w:t xml:space="preserve"> = 19.2, DMSO</w:t>
      </w:r>
      <w:r w:rsidRPr="003207D6">
        <w:rPr>
          <w:rStyle w:val="shorttext"/>
          <w:color w:val="000000" w:themeColor="text1"/>
          <w:vertAlign w:val="superscript"/>
        </w:rPr>
        <w:t>26</w:t>
      </w:r>
      <w:r w:rsidRPr="00957DC8">
        <w:rPr>
          <w:rStyle w:val="shorttext"/>
          <w:color w:val="000000" w:themeColor="text1"/>
        </w:rPr>
        <w:t>) may explanation</w:t>
      </w:r>
      <w:r>
        <w:rPr>
          <w:rStyle w:val="shorttext"/>
          <w:color w:val="000000" w:themeColor="text1"/>
        </w:rPr>
        <w:t xml:space="preserve"> this</w:t>
      </w:r>
      <w:r w:rsidRPr="00957DC8">
        <w:rPr>
          <w:rStyle w:val="shorttext"/>
          <w:color w:val="000000" w:themeColor="text1"/>
        </w:rPr>
        <w:t xml:space="preserve">. </w:t>
      </w:r>
      <w:r>
        <w:rPr>
          <w:rStyle w:val="shorttext"/>
          <w:color w:val="000000" w:themeColor="text1"/>
        </w:rPr>
        <w:t>Use of</w:t>
      </w:r>
      <w:r w:rsidRPr="00957DC8">
        <w:rPr>
          <w:rStyle w:val="shorttext"/>
          <w:color w:val="000000" w:themeColor="text1"/>
        </w:rPr>
        <w:t xml:space="preserve"> terepht</w:t>
      </w:r>
      <w:r>
        <w:rPr>
          <w:rStyle w:val="shorttext"/>
          <w:color w:val="000000" w:themeColor="text1"/>
        </w:rPr>
        <w:t>h</w:t>
      </w:r>
      <w:r w:rsidRPr="00957DC8">
        <w:rPr>
          <w:rStyle w:val="shorttext"/>
          <w:color w:val="000000" w:themeColor="text1"/>
        </w:rPr>
        <w:t>alic acid with BGI (Table 3, run 11) result</w:t>
      </w:r>
      <w:r>
        <w:rPr>
          <w:rStyle w:val="shorttext"/>
          <w:color w:val="000000" w:themeColor="text1"/>
        </w:rPr>
        <w:t>e</w:t>
      </w:r>
      <w:r w:rsidRPr="00957DC8">
        <w:rPr>
          <w:rStyle w:val="shorttext"/>
          <w:color w:val="000000" w:themeColor="text1"/>
        </w:rPr>
        <w:t xml:space="preserve">d in complete inhibition of </w:t>
      </w:r>
      <w:r>
        <w:rPr>
          <w:rStyle w:val="shorttext"/>
          <w:color w:val="000000" w:themeColor="text1"/>
        </w:rPr>
        <w:t xml:space="preserve">the </w:t>
      </w:r>
      <w:r w:rsidRPr="00957DC8">
        <w:rPr>
          <w:rStyle w:val="shorttext"/>
          <w:color w:val="000000" w:themeColor="text1"/>
        </w:rPr>
        <w:t xml:space="preserve">activity of </w:t>
      </w:r>
      <w:r>
        <w:rPr>
          <w:rStyle w:val="shorttext"/>
          <w:color w:val="000000" w:themeColor="text1"/>
        </w:rPr>
        <w:t>BGI</w:t>
      </w:r>
      <w:r w:rsidRPr="00957DC8">
        <w:rPr>
          <w:rStyle w:val="shorttext"/>
          <w:color w:val="000000" w:themeColor="text1"/>
        </w:rPr>
        <w:t>.</w:t>
      </w:r>
    </w:p>
    <w:tbl>
      <w:tblPr>
        <w:tblW w:w="5000" w:type="pct"/>
        <w:tblLayout w:type="fixed"/>
        <w:tblLook w:val="01E0" w:firstRow="1" w:lastRow="1" w:firstColumn="1" w:lastColumn="1" w:noHBand="0" w:noVBand="0"/>
      </w:tblPr>
      <w:tblGrid>
        <w:gridCol w:w="574"/>
        <w:gridCol w:w="952"/>
        <w:gridCol w:w="1559"/>
        <w:gridCol w:w="992"/>
        <w:gridCol w:w="1014"/>
      </w:tblGrid>
      <w:tr w:rsidR="00CA2102" w:rsidRPr="000633E7" w:rsidTr="00CD2E28">
        <w:tc>
          <w:tcPr>
            <w:tcW w:w="5091" w:type="dxa"/>
            <w:gridSpan w:val="5"/>
          </w:tcPr>
          <w:p w:rsidR="00CA2102" w:rsidRPr="000633E7" w:rsidRDefault="00CA2102" w:rsidP="00CD2E28">
            <w:pPr>
              <w:pStyle w:val="TableCaption"/>
              <w:rPr>
                <w:b/>
                <w:vertAlign w:val="superscript"/>
              </w:rPr>
            </w:pPr>
            <w:r w:rsidRPr="00B11686">
              <w:rPr>
                <w:b/>
              </w:rPr>
              <w:t xml:space="preserve">Table </w:t>
            </w:r>
            <w:r>
              <w:rPr>
                <w:b/>
              </w:rPr>
              <w:t>3</w:t>
            </w:r>
            <w:r w:rsidRPr="00B11686">
              <w:rPr>
                <w:b/>
              </w:rPr>
              <w:t>.</w:t>
            </w:r>
            <w:r>
              <w:t xml:space="preserve"> </w:t>
            </w:r>
            <w:r>
              <w:rPr>
                <w:lang w:val="en-US"/>
              </w:rPr>
              <w:t>Catalytic activity of TBAI, MGI, BGI and CVI in the presence of additives</w:t>
            </w:r>
            <w:r>
              <w:t>.</w:t>
            </w:r>
            <w:r>
              <w:rPr>
                <w:vertAlign w:val="superscript"/>
              </w:rPr>
              <w:t>[a]</w:t>
            </w:r>
          </w:p>
        </w:tc>
      </w:tr>
      <w:tr w:rsidR="00CA2102" w:rsidRPr="00B11686" w:rsidTr="00CD2E28">
        <w:tc>
          <w:tcPr>
            <w:tcW w:w="5091" w:type="dxa"/>
            <w:gridSpan w:val="5"/>
            <w:tcBorders>
              <w:bottom w:val="single" w:sz="8" w:space="0" w:color="000000"/>
            </w:tcBorders>
          </w:tcPr>
          <w:p w:rsidR="00CA2102" w:rsidRPr="00B11686" w:rsidRDefault="00CA2102" w:rsidP="00CD2E28">
            <w:pPr>
              <w:pStyle w:val="TableCaption"/>
              <w:spacing w:line="240" w:lineRule="atLeast"/>
              <w:jc w:val="center"/>
              <w:rPr>
                <w:b/>
              </w:rPr>
            </w:pPr>
            <w:r>
              <w:object w:dxaOrig="4270" w:dyaOrig="1383">
                <v:shape id="_x0000_i1030" type="#_x0000_t75" style="width:159.75pt;height:51.75pt" o:ole="">
                  <v:imagedata r:id="rId27" o:title=""/>
                </v:shape>
                <o:OLEObject Type="Embed" ProgID="ChemDraw.Document.6.0" ShapeID="_x0000_i1030" DrawAspect="Content" ObjectID="_1544967555" r:id="rId28"/>
              </w:object>
            </w:r>
          </w:p>
        </w:tc>
      </w:tr>
      <w:tr w:rsidR="00CA2102" w:rsidRPr="00A178FA" w:rsidTr="00CD2E28">
        <w:trPr>
          <w:trHeight w:val="232"/>
        </w:trPr>
        <w:tc>
          <w:tcPr>
            <w:tcW w:w="574" w:type="dxa"/>
            <w:tcBorders>
              <w:top w:val="single" w:sz="8" w:space="0" w:color="000000"/>
              <w:bottom w:val="single" w:sz="8" w:space="0" w:color="000000"/>
            </w:tcBorders>
          </w:tcPr>
          <w:p w:rsidR="00CA2102" w:rsidRPr="00C83B78" w:rsidRDefault="00CA2102" w:rsidP="00CD2E28">
            <w:pPr>
              <w:pStyle w:val="TableBody"/>
              <w:pBdr>
                <w:top w:val="none" w:sz="0" w:space="0" w:color="auto"/>
                <w:left w:val="none" w:sz="0" w:space="0" w:color="auto"/>
                <w:bottom w:val="none" w:sz="0" w:space="0" w:color="auto"/>
                <w:right w:val="none" w:sz="0" w:space="0" w:color="auto"/>
              </w:pBdr>
              <w:jc w:val="center"/>
              <w:rPr>
                <w:b/>
              </w:rPr>
            </w:pPr>
            <w:r w:rsidRPr="00C83B78">
              <w:rPr>
                <w:b/>
              </w:rPr>
              <w:t>Entry</w:t>
            </w:r>
          </w:p>
        </w:tc>
        <w:tc>
          <w:tcPr>
            <w:tcW w:w="952" w:type="dxa"/>
            <w:tcBorders>
              <w:top w:val="single" w:sz="8" w:space="0" w:color="000000"/>
              <w:bottom w:val="single" w:sz="8" w:space="0" w:color="000000"/>
            </w:tcBorders>
          </w:tcPr>
          <w:p w:rsidR="00CA2102" w:rsidRPr="00C83B78" w:rsidRDefault="00CA2102" w:rsidP="00CD2E28">
            <w:pPr>
              <w:pStyle w:val="TableBody"/>
              <w:pBdr>
                <w:top w:val="none" w:sz="0" w:space="0" w:color="auto"/>
                <w:left w:val="none" w:sz="0" w:space="0" w:color="auto"/>
                <w:bottom w:val="none" w:sz="0" w:space="0" w:color="auto"/>
                <w:right w:val="none" w:sz="0" w:space="0" w:color="auto"/>
              </w:pBdr>
              <w:jc w:val="center"/>
              <w:rPr>
                <w:b/>
              </w:rPr>
            </w:pPr>
            <w:r w:rsidRPr="00C83B78">
              <w:rPr>
                <w:b/>
              </w:rPr>
              <w:t>Catalyst</w:t>
            </w:r>
            <w:r>
              <w:rPr>
                <w:b/>
              </w:rPr>
              <w:t xml:space="preserve"> (mol%)</w:t>
            </w:r>
          </w:p>
        </w:tc>
        <w:tc>
          <w:tcPr>
            <w:tcW w:w="1559" w:type="dxa"/>
            <w:tcBorders>
              <w:top w:val="single" w:sz="8" w:space="0" w:color="000000"/>
              <w:bottom w:val="single" w:sz="8" w:space="0" w:color="000000"/>
            </w:tcBorders>
          </w:tcPr>
          <w:p w:rsidR="00CA2102" w:rsidRPr="00C83B78" w:rsidRDefault="00CA2102" w:rsidP="00CD2E28">
            <w:pPr>
              <w:pStyle w:val="TableBody"/>
              <w:pBdr>
                <w:top w:val="none" w:sz="0" w:space="0" w:color="auto"/>
                <w:left w:val="none" w:sz="0" w:space="0" w:color="auto"/>
                <w:bottom w:val="none" w:sz="0" w:space="0" w:color="auto"/>
                <w:right w:val="none" w:sz="0" w:space="0" w:color="auto"/>
              </w:pBdr>
              <w:jc w:val="center"/>
              <w:rPr>
                <w:b/>
              </w:rPr>
            </w:pPr>
            <w:r>
              <w:rPr>
                <w:b/>
              </w:rPr>
              <w:t>Additive (mol%)</w:t>
            </w:r>
          </w:p>
        </w:tc>
        <w:tc>
          <w:tcPr>
            <w:tcW w:w="992" w:type="dxa"/>
            <w:tcBorders>
              <w:top w:val="single" w:sz="8" w:space="0" w:color="000000"/>
              <w:bottom w:val="single" w:sz="8" w:space="0" w:color="000000"/>
            </w:tcBorders>
          </w:tcPr>
          <w:p w:rsidR="00CA2102" w:rsidRPr="00C83B78" w:rsidRDefault="00CA2102" w:rsidP="00CD2E28">
            <w:pPr>
              <w:pStyle w:val="TableBody"/>
              <w:pBdr>
                <w:top w:val="none" w:sz="0" w:space="0" w:color="auto"/>
                <w:left w:val="none" w:sz="0" w:space="0" w:color="auto"/>
                <w:bottom w:val="none" w:sz="0" w:space="0" w:color="auto"/>
                <w:right w:val="none" w:sz="0" w:space="0" w:color="auto"/>
              </w:pBdr>
              <w:jc w:val="center"/>
              <w:rPr>
                <w:b/>
              </w:rPr>
            </w:pPr>
            <w:r w:rsidRPr="00C83B78">
              <w:rPr>
                <w:b/>
              </w:rPr>
              <w:t>Conversion</w:t>
            </w:r>
            <w:r>
              <w:rPr>
                <w:b/>
              </w:rPr>
              <w:t xml:space="preserve"> </w:t>
            </w:r>
            <w:r w:rsidRPr="00C83B78">
              <w:rPr>
                <w:b/>
              </w:rPr>
              <w:t>%</w:t>
            </w:r>
            <w:r>
              <w:rPr>
                <w:b/>
                <w:vertAlign w:val="superscript"/>
              </w:rPr>
              <w:t>[b]</w:t>
            </w:r>
          </w:p>
        </w:tc>
        <w:tc>
          <w:tcPr>
            <w:tcW w:w="1014" w:type="dxa"/>
            <w:tcBorders>
              <w:top w:val="single" w:sz="8" w:space="0" w:color="000000"/>
              <w:bottom w:val="single" w:sz="8" w:space="0" w:color="000000"/>
            </w:tcBorders>
          </w:tcPr>
          <w:p w:rsidR="00CA2102" w:rsidRPr="00A178FA" w:rsidRDefault="00CA2102" w:rsidP="00CD2E28">
            <w:pPr>
              <w:pStyle w:val="TableBody"/>
              <w:pBdr>
                <w:top w:val="none" w:sz="0" w:space="0" w:color="auto"/>
                <w:left w:val="none" w:sz="0" w:space="0" w:color="auto"/>
                <w:bottom w:val="none" w:sz="0" w:space="0" w:color="auto"/>
                <w:right w:val="none" w:sz="0" w:space="0" w:color="auto"/>
              </w:pBdr>
              <w:jc w:val="center"/>
              <w:rPr>
                <w:b/>
                <w:vertAlign w:val="superscript"/>
              </w:rPr>
            </w:pPr>
            <w:r>
              <w:rPr>
                <w:b/>
              </w:rPr>
              <w:t>S</w:t>
            </w:r>
            <w:r w:rsidRPr="00C83B78">
              <w:rPr>
                <w:b/>
              </w:rPr>
              <w:t>electivity</w:t>
            </w:r>
            <w:r>
              <w:rPr>
                <w:b/>
              </w:rPr>
              <w:t xml:space="preserve"> </w:t>
            </w:r>
            <w:r w:rsidRPr="00C83B78">
              <w:rPr>
                <w:b/>
              </w:rPr>
              <w:t>%</w:t>
            </w:r>
          </w:p>
        </w:tc>
      </w:tr>
      <w:tr w:rsidR="00CA2102" w:rsidRPr="00AE57A1" w:rsidTr="00CD2E28">
        <w:tc>
          <w:tcPr>
            <w:tcW w:w="574" w:type="dxa"/>
            <w:tcBorders>
              <w:top w:val="single" w:sz="8" w:space="0" w:color="000000"/>
            </w:tcBorders>
          </w:tcPr>
          <w:p w:rsidR="00CA2102" w:rsidRPr="00AE57A1" w:rsidRDefault="00CA2102" w:rsidP="00CD2E28">
            <w:pPr>
              <w:pStyle w:val="RSCT03TableBody"/>
              <w:rPr>
                <w:rStyle w:val="CommentReference"/>
                <w:vertAlign w:val="superscript"/>
                <w:lang w:val="pt-BR"/>
              </w:rPr>
            </w:pPr>
            <w:r w:rsidRPr="00AE57A1">
              <w:rPr>
                <w:rStyle w:val="CommentReference"/>
                <w:lang w:val="pt-BR"/>
              </w:rPr>
              <w:t>1</w:t>
            </w:r>
          </w:p>
        </w:tc>
        <w:tc>
          <w:tcPr>
            <w:tcW w:w="952" w:type="dxa"/>
            <w:tcBorders>
              <w:top w:val="single" w:sz="8" w:space="0" w:color="000000"/>
            </w:tcBorders>
          </w:tcPr>
          <w:p w:rsidR="00CA2102" w:rsidRPr="00AE57A1" w:rsidRDefault="00CA2102" w:rsidP="00CD2E28">
            <w:pPr>
              <w:pStyle w:val="RSCT03TableBody"/>
              <w:rPr>
                <w:rStyle w:val="CommentReference"/>
                <w:lang w:val="pt-BR"/>
              </w:rPr>
            </w:pPr>
          </w:p>
        </w:tc>
        <w:tc>
          <w:tcPr>
            <w:tcW w:w="1559" w:type="dxa"/>
            <w:tcBorders>
              <w:top w:val="single" w:sz="8" w:space="0" w:color="000000"/>
            </w:tcBorders>
          </w:tcPr>
          <w:p w:rsidR="00CA2102" w:rsidRPr="00AE57A1" w:rsidRDefault="00CA2102" w:rsidP="00CD2E28">
            <w:pPr>
              <w:pStyle w:val="RSCT03TableBody"/>
              <w:rPr>
                <w:rStyle w:val="CommentReference"/>
                <w:lang w:val="pt-BR"/>
              </w:rPr>
            </w:pPr>
            <w:r w:rsidRPr="00AE57A1">
              <w:rPr>
                <w:rStyle w:val="CommentReference"/>
                <w:lang w:val="pt-BR"/>
              </w:rPr>
              <w:t xml:space="preserve">BINOL, BIMBOL, </w:t>
            </w:r>
            <w:r w:rsidRPr="00AE57A1">
              <w:rPr>
                <w:rStyle w:val="CommentReference"/>
                <w:lang w:val="pt-BR"/>
              </w:rPr>
              <w:br/>
              <w:t>H8-BINOL, TADDOL (1.0)</w:t>
            </w:r>
          </w:p>
        </w:tc>
        <w:tc>
          <w:tcPr>
            <w:tcW w:w="992" w:type="dxa"/>
            <w:tcBorders>
              <w:top w:val="single" w:sz="8" w:space="0" w:color="000000"/>
            </w:tcBorders>
          </w:tcPr>
          <w:p w:rsidR="00CA2102" w:rsidRPr="00AE57A1" w:rsidRDefault="00CA2102" w:rsidP="00CD2E28">
            <w:pPr>
              <w:pStyle w:val="RSCT03TableBody"/>
              <w:rPr>
                <w:rStyle w:val="CommentReference"/>
                <w:lang w:val="pt-BR"/>
              </w:rPr>
            </w:pPr>
            <w:r w:rsidRPr="00AE57A1">
              <w:rPr>
                <w:rStyle w:val="CommentReference"/>
                <w:lang w:val="pt-BR"/>
              </w:rPr>
              <w:t>&lt;1</w:t>
            </w:r>
          </w:p>
        </w:tc>
        <w:tc>
          <w:tcPr>
            <w:tcW w:w="1014" w:type="dxa"/>
            <w:tcBorders>
              <w:top w:val="single" w:sz="8" w:space="0" w:color="000000"/>
            </w:tcBorders>
          </w:tcPr>
          <w:p w:rsidR="00CA2102" w:rsidRPr="00AE57A1" w:rsidRDefault="00CA2102" w:rsidP="00CD2E28">
            <w:pPr>
              <w:pStyle w:val="RSCT03TableBody"/>
              <w:rPr>
                <w:rStyle w:val="CommentReference"/>
                <w:lang w:val="pt-BR"/>
              </w:rPr>
            </w:pPr>
          </w:p>
        </w:tc>
      </w:tr>
      <w:tr w:rsidR="00CA2102" w:rsidRPr="00AE57A1" w:rsidTr="00CD2E28">
        <w:tc>
          <w:tcPr>
            <w:tcW w:w="574" w:type="dxa"/>
          </w:tcPr>
          <w:p w:rsidR="00CA2102" w:rsidRPr="00AE57A1" w:rsidRDefault="00CA2102" w:rsidP="00CD2E28">
            <w:pPr>
              <w:pStyle w:val="RSCT03TableBody"/>
              <w:rPr>
                <w:rStyle w:val="CommentReference"/>
                <w:vertAlign w:val="superscript"/>
                <w:lang w:val="pt-BR"/>
              </w:rPr>
            </w:pPr>
            <w:r w:rsidRPr="00AE57A1">
              <w:rPr>
                <w:rStyle w:val="CommentReference"/>
                <w:lang w:val="pt-BR"/>
              </w:rPr>
              <w:t>2</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Bu</w:t>
            </w:r>
            <w:r w:rsidRPr="00EC0650">
              <w:rPr>
                <w:rStyle w:val="CommentReference"/>
                <w:color w:val="000000" w:themeColor="text1"/>
                <w:vertAlign w:val="subscript"/>
                <w:lang w:val="pt-BR"/>
              </w:rPr>
              <w:t>4</w:t>
            </w:r>
            <w:r w:rsidRPr="00EC0650">
              <w:rPr>
                <w:rStyle w:val="CommentReference"/>
                <w:color w:val="000000" w:themeColor="text1"/>
                <w:lang w:val="pt-BR"/>
              </w:rPr>
              <w:t>NI (2.5)</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BIMBOL (1.25)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53</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3</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Bu</w:t>
            </w:r>
            <w:r w:rsidRPr="00EC0650">
              <w:rPr>
                <w:rStyle w:val="CommentReference"/>
                <w:color w:val="000000" w:themeColor="text1"/>
                <w:vertAlign w:val="subscript"/>
                <w:lang w:val="pt-BR"/>
              </w:rPr>
              <w:t>4</w:t>
            </w:r>
            <w:r w:rsidRPr="00EC0650">
              <w:rPr>
                <w:rStyle w:val="CommentReference"/>
                <w:color w:val="000000" w:themeColor="text1"/>
                <w:lang w:val="pt-BR"/>
              </w:rPr>
              <w:t>NI (2.5)</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H8-BINOL (2.5)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82</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color w:val="000000" w:themeColor="text1"/>
                <w:lang w:val="pt-BR"/>
              </w:rPr>
            </w:pPr>
            <w:r w:rsidRPr="00AE57A1">
              <w:rPr>
                <w:rStyle w:val="CommentReference"/>
                <w:color w:val="000000" w:themeColor="text1"/>
                <w:lang w:val="pt-BR"/>
              </w:rPr>
              <w:t>4</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Bu</w:t>
            </w:r>
            <w:r w:rsidRPr="00EC0650">
              <w:rPr>
                <w:rStyle w:val="CommentReference"/>
                <w:color w:val="000000" w:themeColor="text1"/>
                <w:vertAlign w:val="subscript"/>
                <w:lang w:val="pt-BR"/>
              </w:rPr>
              <w:t>4</w:t>
            </w:r>
            <w:r w:rsidRPr="00EC0650">
              <w:rPr>
                <w:rStyle w:val="CommentReference"/>
                <w:color w:val="000000" w:themeColor="text1"/>
                <w:lang w:val="pt-BR"/>
              </w:rPr>
              <w:t>NI (2.5)</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BINOL (2.5)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88</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color w:val="000000" w:themeColor="text1"/>
                <w:lang w:val="pt-BR"/>
              </w:rPr>
            </w:pPr>
            <w:r w:rsidRPr="00AE57A1">
              <w:rPr>
                <w:rStyle w:val="CommentReference"/>
                <w:color w:val="000000" w:themeColor="text1"/>
                <w:lang w:val="pt-BR"/>
              </w:rPr>
              <w:t>5</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Bu</w:t>
            </w:r>
            <w:r w:rsidRPr="00EC0650">
              <w:rPr>
                <w:rStyle w:val="CommentReference"/>
                <w:color w:val="000000" w:themeColor="text1"/>
                <w:vertAlign w:val="subscript"/>
                <w:lang w:val="pt-BR"/>
              </w:rPr>
              <w:t>4</w:t>
            </w:r>
            <w:r w:rsidRPr="00EC0650">
              <w:rPr>
                <w:rStyle w:val="CommentReference"/>
                <w:color w:val="000000" w:themeColor="text1"/>
                <w:lang w:val="pt-BR"/>
              </w:rPr>
              <w:t>NI (1.0)</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BINOL (2.5)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69</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vertAlign w:val="superscript"/>
                <w:lang w:val="pt-BR"/>
              </w:rPr>
            </w:pPr>
            <w:r w:rsidRPr="00AE57A1">
              <w:rPr>
                <w:rStyle w:val="CommentReference"/>
                <w:lang w:val="pt-BR"/>
              </w:rPr>
              <w:t>6</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MGI (1.0)</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BINOL (1.0)</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12</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7</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BGI (2.5)</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BIMBOL (1.25)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58</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8</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BGI (2.5)</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H8-BINOL (2.5)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82</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9</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BGI (1.0)</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BINOL (1.0)</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49</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10</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BGI (2.5)</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BINOL (2.5)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100</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11</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BGI (2.5)</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Terephthalic acid (2.5)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0</w:t>
            </w:r>
          </w:p>
        </w:tc>
        <w:tc>
          <w:tcPr>
            <w:tcW w:w="1014" w:type="dxa"/>
          </w:tcPr>
          <w:p w:rsidR="00CA2102" w:rsidRPr="00AE57A1" w:rsidRDefault="00CA2102" w:rsidP="00CD2E28">
            <w:pPr>
              <w:pStyle w:val="RSCT03TableBody"/>
              <w:rPr>
                <w:rStyle w:val="CommentReference"/>
                <w:lang w:val="pt-BR"/>
              </w:rPr>
            </w:pP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12</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CVI (1.0)</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TADDOL (1.0)</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48</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13</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CVI (1.0)</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BIMBOL (0.5)</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57</w:t>
            </w:r>
          </w:p>
        </w:tc>
        <w:tc>
          <w:tcPr>
            <w:tcW w:w="1014" w:type="dxa"/>
          </w:tcPr>
          <w:p w:rsidR="00CA2102" w:rsidRPr="00AE57A1" w:rsidRDefault="00CA2102" w:rsidP="00CD2E28">
            <w:pPr>
              <w:pStyle w:val="RSCT03TableBody"/>
              <w:rPr>
                <w:rStyle w:val="CommentReference"/>
                <w:lang w:val="pt-BR"/>
              </w:rPr>
            </w:pPr>
            <w:r w:rsidRPr="00AE57A1">
              <w:rPr>
                <w:rStyle w:val="CommentReference"/>
                <w:lang w:val="pt-BR"/>
              </w:rPr>
              <w:t>&gt;99</w:t>
            </w:r>
          </w:p>
        </w:tc>
      </w:tr>
      <w:tr w:rsidR="00CA2102" w:rsidRPr="00AE57A1" w:rsidTr="00CD2E28">
        <w:tc>
          <w:tcPr>
            <w:tcW w:w="574" w:type="dxa"/>
          </w:tcPr>
          <w:p w:rsidR="00CA2102" w:rsidRPr="00AE57A1" w:rsidRDefault="00CA2102" w:rsidP="00CD2E28">
            <w:pPr>
              <w:pStyle w:val="RSCT03TableBody"/>
              <w:rPr>
                <w:rStyle w:val="CommentReference"/>
                <w:lang w:val="pt-BR"/>
              </w:rPr>
            </w:pPr>
            <w:r w:rsidRPr="00AE57A1">
              <w:rPr>
                <w:rStyle w:val="CommentReference"/>
                <w:lang w:val="pt-BR"/>
              </w:rPr>
              <w:t>14</w:t>
            </w:r>
          </w:p>
        </w:tc>
        <w:tc>
          <w:tcPr>
            <w:tcW w:w="952"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CVI (1.0)</w:t>
            </w:r>
          </w:p>
        </w:tc>
        <w:tc>
          <w:tcPr>
            <w:tcW w:w="1559" w:type="dxa"/>
          </w:tcPr>
          <w:p w:rsidR="00CA2102" w:rsidRPr="00EC0650" w:rsidRDefault="00CA2102" w:rsidP="00CD2E28">
            <w:pPr>
              <w:pStyle w:val="RSCT03TableBody"/>
              <w:rPr>
                <w:rStyle w:val="CommentReference"/>
                <w:color w:val="000000" w:themeColor="text1"/>
                <w:lang w:val="pt-BR"/>
              </w:rPr>
            </w:pPr>
            <w:r w:rsidRPr="00EC0650">
              <w:rPr>
                <w:rStyle w:val="CommentReference"/>
                <w:color w:val="000000" w:themeColor="text1"/>
                <w:lang w:val="pt-BR"/>
              </w:rPr>
              <w:t>BINOL (1.0)</w:t>
            </w:r>
          </w:p>
        </w:tc>
        <w:tc>
          <w:tcPr>
            <w:tcW w:w="992" w:type="dxa"/>
          </w:tcPr>
          <w:p w:rsidR="00CA2102" w:rsidRPr="00AE57A1" w:rsidRDefault="00CA2102" w:rsidP="00CD2E28">
            <w:pPr>
              <w:pStyle w:val="RSCT03TableBody"/>
              <w:rPr>
                <w:rStyle w:val="CommentReference"/>
                <w:lang w:val="pt-BR"/>
              </w:rPr>
            </w:pPr>
            <w:r w:rsidRPr="00AE57A1">
              <w:rPr>
                <w:rStyle w:val="CommentReference"/>
                <w:lang w:val="pt-BR"/>
              </w:rPr>
              <w:t>82</w:t>
            </w:r>
          </w:p>
        </w:tc>
        <w:tc>
          <w:tcPr>
            <w:tcW w:w="1014" w:type="dxa"/>
          </w:tcPr>
          <w:p w:rsidR="00CA2102" w:rsidRPr="00AE57A1" w:rsidRDefault="00943CC7" w:rsidP="00CD2E28">
            <w:pPr>
              <w:pStyle w:val="RSCT03TableBody"/>
              <w:rPr>
                <w:rStyle w:val="CommentReference"/>
                <w:color w:val="FF0000"/>
                <w:lang w:val="pt-BR"/>
              </w:rPr>
            </w:pPr>
            <w:r w:rsidRPr="00943CC7">
              <w:rPr>
                <w:rStyle w:val="CommentReference"/>
                <w:color w:val="000000" w:themeColor="text1"/>
                <w:lang w:val="pt-BR"/>
              </w:rPr>
              <w:t>&gt;99</w:t>
            </w:r>
          </w:p>
        </w:tc>
      </w:tr>
      <w:tr w:rsidR="00CA2102" w:rsidTr="00CD2E28">
        <w:tc>
          <w:tcPr>
            <w:tcW w:w="5091" w:type="dxa"/>
            <w:gridSpan w:val="5"/>
            <w:tcBorders>
              <w:top w:val="single" w:sz="8" w:space="0" w:color="000000"/>
            </w:tcBorders>
          </w:tcPr>
          <w:p w:rsidR="00CA2102" w:rsidRDefault="00CA2102" w:rsidP="00CD2E28">
            <w:pPr>
              <w:pStyle w:val="TableFoot"/>
            </w:pPr>
            <w:r>
              <w:t xml:space="preserve">[a] </w:t>
            </w:r>
            <w:r>
              <w:rPr>
                <w:lang w:val="en-US"/>
              </w:rPr>
              <w:t>Reaction conditions: neat SO</w:t>
            </w:r>
            <w:r w:rsidRPr="007C72F2">
              <w:rPr>
                <w:lang w:val="en-US"/>
              </w:rPr>
              <w:t>, 50</w:t>
            </w:r>
            <w:r w:rsidRPr="007C72F2">
              <w:rPr>
                <w:vertAlign w:val="superscript"/>
                <w:lang w:val="en-US"/>
              </w:rPr>
              <w:t>o</w:t>
            </w:r>
            <w:r w:rsidRPr="007C72F2">
              <w:rPr>
                <w:lang w:val="en-US"/>
              </w:rPr>
              <w:t>C, 5 MPa CO</w:t>
            </w:r>
            <w:r w:rsidRPr="007C72F2">
              <w:rPr>
                <w:vertAlign w:val="subscript"/>
                <w:lang w:val="en-US"/>
              </w:rPr>
              <w:t>2</w:t>
            </w:r>
            <w:r>
              <w:rPr>
                <w:lang w:val="en-US"/>
              </w:rPr>
              <w:t>, 24 h</w:t>
            </w:r>
            <w:r w:rsidRPr="007C72F2">
              <w:rPr>
                <w:lang w:val="en-US"/>
              </w:rPr>
              <w:t>.</w:t>
            </w:r>
            <w:r>
              <w:rPr>
                <w:lang w:val="en-US"/>
              </w:rPr>
              <w:t xml:space="preserve"> [b] Conversions were determined by </w:t>
            </w:r>
            <w:r w:rsidRPr="003B104E">
              <w:rPr>
                <w:vertAlign w:val="superscript"/>
                <w:lang w:val="en-US"/>
              </w:rPr>
              <w:t>1</w:t>
            </w:r>
            <w:r>
              <w:rPr>
                <w:lang w:val="en-US"/>
              </w:rPr>
              <w:t>H NMR using the catalyst signals as internal standard.</w:t>
            </w:r>
          </w:p>
        </w:tc>
      </w:tr>
    </w:tbl>
    <w:p w:rsidR="00C83B78" w:rsidRDefault="00AE57A1" w:rsidP="00AE57A1">
      <w:pPr>
        <w:pStyle w:val="P1"/>
        <w:ind w:firstLine="425"/>
        <w:rPr>
          <w:color w:val="000000" w:themeColor="text1"/>
        </w:rPr>
      </w:pPr>
      <w:r w:rsidRPr="00703FBA">
        <w:rPr>
          <w:rStyle w:val="shorttext"/>
          <w:color w:val="000000" w:themeColor="text1"/>
        </w:rPr>
        <w:t xml:space="preserve">In order to explore the nature of the interactions between BINOL and a dye molecule, </w:t>
      </w:r>
      <w:r w:rsidRPr="00703FBA">
        <w:rPr>
          <w:rStyle w:val="shorttext"/>
          <w:color w:val="000000" w:themeColor="text1"/>
          <w:vertAlign w:val="superscript"/>
        </w:rPr>
        <w:t>1</w:t>
      </w:r>
      <w:r w:rsidRPr="00703FBA">
        <w:rPr>
          <w:rStyle w:val="shorttext"/>
          <w:color w:val="000000" w:themeColor="text1"/>
        </w:rPr>
        <w:t xml:space="preserve">H and </w:t>
      </w:r>
      <w:r w:rsidRPr="00703FBA">
        <w:rPr>
          <w:rStyle w:val="shorttext"/>
          <w:color w:val="000000" w:themeColor="text1"/>
          <w:vertAlign w:val="superscript"/>
        </w:rPr>
        <w:t>13</w:t>
      </w:r>
      <w:r w:rsidRPr="00703FBA">
        <w:rPr>
          <w:rStyle w:val="shorttext"/>
          <w:color w:val="000000" w:themeColor="text1"/>
        </w:rPr>
        <w:t>C NMR spectra of mixtures of BGI and different concentrations of BINOL were recorded (Figure 4). Significant shifts to lower fields of the hydroxyl protons of BINOL were the most conspicuous change in the spectra of BINOL within the mixture (Figure 4, b–e). Some upfield shifts of CH</w:t>
      </w:r>
      <w:r w:rsidRPr="00703FBA">
        <w:rPr>
          <w:rStyle w:val="shorttext"/>
          <w:color w:val="000000" w:themeColor="text1"/>
          <w:vertAlign w:val="subscript"/>
        </w:rPr>
        <w:t>2</w:t>
      </w:r>
      <w:r w:rsidRPr="00703FBA">
        <w:rPr>
          <w:rStyle w:val="shorttext"/>
          <w:color w:val="000000" w:themeColor="text1"/>
        </w:rPr>
        <w:t xml:space="preserve"> protons within the BGI amino groups and of the BGI aromatic protons (</w:t>
      </w:r>
      <w:r w:rsidRPr="00703FBA">
        <w:rPr>
          <w:rStyle w:val="shorttext"/>
          <w:i/>
          <w:color w:val="000000" w:themeColor="text1"/>
        </w:rPr>
        <w:t>ortho</w:t>
      </w:r>
      <w:r w:rsidRPr="00703FBA">
        <w:rPr>
          <w:rStyle w:val="shorttext"/>
          <w:color w:val="000000" w:themeColor="text1"/>
        </w:rPr>
        <w:t xml:space="preserve"> to the amino groups) with increasing BINOL concentration were also observed (Fig</w:t>
      </w:r>
      <w:r w:rsidR="00F969DA">
        <w:rPr>
          <w:rStyle w:val="shorttext"/>
          <w:color w:val="000000" w:themeColor="text1"/>
        </w:rPr>
        <w:t>ure</w:t>
      </w:r>
      <w:r w:rsidRPr="00703FBA">
        <w:rPr>
          <w:rStyle w:val="shorttext"/>
          <w:color w:val="000000" w:themeColor="text1"/>
        </w:rPr>
        <w:t xml:space="preserve"> 4, a–d). In addition, 0.2 ppm shifts of the carbocation’s </w:t>
      </w:r>
      <w:r w:rsidRPr="00703FBA">
        <w:rPr>
          <w:rStyle w:val="shorttext"/>
          <w:color w:val="000000" w:themeColor="text1"/>
          <w:vertAlign w:val="superscript"/>
        </w:rPr>
        <w:t>13</w:t>
      </w:r>
      <w:r w:rsidRPr="00703FBA">
        <w:rPr>
          <w:rStyle w:val="shorttext"/>
          <w:color w:val="000000" w:themeColor="text1"/>
        </w:rPr>
        <w:t>C NMR signal to higher fields in spectra at a 1:3 ratio of BGI/BINOL was detected (see Supporting Information). These spectra indicate that the Lewis acidic central carbon atom of BGI interacted with BINOL through a lone pair of an OH group in a similar way to its interaction with PO (Figure 2). Such</w:t>
      </w:r>
      <w:r w:rsidRPr="00AE57A1">
        <w:rPr>
          <w:color w:val="000000" w:themeColor="text1"/>
        </w:rPr>
        <w:t xml:space="preserve"> </w:t>
      </w:r>
      <w:r w:rsidRPr="00703FBA">
        <w:rPr>
          <w:rStyle w:val="shorttext"/>
          <w:color w:val="000000" w:themeColor="text1"/>
        </w:rPr>
        <w:t>interaction should lead to greater acidity of the hydroxyl group and to the shifts of the proton resonance to a lower field</w:t>
      </w:r>
      <w:r w:rsidRPr="00703FBA">
        <w:rPr>
          <w:color w:val="000000" w:themeColor="text1"/>
        </w:rPr>
        <w:t>.</w:t>
      </w:r>
    </w:p>
    <w:p w:rsidR="00C83B78" w:rsidRDefault="00AE57A1" w:rsidP="00AE57A1">
      <w:pPr>
        <w:pStyle w:val="P1"/>
        <w:spacing w:line="240" w:lineRule="atLeast"/>
      </w:pPr>
      <w:r>
        <w:rPr>
          <w:noProof/>
          <w:lang w:val="en-GB" w:eastAsia="en-GB"/>
        </w:rPr>
        <w:drawing>
          <wp:inline distT="0" distB="0" distL="0" distR="0" wp14:anchorId="60DC409F" wp14:editId="7CA7EF65">
            <wp:extent cx="3095625" cy="21599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5625" cy="2159926"/>
                    </a:xfrm>
                    <a:prstGeom prst="rect">
                      <a:avLst/>
                    </a:prstGeom>
                    <a:noFill/>
                    <a:ln>
                      <a:noFill/>
                    </a:ln>
                  </pic:spPr>
                </pic:pic>
              </a:graphicData>
            </a:graphic>
          </wp:inline>
        </w:drawing>
      </w:r>
    </w:p>
    <w:p w:rsidR="00AE57A1" w:rsidRDefault="00AE57A1" w:rsidP="00AE57A1">
      <w:pPr>
        <w:pStyle w:val="P1"/>
        <w:spacing w:line="240" w:lineRule="atLeast"/>
      </w:pPr>
    </w:p>
    <w:p w:rsidR="00AE57A1" w:rsidRDefault="00AE57A1" w:rsidP="00AE57A1">
      <w:pPr>
        <w:spacing w:line="240" w:lineRule="atLeast"/>
        <w:jc w:val="center"/>
        <w:rPr>
          <w:color w:val="FF0000"/>
        </w:rPr>
      </w:pPr>
      <w:r>
        <w:object w:dxaOrig="2856" w:dyaOrig="2079">
          <v:shape id="_x0000_i1031" type="#_x0000_t75" style="width:142.5pt;height:104.25pt" o:ole="">
            <v:imagedata r:id="rId30" o:title=""/>
          </v:shape>
          <o:OLEObject Type="Embed" ProgID="ChemDraw.Document.6.0" ShapeID="_x0000_i1031" DrawAspect="Content" ObjectID="_1544967556" r:id="rId31"/>
        </w:object>
      </w:r>
    </w:p>
    <w:p w:rsidR="00AE57A1" w:rsidRDefault="00AE57A1" w:rsidP="00AE57A1">
      <w:pPr>
        <w:pStyle w:val="SchemeCaption"/>
      </w:pPr>
      <w:r>
        <w:rPr>
          <w:b/>
        </w:rPr>
        <w:t>Figure 4</w:t>
      </w:r>
      <w:r w:rsidRPr="00622835">
        <w:rPr>
          <w:b/>
        </w:rPr>
        <w:t>.</w:t>
      </w:r>
      <w:r w:rsidRPr="00622835">
        <w:t xml:space="preserve"> </w:t>
      </w:r>
      <w:r w:rsidRPr="003C7695">
        <w:rPr>
          <w:vertAlign w:val="superscript"/>
          <w:lang w:val="en-US"/>
        </w:rPr>
        <w:t>1</w:t>
      </w:r>
      <w:r w:rsidRPr="002E3281">
        <w:rPr>
          <w:lang w:val="en-US"/>
        </w:rPr>
        <w:t>H</w:t>
      </w:r>
      <w:r w:rsidRPr="00696FF7">
        <w:rPr>
          <w:lang w:val="en-US"/>
        </w:rPr>
        <w:t xml:space="preserve"> </w:t>
      </w:r>
      <w:r w:rsidRPr="002E3281">
        <w:rPr>
          <w:lang w:val="en-US"/>
        </w:rPr>
        <w:t>NMR</w:t>
      </w:r>
      <w:r w:rsidRPr="00696FF7">
        <w:rPr>
          <w:lang w:val="en-US"/>
        </w:rPr>
        <w:t xml:space="preserve"> </w:t>
      </w:r>
      <w:r w:rsidRPr="002E3281">
        <w:rPr>
          <w:lang w:val="en-US"/>
        </w:rPr>
        <w:t>spectra</w:t>
      </w:r>
      <w:r w:rsidRPr="00696FF7">
        <w:rPr>
          <w:lang w:val="en-US"/>
        </w:rPr>
        <w:t xml:space="preserve"> </w:t>
      </w:r>
      <w:r w:rsidRPr="002E3281">
        <w:rPr>
          <w:lang w:val="en-US"/>
        </w:rPr>
        <w:t>of</w:t>
      </w:r>
      <w:r w:rsidRPr="00696FF7">
        <w:rPr>
          <w:lang w:val="en-US"/>
        </w:rPr>
        <w:t xml:space="preserve"> </w:t>
      </w:r>
      <w:r w:rsidRPr="002E3281">
        <w:rPr>
          <w:lang w:val="en-US"/>
        </w:rPr>
        <w:t>different</w:t>
      </w:r>
      <w:r w:rsidRPr="00696FF7">
        <w:rPr>
          <w:lang w:val="en-US"/>
        </w:rPr>
        <w:t xml:space="preserve"> </w:t>
      </w:r>
      <w:r>
        <w:rPr>
          <w:lang w:val="en-US"/>
        </w:rPr>
        <w:t>ratios of</w:t>
      </w:r>
      <w:r w:rsidRPr="002E3281">
        <w:rPr>
          <w:lang w:val="en-US"/>
        </w:rPr>
        <w:t xml:space="preserve"> BGI:BINOL</w:t>
      </w:r>
      <w:r>
        <w:rPr>
          <w:lang w:val="en-US"/>
        </w:rPr>
        <w:t xml:space="preserve"> in </w:t>
      </w:r>
      <w:r w:rsidRPr="00256240">
        <w:rPr>
          <w:lang w:val="en-US"/>
        </w:rPr>
        <w:t>CD</w:t>
      </w:r>
      <w:r w:rsidRPr="00256240">
        <w:rPr>
          <w:vertAlign w:val="subscript"/>
          <w:lang w:val="en-US"/>
        </w:rPr>
        <w:t>2</w:t>
      </w:r>
      <w:r w:rsidRPr="00256240">
        <w:rPr>
          <w:lang w:val="en-US"/>
        </w:rPr>
        <w:t>Cl</w:t>
      </w:r>
      <w:r w:rsidRPr="00256240">
        <w:rPr>
          <w:vertAlign w:val="subscript"/>
          <w:lang w:val="en-US"/>
        </w:rPr>
        <w:t>2</w:t>
      </w:r>
      <w:r w:rsidRPr="00256240">
        <w:rPr>
          <w:lang w:val="en-US"/>
        </w:rPr>
        <w:t>.</w:t>
      </w:r>
      <w:r w:rsidRPr="00696FF7">
        <w:rPr>
          <w:lang w:val="en-US"/>
        </w:rPr>
        <w:t xml:space="preserve"> </w:t>
      </w:r>
      <w:r>
        <w:rPr>
          <w:lang w:val="en-US"/>
        </w:rPr>
        <w:t>a) BGI only; b) BINOL:BGI = 1:1; c) BINOL:BGI = 2:1; d) BINOL:BGI = 3:1; e) BINOL only.</w:t>
      </w:r>
    </w:p>
    <w:p w:rsidR="00AE57A1" w:rsidRPr="00AE57A1" w:rsidRDefault="00D2571F" w:rsidP="00AE57A1">
      <w:pPr>
        <w:pStyle w:val="P1"/>
        <w:spacing w:line="240" w:lineRule="atLeast"/>
      </w:pPr>
      <w:r w:rsidRPr="00D2571F">
        <w:rPr>
          <w:noProof/>
          <w:lang w:val="en-GB" w:eastAsia="en-GB"/>
        </w:rPr>
        <w:drawing>
          <wp:inline distT="0" distB="0" distL="0" distR="0" wp14:anchorId="1D657B91" wp14:editId="59423C65">
            <wp:extent cx="3095625" cy="194302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95625" cy="1943029"/>
                    </a:xfrm>
                    <a:prstGeom prst="rect">
                      <a:avLst/>
                    </a:prstGeom>
                    <a:noFill/>
                    <a:ln>
                      <a:noFill/>
                    </a:ln>
                  </pic:spPr>
                </pic:pic>
              </a:graphicData>
            </a:graphic>
          </wp:inline>
        </w:drawing>
      </w:r>
    </w:p>
    <w:p w:rsidR="00AE57A1" w:rsidRDefault="00AE57A1" w:rsidP="00AE57A1">
      <w:pPr>
        <w:pStyle w:val="SchemeCaption"/>
        <w:rPr>
          <w:color w:val="FF0000"/>
          <w:lang w:val="en-US"/>
        </w:rPr>
      </w:pPr>
      <w:r>
        <w:rPr>
          <w:b/>
        </w:rPr>
        <w:t>Figure 5</w:t>
      </w:r>
      <w:r w:rsidRPr="00622835">
        <w:rPr>
          <w:b/>
        </w:rPr>
        <w:t>.</w:t>
      </w:r>
      <w:r w:rsidRPr="00622835">
        <w:t xml:space="preserve"> </w:t>
      </w:r>
      <w:r>
        <w:rPr>
          <w:lang w:val="en-US"/>
        </w:rPr>
        <w:t>Job’s plot for the BGI:BINOL and CVI:BINOL systems in the synthesis of styrene carbonate from SO and CO</w:t>
      </w:r>
      <w:r w:rsidRPr="00703FBA">
        <w:rPr>
          <w:vertAlign w:val="subscript"/>
          <w:lang w:val="en-US"/>
        </w:rPr>
        <w:t>2</w:t>
      </w:r>
      <w:r>
        <w:rPr>
          <w:lang w:val="en-US"/>
        </w:rPr>
        <w:t xml:space="preserve">. Reaction conditions: neat </w:t>
      </w:r>
      <w:r w:rsidRPr="001C4A40">
        <w:rPr>
          <w:color w:val="000000" w:themeColor="text1"/>
          <w:lang w:val="en-US"/>
        </w:rPr>
        <w:t>SO, 2 mol% BINOL+ca</w:t>
      </w:r>
      <w:r w:rsidR="00D2571F">
        <w:rPr>
          <w:color w:val="000000" w:themeColor="text1"/>
          <w:lang w:val="en-US"/>
        </w:rPr>
        <w:t>r</w:t>
      </w:r>
      <w:r w:rsidRPr="001C4A40">
        <w:rPr>
          <w:color w:val="000000" w:themeColor="text1"/>
          <w:lang w:val="en-US"/>
        </w:rPr>
        <w:t xml:space="preserve">bocation, </w:t>
      </w:r>
      <w:r>
        <w:rPr>
          <w:lang w:val="en-US"/>
        </w:rPr>
        <w:t>50</w:t>
      </w:r>
      <w:r w:rsidRPr="00C24BC2">
        <w:rPr>
          <w:vertAlign w:val="superscript"/>
          <w:lang w:val="en-US"/>
        </w:rPr>
        <w:t>o</w:t>
      </w:r>
      <w:r>
        <w:rPr>
          <w:lang w:val="en-US"/>
        </w:rPr>
        <w:t>C, 5MPa CO</w:t>
      </w:r>
      <w:r w:rsidRPr="00C24BC2">
        <w:rPr>
          <w:vertAlign w:val="subscript"/>
          <w:lang w:val="en-US"/>
        </w:rPr>
        <w:t>2</w:t>
      </w:r>
      <w:r>
        <w:rPr>
          <w:lang w:val="en-US"/>
        </w:rPr>
        <w:t>, 24 h.</w:t>
      </w:r>
      <w:r w:rsidR="009343A0">
        <w:rPr>
          <w:lang w:val="en-US"/>
        </w:rPr>
        <w:t xml:space="preserve"> </w:t>
      </w:r>
    </w:p>
    <w:p w:rsidR="00CD2E28" w:rsidRPr="00B11C95" w:rsidRDefault="009343A0" w:rsidP="00B11C95">
      <w:pPr>
        <w:pStyle w:val="P1"/>
        <w:ind w:firstLine="425"/>
        <w:rPr>
          <w:rStyle w:val="shorttext"/>
        </w:rPr>
      </w:pPr>
      <w:r w:rsidRPr="001C4A40">
        <w:rPr>
          <w:color w:val="000000" w:themeColor="text1"/>
        </w:rPr>
        <w:t xml:space="preserve">In order to determine the optimal ratio between the dyes and BINOL, Job’s plots of the activity of BGI or CVI / BINOL were constructed (Figure 5). The total loading of the BINOL-carbocation system was kept constant at 2 mol%. </w:t>
      </w:r>
      <w:r w:rsidRPr="001C4A40">
        <w:rPr>
          <w:rStyle w:val="shorttext"/>
          <w:color w:val="000000" w:themeColor="text1"/>
        </w:rPr>
        <w:t>As shown by Figure 5, for BGI the highest yields of styrene carbonate were achieved in the range BGI/BINOL = 2:1 to BGI/BINOL = 1:1. For CVI, a similar dependence was observed with the best ratio CVI/BINOL being 1:1.</w:t>
      </w:r>
    </w:p>
    <w:tbl>
      <w:tblPr>
        <w:tblW w:w="5000" w:type="pct"/>
        <w:tblLook w:val="01E0" w:firstRow="1" w:lastRow="1" w:firstColumn="1" w:lastColumn="1" w:noHBand="0" w:noVBand="0"/>
      </w:tblPr>
      <w:tblGrid>
        <w:gridCol w:w="638"/>
        <w:gridCol w:w="897"/>
        <w:gridCol w:w="1055"/>
        <w:gridCol w:w="1426"/>
        <w:gridCol w:w="1075"/>
      </w:tblGrid>
      <w:tr w:rsidR="00EC0650" w:rsidRPr="00F01D4C" w:rsidTr="00EC0650">
        <w:tc>
          <w:tcPr>
            <w:tcW w:w="5000" w:type="pct"/>
            <w:gridSpan w:val="5"/>
          </w:tcPr>
          <w:p w:rsidR="00EC0650" w:rsidRPr="000633E7" w:rsidRDefault="00EC0650" w:rsidP="00CD2E28">
            <w:pPr>
              <w:pStyle w:val="TableCaption"/>
              <w:rPr>
                <w:b/>
                <w:vertAlign w:val="superscript"/>
              </w:rPr>
            </w:pPr>
            <w:r w:rsidRPr="00B11686">
              <w:rPr>
                <w:b/>
              </w:rPr>
              <w:t xml:space="preserve">Table </w:t>
            </w:r>
            <w:r>
              <w:rPr>
                <w:b/>
              </w:rPr>
              <w:t>4</w:t>
            </w:r>
            <w:r w:rsidRPr="00B11686">
              <w:rPr>
                <w:b/>
              </w:rPr>
              <w:t>.</w:t>
            </w:r>
            <w:r>
              <w:t xml:space="preserve"> </w:t>
            </w:r>
            <w:r>
              <w:rPr>
                <w:lang w:val="en-US"/>
              </w:rPr>
              <w:t>CVI/BINOL catalysed synthesis of cyclic carbonates</w:t>
            </w:r>
          </w:p>
        </w:tc>
      </w:tr>
      <w:tr w:rsidR="00EC0650" w:rsidRPr="00F01D4C" w:rsidTr="00EC0650">
        <w:tc>
          <w:tcPr>
            <w:tcW w:w="5000" w:type="pct"/>
            <w:gridSpan w:val="5"/>
            <w:tcBorders>
              <w:bottom w:val="single" w:sz="8" w:space="0" w:color="000000"/>
            </w:tcBorders>
          </w:tcPr>
          <w:p w:rsidR="00EC0650" w:rsidRPr="00B11686" w:rsidRDefault="00995B0D" w:rsidP="00CD2E28">
            <w:pPr>
              <w:pStyle w:val="TableCaption"/>
              <w:spacing w:line="240" w:lineRule="atLeast"/>
              <w:jc w:val="center"/>
              <w:rPr>
                <w:b/>
              </w:rPr>
            </w:pPr>
            <w:r>
              <w:object w:dxaOrig="6682" w:dyaOrig="3355">
                <v:shape id="_x0000_i1032" type="#_x0000_t75" style="width:243.75pt;height:122.25pt" o:ole="">
                  <v:imagedata r:id="rId33" o:title=""/>
                </v:shape>
                <o:OLEObject Type="Embed" ProgID="ChemDraw.Document.6.0" ShapeID="_x0000_i1032" DrawAspect="Content" ObjectID="_1544967557" r:id="rId34"/>
              </w:object>
            </w:r>
          </w:p>
        </w:tc>
      </w:tr>
      <w:tr w:rsidR="00EC0650" w:rsidRPr="00EA067A" w:rsidTr="00B11C95">
        <w:trPr>
          <w:trHeight w:val="232"/>
        </w:trPr>
        <w:tc>
          <w:tcPr>
            <w:tcW w:w="626" w:type="pct"/>
            <w:tcBorders>
              <w:top w:val="single" w:sz="8" w:space="0" w:color="000000"/>
              <w:bottom w:val="single" w:sz="8" w:space="0" w:color="000000"/>
            </w:tcBorders>
          </w:tcPr>
          <w:p w:rsidR="00EC0650" w:rsidRPr="00C83B78" w:rsidRDefault="00EC0650" w:rsidP="00CD2E28">
            <w:pPr>
              <w:pStyle w:val="TableBody"/>
              <w:pBdr>
                <w:top w:val="none" w:sz="0" w:space="0" w:color="auto"/>
                <w:left w:val="none" w:sz="0" w:space="0" w:color="auto"/>
                <w:bottom w:val="none" w:sz="0" w:space="0" w:color="auto"/>
                <w:right w:val="none" w:sz="0" w:space="0" w:color="auto"/>
              </w:pBdr>
              <w:jc w:val="center"/>
              <w:rPr>
                <w:b/>
              </w:rPr>
            </w:pPr>
            <w:r w:rsidRPr="00C83B78">
              <w:rPr>
                <w:b/>
              </w:rPr>
              <w:t>Entry</w:t>
            </w:r>
          </w:p>
        </w:tc>
        <w:tc>
          <w:tcPr>
            <w:tcW w:w="881" w:type="pct"/>
            <w:tcBorders>
              <w:top w:val="single" w:sz="8" w:space="0" w:color="000000"/>
              <w:bottom w:val="single" w:sz="8" w:space="0" w:color="000000"/>
            </w:tcBorders>
          </w:tcPr>
          <w:p w:rsidR="00EC0650" w:rsidRPr="001E1CE0" w:rsidRDefault="00EC0650" w:rsidP="00CD2E28">
            <w:pPr>
              <w:pStyle w:val="RSCT03TableBody"/>
              <w:rPr>
                <w:rStyle w:val="CommentReference"/>
                <w:b/>
                <w:lang w:val="pt-BR"/>
              </w:rPr>
            </w:pPr>
            <w:r>
              <w:rPr>
                <w:rStyle w:val="CommentReference"/>
                <w:b/>
                <w:lang w:val="pt-BR"/>
              </w:rPr>
              <w:t>Cyclic carbonate</w:t>
            </w:r>
          </w:p>
        </w:tc>
        <w:tc>
          <w:tcPr>
            <w:tcW w:w="1036" w:type="pct"/>
            <w:tcBorders>
              <w:top w:val="single" w:sz="8" w:space="0" w:color="000000"/>
              <w:bottom w:val="single" w:sz="8" w:space="0" w:color="000000"/>
            </w:tcBorders>
          </w:tcPr>
          <w:p w:rsidR="00EC0650" w:rsidRDefault="00A04827" w:rsidP="00CD2E28">
            <w:pPr>
              <w:pStyle w:val="RSCT03TableBody"/>
              <w:rPr>
                <w:rStyle w:val="CommentReference"/>
                <w:b/>
                <w:lang w:val="pt-BR"/>
              </w:rPr>
            </w:pPr>
            <w:r>
              <w:rPr>
                <w:rStyle w:val="CommentReference"/>
                <w:b/>
                <w:lang w:val="pt-BR"/>
              </w:rPr>
              <w:t>CVI+BINOL</w:t>
            </w:r>
            <w:r w:rsidR="00EC0650">
              <w:rPr>
                <w:rStyle w:val="CommentReference"/>
                <w:b/>
                <w:lang w:val="pt-BR"/>
              </w:rPr>
              <w:t xml:space="preserve"> mol%</w:t>
            </w:r>
          </w:p>
        </w:tc>
        <w:tc>
          <w:tcPr>
            <w:tcW w:w="1401" w:type="pct"/>
            <w:tcBorders>
              <w:top w:val="single" w:sz="8" w:space="0" w:color="000000"/>
              <w:bottom w:val="single" w:sz="8" w:space="0" w:color="000000"/>
            </w:tcBorders>
          </w:tcPr>
          <w:p w:rsidR="00EC0650" w:rsidRDefault="00EC0650" w:rsidP="00CD2E28">
            <w:pPr>
              <w:pStyle w:val="RSCT03TableBody"/>
              <w:rPr>
                <w:rStyle w:val="CommentReference"/>
                <w:b/>
                <w:lang w:val="pt-BR"/>
              </w:rPr>
            </w:pPr>
            <w:r>
              <w:rPr>
                <w:rStyle w:val="CommentReference"/>
                <w:b/>
                <w:lang w:val="pt-BR"/>
              </w:rPr>
              <w:t>Yield %</w:t>
            </w:r>
            <w:r>
              <w:rPr>
                <w:rStyle w:val="CommentReference"/>
                <w:b/>
                <w:vertAlign w:val="superscript"/>
                <w:lang w:val="pt-BR"/>
              </w:rPr>
              <w:t>[a]</w:t>
            </w:r>
            <w:r>
              <w:rPr>
                <w:rStyle w:val="CommentReference"/>
                <w:b/>
                <w:lang w:val="pt-BR"/>
              </w:rPr>
              <w:t xml:space="preserve"> </w:t>
            </w:r>
          </w:p>
          <w:p w:rsidR="00EC0650" w:rsidRPr="00B2064B" w:rsidRDefault="00EC0650" w:rsidP="00CD2E28">
            <w:pPr>
              <w:pStyle w:val="RSCT03TableBody"/>
              <w:rPr>
                <w:rStyle w:val="CommentReference"/>
                <w:b/>
                <w:vertAlign w:val="superscript"/>
                <w:lang w:val="pt-BR"/>
              </w:rPr>
            </w:pPr>
            <w:r>
              <w:rPr>
                <w:rStyle w:val="CommentReference"/>
                <w:b/>
                <w:lang w:val="pt-BR"/>
              </w:rPr>
              <w:t>(Conversion%)</w:t>
            </w:r>
            <w:r>
              <w:rPr>
                <w:rStyle w:val="CommentReference"/>
                <w:b/>
                <w:vertAlign w:val="superscript"/>
                <w:lang w:val="pt-BR"/>
              </w:rPr>
              <w:t>[b]</w:t>
            </w:r>
          </w:p>
        </w:tc>
        <w:tc>
          <w:tcPr>
            <w:tcW w:w="1057" w:type="pct"/>
            <w:tcBorders>
              <w:top w:val="single" w:sz="8" w:space="0" w:color="000000"/>
              <w:bottom w:val="single" w:sz="8" w:space="0" w:color="000000"/>
            </w:tcBorders>
          </w:tcPr>
          <w:p w:rsidR="00EC0650" w:rsidRPr="003207D6" w:rsidRDefault="00EC0650" w:rsidP="00CD2E28">
            <w:pPr>
              <w:pStyle w:val="RSCT03TableBody"/>
              <w:rPr>
                <w:rStyle w:val="CommentReference"/>
                <w:b/>
                <w:lang w:val="pt-BR"/>
              </w:rPr>
            </w:pPr>
            <w:r>
              <w:rPr>
                <w:rStyle w:val="CommentReference"/>
                <w:b/>
                <w:lang w:val="pt-BR"/>
              </w:rPr>
              <w:t>Selectivity %</w:t>
            </w:r>
          </w:p>
        </w:tc>
      </w:tr>
      <w:tr w:rsidR="00EC0650" w:rsidRPr="00EA067A" w:rsidTr="00B11C95">
        <w:tc>
          <w:tcPr>
            <w:tcW w:w="626" w:type="pct"/>
            <w:tcBorders>
              <w:top w:val="single" w:sz="8" w:space="0" w:color="000000"/>
            </w:tcBorders>
          </w:tcPr>
          <w:p w:rsidR="00EC0650" w:rsidRPr="009D1A01" w:rsidRDefault="00EC0650" w:rsidP="00CD2E28">
            <w:pPr>
              <w:pStyle w:val="RSCT03TableBody"/>
              <w:rPr>
                <w:rStyle w:val="CommentReference"/>
                <w:vertAlign w:val="superscript"/>
                <w:lang w:val="pt-BR"/>
              </w:rPr>
            </w:pPr>
            <w:r>
              <w:rPr>
                <w:rStyle w:val="CommentReference"/>
                <w:lang w:val="pt-BR"/>
              </w:rPr>
              <w:t>1</w:t>
            </w:r>
          </w:p>
        </w:tc>
        <w:tc>
          <w:tcPr>
            <w:tcW w:w="881" w:type="pct"/>
            <w:tcBorders>
              <w:top w:val="single" w:sz="8" w:space="0" w:color="000000"/>
            </w:tcBorders>
          </w:tcPr>
          <w:p w:rsidR="00EC0650" w:rsidRPr="00B2064B" w:rsidRDefault="00EC0650" w:rsidP="00CD2E28">
            <w:pPr>
              <w:pStyle w:val="RSCT03TableBody"/>
              <w:rPr>
                <w:rStyle w:val="CommentReference"/>
                <w:b/>
                <w:lang w:val="pt-BR"/>
              </w:rPr>
            </w:pPr>
            <w:r w:rsidRPr="00B2064B">
              <w:rPr>
                <w:rStyle w:val="CommentReference"/>
                <w:b/>
                <w:lang w:val="pt-BR"/>
              </w:rPr>
              <w:t>2a</w:t>
            </w:r>
          </w:p>
        </w:tc>
        <w:tc>
          <w:tcPr>
            <w:tcW w:w="1036" w:type="pct"/>
            <w:tcBorders>
              <w:top w:val="single" w:sz="8" w:space="0" w:color="000000"/>
            </w:tcBorders>
          </w:tcPr>
          <w:p w:rsidR="00EC0650" w:rsidRDefault="00EC0650" w:rsidP="00CD2E28">
            <w:pPr>
              <w:pStyle w:val="RSCT03TableBody"/>
              <w:rPr>
                <w:rStyle w:val="CommentReference"/>
                <w:lang w:val="pt-BR"/>
              </w:rPr>
            </w:pPr>
            <w:r>
              <w:rPr>
                <w:rStyle w:val="CommentReference"/>
                <w:lang w:val="pt-BR"/>
              </w:rPr>
              <w:t>1+1</w:t>
            </w:r>
          </w:p>
        </w:tc>
        <w:tc>
          <w:tcPr>
            <w:tcW w:w="1401" w:type="pct"/>
            <w:tcBorders>
              <w:top w:val="single" w:sz="8" w:space="0" w:color="000000"/>
            </w:tcBorders>
          </w:tcPr>
          <w:p w:rsidR="00EC0650" w:rsidRPr="003A17A7" w:rsidRDefault="00EC0650" w:rsidP="00CD2E28">
            <w:pPr>
              <w:pStyle w:val="RSCT03TableBody"/>
              <w:rPr>
                <w:rStyle w:val="CommentReference"/>
                <w:lang w:val="pt-BR"/>
              </w:rPr>
            </w:pPr>
            <w:r>
              <w:rPr>
                <w:rStyle w:val="CommentReference"/>
                <w:lang w:val="pt-BR"/>
              </w:rPr>
              <w:t>72 (82)</w:t>
            </w:r>
          </w:p>
        </w:tc>
        <w:tc>
          <w:tcPr>
            <w:tcW w:w="1057" w:type="pct"/>
            <w:tcBorders>
              <w:top w:val="single" w:sz="8" w:space="0" w:color="000000"/>
            </w:tcBorders>
          </w:tcPr>
          <w:p w:rsidR="00EC0650" w:rsidRPr="003A17A7" w:rsidRDefault="00EC0650" w:rsidP="00CD2E28">
            <w:pPr>
              <w:pStyle w:val="RSCT03TableBody"/>
              <w:rPr>
                <w:rStyle w:val="CommentReference"/>
                <w:lang w:val="pt-BR"/>
              </w:rPr>
            </w:pPr>
            <w:r w:rsidRPr="003A17A7">
              <w:rPr>
                <w:rStyle w:val="CommentReference"/>
                <w:lang w:val="pt-BR"/>
              </w:rPr>
              <w:t>&gt;99</w:t>
            </w:r>
          </w:p>
        </w:tc>
      </w:tr>
      <w:tr w:rsidR="00EC0650" w:rsidRPr="00EA067A" w:rsidTr="00B11C95">
        <w:tc>
          <w:tcPr>
            <w:tcW w:w="626" w:type="pct"/>
          </w:tcPr>
          <w:p w:rsidR="00EC0650" w:rsidRPr="009D1A01" w:rsidRDefault="00EC0650" w:rsidP="00CD2E28">
            <w:pPr>
              <w:pStyle w:val="RSCT03TableBody"/>
              <w:rPr>
                <w:rStyle w:val="CommentReference"/>
                <w:vertAlign w:val="superscript"/>
                <w:lang w:val="pt-BR"/>
              </w:rPr>
            </w:pPr>
            <w:r>
              <w:rPr>
                <w:rStyle w:val="CommentReference"/>
                <w:lang w:val="pt-BR"/>
              </w:rPr>
              <w:t>2</w:t>
            </w:r>
          </w:p>
        </w:tc>
        <w:tc>
          <w:tcPr>
            <w:tcW w:w="881" w:type="pct"/>
          </w:tcPr>
          <w:p w:rsidR="00EC0650" w:rsidRPr="00B2064B" w:rsidRDefault="00EC0650" w:rsidP="00CD2E28">
            <w:pPr>
              <w:pStyle w:val="RSCT03TableBody"/>
              <w:rPr>
                <w:rStyle w:val="CommentReference"/>
                <w:b/>
                <w:lang w:val="pt-BR"/>
              </w:rPr>
            </w:pPr>
            <w:r w:rsidRPr="00B2064B">
              <w:rPr>
                <w:rStyle w:val="CommentReference"/>
                <w:b/>
                <w:lang w:val="pt-BR"/>
              </w:rPr>
              <w:t>2b</w:t>
            </w:r>
          </w:p>
        </w:tc>
        <w:tc>
          <w:tcPr>
            <w:tcW w:w="1036" w:type="pct"/>
          </w:tcPr>
          <w:p w:rsidR="00EC0650" w:rsidRDefault="00EC0650" w:rsidP="00CD2E28">
            <w:pPr>
              <w:pStyle w:val="RSCT03TableBody"/>
              <w:rPr>
                <w:rStyle w:val="CommentReference"/>
                <w:lang w:val="pt-BR"/>
              </w:rPr>
            </w:pPr>
            <w:r>
              <w:rPr>
                <w:rStyle w:val="CommentReference"/>
                <w:lang w:val="pt-BR"/>
              </w:rPr>
              <w:t>1+1</w:t>
            </w:r>
          </w:p>
        </w:tc>
        <w:tc>
          <w:tcPr>
            <w:tcW w:w="1401" w:type="pct"/>
          </w:tcPr>
          <w:p w:rsidR="00EC0650" w:rsidRPr="003A17A7" w:rsidRDefault="00EC0650" w:rsidP="00CD2E28">
            <w:pPr>
              <w:pStyle w:val="RSCT03TableBody"/>
              <w:rPr>
                <w:rStyle w:val="CommentReference"/>
                <w:lang w:val="pt-BR"/>
              </w:rPr>
            </w:pPr>
            <w:r>
              <w:rPr>
                <w:rStyle w:val="CommentReference"/>
                <w:lang w:val="pt-BR"/>
              </w:rPr>
              <w:t>48 (54)</w:t>
            </w:r>
          </w:p>
        </w:tc>
        <w:tc>
          <w:tcPr>
            <w:tcW w:w="1057" w:type="pct"/>
          </w:tcPr>
          <w:p w:rsidR="00EC0650" w:rsidRPr="003A17A7" w:rsidRDefault="00EC0650"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Default="0029449F" w:rsidP="00CD2E28">
            <w:pPr>
              <w:pStyle w:val="RSCT03TableBody"/>
              <w:rPr>
                <w:rStyle w:val="CommentReference"/>
                <w:lang w:val="pt-BR"/>
              </w:rPr>
            </w:pPr>
            <w:r w:rsidRPr="009D1A01">
              <w:rPr>
                <w:rStyle w:val="CommentReference"/>
                <w:lang w:val="pt-BR"/>
              </w:rPr>
              <w:t>3</w:t>
            </w:r>
          </w:p>
        </w:tc>
        <w:tc>
          <w:tcPr>
            <w:tcW w:w="881" w:type="pct"/>
          </w:tcPr>
          <w:p w:rsidR="0029449F" w:rsidRPr="00B2064B" w:rsidRDefault="0029449F" w:rsidP="00CD2E28">
            <w:pPr>
              <w:pStyle w:val="RSCT03TableBody"/>
              <w:rPr>
                <w:rStyle w:val="CommentReference"/>
                <w:b/>
                <w:lang w:val="pt-BR"/>
              </w:rPr>
            </w:pPr>
            <w:r w:rsidRPr="00B2064B">
              <w:rPr>
                <w:rStyle w:val="CommentReference"/>
                <w:b/>
                <w:lang w:val="pt-BR"/>
              </w:rPr>
              <w:t>2b</w:t>
            </w:r>
          </w:p>
        </w:tc>
        <w:tc>
          <w:tcPr>
            <w:tcW w:w="1036" w:type="pct"/>
          </w:tcPr>
          <w:p w:rsidR="0029449F" w:rsidRDefault="0029449F" w:rsidP="00CD2E28">
            <w:pPr>
              <w:pStyle w:val="RSCT03TableBody"/>
              <w:rPr>
                <w:rStyle w:val="CommentReference"/>
                <w:lang w:val="pt-BR"/>
              </w:rPr>
            </w:pPr>
            <w:r>
              <w:rPr>
                <w:rStyle w:val="CommentReference"/>
                <w:lang w:val="pt-BR"/>
              </w:rPr>
              <w:t>2+2</w:t>
            </w:r>
          </w:p>
        </w:tc>
        <w:tc>
          <w:tcPr>
            <w:tcW w:w="1401" w:type="pct"/>
          </w:tcPr>
          <w:p w:rsidR="0029449F" w:rsidRDefault="0029449F" w:rsidP="007D3D25">
            <w:pPr>
              <w:pStyle w:val="RSCT03TableBody"/>
              <w:rPr>
                <w:rStyle w:val="CommentReference"/>
                <w:lang w:val="pt-BR"/>
              </w:rPr>
            </w:pPr>
            <w:r>
              <w:rPr>
                <w:rStyle w:val="CommentReference"/>
                <w:lang w:val="pt-BR"/>
              </w:rPr>
              <w:t xml:space="preserve">54 </w:t>
            </w:r>
            <w:r w:rsidR="007D3D25">
              <w:rPr>
                <w:rStyle w:val="CommentReference"/>
                <w:lang w:val="pt-BR"/>
              </w:rPr>
              <w:t>(100</w:t>
            </w:r>
            <w:r>
              <w:rPr>
                <w:rStyle w:val="CommentReference"/>
                <w:lang w:val="pt-BR"/>
              </w:rPr>
              <w:t>)</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Pr="003C5304" w:rsidRDefault="0029449F" w:rsidP="007D3D25">
            <w:pPr>
              <w:pStyle w:val="RSCT03TableBody"/>
              <w:rPr>
                <w:rStyle w:val="CommentReference"/>
                <w:color w:val="000000" w:themeColor="text1"/>
                <w:lang w:val="pt-BR"/>
              </w:rPr>
            </w:pPr>
            <w:r>
              <w:rPr>
                <w:rStyle w:val="CommentReference"/>
                <w:color w:val="000000" w:themeColor="text1"/>
                <w:lang w:val="pt-BR"/>
              </w:rPr>
              <w:t>4</w:t>
            </w:r>
          </w:p>
        </w:tc>
        <w:tc>
          <w:tcPr>
            <w:tcW w:w="881" w:type="pct"/>
          </w:tcPr>
          <w:p w:rsidR="0029449F" w:rsidRPr="00B2064B" w:rsidRDefault="0029449F" w:rsidP="00EC0650">
            <w:pPr>
              <w:pStyle w:val="RSCT03TableBody"/>
              <w:rPr>
                <w:rStyle w:val="CommentReference"/>
                <w:b/>
                <w:lang w:val="pt-BR"/>
              </w:rPr>
            </w:pPr>
            <w:r>
              <w:rPr>
                <w:rStyle w:val="CommentReference"/>
                <w:b/>
                <w:lang w:val="pt-BR"/>
              </w:rPr>
              <w:t>2c</w:t>
            </w:r>
          </w:p>
        </w:tc>
        <w:tc>
          <w:tcPr>
            <w:tcW w:w="1036" w:type="pct"/>
          </w:tcPr>
          <w:p w:rsidR="0029449F" w:rsidRPr="00EC0650" w:rsidRDefault="0029449F" w:rsidP="00CD2E28">
            <w:pPr>
              <w:pStyle w:val="RSCT03TableBody"/>
              <w:rPr>
                <w:rStyle w:val="CommentReference"/>
                <w:color w:val="FF0000"/>
                <w:lang w:val="pt-BR"/>
              </w:rPr>
            </w:pPr>
            <w:r>
              <w:rPr>
                <w:rStyle w:val="CommentReference"/>
                <w:lang w:val="pt-BR"/>
              </w:rPr>
              <w:t>1+1</w:t>
            </w:r>
          </w:p>
        </w:tc>
        <w:tc>
          <w:tcPr>
            <w:tcW w:w="1401" w:type="pct"/>
          </w:tcPr>
          <w:p w:rsidR="0029449F" w:rsidRPr="003A17A7" w:rsidRDefault="0029449F" w:rsidP="00CD2E28">
            <w:pPr>
              <w:pStyle w:val="RSCT03TableBody"/>
              <w:rPr>
                <w:rStyle w:val="CommentReference"/>
                <w:lang w:val="pt-BR"/>
              </w:rPr>
            </w:pPr>
            <w:r>
              <w:rPr>
                <w:rStyle w:val="CommentReference"/>
                <w:color w:val="000000" w:themeColor="text1"/>
                <w:lang w:val="pt-BR"/>
              </w:rPr>
              <w:t>(76)</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Pr="003C5304" w:rsidRDefault="0029449F" w:rsidP="007D3D25">
            <w:pPr>
              <w:pStyle w:val="RSCT03TableBody"/>
              <w:rPr>
                <w:rStyle w:val="CommentReference"/>
                <w:color w:val="000000" w:themeColor="text1"/>
                <w:lang w:val="pt-BR"/>
              </w:rPr>
            </w:pPr>
            <w:r>
              <w:rPr>
                <w:rStyle w:val="CommentReference"/>
                <w:color w:val="000000" w:themeColor="text1"/>
                <w:lang w:val="pt-BR"/>
              </w:rPr>
              <w:t>5</w:t>
            </w:r>
          </w:p>
        </w:tc>
        <w:tc>
          <w:tcPr>
            <w:tcW w:w="881" w:type="pct"/>
          </w:tcPr>
          <w:p w:rsidR="0029449F" w:rsidRPr="00B2064B" w:rsidRDefault="0029449F" w:rsidP="00CD2E28">
            <w:pPr>
              <w:pStyle w:val="RSCT03TableBody"/>
              <w:rPr>
                <w:rStyle w:val="CommentReference"/>
                <w:b/>
                <w:lang w:val="pt-BR"/>
              </w:rPr>
            </w:pPr>
            <w:r>
              <w:rPr>
                <w:rStyle w:val="CommentReference"/>
                <w:b/>
                <w:lang w:val="pt-BR"/>
              </w:rPr>
              <w:t>2c</w:t>
            </w:r>
          </w:p>
        </w:tc>
        <w:tc>
          <w:tcPr>
            <w:tcW w:w="1036" w:type="pct"/>
          </w:tcPr>
          <w:p w:rsidR="0029449F" w:rsidRDefault="0029449F" w:rsidP="00CD2E28">
            <w:pPr>
              <w:pStyle w:val="RSCT03TableBody"/>
              <w:rPr>
                <w:rStyle w:val="CommentReference"/>
                <w:lang w:val="pt-BR"/>
              </w:rPr>
            </w:pPr>
            <w:r>
              <w:rPr>
                <w:rStyle w:val="CommentReference"/>
                <w:lang w:val="pt-BR"/>
              </w:rPr>
              <w:t>2+2</w:t>
            </w:r>
          </w:p>
        </w:tc>
        <w:tc>
          <w:tcPr>
            <w:tcW w:w="1401" w:type="pct"/>
          </w:tcPr>
          <w:p w:rsidR="0029449F" w:rsidRPr="003A17A7" w:rsidRDefault="0029449F" w:rsidP="00CD2E28">
            <w:pPr>
              <w:pStyle w:val="RSCT03TableBody"/>
              <w:rPr>
                <w:rStyle w:val="CommentReference"/>
                <w:lang w:val="pt-BR"/>
              </w:rPr>
            </w:pPr>
            <w:r>
              <w:rPr>
                <w:rStyle w:val="CommentReference"/>
                <w:lang w:val="pt-BR"/>
              </w:rPr>
              <w:t xml:space="preserve">70 </w:t>
            </w:r>
            <w:r w:rsidR="007D3D25">
              <w:rPr>
                <w:rStyle w:val="CommentReference"/>
                <w:lang w:val="pt-BR"/>
              </w:rPr>
              <w:t>100</w:t>
            </w:r>
            <w:r>
              <w:rPr>
                <w:rStyle w:val="CommentReference"/>
                <w:lang w:val="pt-BR"/>
              </w:rPr>
              <w:t>)</w:t>
            </w:r>
          </w:p>
        </w:tc>
        <w:tc>
          <w:tcPr>
            <w:tcW w:w="1057" w:type="pct"/>
          </w:tcPr>
          <w:p w:rsidR="0029449F" w:rsidRPr="003A17A7" w:rsidRDefault="0029449F" w:rsidP="00CD2E28">
            <w:pPr>
              <w:pStyle w:val="RSCT03TableBody"/>
              <w:rPr>
                <w:rStyle w:val="CommentReference"/>
                <w:lang w:val="pt-BR"/>
              </w:rPr>
            </w:pPr>
            <w:r>
              <w:rPr>
                <w:rStyle w:val="CommentReference"/>
                <w:lang w:val="pt-BR"/>
              </w:rPr>
              <w:t>&gt;99</w:t>
            </w:r>
          </w:p>
        </w:tc>
      </w:tr>
      <w:tr w:rsidR="0029449F" w:rsidRPr="00EA067A" w:rsidTr="00B11C95">
        <w:tc>
          <w:tcPr>
            <w:tcW w:w="626" w:type="pct"/>
          </w:tcPr>
          <w:p w:rsidR="0029449F" w:rsidRDefault="0029449F" w:rsidP="007D3D25">
            <w:pPr>
              <w:pStyle w:val="RSCT03TableBody"/>
              <w:rPr>
                <w:rStyle w:val="CommentReference"/>
                <w:color w:val="000000" w:themeColor="text1"/>
                <w:lang w:val="pt-BR"/>
              </w:rPr>
            </w:pPr>
            <w:r>
              <w:rPr>
                <w:rStyle w:val="CommentReference"/>
                <w:color w:val="000000" w:themeColor="text1"/>
                <w:lang w:val="pt-BR"/>
              </w:rPr>
              <w:t>6</w:t>
            </w:r>
          </w:p>
        </w:tc>
        <w:tc>
          <w:tcPr>
            <w:tcW w:w="881" w:type="pct"/>
          </w:tcPr>
          <w:p w:rsidR="0029449F" w:rsidRPr="00B2064B" w:rsidRDefault="0029449F" w:rsidP="007D3D25">
            <w:pPr>
              <w:pStyle w:val="RSCT03TableBody"/>
              <w:rPr>
                <w:rStyle w:val="CommentReference"/>
                <w:b/>
                <w:lang w:val="pt-BR"/>
              </w:rPr>
            </w:pPr>
            <w:r w:rsidRPr="00B2064B">
              <w:rPr>
                <w:rStyle w:val="CommentReference"/>
                <w:b/>
                <w:lang w:val="pt-BR"/>
              </w:rPr>
              <w:t>2</w:t>
            </w:r>
            <w:r>
              <w:rPr>
                <w:rStyle w:val="CommentReference"/>
                <w:b/>
                <w:lang w:val="pt-BR"/>
              </w:rPr>
              <w:t>d</w:t>
            </w:r>
          </w:p>
        </w:tc>
        <w:tc>
          <w:tcPr>
            <w:tcW w:w="1036" w:type="pct"/>
          </w:tcPr>
          <w:p w:rsidR="0029449F" w:rsidRDefault="0029449F" w:rsidP="007D3D25">
            <w:pPr>
              <w:pStyle w:val="RSCT03TableBody"/>
              <w:rPr>
                <w:rStyle w:val="CommentReference"/>
                <w:lang w:val="pt-BR"/>
              </w:rPr>
            </w:pPr>
            <w:r>
              <w:rPr>
                <w:rStyle w:val="CommentReference"/>
                <w:lang w:val="pt-BR"/>
              </w:rPr>
              <w:t>1+1</w:t>
            </w:r>
          </w:p>
        </w:tc>
        <w:tc>
          <w:tcPr>
            <w:tcW w:w="1401" w:type="pct"/>
          </w:tcPr>
          <w:p w:rsidR="0029449F" w:rsidRPr="003A17A7" w:rsidRDefault="0029449F" w:rsidP="007D3D25">
            <w:pPr>
              <w:pStyle w:val="RSCT03TableBody"/>
              <w:rPr>
                <w:rStyle w:val="CommentReference"/>
                <w:lang w:val="pt-BR"/>
              </w:rPr>
            </w:pPr>
            <w:r>
              <w:rPr>
                <w:rStyle w:val="CommentReference"/>
                <w:lang w:val="pt-BR"/>
              </w:rPr>
              <w:t>70 (100)</w:t>
            </w:r>
          </w:p>
        </w:tc>
        <w:tc>
          <w:tcPr>
            <w:tcW w:w="1057" w:type="pct"/>
          </w:tcPr>
          <w:p w:rsidR="0029449F" w:rsidRPr="003A17A7" w:rsidRDefault="0029449F" w:rsidP="007D3D25">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Default="0029449F" w:rsidP="007D3D25">
            <w:pPr>
              <w:pStyle w:val="RSCT03TableBody"/>
              <w:rPr>
                <w:rStyle w:val="CommentReference"/>
                <w:color w:val="000000" w:themeColor="text1"/>
                <w:lang w:val="pt-BR"/>
              </w:rPr>
            </w:pPr>
            <w:r>
              <w:rPr>
                <w:rStyle w:val="CommentReference"/>
                <w:color w:val="000000" w:themeColor="text1"/>
                <w:lang w:val="pt-BR"/>
              </w:rPr>
              <w:t>7</w:t>
            </w:r>
          </w:p>
        </w:tc>
        <w:tc>
          <w:tcPr>
            <w:tcW w:w="881" w:type="pct"/>
          </w:tcPr>
          <w:p w:rsidR="0029449F" w:rsidRPr="00B2064B" w:rsidRDefault="0029449F" w:rsidP="00EC0650">
            <w:pPr>
              <w:pStyle w:val="RSCT03TableBody"/>
              <w:rPr>
                <w:rStyle w:val="CommentReference"/>
                <w:b/>
                <w:lang w:val="pt-BR"/>
              </w:rPr>
            </w:pPr>
            <w:r w:rsidRPr="00B2064B">
              <w:rPr>
                <w:rStyle w:val="CommentReference"/>
                <w:b/>
                <w:lang w:val="pt-BR"/>
              </w:rPr>
              <w:t>2</w:t>
            </w:r>
            <w:r>
              <w:rPr>
                <w:rStyle w:val="CommentReference"/>
                <w:b/>
                <w:lang w:val="pt-BR"/>
              </w:rPr>
              <w:t>e</w:t>
            </w:r>
          </w:p>
        </w:tc>
        <w:tc>
          <w:tcPr>
            <w:tcW w:w="1036" w:type="pct"/>
          </w:tcPr>
          <w:p w:rsidR="0029449F" w:rsidRDefault="0029449F" w:rsidP="00CD2E28">
            <w:pPr>
              <w:pStyle w:val="RSCT03TableBody"/>
              <w:rPr>
                <w:rStyle w:val="CommentReference"/>
                <w:lang w:val="pt-BR"/>
              </w:rPr>
            </w:pPr>
            <w:r>
              <w:rPr>
                <w:rStyle w:val="CommentReference"/>
                <w:lang w:val="pt-BR"/>
              </w:rPr>
              <w:t>1+1</w:t>
            </w:r>
          </w:p>
        </w:tc>
        <w:tc>
          <w:tcPr>
            <w:tcW w:w="1401" w:type="pct"/>
          </w:tcPr>
          <w:p w:rsidR="0029449F" w:rsidRPr="003A17A7" w:rsidRDefault="0029449F" w:rsidP="00CD2E28">
            <w:pPr>
              <w:pStyle w:val="RSCT03TableBody"/>
              <w:rPr>
                <w:rStyle w:val="CommentReference"/>
                <w:lang w:val="pt-BR"/>
              </w:rPr>
            </w:pPr>
            <w:r>
              <w:rPr>
                <w:rStyle w:val="CommentReference"/>
                <w:lang w:val="pt-BR"/>
              </w:rPr>
              <w:t>65 (100)</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Default="0029449F" w:rsidP="007D3D25">
            <w:pPr>
              <w:pStyle w:val="RSCT03TableBody"/>
              <w:rPr>
                <w:rStyle w:val="CommentReference"/>
                <w:color w:val="000000" w:themeColor="text1"/>
                <w:lang w:val="pt-BR"/>
              </w:rPr>
            </w:pPr>
            <w:r>
              <w:rPr>
                <w:rStyle w:val="CommentReference"/>
                <w:color w:val="000000" w:themeColor="text1"/>
                <w:lang w:val="pt-BR"/>
              </w:rPr>
              <w:t>8</w:t>
            </w:r>
          </w:p>
        </w:tc>
        <w:tc>
          <w:tcPr>
            <w:tcW w:w="881" w:type="pct"/>
          </w:tcPr>
          <w:p w:rsidR="0029449F" w:rsidRPr="00B2064B" w:rsidRDefault="0029449F" w:rsidP="00EC0650">
            <w:pPr>
              <w:pStyle w:val="RSCT03TableBody"/>
              <w:rPr>
                <w:rStyle w:val="CommentReference"/>
                <w:b/>
                <w:lang w:val="pt-BR"/>
              </w:rPr>
            </w:pPr>
            <w:r w:rsidRPr="00B2064B">
              <w:rPr>
                <w:rStyle w:val="CommentReference"/>
                <w:b/>
                <w:lang w:val="pt-BR"/>
              </w:rPr>
              <w:t>2</w:t>
            </w:r>
            <w:r>
              <w:rPr>
                <w:rStyle w:val="CommentReference"/>
                <w:b/>
                <w:lang w:val="pt-BR"/>
              </w:rPr>
              <w:t>f</w:t>
            </w:r>
          </w:p>
        </w:tc>
        <w:tc>
          <w:tcPr>
            <w:tcW w:w="1036" w:type="pct"/>
          </w:tcPr>
          <w:p w:rsidR="0029449F" w:rsidRDefault="0029449F" w:rsidP="00CD2E28">
            <w:pPr>
              <w:pStyle w:val="RSCT03TableBody"/>
              <w:rPr>
                <w:rStyle w:val="CommentReference"/>
                <w:lang w:val="pt-BR"/>
              </w:rPr>
            </w:pPr>
            <w:r>
              <w:rPr>
                <w:rStyle w:val="CommentReference"/>
                <w:lang w:val="pt-BR"/>
              </w:rPr>
              <w:t>1+1</w:t>
            </w:r>
          </w:p>
        </w:tc>
        <w:tc>
          <w:tcPr>
            <w:tcW w:w="1401" w:type="pct"/>
          </w:tcPr>
          <w:p w:rsidR="0029449F" w:rsidRDefault="0029449F" w:rsidP="00CD2E28">
            <w:pPr>
              <w:pStyle w:val="RSCT03TableBody"/>
              <w:rPr>
                <w:rStyle w:val="CommentReference"/>
                <w:lang w:val="pt-BR"/>
              </w:rPr>
            </w:pPr>
            <w:r>
              <w:rPr>
                <w:rStyle w:val="CommentReference"/>
                <w:lang w:val="pt-BR"/>
              </w:rPr>
              <w:t>(37)</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Default="0029449F" w:rsidP="007D3D25">
            <w:pPr>
              <w:pStyle w:val="RSCT03TableBody"/>
              <w:rPr>
                <w:rStyle w:val="CommentReference"/>
                <w:color w:val="000000" w:themeColor="text1"/>
                <w:lang w:val="pt-BR"/>
              </w:rPr>
            </w:pPr>
            <w:r>
              <w:rPr>
                <w:rStyle w:val="CommentReference"/>
                <w:color w:val="000000" w:themeColor="text1"/>
                <w:lang w:val="pt-BR"/>
              </w:rPr>
              <w:t>9</w:t>
            </w:r>
          </w:p>
        </w:tc>
        <w:tc>
          <w:tcPr>
            <w:tcW w:w="881" w:type="pct"/>
          </w:tcPr>
          <w:p w:rsidR="0029449F" w:rsidRPr="00B2064B" w:rsidRDefault="0029449F" w:rsidP="00CD2E28">
            <w:pPr>
              <w:pStyle w:val="RSCT03TableBody"/>
              <w:rPr>
                <w:rStyle w:val="CommentReference"/>
                <w:b/>
                <w:lang w:val="pt-BR"/>
              </w:rPr>
            </w:pPr>
            <w:r w:rsidRPr="00B2064B">
              <w:rPr>
                <w:rStyle w:val="CommentReference"/>
                <w:b/>
                <w:lang w:val="pt-BR"/>
              </w:rPr>
              <w:t>2</w:t>
            </w:r>
            <w:r>
              <w:rPr>
                <w:rStyle w:val="CommentReference"/>
                <w:b/>
                <w:lang w:val="pt-BR"/>
              </w:rPr>
              <w:t>f</w:t>
            </w:r>
          </w:p>
        </w:tc>
        <w:tc>
          <w:tcPr>
            <w:tcW w:w="1036" w:type="pct"/>
          </w:tcPr>
          <w:p w:rsidR="0029449F" w:rsidRDefault="0029449F" w:rsidP="00CD2E28">
            <w:pPr>
              <w:pStyle w:val="RSCT03TableBody"/>
              <w:rPr>
                <w:rStyle w:val="CommentReference"/>
                <w:lang w:val="pt-BR"/>
              </w:rPr>
            </w:pPr>
            <w:r>
              <w:rPr>
                <w:rStyle w:val="CommentReference"/>
                <w:lang w:val="pt-BR"/>
              </w:rPr>
              <w:t>2+2</w:t>
            </w:r>
          </w:p>
        </w:tc>
        <w:tc>
          <w:tcPr>
            <w:tcW w:w="1401" w:type="pct"/>
          </w:tcPr>
          <w:p w:rsidR="0029449F" w:rsidRDefault="0029449F" w:rsidP="00CD2E28">
            <w:pPr>
              <w:pStyle w:val="RSCT03TableBody"/>
              <w:rPr>
                <w:rStyle w:val="CommentReference"/>
                <w:lang w:val="pt-BR"/>
              </w:rPr>
            </w:pPr>
            <w:r>
              <w:rPr>
                <w:rStyle w:val="CommentReference"/>
                <w:lang w:val="pt-BR"/>
              </w:rPr>
              <w:t>60 (78)</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Default="0029449F" w:rsidP="007D3D25">
            <w:pPr>
              <w:pStyle w:val="RSCT03TableBody"/>
              <w:rPr>
                <w:rStyle w:val="CommentReference"/>
                <w:color w:val="000000" w:themeColor="text1"/>
                <w:lang w:val="pt-BR"/>
              </w:rPr>
            </w:pPr>
            <w:r>
              <w:rPr>
                <w:rStyle w:val="CommentReference"/>
                <w:color w:val="000000" w:themeColor="text1"/>
                <w:lang w:val="pt-BR"/>
              </w:rPr>
              <w:t>10</w:t>
            </w:r>
          </w:p>
        </w:tc>
        <w:tc>
          <w:tcPr>
            <w:tcW w:w="881" w:type="pct"/>
          </w:tcPr>
          <w:p w:rsidR="0029449F" w:rsidRPr="00B2064B" w:rsidRDefault="0029449F" w:rsidP="00CD2E28">
            <w:pPr>
              <w:pStyle w:val="RSCT03TableBody"/>
              <w:rPr>
                <w:rStyle w:val="CommentReference"/>
                <w:b/>
                <w:lang w:val="pt-BR"/>
              </w:rPr>
            </w:pPr>
            <w:r>
              <w:rPr>
                <w:rStyle w:val="CommentReference"/>
                <w:b/>
                <w:lang w:val="pt-BR"/>
              </w:rPr>
              <w:t>2g</w:t>
            </w:r>
          </w:p>
        </w:tc>
        <w:tc>
          <w:tcPr>
            <w:tcW w:w="1036" w:type="pct"/>
          </w:tcPr>
          <w:p w:rsidR="0029449F" w:rsidRDefault="0029449F" w:rsidP="00CD2E28">
            <w:pPr>
              <w:pStyle w:val="RSCT03TableBody"/>
              <w:rPr>
                <w:rStyle w:val="CommentReference"/>
                <w:lang w:val="pt-BR"/>
              </w:rPr>
            </w:pPr>
            <w:r>
              <w:rPr>
                <w:rStyle w:val="CommentReference"/>
                <w:lang w:val="pt-BR"/>
              </w:rPr>
              <w:t>2+2</w:t>
            </w:r>
          </w:p>
        </w:tc>
        <w:tc>
          <w:tcPr>
            <w:tcW w:w="1401" w:type="pct"/>
          </w:tcPr>
          <w:p w:rsidR="0029449F" w:rsidRDefault="0029449F" w:rsidP="00CD2E28">
            <w:pPr>
              <w:pStyle w:val="RSCT03TableBody"/>
              <w:rPr>
                <w:rStyle w:val="CommentReference"/>
                <w:lang w:val="pt-BR"/>
              </w:rPr>
            </w:pPr>
            <w:r>
              <w:rPr>
                <w:rStyle w:val="CommentReference"/>
                <w:lang w:val="pt-BR"/>
              </w:rPr>
              <w:t xml:space="preserve"> </w:t>
            </w:r>
            <w:r w:rsidRPr="0029449F">
              <w:rPr>
                <w:rStyle w:val="CommentReference"/>
                <w:color w:val="000000" w:themeColor="text1"/>
                <w:lang w:val="pt-BR"/>
              </w:rPr>
              <w:t xml:space="preserve">56 </w:t>
            </w:r>
            <w:r w:rsidR="007D3D25">
              <w:rPr>
                <w:rStyle w:val="CommentReference"/>
                <w:lang w:val="pt-BR"/>
              </w:rPr>
              <w:t>(100</w:t>
            </w:r>
            <w:r>
              <w:rPr>
                <w:rStyle w:val="CommentReference"/>
                <w:lang w:val="pt-BR"/>
              </w:rPr>
              <w:t>)</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Default="0029449F" w:rsidP="007D3D25">
            <w:pPr>
              <w:pStyle w:val="RSCT03TableBody"/>
              <w:rPr>
                <w:rStyle w:val="CommentReference"/>
                <w:color w:val="000000" w:themeColor="text1"/>
                <w:lang w:val="pt-BR"/>
              </w:rPr>
            </w:pPr>
            <w:r>
              <w:rPr>
                <w:rStyle w:val="CommentReference"/>
                <w:color w:val="000000" w:themeColor="text1"/>
                <w:lang w:val="pt-BR"/>
              </w:rPr>
              <w:t>11</w:t>
            </w:r>
          </w:p>
        </w:tc>
        <w:tc>
          <w:tcPr>
            <w:tcW w:w="881" w:type="pct"/>
          </w:tcPr>
          <w:p w:rsidR="0029449F" w:rsidRPr="00B2064B" w:rsidRDefault="0029449F" w:rsidP="00CD2E28">
            <w:pPr>
              <w:pStyle w:val="RSCT03TableBody"/>
              <w:rPr>
                <w:rStyle w:val="CommentReference"/>
                <w:b/>
                <w:lang w:val="pt-BR"/>
              </w:rPr>
            </w:pPr>
            <w:r>
              <w:rPr>
                <w:rStyle w:val="CommentReference"/>
                <w:b/>
                <w:lang w:val="pt-BR"/>
              </w:rPr>
              <w:t>2h</w:t>
            </w:r>
          </w:p>
        </w:tc>
        <w:tc>
          <w:tcPr>
            <w:tcW w:w="1036" w:type="pct"/>
          </w:tcPr>
          <w:p w:rsidR="0029449F" w:rsidRDefault="0029449F" w:rsidP="00CD2E28">
            <w:pPr>
              <w:pStyle w:val="RSCT03TableBody"/>
              <w:rPr>
                <w:rStyle w:val="CommentReference"/>
                <w:lang w:val="pt-BR"/>
              </w:rPr>
            </w:pPr>
            <w:r>
              <w:rPr>
                <w:rStyle w:val="CommentReference"/>
                <w:lang w:val="pt-BR"/>
              </w:rPr>
              <w:t>2+2</w:t>
            </w:r>
          </w:p>
        </w:tc>
        <w:tc>
          <w:tcPr>
            <w:tcW w:w="1401" w:type="pct"/>
          </w:tcPr>
          <w:p w:rsidR="0029449F" w:rsidRDefault="0029449F" w:rsidP="00CD2E28">
            <w:pPr>
              <w:pStyle w:val="RSCT03TableBody"/>
              <w:rPr>
                <w:rStyle w:val="CommentReference"/>
                <w:lang w:val="pt-BR"/>
              </w:rPr>
            </w:pPr>
            <w:r>
              <w:rPr>
                <w:rStyle w:val="CommentReference"/>
                <w:lang w:val="pt-BR"/>
              </w:rPr>
              <w:t xml:space="preserve"> </w:t>
            </w:r>
            <w:r w:rsidRPr="0029449F">
              <w:rPr>
                <w:rStyle w:val="CommentReference"/>
                <w:color w:val="000000" w:themeColor="text1"/>
                <w:lang w:val="pt-BR"/>
              </w:rPr>
              <w:t>79 (</w:t>
            </w:r>
            <w:r w:rsidR="007D3D25">
              <w:rPr>
                <w:rStyle w:val="CommentReference"/>
                <w:lang w:val="pt-BR"/>
              </w:rPr>
              <w:t>100</w:t>
            </w:r>
            <w:r>
              <w:rPr>
                <w:rStyle w:val="CommentReference"/>
                <w:lang w:val="pt-BR"/>
              </w:rPr>
              <w:t>)</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Pr="00575ECF" w:rsidRDefault="0029449F" w:rsidP="007D3D25">
            <w:pPr>
              <w:pStyle w:val="RSCT03TableBody"/>
              <w:rPr>
                <w:rStyle w:val="CommentReference"/>
                <w:lang w:val="pt-BR"/>
              </w:rPr>
            </w:pPr>
            <w:r>
              <w:rPr>
                <w:rStyle w:val="CommentReference"/>
                <w:lang w:val="pt-BR"/>
              </w:rPr>
              <w:t>12</w:t>
            </w:r>
          </w:p>
        </w:tc>
        <w:tc>
          <w:tcPr>
            <w:tcW w:w="881" w:type="pct"/>
          </w:tcPr>
          <w:p w:rsidR="0029449F" w:rsidRPr="00B2064B" w:rsidRDefault="0029449F" w:rsidP="00CD2E28">
            <w:pPr>
              <w:pStyle w:val="RSCT03TableBody"/>
              <w:rPr>
                <w:rStyle w:val="CommentReference"/>
                <w:b/>
                <w:lang w:val="pt-BR"/>
              </w:rPr>
            </w:pPr>
            <w:r>
              <w:rPr>
                <w:rStyle w:val="CommentReference"/>
                <w:b/>
                <w:lang w:val="pt-BR"/>
              </w:rPr>
              <w:t>2i</w:t>
            </w:r>
          </w:p>
        </w:tc>
        <w:tc>
          <w:tcPr>
            <w:tcW w:w="1036" w:type="pct"/>
          </w:tcPr>
          <w:p w:rsidR="0029449F" w:rsidRDefault="0029449F" w:rsidP="00CD2E28">
            <w:pPr>
              <w:pStyle w:val="RSCT03TableBody"/>
              <w:rPr>
                <w:rStyle w:val="CommentReference"/>
                <w:lang w:val="pt-BR"/>
              </w:rPr>
            </w:pPr>
            <w:r>
              <w:rPr>
                <w:rStyle w:val="CommentReference"/>
                <w:lang w:val="pt-BR"/>
              </w:rPr>
              <w:t>2+2</w:t>
            </w:r>
          </w:p>
        </w:tc>
        <w:tc>
          <w:tcPr>
            <w:tcW w:w="1401" w:type="pct"/>
          </w:tcPr>
          <w:p w:rsidR="0029449F" w:rsidRDefault="0029449F" w:rsidP="00CD2E28">
            <w:pPr>
              <w:pStyle w:val="RSCT03TableBody"/>
              <w:rPr>
                <w:rStyle w:val="CommentReference"/>
                <w:lang w:val="pt-BR"/>
              </w:rPr>
            </w:pPr>
            <w:r>
              <w:rPr>
                <w:rStyle w:val="CommentReference"/>
                <w:lang w:val="pt-BR"/>
              </w:rPr>
              <w:t xml:space="preserve"> </w:t>
            </w:r>
            <w:r w:rsidRPr="0029449F">
              <w:rPr>
                <w:rStyle w:val="CommentReference"/>
                <w:color w:val="000000" w:themeColor="text1"/>
                <w:lang w:val="pt-BR"/>
              </w:rPr>
              <w:t>71</w:t>
            </w:r>
            <w:r w:rsidR="007D3D25">
              <w:rPr>
                <w:rStyle w:val="CommentReference"/>
                <w:lang w:val="pt-BR"/>
              </w:rPr>
              <w:t xml:space="preserve"> (100</w:t>
            </w:r>
            <w:r>
              <w:rPr>
                <w:rStyle w:val="CommentReference"/>
                <w:lang w:val="pt-BR"/>
              </w:rPr>
              <w:t>)</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29449F" w:rsidRPr="00EA067A" w:rsidTr="00B11C95">
        <w:tc>
          <w:tcPr>
            <w:tcW w:w="626" w:type="pct"/>
          </w:tcPr>
          <w:p w:rsidR="0029449F" w:rsidRDefault="0029449F" w:rsidP="00CD2E28">
            <w:pPr>
              <w:pStyle w:val="RSCT03TableBody"/>
              <w:rPr>
                <w:rStyle w:val="CommentReference"/>
                <w:color w:val="000000" w:themeColor="text1"/>
                <w:lang w:val="pt-BR"/>
              </w:rPr>
            </w:pPr>
            <w:r>
              <w:rPr>
                <w:rStyle w:val="CommentReference"/>
                <w:color w:val="000000" w:themeColor="text1"/>
                <w:lang w:val="pt-BR"/>
              </w:rPr>
              <w:t>13</w:t>
            </w:r>
          </w:p>
        </w:tc>
        <w:tc>
          <w:tcPr>
            <w:tcW w:w="881" w:type="pct"/>
          </w:tcPr>
          <w:p w:rsidR="0029449F" w:rsidRPr="00B2064B" w:rsidRDefault="0029449F" w:rsidP="00CD2E28">
            <w:pPr>
              <w:pStyle w:val="RSCT03TableBody"/>
              <w:rPr>
                <w:rStyle w:val="CommentReference"/>
                <w:b/>
                <w:lang w:val="pt-BR"/>
              </w:rPr>
            </w:pPr>
            <w:r>
              <w:rPr>
                <w:rStyle w:val="CommentReference"/>
                <w:b/>
                <w:lang w:val="pt-BR"/>
              </w:rPr>
              <w:t>2j</w:t>
            </w:r>
          </w:p>
        </w:tc>
        <w:tc>
          <w:tcPr>
            <w:tcW w:w="1036" w:type="pct"/>
          </w:tcPr>
          <w:p w:rsidR="0029449F" w:rsidRDefault="0029449F" w:rsidP="00CD2E28">
            <w:pPr>
              <w:pStyle w:val="RSCT03TableBody"/>
              <w:rPr>
                <w:rStyle w:val="CommentReference"/>
                <w:lang w:val="pt-BR"/>
              </w:rPr>
            </w:pPr>
            <w:r>
              <w:rPr>
                <w:rStyle w:val="CommentReference"/>
                <w:lang w:val="pt-BR"/>
              </w:rPr>
              <w:t>2+2</w:t>
            </w:r>
          </w:p>
        </w:tc>
        <w:tc>
          <w:tcPr>
            <w:tcW w:w="1401" w:type="pct"/>
          </w:tcPr>
          <w:p w:rsidR="0029449F" w:rsidRDefault="0029449F" w:rsidP="00CD2E28">
            <w:pPr>
              <w:pStyle w:val="RSCT03TableBody"/>
              <w:rPr>
                <w:rStyle w:val="CommentReference"/>
                <w:lang w:val="pt-BR"/>
              </w:rPr>
            </w:pPr>
            <w:r>
              <w:rPr>
                <w:rStyle w:val="CommentReference"/>
                <w:lang w:val="pt-BR"/>
              </w:rPr>
              <w:t xml:space="preserve"> </w:t>
            </w:r>
            <w:r w:rsidRPr="0029449F">
              <w:rPr>
                <w:rStyle w:val="CommentReference"/>
                <w:color w:val="000000" w:themeColor="text1"/>
                <w:lang w:val="pt-BR"/>
              </w:rPr>
              <w:t>61</w:t>
            </w:r>
            <w:r w:rsidR="007D3D25">
              <w:rPr>
                <w:rStyle w:val="CommentReference"/>
                <w:lang w:val="pt-BR"/>
              </w:rPr>
              <w:t xml:space="preserve"> (100</w:t>
            </w:r>
            <w:r>
              <w:rPr>
                <w:rStyle w:val="CommentReference"/>
                <w:lang w:val="pt-BR"/>
              </w:rPr>
              <w:t>)</w:t>
            </w:r>
          </w:p>
        </w:tc>
        <w:tc>
          <w:tcPr>
            <w:tcW w:w="1057" w:type="pct"/>
          </w:tcPr>
          <w:p w:rsidR="0029449F" w:rsidRPr="003A17A7" w:rsidRDefault="0029449F" w:rsidP="00CD2E28">
            <w:pPr>
              <w:pStyle w:val="RSCT03TableBody"/>
              <w:rPr>
                <w:rStyle w:val="CommentReference"/>
                <w:lang w:val="pt-BR"/>
              </w:rPr>
            </w:pPr>
            <w:r w:rsidRPr="003A17A7">
              <w:rPr>
                <w:rStyle w:val="CommentReference"/>
                <w:lang w:val="pt-BR"/>
              </w:rPr>
              <w:t>&gt;99</w:t>
            </w:r>
          </w:p>
        </w:tc>
      </w:tr>
      <w:tr w:rsidR="007D3D25" w:rsidRPr="00EA067A" w:rsidTr="00B11C95">
        <w:tc>
          <w:tcPr>
            <w:tcW w:w="626" w:type="pct"/>
          </w:tcPr>
          <w:p w:rsidR="007D3D25" w:rsidRPr="00575ECF" w:rsidRDefault="007D3D25" w:rsidP="007D3D25">
            <w:pPr>
              <w:pStyle w:val="RSCT03TableBody"/>
              <w:rPr>
                <w:rStyle w:val="CommentReference"/>
                <w:lang w:val="pt-BR"/>
              </w:rPr>
            </w:pPr>
            <w:r>
              <w:rPr>
                <w:rStyle w:val="CommentReference"/>
                <w:lang w:val="pt-BR"/>
              </w:rPr>
              <w:t>14</w:t>
            </w:r>
          </w:p>
        </w:tc>
        <w:tc>
          <w:tcPr>
            <w:tcW w:w="881" w:type="pct"/>
          </w:tcPr>
          <w:p w:rsidR="007D3D25" w:rsidRPr="00B2064B" w:rsidRDefault="007D3D25" w:rsidP="007D3D25">
            <w:pPr>
              <w:pStyle w:val="RSCT03TableBody"/>
              <w:rPr>
                <w:rStyle w:val="CommentReference"/>
                <w:b/>
                <w:lang w:val="pt-BR"/>
              </w:rPr>
            </w:pPr>
            <w:r w:rsidRPr="00B2064B">
              <w:rPr>
                <w:rStyle w:val="CommentReference"/>
                <w:b/>
                <w:lang w:val="pt-BR"/>
              </w:rPr>
              <w:t>2</w:t>
            </w:r>
            <w:r>
              <w:rPr>
                <w:rStyle w:val="CommentReference"/>
                <w:b/>
                <w:lang w:val="pt-BR"/>
              </w:rPr>
              <w:t>k</w:t>
            </w:r>
          </w:p>
        </w:tc>
        <w:tc>
          <w:tcPr>
            <w:tcW w:w="1036" w:type="pct"/>
          </w:tcPr>
          <w:p w:rsidR="007D3D25" w:rsidRDefault="007D3D25" w:rsidP="007D3D25">
            <w:pPr>
              <w:pStyle w:val="RSCT03TableBody"/>
              <w:rPr>
                <w:rStyle w:val="CommentReference"/>
                <w:lang w:val="pt-BR"/>
              </w:rPr>
            </w:pPr>
            <w:r>
              <w:rPr>
                <w:rStyle w:val="CommentReference"/>
                <w:lang w:val="pt-BR"/>
              </w:rPr>
              <w:t>1+1</w:t>
            </w:r>
          </w:p>
        </w:tc>
        <w:tc>
          <w:tcPr>
            <w:tcW w:w="1401" w:type="pct"/>
          </w:tcPr>
          <w:p w:rsidR="007D3D25" w:rsidRPr="003A17A7" w:rsidRDefault="007D3D25" w:rsidP="007D3D25">
            <w:pPr>
              <w:pStyle w:val="RSCT03TableBody"/>
              <w:rPr>
                <w:rStyle w:val="CommentReference"/>
                <w:lang w:val="pt-BR"/>
              </w:rPr>
            </w:pPr>
            <w:r>
              <w:rPr>
                <w:rStyle w:val="CommentReference"/>
                <w:lang w:val="pt-BR"/>
              </w:rPr>
              <w:t>0</w:t>
            </w:r>
          </w:p>
        </w:tc>
        <w:tc>
          <w:tcPr>
            <w:tcW w:w="1057" w:type="pct"/>
          </w:tcPr>
          <w:p w:rsidR="007D3D25" w:rsidRPr="003A17A7" w:rsidRDefault="007D3D25" w:rsidP="00CD2E28">
            <w:pPr>
              <w:pStyle w:val="RSCT03TableBody"/>
              <w:rPr>
                <w:rStyle w:val="CommentReference"/>
                <w:lang w:val="pt-BR"/>
              </w:rPr>
            </w:pPr>
          </w:p>
        </w:tc>
      </w:tr>
      <w:tr w:rsidR="007D3D25" w:rsidRPr="00EA067A" w:rsidTr="00B11C95">
        <w:tc>
          <w:tcPr>
            <w:tcW w:w="626" w:type="pct"/>
          </w:tcPr>
          <w:p w:rsidR="007D3D25" w:rsidRDefault="007D3D25" w:rsidP="00CD2E28">
            <w:pPr>
              <w:pStyle w:val="RSCT03TableBody"/>
              <w:rPr>
                <w:rStyle w:val="CommentReference"/>
                <w:color w:val="000000" w:themeColor="text1"/>
                <w:lang w:val="pt-BR"/>
              </w:rPr>
            </w:pPr>
            <w:r>
              <w:rPr>
                <w:rStyle w:val="CommentReference"/>
                <w:color w:val="000000" w:themeColor="text1"/>
                <w:lang w:val="pt-BR"/>
              </w:rPr>
              <w:t>15</w:t>
            </w:r>
          </w:p>
        </w:tc>
        <w:tc>
          <w:tcPr>
            <w:tcW w:w="881" w:type="pct"/>
          </w:tcPr>
          <w:p w:rsidR="007D3D25" w:rsidRDefault="007D3D25" w:rsidP="00CD2E28">
            <w:pPr>
              <w:pStyle w:val="RSCT03TableBody"/>
              <w:rPr>
                <w:rStyle w:val="CommentReference"/>
                <w:b/>
                <w:lang w:val="pt-BR"/>
              </w:rPr>
            </w:pPr>
            <w:r w:rsidRPr="00B2064B">
              <w:rPr>
                <w:rStyle w:val="CommentReference"/>
                <w:b/>
                <w:lang w:val="pt-BR"/>
              </w:rPr>
              <w:t>2</w:t>
            </w:r>
            <w:r>
              <w:rPr>
                <w:rStyle w:val="CommentReference"/>
                <w:b/>
                <w:lang w:val="pt-BR"/>
              </w:rPr>
              <w:t>k</w:t>
            </w:r>
          </w:p>
        </w:tc>
        <w:tc>
          <w:tcPr>
            <w:tcW w:w="1036" w:type="pct"/>
          </w:tcPr>
          <w:p w:rsidR="007D3D25" w:rsidRDefault="007D3D25" w:rsidP="00CD2E28">
            <w:pPr>
              <w:pStyle w:val="RSCT03TableBody"/>
              <w:rPr>
                <w:rStyle w:val="CommentReference"/>
                <w:lang w:val="pt-BR"/>
              </w:rPr>
            </w:pPr>
            <w:r>
              <w:rPr>
                <w:rStyle w:val="CommentReference"/>
                <w:lang w:val="pt-BR"/>
              </w:rPr>
              <w:t>5+5</w:t>
            </w:r>
          </w:p>
        </w:tc>
        <w:tc>
          <w:tcPr>
            <w:tcW w:w="1401" w:type="pct"/>
          </w:tcPr>
          <w:p w:rsidR="007D3D25" w:rsidRPr="00995B0D" w:rsidRDefault="007C05F7" w:rsidP="00CD2E28">
            <w:pPr>
              <w:pStyle w:val="RSCT03TableBody"/>
              <w:rPr>
                <w:rStyle w:val="CommentReference"/>
                <w:color w:val="000000" w:themeColor="text1"/>
                <w:lang w:val="pt-BR"/>
              </w:rPr>
            </w:pPr>
            <w:r>
              <w:rPr>
                <w:rStyle w:val="CommentReference"/>
                <w:color w:val="000000" w:themeColor="text1"/>
                <w:lang w:val="pt-BR"/>
              </w:rPr>
              <w:t>10</w:t>
            </w:r>
            <w:r w:rsidR="00104AE9">
              <w:rPr>
                <w:rStyle w:val="CommentReference"/>
                <w:color w:val="000000" w:themeColor="text1"/>
                <w:lang w:val="pt-BR"/>
              </w:rPr>
              <w:t xml:space="preserve"> (20)</w:t>
            </w:r>
          </w:p>
        </w:tc>
        <w:tc>
          <w:tcPr>
            <w:tcW w:w="1057" w:type="pct"/>
          </w:tcPr>
          <w:p w:rsidR="007D3D25" w:rsidRPr="00995B0D" w:rsidRDefault="007C05F7" w:rsidP="00CD2E28">
            <w:pPr>
              <w:pStyle w:val="RSCT03TableBody"/>
              <w:rPr>
                <w:rStyle w:val="CommentReference"/>
                <w:color w:val="000000" w:themeColor="text1"/>
                <w:lang w:val="pt-BR"/>
              </w:rPr>
            </w:pPr>
            <w:r>
              <w:rPr>
                <w:rStyle w:val="CommentReference"/>
                <w:color w:val="000000" w:themeColor="text1"/>
                <w:lang w:val="pt-BR"/>
              </w:rPr>
              <w:t>&gt;99</w:t>
            </w:r>
          </w:p>
        </w:tc>
      </w:tr>
      <w:tr w:rsidR="007D3D25" w:rsidRPr="00EA067A" w:rsidTr="00B11C95">
        <w:tc>
          <w:tcPr>
            <w:tcW w:w="626" w:type="pct"/>
          </w:tcPr>
          <w:p w:rsidR="007D3D25" w:rsidRPr="00575ECF" w:rsidRDefault="007D3D25" w:rsidP="00CD2E28">
            <w:pPr>
              <w:pStyle w:val="RSCT03TableBody"/>
              <w:rPr>
                <w:rStyle w:val="CommentReference"/>
                <w:lang w:val="pt-BR"/>
              </w:rPr>
            </w:pPr>
            <w:r>
              <w:rPr>
                <w:rStyle w:val="CommentReference"/>
                <w:lang w:val="pt-BR"/>
              </w:rPr>
              <w:t>16</w:t>
            </w:r>
          </w:p>
        </w:tc>
        <w:tc>
          <w:tcPr>
            <w:tcW w:w="881" w:type="pct"/>
          </w:tcPr>
          <w:p w:rsidR="007D3D25" w:rsidRPr="00B2064B" w:rsidRDefault="007D3D25" w:rsidP="00EC0650">
            <w:pPr>
              <w:pStyle w:val="RSCT03TableBody"/>
              <w:rPr>
                <w:rStyle w:val="CommentReference"/>
                <w:b/>
                <w:lang w:val="pt-BR"/>
              </w:rPr>
            </w:pPr>
            <w:r>
              <w:rPr>
                <w:rStyle w:val="CommentReference"/>
                <w:b/>
                <w:lang w:val="pt-BR"/>
              </w:rPr>
              <w:t>2l</w:t>
            </w:r>
          </w:p>
        </w:tc>
        <w:tc>
          <w:tcPr>
            <w:tcW w:w="1036" w:type="pct"/>
          </w:tcPr>
          <w:p w:rsidR="007D3D25" w:rsidRDefault="007D3D25" w:rsidP="00CD2E28">
            <w:pPr>
              <w:pStyle w:val="RSCT03TableBody"/>
              <w:rPr>
                <w:rStyle w:val="CommentReference"/>
                <w:lang w:val="pt-BR"/>
              </w:rPr>
            </w:pPr>
            <w:r>
              <w:rPr>
                <w:rStyle w:val="CommentReference"/>
                <w:lang w:val="pt-BR"/>
              </w:rPr>
              <w:t>5+5</w:t>
            </w:r>
          </w:p>
        </w:tc>
        <w:tc>
          <w:tcPr>
            <w:tcW w:w="1401" w:type="pct"/>
          </w:tcPr>
          <w:p w:rsidR="007D3D25" w:rsidRPr="003A17A7" w:rsidRDefault="007D3D25" w:rsidP="00CD2E28">
            <w:pPr>
              <w:pStyle w:val="RSCT03TableBody"/>
              <w:rPr>
                <w:rStyle w:val="CommentReference"/>
                <w:lang w:val="pt-BR"/>
              </w:rPr>
            </w:pPr>
            <w:r>
              <w:rPr>
                <w:rStyle w:val="CommentReference"/>
                <w:lang w:val="pt-BR"/>
              </w:rPr>
              <w:t>31 (70)</w:t>
            </w:r>
          </w:p>
        </w:tc>
        <w:tc>
          <w:tcPr>
            <w:tcW w:w="1057" w:type="pct"/>
          </w:tcPr>
          <w:p w:rsidR="007D3D25" w:rsidRPr="003A17A7" w:rsidRDefault="007D3D25" w:rsidP="00CD2E28">
            <w:pPr>
              <w:pStyle w:val="RSCT03TableBody"/>
              <w:rPr>
                <w:rStyle w:val="CommentReference"/>
                <w:color w:val="FF0000"/>
                <w:lang w:val="pt-BR"/>
              </w:rPr>
            </w:pPr>
            <w:r w:rsidRPr="007D3D25">
              <w:rPr>
                <w:rStyle w:val="CommentReference"/>
                <w:color w:val="000000" w:themeColor="text1"/>
                <w:lang w:val="pt-BR"/>
              </w:rPr>
              <w:t>&gt;99</w:t>
            </w:r>
          </w:p>
        </w:tc>
      </w:tr>
      <w:tr w:rsidR="007D3D25" w:rsidRPr="00F54B9B" w:rsidTr="00A04827">
        <w:tc>
          <w:tcPr>
            <w:tcW w:w="5000" w:type="pct"/>
            <w:gridSpan w:val="5"/>
            <w:tcBorders>
              <w:top w:val="single" w:sz="8" w:space="0" w:color="000000"/>
            </w:tcBorders>
          </w:tcPr>
          <w:p w:rsidR="007D3D25" w:rsidRDefault="007D3D25" w:rsidP="00A04827">
            <w:pPr>
              <w:pStyle w:val="TableFoot"/>
            </w:pPr>
            <w:r>
              <w:t xml:space="preserve">[a] </w:t>
            </w:r>
            <w:r>
              <w:rPr>
                <w:lang w:val="en-US"/>
              </w:rPr>
              <w:t>The cyclic carbonates were isolated by flash chromatography on silica</w:t>
            </w:r>
            <w:r w:rsidRPr="007C72F2">
              <w:rPr>
                <w:lang w:val="en-US"/>
              </w:rPr>
              <w:t>.</w:t>
            </w:r>
            <w:r>
              <w:rPr>
                <w:lang w:val="en-US"/>
              </w:rPr>
              <w:t xml:space="preserve"> [b] Conversions were determined by </w:t>
            </w:r>
            <w:r w:rsidRPr="003B104E">
              <w:rPr>
                <w:vertAlign w:val="superscript"/>
                <w:lang w:val="en-US"/>
              </w:rPr>
              <w:t>1</w:t>
            </w:r>
            <w:r>
              <w:rPr>
                <w:lang w:val="en-US"/>
              </w:rPr>
              <w:t>H NMR using the catalyst signals as internal standard.</w:t>
            </w:r>
          </w:p>
        </w:tc>
      </w:tr>
    </w:tbl>
    <w:p w:rsidR="00B11C95" w:rsidRDefault="00B11C95" w:rsidP="00CD2E28">
      <w:pPr>
        <w:pStyle w:val="P1"/>
        <w:ind w:firstLine="425"/>
        <w:rPr>
          <w:rStyle w:val="shorttext"/>
          <w:color w:val="000000" w:themeColor="text1"/>
        </w:rPr>
      </w:pPr>
      <w:r w:rsidRPr="00A04827">
        <w:rPr>
          <w:rStyle w:val="shorttext"/>
          <w:color w:val="000000" w:themeColor="text1"/>
        </w:rPr>
        <w:t xml:space="preserve">The 1:1 CVI-BINOL system was used for synthesis of ten cyclic carbonates </w:t>
      </w:r>
      <w:r w:rsidRPr="00A04827">
        <w:rPr>
          <w:rStyle w:val="shorttext"/>
          <w:b/>
          <w:color w:val="000000" w:themeColor="text1"/>
        </w:rPr>
        <w:t xml:space="preserve">2a-j </w:t>
      </w:r>
      <w:r w:rsidRPr="00A04827">
        <w:rPr>
          <w:rStyle w:val="shorttext"/>
          <w:color w:val="000000" w:themeColor="text1"/>
        </w:rPr>
        <w:t xml:space="preserve">from terminal epoxides </w:t>
      </w:r>
      <w:r w:rsidRPr="00A04827">
        <w:rPr>
          <w:rStyle w:val="shorttext"/>
          <w:b/>
          <w:color w:val="000000" w:themeColor="text1"/>
        </w:rPr>
        <w:t>1a-j</w:t>
      </w:r>
      <w:r w:rsidRPr="00A04827">
        <w:rPr>
          <w:rStyle w:val="shorttext"/>
          <w:color w:val="000000" w:themeColor="text1"/>
        </w:rPr>
        <w:t xml:space="preserve"> (Table 4</w:t>
      </w:r>
      <w:r>
        <w:rPr>
          <w:rStyle w:val="shorttext"/>
          <w:color w:val="000000" w:themeColor="text1"/>
        </w:rPr>
        <w:t>, entries 1-13</w:t>
      </w:r>
      <w:r w:rsidRPr="00A04827">
        <w:rPr>
          <w:rStyle w:val="shorttext"/>
          <w:color w:val="000000" w:themeColor="text1"/>
        </w:rPr>
        <w:t xml:space="preserve">). For </w:t>
      </w:r>
      <w:r w:rsidR="00BD6D56">
        <w:rPr>
          <w:rStyle w:val="shorttext"/>
          <w:color w:val="000000" w:themeColor="text1"/>
        </w:rPr>
        <w:t>the more reactive</w:t>
      </w:r>
      <w:r>
        <w:rPr>
          <w:rStyle w:val="shorttext"/>
          <w:color w:val="000000" w:themeColor="text1"/>
        </w:rPr>
        <w:t xml:space="preserve"> epoxides </w:t>
      </w:r>
      <w:r>
        <w:rPr>
          <w:rStyle w:val="shorttext"/>
          <w:b/>
          <w:color w:val="000000" w:themeColor="text1"/>
        </w:rPr>
        <w:t>1a,d,e</w:t>
      </w:r>
      <w:r>
        <w:rPr>
          <w:rStyle w:val="shorttext"/>
          <w:color w:val="000000" w:themeColor="text1"/>
        </w:rPr>
        <w:t xml:space="preserve">, good conversions were obtained using just 1 mol% of each catalyst component (Table 4, entries 1,6,7). However, other aromatic and aliphatic epoxides </w:t>
      </w:r>
      <w:r>
        <w:rPr>
          <w:rStyle w:val="shorttext"/>
          <w:b/>
          <w:color w:val="000000" w:themeColor="text1"/>
        </w:rPr>
        <w:t xml:space="preserve">1b,c,f </w:t>
      </w:r>
      <w:r>
        <w:rPr>
          <w:rStyle w:val="shorttext"/>
          <w:color w:val="000000" w:themeColor="text1"/>
        </w:rPr>
        <w:t xml:space="preserve">gave rather low conversions when 1 mol% of each catalyst component was used, but much better results when 2 mol% of each component was used (Table 4, entries 2-5,8,9). Therefore, 2 mol% of each catalyst component was used with the remaining substrates. Under these conditions, high conversions were obtained with substrates possessing long alkyl chains, ethers and alcohols in their sidechains (Table 4, entries 7-11). These results show that the CVI-BINOL system has general applicability and tolerates functional groups within the epoxide substrate. Cyclic disubstituted epoxides </w:t>
      </w:r>
      <w:r>
        <w:rPr>
          <w:rStyle w:val="shorttext"/>
          <w:b/>
          <w:color w:val="000000" w:themeColor="text1"/>
        </w:rPr>
        <w:t>1k,l</w:t>
      </w:r>
      <w:r>
        <w:rPr>
          <w:rStyle w:val="shorttext"/>
          <w:color w:val="000000" w:themeColor="text1"/>
        </w:rPr>
        <w:t xml:space="preserve"> were also investigated as substrates. With a catalyst loading of 1 mol% of each component, cyclohexene oxide </w:t>
      </w:r>
      <w:r>
        <w:rPr>
          <w:rStyle w:val="shorttext"/>
          <w:b/>
          <w:color w:val="000000" w:themeColor="text1"/>
        </w:rPr>
        <w:t>1k</w:t>
      </w:r>
      <w:r>
        <w:rPr>
          <w:rStyle w:val="shorttext"/>
          <w:color w:val="000000" w:themeColor="text1"/>
        </w:rPr>
        <w:t xml:space="preserve"> failed to react (Table 4, entry 14). Increasing the catalyst loading to 5 mol% of each component resulted in formation of </w:t>
      </w:r>
      <w:r>
        <w:rPr>
          <w:rStyle w:val="shorttext"/>
          <w:i/>
          <w:color w:val="000000" w:themeColor="text1"/>
        </w:rPr>
        <w:t>cis</w:t>
      </w:r>
      <w:r>
        <w:rPr>
          <w:rStyle w:val="shorttext"/>
          <w:color w:val="000000" w:themeColor="text1"/>
        </w:rPr>
        <w:t xml:space="preserve">-cyclohexene carbonate in </w:t>
      </w:r>
      <w:r w:rsidRPr="00995B0D">
        <w:rPr>
          <w:rStyle w:val="shorttext"/>
          <w:color w:val="000000" w:themeColor="text1"/>
        </w:rPr>
        <w:t xml:space="preserve">just </w:t>
      </w:r>
      <w:r w:rsidR="00995B0D" w:rsidRPr="00995B0D">
        <w:rPr>
          <w:rStyle w:val="shorttext"/>
          <w:color w:val="000000" w:themeColor="text1"/>
        </w:rPr>
        <w:t>10</w:t>
      </w:r>
      <w:r w:rsidRPr="00995B0D">
        <w:rPr>
          <w:rStyle w:val="shorttext"/>
          <w:color w:val="000000" w:themeColor="text1"/>
        </w:rPr>
        <w:t xml:space="preserve">% yield (Table </w:t>
      </w:r>
      <w:r>
        <w:rPr>
          <w:rStyle w:val="shorttext"/>
          <w:color w:val="000000" w:themeColor="text1"/>
        </w:rPr>
        <w:t xml:space="preserve">4, entry 15). No polycarbonate was formed in these reactions. Cyclopentene oxide </w:t>
      </w:r>
      <w:r>
        <w:rPr>
          <w:rStyle w:val="shorttext"/>
          <w:b/>
          <w:color w:val="000000" w:themeColor="text1"/>
        </w:rPr>
        <w:t>1l</w:t>
      </w:r>
      <w:r>
        <w:rPr>
          <w:rStyle w:val="shorttext"/>
          <w:color w:val="000000" w:themeColor="text1"/>
        </w:rPr>
        <w:t xml:space="preserve"> was a slightly more successful substrate, giving cyclopentene carbonate </w:t>
      </w:r>
      <w:r>
        <w:rPr>
          <w:rStyle w:val="shorttext"/>
          <w:b/>
          <w:color w:val="000000" w:themeColor="text1"/>
        </w:rPr>
        <w:t>2l</w:t>
      </w:r>
      <w:r>
        <w:rPr>
          <w:rStyle w:val="shorttext"/>
          <w:color w:val="000000" w:themeColor="text1"/>
        </w:rPr>
        <w:t xml:space="preserve"> in 31% yield when 5 mol% of each catalyst component was used.</w:t>
      </w:r>
    </w:p>
    <w:p w:rsidR="009343A0" w:rsidRDefault="009343A0" w:rsidP="00CD2E28">
      <w:pPr>
        <w:pStyle w:val="P1"/>
        <w:ind w:firstLine="425"/>
        <w:rPr>
          <w:rFonts w:cs="AdvMYR4"/>
          <w:color w:val="000000" w:themeColor="text1"/>
        </w:rPr>
      </w:pPr>
      <w:r w:rsidRPr="00704730">
        <w:rPr>
          <w:rStyle w:val="shorttext"/>
          <w:color w:val="000000" w:themeColor="text1"/>
        </w:rPr>
        <w:t xml:space="preserve">The stability of the CVI/BINOL catalytic system was investigated by catalyst </w:t>
      </w:r>
      <w:r>
        <w:rPr>
          <w:rStyle w:val="shorttext"/>
          <w:color w:val="000000" w:themeColor="text1"/>
        </w:rPr>
        <w:t>reuse</w:t>
      </w:r>
      <w:r w:rsidRPr="00704730">
        <w:rPr>
          <w:rStyle w:val="shorttext"/>
          <w:color w:val="000000" w:themeColor="text1"/>
        </w:rPr>
        <w:t xml:space="preserve"> experiments using PO at 50</w:t>
      </w:r>
      <w:r w:rsidR="00CD2E28">
        <w:rPr>
          <w:rStyle w:val="shorttext"/>
          <w:color w:val="000000" w:themeColor="text1"/>
        </w:rPr>
        <w:t xml:space="preserve"> </w:t>
      </w:r>
      <w:r w:rsidRPr="00704730">
        <w:rPr>
          <w:rStyle w:val="shorttext"/>
          <w:color w:val="000000" w:themeColor="text1"/>
          <w:vertAlign w:val="superscript"/>
        </w:rPr>
        <w:t>o</w:t>
      </w:r>
      <w:r w:rsidRPr="00704730">
        <w:rPr>
          <w:rStyle w:val="shorttext"/>
          <w:color w:val="000000" w:themeColor="text1"/>
        </w:rPr>
        <w:t>C and 50 bar CO</w:t>
      </w:r>
      <w:r w:rsidRPr="00704730">
        <w:rPr>
          <w:rStyle w:val="shorttext"/>
          <w:color w:val="000000" w:themeColor="text1"/>
          <w:vertAlign w:val="subscript"/>
        </w:rPr>
        <w:t>2</w:t>
      </w:r>
      <w:r w:rsidRPr="00704730">
        <w:rPr>
          <w:rStyle w:val="shorttext"/>
          <w:color w:val="000000" w:themeColor="text1"/>
        </w:rPr>
        <w:t xml:space="preserve"> </w:t>
      </w:r>
      <w:r w:rsidR="00CD2E28">
        <w:rPr>
          <w:rStyle w:val="shorttext"/>
          <w:color w:val="000000" w:themeColor="text1"/>
        </w:rPr>
        <w:t xml:space="preserve">pressure </w:t>
      </w:r>
      <w:r w:rsidRPr="00704730">
        <w:rPr>
          <w:rStyle w:val="shorttext"/>
          <w:color w:val="000000" w:themeColor="text1"/>
        </w:rPr>
        <w:t xml:space="preserve">with a reaction time of 24 h. </w:t>
      </w:r>
      <w:r w:rsidRPr="00704730">
        <w:rPr>
          <w:rFonts w:cs="AdvMYR4"/>
          <w:color w:val="000000" w:themeColor="text1"/>
        </w:rPr>
        <w:t xml:space="preserve">After the first 24 h period, the yield of cyclic carbonate </w:t>
      </w:r>
      <w:r w:rsidRPr="00704730">
        <w:rPr>
          <w:rFonts w:cs="AdvMYR6"/>
          <w:b/>
          <w:color w:val="000000" w:themeColor="text1"/>
        </w:rPr>
        <w:t>2d</w:t>
      </w:r>
      <w:r w:rsidRPr="00704730">
        <w:rPr>
          <w:rFonts w:cs="AdvMYR6"/>
          <w:color w:val="000000" w:themeColor="text1"/>
        </w:rPr>
        <w:t xml:space="preserve"> </w:t>
      </w:r>
      <w:r w:rsidRPr="00704730">
        <w:rPr>
          <w:rFonts w:cs="AdvMYR4"/>
          <w:color w:val="000000" w:themeColor="text1"/>
        </w:rPr>
        <w:t xml:space="preserve">was determined by </w:t>
      </w:r>
      <w:r w:rsidRPr="00704730">
        <w:rPr>
          <w:rFonts w:cs="AdvMYR4"/>
          <w:color w:val="000000" w:themeColor="text1"/>
          <w:vertAlign w:val="superscript"/>
        </w:rPr>
        <w:t>1</w:t>
      </w:r>
      <w:r>
        <w:rPr>
          <w:rFonts w:cs="AdvMYR4"/>
          <w:color w:val="000000" w:themeColor="text1"/>
        </w:rPr>
        <w:t xml:space="preserve">H NMR spectroscopy, </w:t>
      </w:r>
      <w:r w:rsidRPr="00704730">
        <w:rPr>
          <w:rFonts w:cs="AdvMYR4"/>
          <w:color w:val="000000" w:themeColor="text1"/>
        </w:rPr>
        <w:t xml:space="preserve">then another portion of propylene oxide was added to the reaction mixture. The results are shown at Table 5. The system could be </w:t>
      </w:r>
      <w:r>
        <w:rPr>
          <w:rFonts w:cs="AdvMYR4"/>
          <w:color w:val="000000" w:themeColor="text1"/>
        </w:rPr>
        <w:t>recharged</w:t>
      </w:r>
      <w:r w:rsidRPr="00704730">
        <w:rPr>
          <w:rFonts w:cs="AdvMYR4"/>
          <w:color w:val="000000" w:themeColor="text1"/>
        </w:rPr>
        <w:t xml:space="preserve"> five times with no loss of activity.</w:t>
      </w:r>
    </w:p>
    <w:tbl>
      <w:tblPr>
        <w:tblW w:w="0" w:type="auto"/>
        <w:tblLook w:val="01E0" w:firstRow="1" w:lastRow="1" w:firstColumn="1" w:lastColumn="1" w:noHBand="0" w:noVBand="0"/>
      </w:tblPr>
      <w:tblGrid>
        <w:gridCol w:w="574"/>
        <w:gridCol w:w="564"/>
        <w:gridCol w:w="2217"/>
        <w:gridCol w:w="1736"/>
      </w:tblGrid>
      <w:tr w:rsidR="009343A0" w:rsidRPr="000633E7" w:rsidTr="00CD2E28">
        <w:tc>
          <w:tcPr>
            <w:tcW w:w="0" w:type="auto"/>
            <w:gridSpan w:val="4"/>
          </w:tcPr>
          <w:p w:rsidR="009343A0" w:rsidRPr="000633E7" w:rsidRDefault="009343A0" w:rsidP="00CD2E28">
            <w:pPr>
              <w:pStyle w:val="TableCaption"/>
              <w:rPr>
                <w:b/>
                <w:vertAlign w:val="superscript"/>
              </w:rPr>
            </w:pPr>
            <w:r w:rsidRPr="00B11686">
              <w:rPr>
                <w:b/>
              </w:rPr>
              <w:t xml:space="preserve">Table </w:t>
            </w:r>
            <w:r>
              <w:rPr>
                <w:b/>
              </w:rPr>
              <w:t>5</w:t>
            </w:r>
            <w:r w:rsidRPr="00B11686">
              <w:rPr>
                <w:b/>
              </w:rPr>
              <w:t>.</w:t>
            </w:r>
            <w:r>
              <w:t xml:space="preserve"> </w:t>
            </w:r>
            <w:r>
              <w:rPr>
                <w:rFonts w:cs="AdvMYR4"/>
                <w:lang w:val="en-US"/>
              </w:rPr>
              <w:t>Reusability</w:t>
            </w:r>
            <w:r w:rsidRPr="00B85C1D">
              <w:rPr>
                <w:rFonts w:cs="AdvMYR4"/>
                <w:lang w:val="en-US"/>
              </w:rPr>
              <w:t xml:space="preserve"> of </w:t>
            </w:r>
            <w:r>
              <w:rPr>
                <w:rFonts w:cs="AdvMYR4"/>
                <w:lang w:val="en-US"/>
              </w:rPr>
              <w:t>the CVI-BINOL catalytic system.</w:t>
            </w:r>
            <w:r>
              <w:rPr>
                <w:rFonts w:cs="AdvMYR4"/>
                <w:vertAlign w:val="superscript"/>
                <w:lang w:val="en-US"/>
              </w:rPr>
              <w:t>[a]</w:t>
            </w:r>
          </w:p>
        </w:tc>
      </w:tr>
      <w:tr w:rsidR="009343A0" w:rsidRPr="009951B0" w:rsidTr="00CD2E28">
        <w:trPr>
          <w:trHeight w:val="232"/>
        </w:trPr>
        <w:tc>
          <w:tcPr>
            <w:tcW w:w="0" w:type="auto"/>
            <w:tcBorders>
              <w:top w:val="single" w:sz="8" w:space="0" w:color="000000"/>
              <w:bottom w:val="single" w:sz="8" w:space="0" w:color="000000"/>
            </w:tcBorders>
          </w:tcPr>
          <w:p w:rsidR="009343A0" w:rsidRPr="00C83B78" w:rsidRDefault="009343A0" w:rsidP="00CD2E28">
            <w:pPr>
              <w:pStyle w:val="TableBody"/>
              <w:pBdr>
                <w:top w:val="none" w:sz="0" w:space="0" w:color="auto"/>
                <w:left w:val="none" w:sz="0" w:space="0" w:color="auto"/>
                <w:bottom w:val="none" w:sz="0" w:space="0" w:color="auto"/>
                <w:right w:val="none" w:sz="0" w:space="0" w:color="auto"/>
              </w:pBdr>
              <w:jc w:val="center"/>
              <w:rPr>
                <w:b/>
              </w:rPr>
            </w:pPr>
            <w:r w:rsidRPr="00C83B78">
              <w:rPr>
                <w:b/>
              </w:rPr>
              <w:t>Entry</w:t>
            </w:r>
          </w:p>
        </w:tc>
        <w:tc>
          <w:tcPr>
            <w:tcW w:w="0" w:type="auto"/>
            <w:tcBorders>
              <w:top w:val="single" w:sz="8" w:space="0" w:color="000000"/>
              <w:bottom w:val="single" w:sz="8" w:space="0" w:color="000000"/>
            </w:tcBorders>
          </w:tcPr>
          <w:p w:rsidR="009343A0" w:rsidRPr="001E1CE0" w:rsidRDefault="009343A0" w:rsidP="00CD2E28">
            <w:pPr>
              <w:pStyle w:val="RSCT03TableBody"/>
              <w:rPr>
                <w:rStyle w:val="CommentReference"/>
                <w:b/>
                <w:lang w:val="pt-BR"/>
              </w:rPr>
            </w:pPr>
            <w:r>
              <w:rPr>
                <w:rStyle w:val="CommentReference"/>
                <w:b/>
                <w:lang w:val="pt-BR"/>
              </w:rPr>
              <w:t>Cycle</w:t>
            </w:r>
          </w:p>
        </w:tc>
        <w:tc>
          <w:tcPr>
            <w:tcW w:w="2249" w:type="dxa"/>
            <w:tcBorders>
              <w:top w:val="single" w:sz="8" w:space="0" w:color="000000"/>
              <w:bottom w:val="single" w:sz="8" w:space="0" w:color="000000"/>
            </w:tcBorders>
          </w:tcPr>
          <w:p w:rsidR="009343A0" w:rsidRPr="00B2064B" w:rsidRDefault="009343A0" w:rsidP="00CD2E28">
            <w:pPr>
              <w:pStyle w:val="RSCT03TableBody"/>
              <w:rPr>
                <w:rStyle w:val="CommentReference"/>
                <w:b/>
                <w:vertAlign w:val="superscript"/>
                <w:lang w:val="pt-BR"/>
              </w:rPr>
            </w:pPr>
            <w:r w:rsidRPr="00D853DF">
              <w:rPr>
                <w:rStyle w:val="CommentReference"/>
                <w:b/>
                <w:lang w:val="pt-BR"/>
              </w:rPr>
              <w:t>Catalyst system concentration, mol%</w:t>
            </w:r>
          </w:p>
        </w:tc>
        <w:tc>
          <w:tcPr>
            <w:tcW w:w="1704" w:type="dxa"/>
            <w:tcBorders>
              <w:top w:val="single" w:sz="8" w:space="0" w:color="000000"/>
              <w:bottom w:val="single" w:sz="8" w:space="0" w:color="000000"/>
            </w:tcBorders>
          </w:tcPr>
          <w:p w:rsidR="009343A0" w:rsidRPr="009951B0" w:rsidRDefault="009343A0" w:rsidP="00CD2E28">
            <w:pPr>
              <w:pStyle w:val="RSCT03TableBody"/>
              <w:rPr>
                <w:rStyle w:val="CommentReference"/>
                <w:b/>
                <w:vertAlign w:val="superscript"/>
                <w:lang w:val="pt-BR"/>
              </w:rPr>
            </w:pPr>
            <w:r>
              <w:rPr>
                <w:rStyle w:val="CommentReference"/>
                <w:b/>
                <w:lang w:val="pt-BR"/>
              </w:rPr>
              <w:t>Conversion %</w:t>
            </w:r>
            <w:r>
              <w:rPr>
                <w:rStyle w:val="CommentReference"/>
                <w:b/>
                <w:vertAlign w:val="superscript"/>
                <w:lang w:val="pt-BR"/>
              </w:rPr>
              <w:t>[b]</w:t>
            </w:r>
          </w:p>
        </w:tc>
      </w:tr>
      <w:tr w:rsidR="009343A0" w:rsidRPr="00D853DF" w:rsidTr="00CD2E28">
        <w:tc>
          <w:tcPr>
            <w:tcW w:w="0" w:type="auto"/>
            <w:tcBorders>
              <w:top w:val="single" w:sz="8" w:space="0" w:color="000000"/>
            </w:tcBorders>
          </w:tcPr>
          <w:p w:rsidR="009343A0" w:rsidRPr="009D1A01" w:rsidRDefault="009343A0" w:rsidP="00CD2E28">
            <w:pPr>
              <w:pStyle w:val="RSCT03TableBody"/>
              <w:rPr>
                <w:rStyle w:val="CommentReference"/>
                <w:vertAlign w:val="superscript"/>
                <w:lang w:val="pt-BR"/>
              </w:rPr>
            </w:pPr>
            <w:r>
              <w:rPr>
                <w:rStyle w:val="CommentReference"/>
                <w:lang w:val="pt-BR"/>
              </w:rPr>
              <w:t>1</w:t>
            </w:r>
          </w:p>
        </w:tc>
        <w:tc>
          <w:tcPr>
            <w:tcW w:w="0" w:type="auto"/>
            <w:tcBorders>
              <w:top w:val="single" w:sz="8" w:space="0" w:color="000000"/>
            </w:tcBorders>
          </w:tcPr>
          <w:p w:rsidR="009343A0" w:rsidRPr="00D853DF" w:rsidRDefault="009343A0" w:rsidP="00CD2E28">
            <w:pPr>
              <w:pStyle w:val="RSCT03TableBody"/>
              <w:rPr>
                <w:rStyle w:val="CommentReference"/>
                <w:lang w:val="pt-BR"/>
              </w:rPr>
            </w:pPr>
            <w:r w:rsidRPr="00D853DF">
              <w:rPr>
                <w:rStyle w:val="CommentReference"/>
                <w:lang w:val="pt-BR"/>
              </w:rPr>
              <w:t>1</w:t>
            </w:r>
          </w:p>
        </w:tc>
        <w:tc>
          <w:tcPr>
            <w:tcW w:w="2249" w:type="dxa"/>
            <w:tcBorders>
              <w:top w:val="single" w:sz="8" w:space="0" w:color="000000"/>
            </w:tcBorders>
          </w:tcPr>
          <w:p w:rsidR="009343A0" w:rsidRPr="00D853DF" w:rsidRDefault="009343A0" w:rsidP="00CD2E28">
            <w:pPr>
              <w:pStyle w:val="RSCT03TableBody"/>
              <w:rPr>
                <w:rStyle w:val="CommentReference"/>
                <w:lang w:val="pt-BR"/>
              </w:rPr>
            </w:pPr>
            <w:r w:rsidRPr="00D853DF">
              <w:rPr>
                <w:rStyle w:val="CommentReference"/>
                <w:lang w:val="pt-BR"/>
              </w:rPr>
              <w:t>2</w:t>
            </w:r>
          </w:p>
        </w:tc>
        <w:tc>
          <w:tcPr>
            <w:tcW w:w="1704" w:type="dxa"/>
            <w:tcBorders>
              <w:top w:val="single" w:sz="8" w:space="0" w:color="000000"/>
            </w:tcBorders>
          </w:tcPr>
          <w:p w:rsidR="009343A0" w:rsidRPr="00D853DF" w:rsidRDefault="009343A0" w:rsidP="00CD2E28">
            <w:pPr>
              <w:pStyle w:val="RSCT03TableBody"/>
              <w:rPr>
                <w:rStyle w:val="CommentReference"/>
                <w:lang w:val="pt-BR"/>
              </w:rPr>
            </w:pPr>
            <w:r w:rsidRPr="00D853DF">
              <w:rPr>
                <w:rStyle w:val="CommentReference"/>
                <w:lang w:val="pt-BR"/>
              </w:rPr>
              <w:t>100</w:t>
            </w:r>
          </w:p>
        </w:tc>
      </w:tr>
      <w:tr w:rsidR="009343A0" w:rsidRPr="00D853DF" w:rsidTr="00CD2E28">
        <w:tc>
          <w:tcPr>
            <w:tcW w:w="0" w:type="auto"/>
          </w:tcPr>
          <w:p w:rsidR="009343A0" w:rsidRPr="009D1A01" w:rsidRDefault="009343A0" w:rsidP="00CD2E28">
            <w:pPr>
              <w:pStyle w:val="RSCT03TableBody"/>
              <w:rPr>
                <w:rStyle w:val="CommentReference"/>
                <w:vertAlign w:val="superscript"/>
                <w:lang w:val="pt-BR"/>
              </w:rPr>
            </w:pPr>
            <w:r>
              <w:rPr>
                <w:rStyle w:val="CommentReference"/>
                <w:lang w:val="pt-BR"/>
              </w:rPr>
              <w:t>2</w:t>
            </w:r>
          </w:p>
        </w:tc>
        <w:tc>
          <w:tcPr>
            <w:tcW w:w="0" w:type="auto"/>
          </w:tcPr>
          <w:p w:rsidR="009343A0" w:rsidRPr="00D853DF" w:rsidRDefault="009343A0" w:rsidP="00CD2E28">
            <w:pPr>
              <w:pStyle w:val="RSCT03TableBody"/>
              <w:rPr>
                <w:rStyle w:val="CommentReference"/>
                <w:lang w:val="pt-BR"/>
              </w:rPr>
            </w:pPr>
            <w:r w:rsidRPr="00D853DF">
              <w:rPr>
                <w:rStyle w:val="CommentReference"/>
                <w:lang w:val="pt-BR"/>
              </w:rPr>
              <w:t>2</w:t>
            </w:r>
          </w:p>
        </w:tc>
        <w:tc>
          <w:tcPr>
            <w:tcW w:w="2249" w:type="dxa"/>
          </w:tcPr>
          <w:p w:rsidR="009343A0" w:rsidRPr="00D853DF" w:rsidRDefault="009343A0" w:rsidP="00CD2E28">
            <w:pPr>
              <w:pStyle w:val="RSCT03TableBody"/>
              <w:rPr>
                <w:rStyle w:val="CommentReference"/>
                <w:lang w:val="pt-BR"/>
              </w:rPr>
            </w:pPr>
            <w:r w:rsidRPr="00D853DF">
              <w:rPr>
                <w:rStyle w:val="CommentReference"/>
                <w:lang w:val="pt-BR"/>
              </w:rPr>
              <w:t>1</w:t>
            </w:r>
          </w:p>
        </w:tc>
        <w:tc>
          <w:tcPr>
            <w:tcW w:w="1704" w:type="dxa"/>
          </w:tcPr>
          <w:p w:rsidR="009343A0" w:rsidRPr="00D853DF" w:rsidRDefault="009343A0" w:rsidP="00CD2E28">
            <w:pPr>
              <w:pStyle w:val="RSCT03TableBody"/>
              <w:rPr>
                <w:rStyle w:val="CommentReference"/>
                <w:lang w:val="pt-BR"/>
              </w:rPr>
            </w:pPr>
            <w:r w:rsidRPr="00D853DF">
              <w:rPr>
                <w:rStyle w:val="CommentReference"/>
                <w:lang w:val="pt-BR"/>
              </w:rPr>
              <w:t>100</w:t>
            </w:r>
          </w:p>
        </w:tc>
      </w:tr>
      <w:tr w:rsidR="009343A0" w:rsidRPr="00D853DF" w:rsidTr="00CD2E28">
        <w:tc>
          <w:tcPr>
            <w:tcW w:w="0" w:type="auto"/>
          </w:tcPr>
          <w:p w:rsidR="009343A0" w:rsidRPr="009D1A01" w:rsidRDefault="009343A0" w:rsidP="00CD2E28">
            <w:pPr>
              <w:pStyle w:val="RSCT03TableBody"/>
              <w:rPr>
                <w:rStyle w:val="CommentReference"/>
                <w:lang w:val="pt-BR"/>
              </w:rPr>
            </w:pPr>
            <w:r w:rsidRPr="009D1A01">
              <w:rPr>
                <w:rStyle w:val="CommentReference"/>
                <w:lang w:val="pt-BR"/>
              </w:rPr>
              <w:t>3</w:t>
            </w:r>
          </w:p>
        </w:tc>
        <w:tc>
          <w:tcPr>
            <w:tcW w:w="0" w:type="auto"/>
          </w:tcPr>
          <w:p w:rsidR="009343A0" w:rsidRPr="00D853DF" w:rsidRDefault="009343A0" w:rsidP="00CD2E28">
            <w:pPr>
              <w:pStyle w:val="RSCT03TableBody"/>
              <w:rPr>
                <w:rStyle w:val="CommentReference"/>
                <w:lang w:val="pt-BR"/>
              </w:rPr>
            </w:pPr>
            <w:r w:rsidRPr="00D853DF">
              <w:rPr>
                <w:rStyle w:val="CommentReference"/>
                <w:lang w:val="pt-BR"/>
              </w:rPr>
              <w:t>3</w:t>
            </w:r>
          </w:p>
        </w:tc>
        <w:tc>
          <w:tcPr>
            <w:tcW w:w="2249" w:type="dxa"/>
          </w:tcPr>
          <w:p w:rsidR="009343A0" w:rsidRPr="00D853DF" w:rsidRDefault="009343A0" w:rsidP="00CD2E28">
            <w:pPr>
              <w:pStyle w:val="RSCT03TableBody"/>
              <w:rPr>
                <w:rStyle w:val="CommentReference"/>
                <w:lang w:val="pt-BR"/>
              </w:rPr>
            </w:pPr>
            <w:r w:rsidRPr="00D853DF">
              <w:rPr>
                <w:rStyle w:val="CommentReference"/>
                <w:lang w:val="pt-BR"/>
              </w:rPr>
              <w:t>0.67</w:t>
            </w:r>
          </w:p>
        </w:tc>
        <w:tc>
          <w:tcPr>
            <w:tcW w:w="1704" w:type="dxa"/>
          </w:tcPr>
          <w:p w:rsidR="009343A0" w:rsidRPr="00D853DF" w:rsidRDefault="009343A0" w:rsidP="00CD2E28">
            <w:pPr>
              <w:pStyle w:val="RSCT03TableBody"/>
              <w:rPr>
                <w:rStyle w:val="CommentReference"/>
                <w:lang w:val="pt-BR"/>
              </w:rPr>
            </w:pPr>
            <w:r w:rsidRPr="00D853DF">
              <w:rPr>
                <w:rStyle w:val="CommentReference"/>
                <w:lang w:val="pt-BR"/>
              </w:rPr>
              <w:t>95</w:t>
            </w:r>
          </w:p>
        </w:tc>
      </w:tr>
      <w:tr w:rsidR="009343A0" w:rsidRPr="00D853DF" w:rsidTr="00CD2E28">
        <w:tc>
          <w:tcPr>
            <w:tcW w:w="0" w:type="auto"/>
          </w:tcPr>
          <w:p w:rsidR="009343A0" w:rsidRPr="003C5304" w:rsidRDefault="009343A0" w:rsidP="00CD2E28">
            <w:pPr>
              <w:pStyle w:val="RSCT03TableBody"/>
              <w:rPr>
                <w:rStyle w:val="CommentReference"/>
                <w:color w:val="000000" w:themeColor="text1"/>
                <w:lang w:val="pt-BR"/>
              </w:rPr>
            </w:pPr>
            <w:r>
              <w:rPr>
                <w:rStyle w:val="CommentReference"/>
                <w:color w:val="000000" w:themeColor="text1"/>
                <w:lang w:val="pt-BR"/>
              </w:rPr>
              <w:t>4</w:t>
            </w:r>
          </w:p>
        </w:tc>
        <w:tc>
          <w:tcPr>
            <w:tcW w:w="0" w:type="auto"/>
          </w:tcPr>
          <w:p w:rsidR="009343A0" w:rsidRPr="00D853DF" w:rsidRDefault="009343A0" w:rsidP="00CD2E28">
            <w:pPr>
              <w:pStyle w:val="RSCT03TableBody"/>
              <w:rPr>
                <w:rStyle w:val="CommentReference"/>
                <w:lang w:val="pt-BR"/>
              </w:rPr>
            </w:pPr>
            <w:r w:rsidRPr="00D853DF">
              <w:rPr>
                <w:rStyle w:val="CommentReference"/>
                <w:lang w:val="pt-BR"/>
              </w:rPr>
              <w:t>4</w:t>
            </w:r>
          </w:p>
        </w:tc>
        <w:tc>
          <w:tcPr>
            <w:tcW w:w="2249" w:type="dxa"/>
          </w:tcPr>
          <w:p w:rsidR="009343A0" w:rsidRPr="00D853DF" w:rsidRDefault="009343A0" w:rsidP="00CD2E28">
            <w:pPr>
              <w:pStyle w:val="RSCT03TableBody"/>
              <w:rPr>
                <w:rStyle w:val="CommentReference"/>
                <w:lang w:val="pt-BR"/>
              </w:rPr>
            </w:pPr>
            <w:r w:rsidRPr="00D853DF">
              <w:rPr>
                <w:rStyle w:val="CommentReference"/>
                <w:lang w:val="pt-BR"/>
              </w:rPr>
              <w:t>0.5</w:t>
            </w:r>
          </w:p>
        </w:tc>
        <w:tc>
          <w:tcPr>
            <w:tcW w:w="1704" w:type="dxa"/>
          </w:tcPr>
          <w:p w:rsidR="009343A0" w:rsidRPr="00D853DF" w:rsidRDefault="009343A0" w:rsidP="00CD2E28">
            <w:pPr>
              <w:pStyle w:val="RSCT03TableBody"/>
              <w:rPr>
                <w:rStyle w:val="CommentReference"/>
                <w:lang w:val="pt-BR"/>
              </w:rPr>
            </w:pPr>
            <w:r w:rsidRPr="00D853DF">
              <w:rPr>
                <w:rStyle w:val="CommentReference"/>
                <w:lang w:val="pt-BR"/>
              </w:rPr>
              <w:t>74</w:t>
            </w:r>
          </w:p>
        </w:tc>
      </w:tr>
      <w:tr w:rsidR="009343A0" w:rsidRPr="00D853DF" w:rsidTr="00CD2E28">
        <w:tc>
          <w:tcPr>
            <w:tcW w:w="0" w:type="auto"/>
          </w:tcPr>
          <w:p w:rsidR="009343A0" w:rsidRPr="009951B0" w:rsidRDefault="009343A0" w:rsidP="00CD2E28">
            <w:pPr>
              <w:pStyle w:val="RSCT03TableBody"/>
              <w:rPr>
                <w:rStyle w:val="CommentReference"/>
                <w:vertAlign w:val="superscript"/>
                <w:lang w:val="pt-BR"/>
              </w:rPr>
            </w:pPr>
            <w:r>
              <w:rPr>
                <w:rStyle w:val="CommentReference"/>
                <w:lang w:val="pt-BR"/>
              </w:rPr>
              <w:t>5</w:t>
            </w:r>
            <w:r>
              <w:rPr>
                <w:rStyle w:val="CommentReference"/>
                <w:vertAlign w:val="superscript"/>
                <w:lang w:val="pt-BR"/>
              </w:rPr>
              <w:t>[c]</w:t>
            </w:r>
          </w:p>
        </w:tc>
        <w:tc>
          <w:tcPr>
            <w:tcW w:w="0" w:type="auto"/>
          </w:tcPr>
          <w:p w:rsidR="009343A0" w:rsidRPr="00D853DF" w:rsidRDefault="009343A0" w:rsidP="00CD2E28">
            <w:pPr>
              <w:pStyle w:val="RSCT03TableBody"/>
              <w:rPr>
                <w:rStyle w:val="CommentReference"/>
                <w:lang w:val="pt-BR"/>
              </w:rPr>
            </w:pPr>
            <w:r w:rsidRPr="00D853DF">
              <w:rPr>
                <w:rStyle w:val="CommentReference"/>
                <w:lang w:val="pt-BR"/>
              </w:rPr>
              <w:t>5</w:t>
            </w:r>
          </w:p>
        </w:tc>
        <w:tc>
          <w:tcPr>
            <w:tcW w:w="2249" w:type="dxa"/>
          </w:tcPr>
          <w:p w:rsidR="009343A0" w:rsidRPr="00D853DF" w:rsidRDefault="009343A0" w:rsidP="00CD2E28">
            <w:pPr>
              <w:pStyle w:val="RSCT03TableBody"/>
              <w:rPr>
                <w:rStyle w:val="CommentReference"/>
                <w:lang w:val="pt-BR"/>
              </w:rPr>
            </w:pPr>
            <w:r w:rsidRPr="00D853DF">
              <w:rPr>
                <w:rStyle w:val="CommentReference"/>
                <w:lang w:val="pt-BR"/>
              </w:rPr>
              <w:t>2</w:t>
            </w:r>
          </w:p>
        </w:tc>
        <w:tc>
          <w:tcPr>
            <w:tcW w:w="1704" w:type="dxa"/>
          </w:tcPr>
          <w:p w:rsidR="009343A0" w:rsidRPr="00D853DF" w:rsidRDefault="009343A0" w:rsidP="00CD2E28">
            <w:pPr>
              <w:pStyle w:val="RSCT03TableBody"/>
              <w:rPr>
                <w:rStyle w:val="CommentReference"/>
                <w:lang w:val="pt-BR"/>
              </w:rPr>
            </w:pPr>
            <w:r w:rsidRPr="00D853DF">
              <w:rPr>
                <w:rStyle w:val="CommentReference"/>
                <w:lang w:val="pt-BR"/>
              </w:rPr>
              <w:t>100</w:t>
            </w:r>
          </w:p>
        </w:tc>
      </w:tr>
      <w:tr w:rsidR="009343A0" w:rsidTr="00CD2E28">
        <w:tc>
          <w:tcPr>
            <w:tcW w:w="0" w:type="auto"/>
            <w:gridSpan w:val="4"/>
            <w:tcBorders>
              <w:top w:val="single" w:sz="8" w:space="0" w:color="000000"/>
            </w:tcBorders>
          </w:tcPr>
          <w:p w:rsidR="009343A0" w:rsidRDefault="009343A0" w:rsidP="00CD2E28">
            <w:pPr>
              <w:pStyle w:val="TableFoot"/>
            </w:pPr>
            <w:r>
              <w:t xml:space="preserve">[a] </w:t>
            </w:r>
            <w:r w:rsidRPr="001C5FE4">
              <w:rPr>
                <w:lang w:val="en-US"/>
              </w:rPr>
              <w:t>Reaction conditions: 1 mol% BINOL, 1 mol% CVI, neat PO (</w:t>
            </w:r>
            <w:r>
              <w:rPr>
                <w:rFonts w:cs="AdvMYR4"/>
                <w:lang w:val="en-US"/>
              </w:rPr>
              <w:t>50 mg</w:t>
            </w:r>
            <w:r w:rsidRPr="001C5FE4">
              <w:rPr>
                <w:rFonts w:cs="AdvMYR4"/>
                <w:lang w:val="en-US"/>
              </w:rPr>
              <w:t>, 0.06 mL, 0.86 mmol)</w:t>
            </w:r>
            <w:r w:rsidRPr="001C5FE4">
              <w:rPr>
                <w:lang w:val="en-US"/>
              </w:rPr>
              <w:t>, 50</w:t>
            </w:r>
            <w:r w:rsidRPr="001C5FE4">
              <w:rPr>
                <w:vertAlign w:val="superscript"/>
                <w:lang w:val="en-US"/>
              </w:rPr>
              <w:t>o</w:t>
            </w:r>
            <w:r w:rsidRPr="001C5FE4">
              <w:rPr>
                <w:lang w:val="en-US"/>
              </w:rPr>
              <w:t>C, 5 MPa CO</w:t>
            </w:r>
            <w:r w:rsidRPr="001C5FE4">
              <w:rPr>
                <w:vertAlign w:val="subscript"/>
                <w:lang w:val="en-US"/>
              </w:rPr>
              <w:t>2</w:t>
            </w:r>
            <w:r w:rsidRPr="001C5FE4">
              <w:rPr>
                <w:lang w:val="en-US"/>
              </w:rPr>
              <w:t>, 24 h. The second and subsequent cycles include</w:t>
            </w:r>
            <w:r>
              <w:rPr>
                <w:lang w:val="en-US"/>
              </w:rPr>
              <w:t>d the addition of a fresh 50 mg</w:t>
            </w:r>
            <w:r w:rsidRPr="001C5FE4">
              <w:rPr>
                <w:lang w:val="en-US"/>
              </w:rPr>
              <w:t xml:space="preserve"> portion of</w:t>
            </w:r>
            <w:r>
              <w:rPr>
                <w:lang w:val="en-US"/>
              </w:rPr>
              <w:t xml:space="preserve"> epoxide</w:t>
            </w:r>
            <w:r w:rsidRPr="001C5FE4">
              <w:rPr>
                <w:lang w:val="en-US"/>
              </w:rPr>
              <w:t xml:space="preserve"> </w:t>
            </w:r>
            <w:r w:rsidRPr="001C5FE4">
              <w:rPr>
                <w:b/>
                <w:lang w:val="en-US"/>
              </w:rPr>
              <w:t>1d</w:t>
            </w:r>
            <w:r w:rsidRPr="001C5FE4">
              <w:rPr>
                <w:lang w:val="en-US"/>
              </w:rPr>
              <w:t xml:space="preserve"> to the reaction mixture af</w:t>
            </w:r>
            <w:r>
              <w:rPr>
                <w:lang w:val="en-US"/>
              </w:rPr>
              <w:t>ter each 24 h reaction period. [b]</w:t>
            </w:r>
            <w:r w:rsidRPr="001C5FE4">
              <w:rPr>
                <w:lang w:val="en-US"/>
              </w:rPr>
              <w:t xml:space="preserve"> Conversions w</w:t>
            </w:r>
            <w:r>
              <w:rPr>
                <w:lang w:val="en-US"/>
              </w:rPr>
              <w:t>e</w:t>
            </w:r>
            <w:r w:rsidRPr="001C5FE4">
              <w:rPr>
                <w:lang w:val="en-US"/>
              </w:rPr>
              <w:t xml:space="preserve">re determined using </w:t>
            </w:r>
            <w:r w:rsidRPr="001C5FE4">
              <w:rPr>
                <w:vertAlign w:val="superscript"/>
                <w:lang w:val="en-US"/>
              </w:rPr>
              <w:t>1</w:t>
            </w:r>
            <w:r w:rsidRPr="001C5FE4">
              <w:rPr>
                <w:lang w:val="en-US"/>
              </w:rPr>
              <w:t>H NMR</w:t>
            </w:r>
            <w:r>
              <w:rPr>
                <w:lang w:val="en-US"/>
              </w:rPr>
              <w:t xml:space="preserve"> spectroscopy. [c]</w:t>
            </w:r>
            <w:r w:rsidRPr="001C5FE4">
              <w:rPr>
                <w:lang w:val="en-US"/>
              </w:rPr>
              <w:t xml:space="preserve"> Reaction conditions: 1 mol% BINOL, 1 mol% </w:t>
            </w:r>
            <w:r>
              <w:rPr>
                <w:lang w:val="en-US"/>
              </w:rPr>
              <w:t>CVI, both recovered from</w:t>
            </w:r>
            <w:r w:rsidRPr="001C5FE4">
              <w:rPr>
                <w:lang w:val="en-US"/>
              </w:rPr>
              <w:t xml:space="preserve"> the experiment of entry 4 following distillation of </w:t>
            </w:r>
            <w:r w:rsidRPr="001C5FE4">
              <w:rPr>
                <w:b/>
                <w:lang w:val="en-US"/>
              </w:rPr>
              <w:t>2d</w:t>
            </w:r>
            <w:r w:rsidRPr="001C5FE4">
              <w:rPr>
                <w:lang w:val="en-US"/>
              </w:rPr>
              <w:t>, neat PO (</w:t>
            </w:r>
            <w:r>
              <w:rPr>
                <w:rFonts w:cs="AdvMYR4"/>
                <w:lang w:val="en-US"/>
              </w:rPr>
              <w:t>50 mg</w:t>
            </w:r>
            <w:r w:rsidRPr="001C5FE4">
              <w:rPr>
                <w:rFonts w:cs="AdvMYR4"/>
                <w:lang w:val="en-US"/>
              </w:rPr>
              <w:t>, 0.06 mL, 0.86 mmol)</w:t>
            </w:r>
            <w:r w:rsidRPr="001C5FE4">
              <w:rPr>
                <w:lang w:val="en-US"/>
              </w:rPr>
              <w:t>, 50</w:t>
            </w:r>
            <w:r w:rsidRPr="001C5FE4">
              <w:rPr>
                <w:vertAlign w:val="superscript"/>
                <w:lang w:val="en-US"/>
              </w:rPr>
              <w:t>o</w:t>
            </w:r>
            <w:r w:rsidRPr="001C5FE4">
              <w:rPr>
                <w:lang w:val="en-US"/>
              </w:rPr>
              <w:t>C, 5 MPa CO</w:t>
            </w:r>
            <w:r w:rsidRPr="001C5FE4">
              <w:rPr>
                <w:vertAlign w:val="subscript"/>
                <w:lang w:val="en-US"/>
              </w:rPr>
              <w:t>2</w:t>
            </w:r>
            <w:r w:rsidRPr="001C5FE4">
              <w:rPr>
                <w:lang w:val="en-US"/>
              </w:rPr>
              <w:t>, 24 h.</w:t>
            </w:r>
          </w:p>
        </w:tc>
      </w:tr>
    </w:tbl>
    <w:p w:rsidR="009343A0" w:rsidRPr="006B59A4" w:rsidRDefault="009343A0" w:rsidP="009343A0">
      <w:pPr>
        <w:pStyle w:val="P1"/>
        <w:ind w:firstLine="425"/>
        <w:rPr>
          <w:color w:val="FF0000"/>
        </w:rPr>
      </w:pPr>
      <w:r w:rsidRPr="003D51C5">
        <w:rPr>
          <w:color w:val="000000" w:themeColor="text1"/>
        </w:rPr>
        <w:t xml:space="preserve">To investigate the mechanism of the reaction, deuterated epoxides </w:t>
      </w:r>
      <w:r w:rsidRPr="003D51C5">
        <w:rPr>
          <w:b/>
          <w:color w:val="000000" w:themeColor="text1"/>
        </w:rPr>
        <w:t>3a,b</w:t>
      </w:r>
      <w:r w:rsidR="00D866A3">
        <w:rPr>
          <w:color w:val="000000" w:themeColor="text1"/>
          <w:vertAlign w:val="superscript"/>
        </w:rPr>
        <w:t>[26]</w:t>
      </w:r>
      <w:r w:rsidRPr="003D51C5">
        <w:rPr>
          <w:color w:val="000000" w:themeColor="text1"/>
        </w:rPr>
        <w:t xml:space="preserve"> were used to study the stereochemistry of the reaction</w:t>
      </w:r>
      <w:r w:rsidR="00CD2E28" w:rsidRPr="003D51C5">
        <w:rPr>
          <w:color w:val="000000" w:themeColor="text1"/>
        </w:rPr>
        <w:t xml:space="preserve"> (S</w:t>
      </w:r>
      <w:r w:rsidR="003D51C5" w:rsidRPr="003D51C5">
        <w:rPr>
          <w:color w:val="000000" w:themeColor="text1"/>
        </w:rPr>
        <w:t>c</w:t>
      </w:r>
      <w:r w:rsidR="00CD2E28" w:rsidRPr="003D51C5">
        <w:rPr>
          <w:color w:val="000000" w:themeColor="text1"/>
        </w:rPr>
        <w:t>heme 3)</w:t>
      </w:r>
      <w:r w:rsidRPr="003D51C5">
        <w:rPr>
          <w:color w:val="000000" w:themeColor="text1"/>
        </w:rPr>
        <w:t>.</w:t>
      </w:r>
      <w:r w:rsidR="003D51C5" w:rsidRPr="003D51C5">
        <w:rPr>
          <w:color w:val="000000" w:themeColor="text1"/>
        </w:rPr>
        <w:t xml:space="preserve"> In both cases, deuterated cyclic carbonates </w:t>
      </w:r>
      <w:r w:rsidR="003D51C5" w:rsidRPr="003D51C5">
        <w:rPr>
          <w:b/>
          <w:color w:val="000000" w:themeColor="text1"/>
        </w:rPr>
        <w:t>4a,b</w:t>
      </w:r>
      <w:r w:rsidR="003D51C5" w:rsidRPr="003D51C5">
        <w:rPr>
          <w:color w:val="000000" w:themeColor="text1"/>
        </w:rPr>
        <w:t xml:space="preserve"> were formed with predominant retention of epoxide stereochemistry, but with </w:t>
      </w:r>
      <w:r w:rsidR="006B59A4">
        <w:rPr>
          <w:color w:val="000000" w:themeColor="text1"/>
        </w:rPr>
        <w:t>some</w:t>
      </w:r>
      <w:r w:rsidR="003D51C5" w:rsidRPr="003D51C5">
        <w:rPr>
          <w:color w:val="000000" w:themeColor="text1"/>
        </w:rPr>
        <w:t xml:space="preserve"> </w:t>
      </w:r>
      <w:r w:rsidR="006B59A4">
        <w:rPr>
          <w:color w:val="000000" w:themeColor="text1"/>
        </w:rPr>
        <w:t xml:space="preserve">epimerization, the amount of which depended on the amount of catalyst used as shown in Table 6. A control experiment in which epoxide </w:t>
      </w:r>
      <w:r w:rsidR="006B59A4">
        <w:rPr>
          <w:b/>
          <w:color w:val="000000" w:themeColor="text1"/>
        </w:rPr>
        <w:t>3</w:t>
      </w:r>
      <w:r w:rsidR="00BD6D56">
        <w:rPr>
          <w:b/>
          <w:color w:val="000000" w:themeColor="text1"/>
        </w:rPr>
        <w:t>b</w:t>
      </w:r>
      <w:r w:rsidR="006B59A4">
        <w:rPr>
          <w:color w:val="000000" w:themeColor="text1"/>
        </w:rPr>
        <w:t xml:space="preserve"> was heated to 50 </w:t>
      </w:r>
      <w:r w:rsidR="006B59A4" w:rsidRPr="006B59A4">
        <w:rPr>
          <w:color w:val="000000" w:themeColor="text1"/>
          <w:vertAlign w:val="superscript"/>
        </w:rPr>
        <w:t>o</w:t>
      </w:r>
      <w:r w:rsidR="006B59A4">
        <w:rPr>
          <w:color w:val="000000" w:themeColor="text1"/>
        </w:rPr>
        <w:t>C under nitrogen in the presence of 2 mol% of both CVI and BINOL showed that it did not epimerize under these conditions.</w:t>
      </w:r>
    </w:p>
    <w:p w:rsidR="003D51C5" w:rsidRDefault="006B59A4" w:rsidP="003D51C5">
      <w:pPr>
        <w:pStyle w:val="SchemeCaption"/>
        <w:spacing w:line="240" w:lineRule="atLeast"/>
        <w:rPr>
          <w:b/>
        </w:rPr>
      </w:pPr>
      <w:r>
        <w:object w:dxaOrig="6420" w:dyaOrig="3768">
          <v:shape id="_x0000_i1033" type="#_x0000_t75" style="width:224.25pt;height:132pt;mso-position-horizontal:absolute" o:ole="">
            <v:imagedata r:id="rId35" o:title=""/>
          </v:shape>
          <o:OLEObject Type="Embed" ProgID="ChemDraw.Document.6.0" ShapeID="_x0000_i1033" DrawAspect="Content" ObjectID="_1544967558" r:id="rId36"/>
        </w:object>
      </w:r>
    </w:p>
    <w:p w:rsidR="003D51C5" w:rsidRDefault="003D51C5" w:rsidP="003D51C5">
      <w:pPr>
        <w:pStyle w:val="SchemeCaption"/>
        <w:rPr>
          <w:lang w:val="en-US"/>
        </w:rPr>
      </w:pPr>
      <w:r>
        <w:rPr>
          <w:b/>
        </w:rPr>
        <w:t>Scheme 3</w:t>
      </w:r>
      <w:r w:rsidRPr="00622835">
        <w:rPr>
          <w:b/>
        </w:rPr>
        <w:t>.</w:t>
      </w:r>
      <w:r w:rsidRPr="00622835">
        <w:t xml:space="preserve"> </w:t>
      </w:r>
      <w:r>
        <w:rPr>
          <w:rStyle w:val="shorttext"/>
          <w:color w:val="000000" w:themeColor="text1"/>
          <w:lang w:val="en-US"/>
        </w:rPr>
        <w:t xml:space="preserve">Use of deuterated epoxides </w:t>
      </w:r>
      <w:r>
        <w:rPr>
          <w:rStyle w:val="shorttext"/>
          <w:b/>
          <w:color w:val="000000" w:themeColor="text1"/>
          <w:lang w:val="en-US"/>
        </w:rPr>
        <w:t>3a,b</w:t>
      </w:r>
      <w:r>
        <w:rPr>
          <w:rStyle w:val="shorttext"/>
          <w:color w:val="000000" w:themeColor="text1"/>
          <w:lang w:val="en-US"/>
        </w:rPr>
        <w:t xml:space="preserve"> to study the stereochemistry of cyclic carbonate synthesis</w:t>
      </w:r>
      <w:r>
        <w:rPr>
          <w:lang w:val="en-US"/>
        </w:rPr>
        <w:t>.</w:t>
      </w:r>
    </w:p>
    <w:p w:rsidR="006B59A4" w:rsidRPr="0095546E" w:rsidRDefault="00D866A3" w:rsidP="0095546E">
      <w:pPr>
        <w:pStyle w:val="P1"/>
        <w:ind w:firstLine="425"/>
        <w:rPr>
          <w:color w:val="000000" w:themeColor="text1"/>
        </w:rPr>
      </w:pPr>
      <w:r>
        <w:rPr>
          <w:rStyle w:val="shorttext"/>
          <w:color w:val="000000" w:themeColor="text1"/>
        </w:rPr>
        <w:t xml:space="preserve">On the basis of the spectroscopic and stereochemical studies, a possible mechanism for the reaction is proposed in Scheme 4. The carbocation acts as a Lewis acid, activating the BINOL to become a stronger </w:t>
      </w:r>
      <w:r w:rsidRPr="001C4A40">
        <w:rPr>
          <w:rStyle w:val="shorttext"/>
          <w:color w:val="000000" w:themeColor="text1"/>
        </w:rPr>
        <w:t>Br</w:t>
      </w:r>
      <w:r>
        <w:rPr>
          <w:lang w:eastAsia="ru-RU"/>
        </w:rPr>
        <w:t>ø</w:t>
      </w:r>
      <w:r w:rsidRPr="001C4A40">
        <w:rPr>
          <w:rStyle w:val="shorttext"/>
          <w:color w:val="000000" w:themeColor="text1"/>
        </w:rPr>
        <w:t>nsted acid</w:t>
      </w:r>
      <w:r>
        <w:rPr>
          <w:rStyle w:val="shorttext"/>
          <w:color w:val="000000" w:themeColor="text1"/>
        </w:rPr>
        <w:t xml:space="preserve">. </w:t>
      </w:r>
      <w:r w:rsidRPr="001C4A40">
        <w:rPr>
          <w:rStyle w:val="shorttext"/>
          <w:color w:val="000000" w:themeColor="text1"/>
        </w:rPr>
        <w:t xml:space="preserve">The increase in the acidity of the </w:t>
      </w:r>
      <w:r>
        <w:rPr>
          <w:rStyle w:val="shorttext"/>
          <w:color w:val="000000" w:themeColor="text1"/>
        </w:rPr>
        <w:t xml:space="preserve">BINOL </w:t>
      </w:r>
      <w:r w:rsidRPr="001C4A40">
        <w:rPr>
          <w:rStyle w:val="shorttext"/>
          <w:color w:val="000000" w:themeColor="text1"/>
        </w:rPr>
        <w:t xml:space="preserve">OH group </w:t>
      </w:r>
      <w:r>
        <w:rPr>
          <w:rStyle w:val="shorttext"/>
          <w:color w:val="000000" w:themeColor="text1"/>
        </w:rPr>
        <w:t>allows it to form a stronger</w:t>
      </w:r>
      <w:r w:rsidRPr="001C4A40">
        <w:rPr>
          <w:rStyle w:val="shorttext"/>
          <w:color w:val="000000" w:themeColor="text1"/>
        </w:rPr>
        <w:t xml:space="preserve"> hydrogen bond with the epoxide and triggers the epoxide ring opening by the iodide ion</w:t>
      </w:r>
      <w:r w:rsidR="005F048A">
        <w:rPr>
          <w:rStyle w:val="shorttext"/>
          <w:color w:val="000000" w:themeColor="text1"/>
        </w:rPr>
        <w:t xml:space="preserve"> to give intermediate </w:t>
      </w:r>
      <w:r w:rsidR="005F048A">
        <w:rPr>
          <w:rStyle w:val="shorttext"/>
          <w:b/>
          <w:color w:val="000000" w:themeColor="text1"/>
        </w:rPr>
        <w:t>5</w:t>
      </w:r>
      <w:r w:rsidRPr="00FB6736">
        <w:rPr>
          <w:rStyle w:val="shorttext"/>
          <w:color w:val="000000" w:themeColor="text1"/>
        </w:rPr>
        <w:t>. The iodide ion itself may be positioned in space by the second OH group of BINOL.</w:t>
      </w:r>
      <w:r w:rsidR="00D82BF1">
        <w:rPr>
          <w:rStyle w:val="shorttext"/>
          <w:color w:val="000000" w:themeColor="text1"/>
        </w:rPr>
        <w:t xml:space="preserve"> The remaining OH group in intermediate </w:t>
      </w:r>
      <w:r w:rsidR="00D82BF1">
        <w:rPr>
          <w:rStyle w:val="shorttext"/>
          <w:b/>
          <w:color w:val="000000" w:themeColor="text1"/>
        </w:rPr>
        <w:t>5</w:t>
      </w:r>
      <w:r w:rsidR="00D82BF1">
        <w:rPr>
          <w:rStyle w:val="shorttext"/>
          <w:color w:val="000000" w:themeColor="text1"/>
        </w:rPr>
        <w:t xml:space="preserve"> could coordinate to CO</w:t>
      </w:r>
      <w:r w:rsidR="00D82BF1" w:rsidRPr="000F038A">
        <w:rPr>
          <w:rStyle w:val="shorttext"/>
          <w:color w:val="000000" w:themeColor="text1"/>
          <w:vertAlign w:val="subscript"/>
        </w:rPr>
        <w:t>2</w:t>
      </w:r>
      <w:r w:rsidR="00D82BF1">
        <w:rPr>
          <w:rStyle w:val="shorttext"/>
          <w:color w:val="000000" w:themeColor="text1"/>
        </w:rPr>
        <w:t xml:space="preserve">, both activating and organizing it towards intramolecular carbonate formation to give intermediate </w:t>
      </w:r>
      <w:r w:rsidR="00D82BF1">
        <w:rPr>
          <w:rStyle w:val="shorttext"/>
          <w:b/>
          <w:color w:val="000000" w:themeColor="text1"/>
        </w:rPr>
        <w:t>6</w:t>
      </w:r>
      <w:r w:rsidR="00D82BF1">
        <w:rPr>
          <w:rStyle w:val="shorttext"/>
          <w:color w:val="000000" w:themeColor="text1"/>
        </w:rPr>
        <w:t xml:space="preserve"> which can then cyclise</w:t>
      </w:r>
      <w:r>
        <w:rPr>
          <w:rStyle w:val="shorttext"/>
          <w:color w:val="000000" w:themeColor="text1"/>
        </w:rPr>
        <w:t xml:space="preserve"> </w:t>
      </w:r>
      <w:r w:rsidR="00D82BF1">
        <w:rPr>
          <w:rStyle w:val="shorttext"/>
          <w:color w:val="000000" w:themeColor="text1"/>
        </w:rPr>
        <w:t>to form the cyclic carbonate product and regenerate the catalyst components.</w:t>
      </w:r>
      <w:r w:rsidR="0095546E">
        <w:rPr>
          <w:rStyle w:val="shorttext"/>
          <w:color w:val="000000" w:themeColor="text1"/>
        </w:rPr>
        <w:t xml:space="preserve"> </w:t>
      </w:r>
    </w:p>
    <w:tbl>
      <w:tblPr>
        <w:tblW w:w="0" w:type="auto"/>
        <w:tblLook w:val="01E0" w:firstRow="1" w:lastRow="1" w:firstColumn="1" w:lastColumn="1" w:noHBand="0" w:noVBand="0"/>
      </w:tblPr>
      <w:tblGrid>
        <w:gridCol w:w="574"/>
        <w:gridCol w:w="746"/>
        <w:gridCol w:w="2185"/>
        <w:gridCol w:w="1586"/>
      </w:tblGrid>
      <w:tr w:rsidR="006B59A4" w:rsidRPr="000633E7" w:rsidTr="00995B0D">
        <w:tc>
          <w:tcPr>
            <w:tcW w:w="0" w:type="auto"/>
            <w:gridSpan w:val="4"/>
          </w:tcPr>
          <w:p w:rsidR="006B59A4" w:rsidRPr="000633E7" w:rsidRDefault="006B59A4" w:rsidP="006B59A4">
            <w:pPr>
              <w:pStyle w:val="TableCaption"/>
              <w:rPr>
                <w:b/>
                <w:vertAlign w:val="superscript"/>
              </w:rPr>
            </w:pPr>
            <w:r w:rsidRPr="00B11686">
              <w:rPr>
                <w:b/>
              </w:rPr>
              <w:t xml:space="preserve">Table </w:t>
            </w:r>
            <w:r>
              <w:rPr>
                <w:b/>
              </w:rPr>
              <w:t>6</w:t>
            </w:r>
            <w:r w:rsidRPr="00B11686">
              <w:rPr>
                <w:b/>
              </w:rPr>
              <w:t>.</w:t>
            </w:r>
            <w:r>
              <w:t xml:space="preserve"> </w:t>
            </w:r>
            <w:r>
              <w:rPr>
                <w:rFonts w:cs="AdvMYR4"/>
                <w:lang w:val="en-US"/>
              </w:rPr>
              <w:t xml:space="preserve">Synthesis of deuterated cyclic carbonates </w:t>
            </w:r>
            <w:r>
              <w:rPr>
                <w:rFonts w:cs="AdvMYR4"/>
                <w:b/>
                <w:lang w:val="en-US"/>
              </w:rPr>
              <w:t>4a,b</w:t>
            </w:r>
            <w:r>
              <w:rPr>
                <w:rFonts w:cs="AdvMYR4"/>
                <w:lang w:val="en-US"/>
              </w:rPr>
              <w:t>.</w:t>
            </w:r>
            <w:r>
              <w:rPr>
                <w:rFonts w:cs="AdvMYR4"/>
                <w:vertAlign w:val="superscript"/>
                <w:lang w:val="en-US"/>
              </w:rPr>
              <w:t>[a]</w:t>
            </w:r>
          </w:p>
        </w:tc>
      </w:tr>
      <w:tr w:rsidR="006B59A4" w:rsidRPr="009951B0" w:rsidTr="006B59A4">
        <w:trPr>
          <w:trHeight w:val="232"/>
        </w:trPr>
        <w:tc>
          <w:tcPr>
            <w:tcW w:w="0" w:type="auto"/>
            <w:tcBorders>
              <w:top w:val="single" w:sz="8" w:space="0" w:color="000000"/>
              <w:bottom w:val="single" w:sz="8" w:space="0" w:color="000000"/>
            </w:tcBorders>
          </w:tcPr>
          <w:p w:rsidR="006B59A4" w:rsidRPr="00C83B78" w:rsidRDefault="006B59A4" w:rsidP="00995B0D">
            <w:pPr>
              <w:pStyle w:val="TableBody"/>
              <w:pBdr>
                <w:top w:val="none" w:sz="0" w:space="0" w:color="auto"/>
                <w:left w:val="none" w:sz="0" w:space="0" w:color="auto"/>
                <w:bottom w:val="none" w:sz="0" w:space="0" w:color="auto"/>
                <w:right w:val="none" w:sz="0" w:space="0" w:color="auto"/>
              </w:pBdr>
              <w:jc w:val="center"/>
              <w:rPr>
                <w:b/>
              </w:rPr>
            </w:pPr>
            <w:r w:rsidRPr="00C83B78">
              <w:rPr>
                <w:b/>
              </w:rPr>
              <w:t>Entry</w:t>
            </w:r>
          </w:p>
        </w:tc>
        <w:tc>
          <w:tcPr>
            <w:tcW w:w="0" w:type="auto"/>
            <w:tcBorders>
              <w:top w:val="single" w:sz="8" w:space="0" w:color="000000"/>
              <w:bottom w:val="single" w:sz="8" w:space="0" w:color="000000"/>
            </w:tcBorders>
          </w:tcPr>
          <w:p w:rsidR="006B59A4" w:rsidRPr="001E1CE0" w:rsidRDefault="006B59A4" w:rsidP="00995B0D">
            <w:pPr>
              <w:pStyle w:val="RSCT03TableBody"/>
              <w:rPr>
                <w:rStyle w:val="CommentReference"/>
                <w:b/>
                <w:lang w:val="pt-BR"/>
              </w:rPr>
            </w:pPr>
            <w:r>
              <w:rPr>
                <w:rStyle w:val="CommentReference"/>
                <w:b/>
                <w:lang w:val="pt-BR"/>
              </w:rPr>
              <w:t>Epoxide</w:t>
            </w:r>
          </w:p>
        </w:tc>
        <w:tc>
          <w:tcPr>
            <w:tcW w:w="2113" w:type="dxa"/>
            <w:tcBorders>
              <w:top w:val="single" w:sz="8" w:space="0" w:color="000000"/>
              <w:bottom w:val="single" w:sz="8" w:space="0" w:color="000000"/>
            </w:tcBorders>
          </w:tcPr>
          <w:p w:rsidR="006B59A4" w:rsidRPr="00B2064B" w:rsidRDefault="006B59A4" w:rsidP="00995B0D">
            <w:pPr>
              <w:pStyle w:val="RSCT03TableBody"/>
              <w:rPr>
                <w:rStyle w:val="CommentReference"/>
                <w:b/>
                <w:vertAlign w:val="superscript"/>
                <w:lang w:val="pt-BR"/>
              </w:rPr>
            </w:pPr>
            <w:r w:rsidRPr="00D853DF">
              <w:rPr>
                <w:rStyle w:val="CommentReference"/>
                <w:b/>
                <w:lang w:val="pt-BR"/>
              </w:rPr>
              <w:t>Catalyst system concentration, mol%</w:t>
            </w:r>
          </w:p>
        </w:tc>
        <w:tc>
          <w:tcPr>
            <w:tcW w:w="1658" w:type="dxa"/>
            <w:tcBorders>
              <w:top w:val="single" w:sz="8" w:space="0" w:color="000000"/>
              <w:bottom w:val="single" w:sz="8" w:space="0" w:color="000000"/>
            </w:tcBorders>
          </w:tcPr>
          <w:p w:rsidR="006B59A4" w:rsidRPr="009951B0" w:rsidRDefault="0095546E" w:rsidP="00995B0D">
            <w:pPr>
              <w:pStyle w:val="RSCT03TableBody"/>
              <w:rPr>
                <w:rStyle w:val="CommentReference"/>
                <w:b/>
                <w:vertAlign w:val="superscript"/>
                <w:lang w:val="pt-BR"/>
              </w:rPr>
            </w:pPr>
            <w:r>
              <w:rPr>
                <w:rStyle w:val="CommentReference"/>
                <w:b/>
                <w:lang w:val="pt-BR"/>
              </w:rPr>
              <w:t>4a:4b</w:t>
            </w:r>
          </w:p>
        </w:tc>
      </w:tr>
      <w:tr w:rsidR="006B59A4" w:rsidRPr="00D853DF" w:rsidTr="006B59A4">
        <w:tc>
          <w:tcPr>
            <w:tcW w:w="0" w:type="auto"/>
            <w:tcBorders>
              <w:top w:val="single" w:sz="8" w:space="0" w:color="000000"/>
            </w:tcBorders>
          </w:tcPr>
          <w:p w:rsidR="006B59A4" w:rsidRPr="006B59A4" w:rsidRDefault="006B59A4" w:rsidP="00995B0D">
            <w:pPr>
              <w:pStyle w:val="RSCT03TableBody"/>
              <w:rPr>
                <w:rStyle w:val="CommentReference"/>
                <w:lang w:val="pt-BR"/>
              </w:rPr>
            </w:pPr>
            <w:r w:rsidRPr="006B59A4">
              <w:rPr>
                <w:rStyle w:val="CommentReference"/>
                <w:lang w:val="pt-BR"/>
              </w:rPr>
              <w:t>1</w:t>
            </w:r>
          </w:p>
        </w:tc>
        <w:tc>
          <w:tcPr>
            <w:tcW w:w="0" w:type="auto"/>
            <w:tcBorders>
              <w:top w:val="single" w:sz="8" w:space="0" w:color="000000"/>
            </w:tcBorders>
          </w:tcPr>
          <w:p w:rsidR="006B59A4" w:rsidRPr="0095546E" w:rsidRDefault="0095546E" w:rsidP="00995B0D">
            <w:pPr>
              <w:pStyle w:val="RSCT03TableBody"/>
              <w:rPr>
                <w:rStyle w:val="CommentReference"/>
                <w:b/>
                <w:lang w:val="pt-BR"/>
              </w:rPr>
            </w:pPr>
            <w:r>
              <w:rPr>
                <w:rStyle w:val="CommentReference"/>
                <w:b/>
                <w:lang w:val="pt-BR"/>
              </w:rPr>
              <w:t>3b</w:t>
            </w:r>
          </w:p>
        </w:tc>
        <w:tc>
          <w:tcPr>
            <w:tcW w:w="2113" w:type="dxa"/>
            <w:tcBorders>
              <w:top w:val="single" w:sz="8" w:space="0" w:color="000000"/>
            </w:tcBorders>
          </w:tcPr>
          <w:p w:rsidR="006B59A4" w:rsidRPr="00D853DF" w:rsidRDefault="0095546E" w:rsidP="00995B0D">
            <w:pPr>
              <w:pStyle w:val="RSCT03TableBody"/>
              <w:rPr>
                <w:rStyle w:val="CommentReference"/>
                <w:lang w:val="pt-BR"/>
              </w:rPr>
            </w:pPr>
            <w:r>
              <w:rPr>
                <w:rStyle w:val="CommentReference"/>
                <w:lang w:val="pt-BR"/>
              </w:rPr>
              <w:t>2</w:t>
            </w:r>
          </w:p>
        </w:tc>
        <w:tc>
          <w:tcPr>
            <w:tcW w:w="1658" w:type="dxa"/>
            <w:tcBorders>
              <w:top w:val="single" w:sz="8" w:space="0" w:color="000000"/>
            </w:tcBorders>
          </w:tcPr>
          <w:p w:rsidR="006B59A4" w:rsidRPr="00D853DF" w:rsidRDefault="0095546E" w:rsidP="00995B0D">
            <w:pPr>
              <w:pStyle w:val="RSCT03TableBody"/>
              <w:rPr>
                <w:rStyle w:val="CommentReference"/>
                <w:lang w:val="pt-BR"/>
              </w:rPr>
            </w:pPr>
            <w:r>
              <w:rPr>
                <w:rStyle w:val="CommentReference"/>
                <w:lang w:val="pt-BR"/>
              </w:rPr>
              <w:t>11:89</w:t>
            </w:r>
          </w:p>
        </w:tc>
      </w:tr>
      <w:tr w:rsidR="006B59A4" w:rsidRPr="00D853DF" w:rsidTr="006B59A4">
        <w:tc>
          <w:tcPr>
            <w:tcW w:w="0" w:type="auto"/>
          </w:tcPr>
          <w:p w:rsidR="006B59A4" w:rsidRPr="006B59A4" w:rsidRDefault="006B59A4" w:rsidP="00995B0D">
            <w:pPr>
              <w:pStyle w:val="RSCT03TableBody"/>
              <w:rPr>
                <w:rStyle w:val="CommentReference"/>
                <w:lang w:val="pt-BR"/>
              </w:rPr>
            </w:pPr>
            <w:r w:rsidRPr="006B59A4">
              <w:rPr>
                <w:rStyle w:val="CommentReference"/>
                <w:lang w:val="pt-BR"/>
              </w:rPr>
              <w:t>2</w:t>
            </w:r>
          </w:p>
        </w:tc>
        <w:tc>
          <w:tcPr>
            <w:tcW w:w="0" w:type="auto"/>
          </w:tcPr>
          <w:p w:rsidR="006B59A4" w:rsidRPr="0095546E" w:rsidRDefault="0095546E" w:rsidP="00995B0D">
            <w:pPr>
              <w:pStyle w:val="RSCT03TableBody"/>
              <w:rPr>
                <w:rStyle w:val="CommentReference"/>
                <w:b/>
                <w:lang w:val="pt-BR"/>
              </w:rPr>
            </w:pPr>
            <w:r>
              <w:rPr>
                <w:rStyle w:val="CommentReference"/>
                <w:b/>
                <w:lang w:val="pt-BR"/>
              </w:rPr>
              <w:t>3b</w:t>
            </w:r>
          </w:p>
        </w:tc>
        <w:tc>
          <w:tcPr>
            <w:tcW w:w="2113" w:type="dxa"/>
          </w:tcPr>
          <w:p w:rsidR="006B59A4" w:rsidRPr="00D853DF" w:rsidRDefault="0095546E" w:rsidP="00995B0D">
            <w:pPr>
              <w:pStyle w:val="RSCT03TableBody"/>
              <w:rPr>
                <w:rStyle w:val="CommentReference"/>
                <w:lang w:val="pt-BR"/>
              </w:rPr>
            </w:pPr>
            <w:r>
              <w:rPr>
                <w:rStyle w:val="CommentReference"/>
                <w:lang w:val="pt-BR"/>
              </w:rPr>
              <w:t>6</w:t>
            </w:r>
          </w:p>
        </w:tc>
        <w:tc>
          <w:tcPr>
            <w:tcW w:w="1658" w:type="dxa"/>
          </w:tcPr>
          <w:p w:rsidR="006B59A4" w:rsidRPr="00D853DF" w:rsidRDefault="0095546E" w:rsidP="00995B0D">
            <w:pPr>
              <w:pStyle w:val="RSCT03TableBody"/>
              <w:rPr>
                <w:rStyle w:val="CommentReference"/>
                <w:lang w:val="pt-BR"/>
              </w:rPr>
            </w:pPr>
            <w:r>
              <w:rPr>
                <w:rStyle w:val="CommentReference"/>
                <w:lang w:val="pt-BR"/>
              </w:rPr>
              <w:t>22:78</w:t>
            </w:r>
          </w:p>
        </w:tc>
      </w:tr>
      <w:tr w:rsidR="006B59A4" w:rsidRPr="00D853DF" w:rsidTr="006B59A4">
        <w:tc>
          <w:tcPr>
            <w:tcW w:w="0" w:type="auto"/>
          </w:tcPr>
          <w:p w:rsidR="006B59A4" w:rsidRPr="006B59A4" w:rsidRDefault="006B59A4" w:rsidP="00995B0D">
            <w:pPr>
              <w:pStyle w:val="RSCT03TableBody"/>
              <w:rPr>
                <w:rStyle w:val="CommentReference"/>
                <w:lang w:val="pt-BR"/>
              </w:rPr>
            </w:pPr>
            <w:r w:rsidRPr="006B59A4">
              <w:rPr>
                <w:rStyle w:val="CommentReference"/>
                <w:lang w:val="pt-BR"/>
              </w:rPr>
              <w:t>3</w:t>
            </w:r>
          </w:p>
        </w:tc>
        <w:tc>
          <w:tcPr>
            <w:tcW w:w="0" w:type="auto"/>
          </w:tcPr>
          <w:p w:rsidR="006B59A4" w:rsidRPr="0095546E" w:rsidRDefault="0095546E" w:rsidP="00995B0D">
            <w:pPr>
              <w:pStyle w:val="RSCT03TableBody"/>
              <w:rPr>
                <w:rStyle w:val="CommentReference"/>
                <w:b/>
                <w:lang w:val="pt-BR"/>
              </w:rPr>
            </w:pPr>
            <w:r>
              <w:rPr>
                <w:rStyle w:val="CommentReference"/>
                <w:b/>
                <w:lang w:val="pt-BR"/>
              </w:rPr>
              <w:t>3a</w:t>
            </w:r>
          </w:p>
        </w:tc>
        <w:tc>
          <w:tcPr>
            <w:tcW w:w="2113" w:type="dxa"/>
          </w:tcPr>
          <w:p w:rsidR="006B59A4" w:rsidRPr="00D853DF" w:rsidRDefault="0095546E" w:rsidP="00995B0D">
            <w:pPr>
              <w:pStyle w:val="RSCT03TableBody"/>
              <w:rPr>
                <w:rStyle w:val="CommentReference"/>
                <w:lang w:val="pt-BR"/>
              </w:rPr>
            </w:pPr>
            <w:r>
              <w:rPr>
                <w:rStyle w:val="CommentReference"/>
                <w:lang w:val="pt-BR"/>
              </w:rPr>
              <w:t>6</w:t>
            </w:r>
          </w:p>
        </w:tc>
        <w:tc>
          <w:tcPr>
            <w:tcW w:w="1658" w:type="dxa"/>
          </w:tcPr>
          <w:p w:rsidR="006B59A4" w:rsidRPr="00D853DF" w:rsidRDefault="0095546E" w:rsidP="00995B0D">
            <w:pPr>
              <w:pStyle w:val="RSCT03TableBody"/>
              <w:rPr>
                <w:rStyle w:val="CommentReference"/>
                <w:lang w:val="pt-BR"/>
              </w:rPr>
            </w:pPr>
            <w:r>
              <w:rPr>
                <w:rStyle w:val="CommentReference"/>
                <w:lang w:val="pt-BR"/>
              </w:rPr>
              <w:t>73:27</w:t>
            </w:r>
          </w:p>
        </w:tc>
      </w:tr>
      <w:tr w:rsidR="006B59A4" w:rsidTr="00995B0D">
        <w:tc>
          <w:tcPr>
            <w:tcW w:w="0" w:type="auto"/>
            <w:gridSpan w:val="4"/>
            <w:tcBorders>
              <w:top w:val="single" w:sz="8" w:space="0" w:color="000000"/>
            </w:tcBorders>
          </w:tcPr>
          <w:p w:rsidR="006B59A4" w:rsidRDefault="006B59A4" w:rsidP="0095546E">
            <w:pPr>
              <w:pStyle w:val="TableFoot"/>
            </w:pPr>
            <w:r>
              <w:t xml:space="preserve">[a] </w:t>
            </w:r>
            <w:r w:rsidRPr="001C5FE4">
              <w:rPr>
                <w:lang w:val="en-US"/>
              </w:rPr>
              <w:t xml:space="preserve">Reaction conditions: </w:t>
            </w:r>
            <w:r w:rsidR="0095546E">
              <w:rPr>
                <w:lang w:val="en-US"/>
              </w:rPr>
              <w:t>2-6</w:t>
            </w:r>
            <w:r w:rsidRPr="001C5FE4">
              <w:rPr>
                <w:lang w:val="en-US"/>
              </w:rPr>
              <w:t xml:space="preserve"> mol% BINOL, </w:t>
            </w:r>
            <w:r w:rsidR="0095546E">
              <w:rPr>
                <w:lang w:val="en-US"/>
              </w:rPr>
              <w:t>2-6</w:t>
            </w:r>
            <w:r w:rsidRPr="001C5FE4">
              <w:rPr>
                <w:lang w:val="en-US"/>
              </w:rPr>
              <w:t xml:space="preserve"> mol% CVI, neat </w:t>
            </w:r>
            <w:r w:rsidR="0095546E">
              <w:rPr>
                <w:lang w:val="en-US"/>
              </w:rPr>
              <w:t xml:space="preserve">epoxide </w:t>
            </w:r>
            <w:r w:rsidR="0095546E">
              <w:rPr>
                <w:b/>
                <w:lang w:val="en-US"/>
              </w:rPr>
              <w:t>3a</w:t>
            </w:r>
            <w:r w:rsidR="0095546E">
              <w:rPr>
                <w:lang w:val="en-US"/>
              </w:rPr>
              <w:t xml:space="preserve"> or </w:t>
            </w:r>
            <w:r w:rsidR="0095546E">
              <w:rPr>
                <w:b/>
                <w:lang w:val="en-US"/>
              </w:rPr>
              <w:t>3b</w:t>
            </w:r>
            <w:r w:rsidRPr="001C5FE4">
              <w:rPr>
                <w:lang w:val="en-US"/>
              </w:rPr>
              <w:t>, 50</w:t>
            </w:r>
            <w:r w:rsidRPr="001C5FE4">
              <w:rPr>
                <w:vertAlign w:val="superscript"/>
                <w:lang w:val="en-US"/>
              </w:rPr>
              <w:t>o</w:t>
            </w:r>
            <w:r w:rsidRPr="001C5FE4">
              <w:rPr>
                <w:lang w:val="en-US"/>
              </w:rPr>
              <w:t>C, 5 MPa CO</w:t>
            </w:r>
            <w:r w:rsidRPr="001C5FE4">
              <w:rPr>
                <w:vertAlign w:val="subscript"/>
                <w:lang w:val="en-US"/>
              </w:rPr>
              <w:t>2</w:t>
            </w:r>
            <w:r w:rsidR="0095546E">
              <w:rPr>
                <w:lang w:val="en-US"/>
              </w:rPr>
              <w:t>, 24 h</w:t>
            </w:r>
            <w:r w:rsidRPr="001C5FE4">
              <w:rPr>
                <w:lang w:val="en-US"/>
              </w:rPr>
              <w:t>.</w:t>
            </w:r>
          </w:p>
        </w:tc>
      </w:tr>
    </w:tbl>
    <w:p w:rsidR="008A19DB" w:rsidRDefault="00073DE9" w:rsidP="008A19DB">
      <w:pPr>
        <w:pStyle w:val="SchemeCaption"/>
        <w:spacing w:line="240" w:lineRule="atLeast"/>
        <w:rPr>
          <w:b/>
        </w:rPr>
      </w:pPr>
      <w:r>
        <w:object w:dxaOrig="6977" w:dyaOrig="12080">
          <v:shape id="_x0000_i1034" type="#_x0000_t75" style="width:243.75pt;height:421.5pt" o:ole="">
            <v:imagedata r:id="rId37" o:title=""/>
          </v:shape>
          <o:OLEObject Type="Embed" ProgID="ChemDraw.Document.6.0" ShapeID="_x0000_i1034" DrawAspect="Content" ObjectID="_1544967559" r:id="rId38"/>
        </w:object>
      </w:r>
    </w:p>
    <w:p w:rsidR="008A19DB" w:rsidRPr="004D13DA" w:rsidRDefault="008A19DB" w:rsidP="008A19DB">
      <w:pPr>
        <w:pStyle w:val="SchemeCaption"/>
        <w:rPr>
          <w:color w:val="FF0000"/>
          <w:lang w:val="en-US"/>
        </w:rPr>
      </w:pPr>
      <w:r>
        <w:rPr>
          <w:b/>
        </w:rPr>
        <w:t xml:space="preserve">Scheme </w:t>
      </w:r>
      <w:r w:rsidR="005F048A">
        <w:rPr>
          <w:b/>
        </w:rPr>
        <w:t>4</w:t>
      </w:r>
      <w:r w:rsidRPr="00622835">
        <w:rPr>
          <w:b/>
        </w:rPr>
        <w:t>.</w:t>
      </w:r>
      <w:r w:rsidRPr="00622835">
        <w:t xml:space="preserve"> </w:t>
      </w:r>
      <w:r w:rsidR="00D82BF1">
        <w:rPr>
          <w:rStyle w:val="shorttext"/>
          <w:color w:val="000000" w:themeColor="text1"/>
          <w:lang w:val="en-US"/>
        </w:rPr>
        <w:t>A po</w:t>
      </w:r>
      <w:r w:rsidR="005F048A">
        <w:rPr>
          <w:rStyle w:val="shorttext"/>
          <w:color w:val="000000" w:themeColor="text1"/>
          <w:lang w:val="en-US"/>
        </w:rPr>
        <w:t>ssible mechanism</w:t>
      </w:r>
      <w:r w:rsidRPr="00BE079F">
        <w:rPr>
          <w:rStyle w:val="shorttext"/>
          <w:color w:val="000000" w:themeColor="text1"/>
          <w:lang w:val="en-US"/>
        </w:rPr>
        <w:t xml:space="preserve"> rationalizing the synergistic effect of BIMBOL on the activity of the dyes in </w:t>
      </w:r>
      <w:r w:rsidR="005F048A">
        <w:rPr>
          <w:rStyle w:val="shorttext"/>
          <w:color w:val="000000" w:themeColor="text1"/>
          <w:lang w:val="en-US"/>
        </w:rPr>
        <w:t>synthesis of cyclic carbonates</w:t>
      </w:r>
      <w:r>
        <w:rPr>
          <w:lang w:val="en-US"/>
        </w:rPr>
        <w:t>.</w:t>
      </w:r>
      <w:r w:rsidR="004D13DA">
        <w:rPr>
          <w:color w:val="FF0000"/>
          <w:lang w:val="en-US"/>
        </w:rPr>
        <w:t xml:space="preserve"> </w:t>
      </w:r>
    </w:p>
    <w:p w:rsidR="0095546E" w:rsidRPr="00890FFB" w:rsidRDefault="0095546E" w:rsidP="00890FFB">
      <w:pPr>
        <w:pStyle w:val="P1"/>
        <w:ind w:firstLine="425"/>
        <w:rPr>
          <w:color w:val="FF0000"/>
        </w:rPr>
      </w:pPr>
      <w:r>
        <w:rPr>
          <w:rStyle w:val="shorttext"/>
          <w:color w:val="000000" w:themeColor="text1"/>
        </w:rPr>
        <w:t>Intermediate</w:t>
      </w:r>
      <w:r w:rsidR="00890FFB">
        <w:rPr>
          <w:rStyle w:val="shorttext"/>
          <w:color w:val="000000" w:themeColor="text1"/>
        </w:rPr>
        <w:t>s</w:t>
      </w:r>
      <w:r>
        <w:rPr>
          <w:rStyle w:val="shorttext"/>
          <w:color w:val="000000" w:themeColor="text1"/>
        </w:rPr>
        <w:t xml:space="preserve"> </w:t>
      </w:r>
      <w:r>
        <w:rPr>
          <w:rStyle w:val="shorttext"/>
          <w:b/>
          <w:color w:val="000000" w:themeColor="text1"/>
        </w:rPr>
        <w:t>5</w:t>
      </w:r>
      <w:r>
        <w:rPr>
          <w:rStyle w:val="shorttext"/>
          <w:color w:val="000000" w:themeColor="text1"/>
        </w:rPr>
        <w:t xml:space="preserve"> </w:t>
      </w:r>
      <w:r w:rsidR="00890FFB">
        <w:rPr>
          <w:rStyle w:val="shorttext"/>
          <w:color w:val="000000" w:themeColor="text1"/>
        </w:rPr>
        <w:t xml:space="preserve">and </w:t>
      </w:r>
      <w:r w:rsidR="00890FFB">
        <w:rPr>
          <w:rStyle w:val="shorttext"/>
          <w:b/>
          <w:color w:val="000000" w:themeColor="text1"/>
        </w:rPr>
        <w:t xml:space="preserve">6 </w:t>
      </w:r>
      <w:r>
        <w:rPr>
          <w:rStyle w:val="shorttext"/>
          <w:color w:val="000000" w:themeColor="text1"/>
        </w:rPr>
        <w:t>could also undergo a non-productive S</w:t>
      </w:r>
      <w:r w:rsidRPr="0095546E">
        <w:rPr>
          <w:rStyle w:val="shorttext"/>
          <w:color w:val="000000" w:themeColor="text1"/>
          <w:vertAlign w:val="subscript"/>
        </w:rPr>
        <w:t>N</w:t>
      </w:r>
      <w:r>
        <w:rPr>
          <w:rStyle w:val="shorttext"/>
          <w:color w:val="000000" w:themeColor="text1"/>
        </w:rPr>
        <w:t xml:space="preserve">2 reaction </w:t>
      </w:r>
      <w:r w:rsidR="00890FFB">
        <w:rPr>
          <w:rStyle w:val="shorttext"/>
          <w:color w:val="000000" w:themeColor="text1"/>
        </w:rPr>
        <w:t xml:space="preserve">of the alkyl iodide </w:t>
      </w:r>
      <w:r>
        <w:rPr>
          <w:rStyle w:val="shorttext"/>
          <w:color w:val="000000" w:themeColor="text1"/>
        </w:rPr>
        <w:t xml:space="preserve">with </w:t>
      </w:r>
      <w:r w:rsidR="00890FFB">
        <w:rPr>
          <w:rStyle w:val="shorttext"/>
          <w:color w:val="000000" w:themeColor="text1"/>
        </w:rPr>
        <w:t xml:space="preserve">external </w:t>
      </w:r>
      <w:r>
        <w:rPr>
          <w:rStyle w:val="shorttext"/>
          <w:color w:val="000000" w:themeColor="text1"/>
        </w:rPr>
        <w:t>iodide. This reaction would only be visible (as loss of stereochemical purity)</w:t>
      </w:r>
      <w:r w:rsidR="00890FFB">
        <w:rPr>
          <w:rStyle w:val="shorttext"/>
          <w:color w:val="000000" w:themeColor="text1"/>
        </w:rPr>
        <w:t xml:space="preserve"> </w:t>
      </w:r>
      <w:r>
        <w:rPr>
          <w:rStyle w:val="shorttext"/>
          <w:color w:val="000000" w:themeColor="text1"/>
        </w:rPr>
        <w:t xml:space="preserve">in deuterated epoxides such as </w:t>
      </w:r>
      <w:r>
        <w:rPr>
          <w:rStyle w:val="shorttext"/>
          <w:b/>
          <w:color w:val="000000" w:themeColor="text1"/>
        </w:rPr>
        <w:t>3a,b</w:t>
      </w:r>
      <w:r>
        <w:rPr>
          <w:rStyle w:val="shorttext"/>
          <w:color w:val="000000" w:themeColor="text1"/>
        </w:rPr>
        <w:t xml:space="preserve"> and the relative rate of reaction with iodide to </w:t>
      </w:r>
      <w:r w:rsidR="00890FFB">
        <w:rPr>
          <w:rStyle w:val="shorttext"/>
          <w:color w:val="000000" w:themeColor="text1"/>
        </w:rPr>
        <w:t>intramolecular cyclization of the carbonate would be expected to increase as the concentration of iodide in the reaction increases, ie as the catalyst loading increased, thus accounting for the results presented in Table 6.</w:t>
      </w:r>
    </w:p>
    <w:p w:rsidR="008A19DB" w:rsidRPr="009951B0" w:rsidRDefault="009951B0" w:rsidP="009951B0">
      <w:pPr>
        <w:pStyle w:val="H1"/>
      </w:pPr>
      <w:r>
        <w:t>Experimental</w:t>
      </w:r>
    </w:p>
    <w:p w:rsidR="009951B0" w:rsidRPr="009951B0" w:rsidRDefault="009951B0" w:rsidP="009951B0">
      <w:pPr>
        <w:pStyle w:val="P1"/>
        <w:rPr>
          <w:rFonts w:cs="AdvMYR4"/>
          <w:b/>
          <w:color w:val="000000" w:themeColor="text1"/>
        </w:rPr>
      </w:pPr>
      <w:r w:rsidRPr="009951B0">
        <w:rPr>
          <w:rFonts w:cs="AdvMYR4"/>
          <w:b/>
          <w:color w:val="000000" w:themeColor="text1"/>
        </w:rPr>
        <w:t>Materials</w:t>
      </w:r>
    </w:p>
    <w:p w:rsidR="009951B0" w:rsidRPr="009951B0" w:rsidRDefault="009951B0" w:rsidP="009951B0">
      <w:pPr>
        <w:pStyle w:val="P1"/>
        <w:rPr>
          <w:rFonts w:cs="AdvMYR4"/>
          <w:color w:val="000000" w:themeColor="text1"/>
        </w:rPr>
      </w:pPr>
      <w:r w:rsidRPr="009951B0">
        <w:rPr>
          <w:rFonts w:cs="AdvMYR4"/>
          <w:color w:val="000000" w:themeColor="text1"/>
        </w:rPr>
        <w:t>Commercial reagents were used as received unless stated otherwise. Column chromatography was performed using Silica Gel Kieselgel 60 (Merck).</w:t>
      </w:r>
    </w:p>
    <w:p w:rsidR="009951B0" w:rsidRDefault="009951B0" w:rsidP="009951B0">
      <w:pPr>
        <w:pStyle w:val="P1"/>
        <w:rPr>
          <w:rFonts w:cs="AdvMYR4"/>
          <w:color w:val="000000" w:themeColor="text1"/>
        </w:rPr>
      </w:pPr>
    </w:p>
    <w:p w:rsidR="008A19DB" w:rsidRDefault="009951B0" w:rsidP="009951B0">
      <w:pPr>
        <w:pStyle w:val="P1"/>
        <w:rPr>
          <w:rFonts w:cs="AdvMYR4"/>
          <w:b/>
          <w:color w:val="000000" w:themeColor="text1"/>
        </w:rPr>
      </w:pPr>
      <w:r w:rsidRPr="009951B0">
        <w:rPr>
          <w:rFonts w:cs="AdvMYR4"/>
          <w:b/>
          <w:color w:val="000000" w:themeColor="text1"/>
        </w:rPr>
        <w:t>Instrumentation</w:t>
      </w:r>
    </w:p>
    <w:p w:rsidR="00C83B78" w:rsidRPr="00073DE9" w:rsidRDefault="008603DE" w:rsidP="00F72699">
      <w:pPr>
        <w:pStyle w:val="P1"/>
        <w:rPr>
          <w:rFonts w:cs="AdvMYR4"/>
          <w:b/>
          <w:color w:val="000000" w:themeColor="text1"/>
        </w:rPr>
      </w:pPr>
      <w:r w:rsidRPr="006446C9">
        <w:rPr>
          <w:rFonts w:cs="TimesNewRomanWGL"/>
          <w:vertAlign w:val="superscript"/>
        </w:rPr>
        <w:t>1</w:t>
      </w:r>
      <w:r w:rsidRPr="006446C9">
        <w:rPr>
          <w:rFonts w:cs="TimesNewRomanWGL"/>
        </w:rPr>
        <w:t xml:space="preserve">H and </w:t>
      </w:r>
      <w:r w:rsidRPr="006446C9">
        <w:rPr>
          <w:rFonts w:cs="TimesNewRomanWGL"/>
          <w:vertAlign w:val="superscript"/>
        </w:rPr>
        <w:t>13</w:t>
      </w:r>
      <w:r w:rsidRPr="006446C9">
        <w:rPr>
          <w:rFonts w:cs="TimesNewRomanWGL"/>
        </w:rPr>
        <w:t>C NMR spectra were recorded on Bruker Avance 300 and Bruker Avance III–400 spectrometers (operating at 300 and 400 MHz for protons, respectively). Melting points were</w:t>
      </w:r>
      <w:r w:rsidRPr="008603DE">
        <w:rPr>
          <w:rFonts w:cs="TimesNewRomanWGL"/>
        </w:rPr>
        <w:t xml:space="preserve"> </w:t>
      </w:r>
      <w:r w:rsidRPr="006446C9">
        <w:rPr>
          <w:rFonts w:cs="TimesNewRomanWGL"/>
        </w:rPr>
        <w:t>determined in open capillary tubes and are uncorrected. Elemental analysis was performed at the elemental analysis</w:t>
      </w:r>
      <w:r w:rsidRPr="008603DE">
        <w:rPr>
          <w:rFonts w:cs="TimesNewRomanWGL"/>
        </w:rPr>
        <w:t xml:space="preserve"> </w:t>
      </w:r>
      <w:r w:rsidRPr="006446C9">
        <w:rPr>
          <w:rFonts w:cs="TimesNewRomanWGL"/>
        </w:rPr>
        <w:t>laboratory of the Nesmeyanov’s Institute of Organoelement</w:t>
      </w:r>
      <w:r w:rsidR="00073DE9">
        <w:rPr>
          <w:rFonts w:cs="AdvMYR4"/>
          <w:b/>
          <w:color w:val="000000" w:themeColor="text1"/>
        </w:rPr>
        <w:t xml:space="preserve"> </w:t>
      </w:r>
      <w:r w:rsidR="009951B0" w:rsidRPr="006446C9">
        <w:rPr>
          <w:rFonts w:cs="TimesNewRomanWGL"/>
        </w:rPr>
        <w:t>Compounds of Russian Academy of Sciences (INEOS RAS). All solvents were purified according to standard procedures.</w:t>
      </w:r>
    </w:p>
    <w:p w:rsidR="00C83B78" w:rsidRDefault="00C83B78" w:rsidP="00F72699">
      <w:pPr>
        <w:pStyle w:val="P1"/>
      </w:pPr>
    </w:p>
    <w:p w:rsidR="00C83B78" w:rsidRPr="009951B0" w:rsidRDefault="009951B0" w:rsidP="00F72699">
      <w:pPr>
        <w:pStyle w:val="P1"/>
        <w:rPr>
          <w:b/>
        </w:rPr>
      </w:pPr>
      <w:r w:rsidRPr="009951B0">
        <w:rPr>
          <w:b/>
        </w:rPr>
        <w:t>Synthesis of carbocations</w:t>
      </w:r>
    </w:p>
    <w:p w:rsidR="00C83B78" w:rsidRDefault="009951B0" w:rsidP="00F72699">
      <w:pPr>
        <w:pStyle w:val="P1"/>
        <w:rPr>
          <w:rFonts w:cs="AdvMYR4"/>
          <w:color w:val="FF0000"/>
        </w:rPr>
      </w:pPr>
      <w:r w:rsidRPr="009951B0">
        <w:rPr>
          <w:b/>
        </w:rPr>
        <w:t>Malachite green iodide.</w:t>
      </w:r>
      <w:r w:rsidRPr="009E6535">
        <w:t xml:space="preserve"> Malachite green chloride (1.0 g, 2.7 mmol) dissolved in CH</w:t>
      </w:r>
      <w:r w:rsidRPr="009E6535">
        <w:rPr>
          <w:vertAlign w:val="subscript"/>
        </w:rPr>
        <w:t>2</w:t>
      </w:r>
      <w:r w:rsidRPr="009E6535">
        <w:t>Cl</w:t>
      </w:r>
      <w:r w:rsidRPr="009E6535">
        <w:rPr>
          <w:vertAlign w:val="subscript"/>
        </w:rPr>
        <w:t>2</w:t>
      </w:r>
      <w:r w:rsidRPr="009E6535">
        <w:t xml:space="preserve"> (10 ml) was added to a solution of KI (7.0 g, 42 mmol) in water (10 ml). The resulting suspension was stirred at room temperature for 4 h, then the organic layer was separated, dried over MgSO</w:t>
      </w:r>
      <w:r w:rsidRPr="009E6535">
        <w:rPr>
          <w:vertAlign w:val="subscript"/>
        </w:rPr>
        <w:t>4</w:t>
      </w:r>
      <w:r w:rsidRPr="009E6535">
        <w:t xml:space="preserve"> and evaporated under reduced pressure to give malachite green iodide (0.95g, 94%) </w:t>
      </w:r>
      <w:r w:rsidRPr="00943CC7">
        <w:rPr>
          <w:color w:val="000000" w:themeColor="text1"/>
        </w:rPr>
        <w:t>as green crystals.</w:t>
      </w:r>
      <w:r w:rsidR="00943CC7">
        <w:rPr>
          <w:color w:val="000000" w:themeColor="text1"/>
        </w:rPr>
        <w:t xml:space="preserve"> Mp 100–102 </w:t>
      </w:r>
      <w:r w:rsidR="00943CC7" w:rsidRPr="00943CC7">
        <w:rPr>
          <w:rFonts w:cs="Arial"/>
          <w:color w:val="000000" w:themeColor="text1"/>
          <w:vertAlign w:val="superscript"/>
        </w:rPr>
        <w:t>°</w:t>
      </w:r>
      <w:r w:rsidR="00943CC7">
        <w:rPr>
          <w:color w:val="000000" w:themeColor="text1"/>
        </w:rPr>
        <w:t xml:space="preserve">C; </w:t>
      </w:r>
      <w:r w:rsidR="00943CC7">
        <w:rPr>
          <w:rFonts w:ascii="Symbol" w:hAnsi="Symbol"/>
          <w:color w:val="000000" w:themeColor="text1"/>
        </w:rPr>
        <w:t></w:t>
      </w:r>
      <w:r w:rsidR="00943CC7" w:rsidRPr="00943CC7">
        <w:rPr>
          <w:color w:val="000000" w:themeColor="text1"/>
          <w:vertAlign w:val="subscript"/>
        </w:rPr>
        <w:t>max</w:t>
      </w:r>
      <w:r w:rsidR="00F00013">
        <w:rPr>
          <w:color w:val="000000" w:themeColor="text1"/>
        </w:rPr>
        <w:t xml:space="preserve">(KBr) 2920, 2851, </w:t>
      </w:r>
      <w:r w:rsidR="00943CC7">
        <w:rPr>
          <w:color w:val="000000" w:themeColor="text1"/>
        </w:rPr>
        <w:t>1583, 1363 and 1167</w:t>
      </w:r>
      <w:r w:rsidR="00F00013">
        <w:rPr>
          <w:color w:val="000000" w:themeColor="text1"/>
        </w:rPr>
        <w:t xml:space="preserve"> cm</w:t>
      </w:r>
      <w:r w:rsidR="00F00013" w:rsidRPr="00943CC7">
        <w:rPr>
          <w:color w:val="000000" w:themeColor="text1"/>
          <w:vertAlign w:val="superscript"/>
        </w:rPr>
        <w:t>-1</w:t>
      </w:r>
      <w:r w:rsidR="00943CC7">
        <w:rPr>
          <w:color w:val="000000" w:themeColor="text1"/>
        </w:rPr>
        <w:t xml:space="preserve">; </w:t>
      </w:r>
      <w:r w:rsidRPr="00943CC7">
        <w:rPr>
          <w:color w:val="000000" w:themeColor="text1"/>
          <w:vertAlign w:val="superscript"/>
        </w:rPr>
        <w:t>1</w:t>
      </w:r>
      <w:r w:rsidRPr="009E6535">
        <w:rPr>
          <w:color w:val="000000" w:themeColor="text1"/>
        </w:rPr>
        <w:t>H NMR (400 MHz, CDCl</w:t>
      </w:r>
      <w:r w:rsidRPr="009E6535">
        <w:rPr>
          <w:color w:val="000000" w:themeColor="text1"/>
          <w:vertAlign w:val="subscript"/>
        </w:rPr>
        <w:t>3</w:t>
      </w:r>
      <w:r w:rsidRPr="009E6535">
        <w:rPr>
          <w:color w:val="000000" w:themeColor="text1"/>
        </w:rPr>
        <w:t xml:space="preserve">) δ 7.73–7.68 (m, 1H), 7.56 (t </w:t>
      </w:r>
      <w:r w:rsidRPr="009E6535">
        <w:rPr>
          <w:i/>
          <w:iCs/>
          <w:color w:val="000000" w:themeColor="text1"/>
        </w:rPr>
        <w:t>J</w:t>
      </w:r>
      <w:r w:rsidRPr="009E6535">
        <w:rPr>
          <w:color w:val="000000" w:themeColor="text1"/>
        </w:rPr>
        <w:t xml:space="preserve"> 7.6 Hz, 2H), 7.41 (d </w:t>
      </w:r>
      <w:r w:rsidRPr="009E6535">
        <w:rPr>
          <w:i/>
          <w:iCs/>
          <w:color w:val="000000" w:themeColor="text1"/>
        </w:rPr>
        <w:t>J</w:t>
      </w:r>
      <w:r w:rsidRPr="009E6535">
        <w:rPr>
          <w:color w:val="000000" w:themeColor="text1"/>
        </w:rPr>
        <w:t xml:space="preserve"> 8.8 Hz, 4H), 7.34 (d </w:t>
      </w:r>
      <w:r w:rsidRPr="009E6535">
        <w:rPr>
          <w:i/>
          <w:iCs/>
          <w:color w:val="000000" w:themeColor="text1"/>
        </w:rPr>
        <w:t>J</w:t>
      </w:r>
      <w:r w:rsidRPr="009E6535">
        <w:rPr>
          <w:color w:val="000000" w:themeColor="text1"/>
        </w:rPr>
        <w:t xml:space="preserve"> 7.6 Hz, 2H), 7.00 (d </w:t>
      </w:r>
      <w:r w:rsidRPr="009E6535">
        <w:rPr>
          <w:i/>
          <w:iCs/>
          <w:color w:val="000000" w:themeColor="text1"/>
        </w:rPr>
        <w:t>J</w:t>
      </w:r>
      <w:r w:rsidRPr="009E6535">
        <w:rPr>
          <w:color w:val="000000" w:themeColor="text1"/>
        </w:rPr>
        <w:t xml:space="preserve"> 8.9 Hz, 4H), 3.40 (s, 12H); </w:t>
      </w:r>
      <w:r w:rsidRPr="009E6535">
        <w:rPr>
          <w:color w:val="000000" w:themeColor="text1"/>
          <w:vertAlign w:val="superscript"/>
        </w:rPr>
        <w:t>13</w:t>
      </w:r>
      <w:r w:rsidRPr="009E6535">
        <w:rPr>
          <w:color w:val="000000" w:themeColor="text1"/>
        </w:rPr>
        <w:t>C NMR (101 MHz, CDCl</w:t>
      </w:r>
      <w:r w:rsidRPr="009E6535">
        <w:rPr>
          <w:color w:val="000000" w:themeColor="text1"/>
          <w:vertAlign w:val="subscript"/>
        </w:rPr>
        <w:t>3</w:t>
      </w:r>
      <w:r w:rsidRPr="009E6535">
        <w:rPr>
          <w:color w:val="000000" w:themeColor="text1"/>
        </w:rPr>
        <w:t xml:space="preserve">) δ 177.68, 156.98, 141.00, 139.50, 134.73, 133.13, 128.61, 127.38, 113.98, 41.43. </w:t>
      </w:r>
      <w:r w:rsidRPr="009E6535">
        <w:rPr>
          <w:rFonts w:cs="AdvMYR4"/>
          <w:color w:val="000000" w:themeColor="text1"/>
        </w:rPr>
        <w:t>X-ray fluorescence data: no Cl was detected.</w:t>
      </w:r>
    </w:p>
    <w:p w:rsidR="009951B0" w:rsidRDefault="009951B0" w:rsidP="00F72699">
      <w:pPr>
        <w:pStyle w:val="P1"/>
        <w:rPr>
          <w:rFonts w:cs="AdvMYR4"/>
          <w:color w:val="FF0000"/>
        </w:rPr>
      </w:pPr>
    </w:p>
    <w:p w:rsidR="009951B0" w:rsidRDefault="009951B0" w:rsidP="00F72699">
      <w:pPr>
        <w:pStyle w:val="P1"/>
      </w:pPr>
      <w:r w:rsidRPr="009951B0">
        <w:rPr>
          <w:b/>
        </w:rPr>
        <w:t xml:space="preserve">Brilliant green </w:t>
      </w:r>
      <w:r w:rsidRPr="009951B0">
        <w:rPr>
          <w:b/>
          <w:color w:val="000000" w:themeColor="text1"/>
        </w:rPr>
        <w:t>iodide.</w:t>
      </w:r>
      <w:r w:rsidRPr="009E6535">
        <w:rPr>
          <w:color w:val="000000" w:themeColor="text1"/>
        </w:rPr>
        <w:t xml:space="preserve"> B</w:t>
      </w:r>
      <w:r>
        <w:rPr>
          <w:color w:val="000000" w:themeColor="text1"/>
        </w:rPr>
        <w:t>rilliant green mono-oxalate</w:t>
      </w:r>
      <w:r w:rsidRPr="009E6535">
        <w:rPr>
          <w:color w:val="000000" w:themeColor="text1"/>
        </w:rPr>
        <w:t xml:space="preserve"> (1.0 g, 2.0 mmol) dissolved in CH</w:t>
      </w:r>
      <w:r w:rsidRPr="009E6535">
        <w:rPr>
          <w:color w:val="000000" w:themeColor="text1"/>
          <w:vertAlign w:val="subscript"/>
        </w:rPr>
        <w:t>2</w:t>
      </w:r>
      <w:r w:rsidRPr="009E6535">
        <w:rPr>
          <w:color w:val="000000" w:themeColor="text1"/>
        </w:rPr>
        <w:t>Cl</w:t>
      </w:r>
      <w:r w:rsidRPr="009E6535">
        <w:rPr>
          <w:color w:val="000000" w:themeColor="text1"/>
          <w:vertAlign w:val="subscript"/>
        </w:rPr>
        <w:t>2</w:t>
      </w:r>
      <w:r w:rsidRPr="009E6535">
        <w:rPr>
          <w:color w:val="000000" w:themeColor="text1"/>
        </w:rPr>
        <w:t xml:space="preserve"> (10 ml) was added to a solution of KI (7.0 g, 42 mmol) in water (10 ml). The resulting suspension was stirred at room temperature for 4 h, then was neutralized by the addition of aqueous NaOH. The organic layer was separated, dried over MgSO</w:t>
      </w:r>
      <w:r w:rsidRPr="009E6535">
        <w:rPr>
          <w:color w:val="000000" w:themeColor="text1"/>
          <w:vertAlign w:val="subscript"/>
        </w:rPr>
        <w:t>4</w:t>
      </w:r>
      <w:r w:rsidRPr="009E6535">
        <w:rPr>
          <w:color w:val="000000" w:themeColor="text1"/>
        </w:rPr>
        <w:t xml:space="preserve"> and evaporated under reduced pressure to give brilliant green iodide (0.92 g, 90</w:t>
      </w:r>
      <w:r w:rsidRPr="00943CC7">
        <w:rPr>
          <w:color w:val="000000" w:themeColor="text1"/>
        </w:rPr>
        <w:t>%) as green crystals.</w:t>
      </w:r>
      <w:r w:rsidR="00943CC7" w:rsidRPr="00943CC7">
        <w:rPr>
          <w:color w:val="000000" w:themeColor="text1"/>
        </w:rPr>
        <w:t xml:space="preserve"> </w:t>
      </w:r>
      <w:r w:rsidR="00943CC7">
        <w:rPr>
          <w:color w:val="000000" w:themeColor="text1"/>
        </w:rPr>
        <w:t xml:space="preserve">Mp 186–189 </w:t>
      </w:r>
      <w:r w:rsidR="00943CC7" w:rsidRPr="00943CC7">
        <w:rPr>
          <w:rFonts w:cs="Arial"/>
          <w:color w:val="000000" w:themeColor="text1"/>
          <w:vertAlign w:val="superscript"/>
        </w:rPr>
        <w:t>°</w:t>
      </w:r>
      <w:r w:rsidR="00943CC7">
        <w:rPr>
          <w:color w:val="000000" w:themeColor="text1"/>
        </w:rPr>
        <w:t xml:space="preserve">C; </w:t>
      </w:r>
      <w:r w:rsidR="00F00013">
        <w:rPr>
          <w:rFonts w:ascii="Symbol" w:hAnsi="Symbol"/>
          <w:color w:val="000000" w:themeColor="text1"/>
        </w:rPr>
        <w:t></w:t>
      </w:r>
      <w:r w:rsidR="00F00013" w:rsidRPr="00943CC7">
        <w:rPr>
          <w:color w:val="000000" w:themeColor="text1"/>
          <w:vertAlign w:val="subscript"/>
        </w:rPr>
        <w:t>max</w:t>
      </w:r>
      <w:r w:rsidR="00F00013">
        <w:rPr>
          <w:color w:val="000000" w:themeColor="text1"/>
        </w:rPr>
        <w:t xml:space="preserve">(KBr) 3060, 2972, 2928, </w:t>
      </w:r>
      <w:r w:rsidR="00943CC7">
        <w:rPr>
          <w:color w:val="000000" w:themeColor="text1"/>
        </w:rPr>
        <w:t>1580, 1341 and 1186</w:t>
      </w:r>
      <w:r w:rsidR="00F00013">
        <w:rPr>
          <w:color w:val="000000" w:themeColor="text1"/>
        </w:rPr>
        <w:t xml:space="preserve"> cm</w:t>
      </w:r>
      <w:r w:rsidR="00F00013" w:rsidRPr="00943CC7">
        <w:rPr>
          <w:color w:val="000000" w:themeColor="text1"/>
          <w:vertAlign w:val="superscript"/>
        </w:rPr>
        <w:t>-1</w:t>
      </w:r>
      <w:r w:rsidR="00943CC7">
        <w:rPr>
          <w:color w:val="000000" w:themeColor="text1"/>
        </w:rPr>
        <w:t xml:space="preserve">; </w:t>
      </w:r>
      <w:r w:rsidRPr="00943CC7">
        <w:rPr>
          <w:color w:val="000000" w:themeColor="text1"/>
        </w:rPr>
        <w:t xml:space="preserve"> </w:t>
      </w:r>
      <w:r w:rsidRPr="009E6535">
        <w:rPr>
          <w:color w:val="000000" w:themeColor="text1"/>
          <w:vertAlign w:val="superscript"/>
        </w:rPr>
        <w:t>1</w:t>
      </w:r>
      <w:r w:rsidRPr="009E6535">
        <w:rPr>
          <w:color w:val="000000" w:themeColor="text1"/>
        </w:rPr>
        <w:t>H NMR (400 MHz, CDCl</w:t>
      </w:r>
      <w:r w:rsidRPr="009E6535">
        <w:rPr>
          <w:color w:val="000000" w:themeColor="text1"/>
          <w:vertAlign w:val="subscript"/>
        </w:rPr>
        <w:t>3</w:t>
      </w:r>
      <w:r w:rsidRPr="009E6535">
        <w:rPr>
          <w:color w:val="000000" w:themeColor="text1"/>
        </w:rPr>
        <w:t xml:space="preserve">) δ 7.73–7.68 (m, 1H), 7.56 (t </w:t>
      </w:r>
      <w:r w:rsidRPr="009E6535">
        <w:rPr>
          <w:i/>
          <w:iCs/>
          <w:color w:val="000000" w:themeColor="text1"/>
        </w:rPr>
        <w:t>J</w:t>
      </w:r>
      <w:r w:rsidRPr="009E6535">
        <w:rPr>
          <w:color w:val="000000" w:themeColor="text1"/>
        </w:rPr>
        <w:t xml:space="preserve"> 7.6 Hz, 2H), 7.41 (d </w:t>
      </w:r>
      <w:r w:rsidRPr="009E6535">
        <w:rPr>
          <w:i/>
          <w:iCs/>
          <w:color w:val="000000" w:themeColor="text1"/>
        </w:rPr>
        <w:t>J</w:t>
      </w:r>
      <w:r w:rsidRPr="009E6535">
        <w:rPr>
          <w:color w:val="000000" w:themeColor="text1"/>
        </w:rPr>
        <w:t xml:space="preserve"> 8.8 Hz, 4H), 7.34 (d </w:t>
      </w:r>
      <w:r w:rsidRPr="009E6535">
        <w:rPr>
          <w:i/>
          <w:iCs/>
          <w:color w:val="000000" w:themeColor="text1"/>
        </w:rPr>
        <w:t>J</w:t>
      </w:r>
      <w:r w:rsidRPr="009E6535">
        <w:rPr>
          <w:color w:val="000000" w:themeColor="text1"/>
        </w:rPr>
        <w:t xml:space="preserve"> 7.6 Hz, 2H), 7.00 (d </w:t>
      </w:r>
      <w:r w:rsidRPr="009E6535">
        <w:rPr>
          <w:i/>
          <w:iCs/>
          <w:color w:val="000000" w:themeColor="text1"/>
        </w:rPr>
        <w:t>J</w:t>
      </w:r>
      <w:r w:rsidRPr="009E6535">
        <w:rPr>
          <w:color w:val="000000" w:themeColor="text1"/>
        </w:rPr>
        <w:t xml:space="preserve"> 8.9 Hz, 4H), 3.40 (s, 12H); </w:t>
      </w:r>
      <w:r w:rsidRPr="009E6535">
        <w:rPr>
          <w:color w:val="000000" w:themeColor="text1"/>
          <w:vertAlign w:val="superscript"/>
        </w:rPr>
        <w:t>13</w:t>
      </w:r>
      <w:r w:rsidRPr="009E6535">
        <w:rPr>
          <w:color w:val="000000" w:themeColor="text1"/>
        </w:rPr>
        <w:t>C NMR (101 MHz, CDCl</w:t>
      </w:r>
      <w:r w:rsidRPr="009E6535">
        <w:rPr>
          <w:color w:val="000000" w:themeColor="text1"/>
          <w:vertAlign w:val="subscript"/>
        </w:rPr>
        <w:t>3</w:t>
      </w:r>
      <w:r w:rsidRPr="009E6535">
        <w:rPr>
          <w:color w:val="000000" w:themeColor="text1"/>
        </w:rPr>
        <w:t xml:space="preserve">) δ 177.68, 156.98, 141.00, 139.50, 134.73, 133.13, 128.61, 127.38, 113.98, 41.43. </w:t>
      </w:r>
      <w:r w:rsidRPr="009E6535">
        <w:rPr>
          <w:rFonts w:cs="AdvMYR4"/>
          <w:color w:val="000000" w:themeColor="text1"/>
        </w:rPr>
        <w:t>X-ray fluorescence data: no Cl was detected.</w:t>
      </w:r>
    </w:p>
    <w:p w:rsidR="00C83B78" w:rsidRDefault="00C83B78" w:rsidP="00F72699">
      <w:pPr>
        <w:pStyle w:val="P1"/>
      </w:pPr>
    </w:p>
    <w:p w:rsidR="00C83B78" w:rsidRDefault="009951B0" w:rsidP="00F72699">
      <w:pPr>
        <w:pStyle w:val="P1"/>
        <w:rPr>
          <w:rFonts w:cs="AdvMYR4"/>
          <w:color w:val="FF0000"/>
        </w:rPr>
      </w:pPr>
      <w:r w:rsidRPr="009951B0">
        <w:rPr>
          <w:b/>
        </w:rPr>
        <w:t xml:space="preserve">Crystal violet </w:t>
      </w:r>
      <w:r w:rsidRPr="009951B0">
        <w:rPr>
          <w:b/>
          <w:color w:val="000000" w:themeColor="text1"/>
        </w:rPr>
        <w:t>iodide.</w:t>
      </w:r>
      <w:r w:rsidRPr="00C3609A">
        <w:rPr>
          <w:color w:val="000000" w:themeColor="text1"/>
        </w:rPr>
        <w:t xml:space="preserve"> Crystal violet chloride (1.0 g, 2.4 mmol) dissolved in CH</w:t>
      </w:r>
      <w:r w:rsidRPr="00C3609A">
        <w:rPr>
          <w:color w:val="000000" w:themeColor="text1"/>
          <w:vertAlign w:val="subscript"/>
        </w:rPr>
        <w:t>2</w:t>
      </w:r>
      <w:r w:rsidRPr="00C3609A">
        <w:rPr>
          <w:color w:val="000000" w:themeColor="text1"/>
        </w:rPr>
        <w:t>Cl</w:t>
      </w:r>
      <w:r w:rsidRPr="00C3609A">
        <w:rPr>
          <w:color w:val="000000" w:themeColor="text1"/>
          <w:vertAlign w:val="subscript"/>
        </w:rPr>
        <w:t>2</w:t>
      </w:r>
      <w:r w:rsidRPr="00C3609A">
        <w:rPr>
          <w:color w:val="000000" w:themeColor="text1"/>
        </w:rPr>
        <w:t xml:space="preserve"> (10 ml) was added to a solution of KI (7.0 g, 42 mmol) in water (10 ml). The resulting suspension was stirred at room temperature for 4 h, then the organic layer was separated, dried over MgSO</w:t>
      </w:r>
      <w:r w:rsidRPr="00C3609A">
        <w:rPr>
          <w:color w:val="000000" w:themeColor="text1"/>
          <w:vertAlign w:val="subscript"/>
        </w:rPr>
        <w:t>4</w:t>
      </w:r>
      <w:r w:rsidRPr="00C3609A">
        <w:rPr>
          <w:color w:val="000000" w:themeColor="text1"/>
        </w:rPr>
        <w:t xml:space="preserve"> and evaporated under reduced pressure</w:t>
      </w:r>
      <w:r>
        <w:rPr>
          <w:color w:val="000000" w:themeColor="text1"/>
        </w:rPr>
        <w:t xml:space="preserve"> to give crystal violet </w:t>
      </w:r>
      <w:r w:rsidRPr="00C3609A">
        <w:rPr>
          <w:color w:val="000000" w:themeColor="text1"/>
        </w:rPr>
        <w:t>iodide (0.94g, 92</w:t>
      </w:r>
      <w:r w:rsidRPr="00943CC7">
        <w:rPr>
          <w:color w:val="000000" w:themeColor="text1"/>
        </w:rPr>
        <w:t xml:space="preserve">%) as </w:t>
      </w:r>
      <w:r w:rsidR="00943CC7" w:rsidRPr="00943CC7">
        <w:rPr>
          <w:color w:val="000000" w:themeColor="text1"/>
        </w:rPr>
        <w:t>green</w:t>
      </w:r>
      <w:r w:rsidRPr="00943CC7">
        <w:rPr>
          <w:color w:val="000000" w:themeColor="text1"/>
        </w:rPr>
        <w:t xml:space="preserve"> crystals.</w:t>
      </w:r>
      <w:r w:rsidR="00943CC7">
        <w:rPr>
          <w:color w:val="000000" w:themeColor="text1"/>
        </w:rPr>
        <w:t xml:space="preserve"> Mp 192–194 </w:t>
      </w:r>
      <w:r w:rsidR="00943CC7" w:rsidRPr="00943CC7">
        <w:rPr>
          <w:rFonts w:cs="Arial"/>
          <w:color w:val="000000" w:themeColor="text1"/>
          <w:vertAlign w:val="superscript"/>
        </w:rPr>
        <w:t>°</w:t>
      </w:r>
      <w:r w:rsidR="00943CC7">
        <w:rPr>
          <w:color w:val="000000" w:themeColor="text1"/>
        </w:rPr>
        <w:t xml:space="preserve">C; </w:t>
      </w:r>
      <w:r w:rsidR="00F00013">
        <w:rPr>
          <w:rFonts w:ascii="Symbol" w:hAnsi="Symbol"/>
          <w:color w:val="000000" w:themeColor="text1"/>
        </w:rPr>
        <w:t></w:t>
      </w:r>
      <w:r w:rsidR="00F00013" w:rsidRPr="00943CC7">
        <w:rPr>
          <w:color w:val="000000" w:themeColor="text1"/>
          <w:vertAlign w:val="subscript"/>
        </w:rPr>
        <w:t>max</w:t>
      </w:r>
      <w:r w:rsidR="00F00013">
        <w:rPr>
          <w:color w:val="000000" w:themeColor="text1"/>
        </w:rPr>
        <w:t>(KBr)</w:t>
      </w:r>
      <w:r w:rsidR="00943CC7">
        <w:rPr>
          <w:color w:val="000000" w:themeColor="text1"/>
        </w:rPr>
        <w:t xml:space="preserve"> </w:t>
      </w:r>
      <w:r w:rsidR="00F00013">
        <w:rPr>
          <w:color w:val="000000" w:themeColor="text1"/>
        </w:rPr>
        <w:t xml:space="preserve">3087, 2913, 2852, 2808, </w:t>
      </w:r>
      <w:r w:rsidR="00943CC7">
        <w:rPr>
          <w:color w:val="000000" w:themeColor="text1"/>
        </w:rPr>
        <w:t>1581, 1358 and 11</w:t>
      </w:r>
      <w:r w:rsidR="003F66CF">
        <w:rPr>
          <w:color w:val="000000" w:themeColor="text1"/>
        </w:rPr>
        <w:t>71</w:t>
      </w:r>
      <w:r w:rsidR="00F00013">
        <w:rPr>
          <w:color w:val="000000" w:themeColor="text1"/>
        </w:rPr>
        <w:t xml:space="preserve"> cm</w:t>
      </w:r>
      <w:r w:rsidR="00F00013" w:rsidRPr="00943CC7">
        <w:rPr>
          <w:color w:val="000000" w:themeColor="text1"/>
          <w:vertAlign w:val="superscript"/>
        </w:rPr>
        <w:t>-1</w:t>
      </w:r>
      <w:r w:rsidR="00943CC7">
        <w:rPr>
          <w:color w:val="000000" w:themeColor="text1"/>
        </w:rPr>
        <w:t>;</w:t>
      </w:r>
      <w:r w:rsidRPr="00943CC7">
        <w:rPr>
          <w:color w:val="000000" w:themeColor="text1"/>
        </w:rPr>
        <w:t xml:space="preserve"> </w:t>
      </w:r>
      <w:r w:rsidRPr="00943CC7">
        <w:rPr>
          <w:color w:val="000000" w:themeColor="text1"/>
          <w:vertAlign w:val="superscript"/>
        </w:rPr>
        <w:t>1</w:t>
      </w:r>
      <w:r w:rsidRPr="00943CC7">
        <w:rPr>
          <w:color w:val="000000" w:themeColor="text1"/>
        </w:rPr>
        <w:t>H NMR (400 MHz</w:t>
      </w:r>
      <w:r w:rsidRPr="00C3609A">
        <w:rPr>
          <w:color w:val="000000" w:themeColor="text1"/>
        </w:rPr>
        <w:t>, CDCl</w:t>
      </w:r>
      <w:r w:rsidRPr="00C3609A">
        <w:rPr>
          <w:color w:val="000000" w:themeColor="text1"/>
          <w:vertAlign w:val="subscript"/>
        </w:rPr>
        <w:t>3</w:t>
      </w:r>
      <w:r w:rsidRPr="00C3609A">
        <w:rPr>
          <w:color w:val="000000" w:themeColor="text1"/>
        </w:rPr>
        <w:t xml:space="preserve">) δ 7.03 (d </w:t>
      </w:r>
      <w:r w:rsidRPr="00C3609A">
        <w:rPr>
          <w:i/>
          <w:iCs/>
          <w:color w:val="000000" w:themeColor="text1"/>
        </w:rPr>
        <w:t>J</w:t>
      </w:r>
      <w:r w:rsidRPr="00C3609A">
        <w:rPr>
          <w:color w:val="000000" w:themeColor="text1"/>
        </w:rPr>
        <w:t xml:space="preserve"> 9.0 Hz, 6H), 6.60 (d </w:t>
      </w:r>
      <w:r w:rsidRPr="00C3609A">
        <w:rPr>
          <w:i/>
          <w:iCs/>
          <w:color w:val="000000" w:themeColor="text1"/>
        </w:rPr>
        <w:t>J</w:t>
      </w:r>
      <w:r w:rsidRPr="00C3609A">
        <w:rPr>
          <w:color w:val="000000" w:themeColor="text1"/>
        </w:rPr>
        <w:t xml:space="preserve"> 9.0 Hz, 6H), 3.03 (s, 18H); </w:t>
      </w:r>
      <w:r w:rsidRPr="00C3609A">
        <w:rPr>
          <w:color w:val="000000" w:themeColor="text1"/>
          <w:vertAlign w:val="superscript"/>
        </w:rPr>
        <w:t>13</w:t>
      </w:r>
      <w:r w:rsidRPr="00C3609A">
        <w:rPr>
          <w:color w:val="000000" w:themeColor="text1"/>
        </w:rPr>
        <w:t>C NMR (101 MHz, CDCl</w:t>
      </w:r>
      <w:r w:rsidRPr="00C3609A">
        <w:rPr>
          <w:color w:val="000000" w:themeColor="text1"/>
          <w:vertAlign w:val="subscript"/>
        </w:rPr>
        <w:t>3</w:t>
      </w:r>
      <w:r w:rsidRPr="00C3609A">
        <w:rPr>
          <w:color w:val="000000" w:themeColor="text1"/>
        </w:rPr>
        <w:t xml:space="preserve">) δ 177.57, 155.32, 139.44, 126.25, 112.32, 40.76. </w:t>
      </w:r>
      <w:r w:rsidRPr="00C3609A">
        <w:rPr>
          <w:rFonts w:cs="AdvMYR4"/>
          <w:color w:val="000000" w:themeColor="text1"/>
        </w:rPr>
        <w:t>X-ray fluorescence data: no Cl was detected. Calculated for C</w:t>
      </w:r>
      <w:r w:rsidRPr="00C3609A">
        <w:rPr>
          <w:rFonts w:cs="AdvMYR4"/>
          <w:color w:val="000000" w:themeColor="text1"/>
          <w:vertAlign w:val="subscript"/>
        </w:rPr>
        <w:t>25</w:t>
      </w:r>
      <w:r w:rsidRPr="00C3609A">
        <w:rPr>
          <w:rFonts w:cs="AdvMYR4"/>
          <w:color w:val="000000" w:themeColor="text1"/>
        </w:rPr>
        <w:t>H</w:t>
      </w:r>
      <w:r w:rsidRPr="00C3609A">
        <w:rPr>
          <w:rFonts w:cs="AdvMYR4"/>
          <w:color w:val="000000" w:themeColor="text1"/>
          <w:vertAlign w:val="subscript"/>
        </w:rPr>
        <w:t>30</w:t>
      </w:r>
      <w:r w:rsidRPr="00C3609A">
        <w:rPr>
          <w:rFonts w:cs="AdvMYR4"/>
          <w:color w:val="000000" w:themeColor="text1"/>
        </w:rPr>
        <w:t>IN</w:t>
      </w:r>
      <w:r w:rsidRPr="00C3609A">
        <w:rPr>
          <w:rFonts w:cs="AdvMYR4"/>
          <w:color w:val="000000" w:themeColor="text1"/>
          <w:vertAlign w:val="subscript"/>
        </w:rPr>
        <w:t>3</w:t>
      </w:r>
      <w:r w:rsidRPr="00C3609A">
        <w:rPr>
          <w:rFonts w:cs="AdvMYR4"/>
          <w:color w:val="000000" w:themeColor="text1"/>
        </w:rPr>
        <w:t>.H</w:t>
      </w:r>
      <w:r w:rsidRPr="00C3609A">
        <w:rPr>
          <w:rFonts w:cs="AdvMYR4"/>
          <w:color w:val="000000" w:themeColor="text1"/>
          <w:vertAlign w:val="subscript"/>
        </w:rPr>
        <w:t>2</w:t>
      </w:r>
      <w:r w:rsidRPr="00C3609A">
        <w:rPr>
          <w:rFonts w:cs="AdvMYR4"/>
          <w:color w:val="000000" w:themeColor="text1"/>
        </w:rPr>
        <w:t>O: C, 58.03; H, 6.23; N, 8.12. Found: C, 57.95; H, 6.19; N, 7.99.</w:t>
      </w:r>
    </w:p>
    <w:p w:rsidR="009951B0" w:rsidRDefault="009951B0" w:rsidP="00F72699">
      <w:pPr>
        <w:pStyle w:val="P1"/>
        <w:rPr>
          <w:rFonts w:cs="AdvMYR4"/>
          <w:color w:val="FF0000"/>
        </w:rPr>
      </w:pPr>
    </w:p>
    <w:p w:rsidR="009951B0" w:rsidRPr="009951B0" w:rsidRDefault="009951B0" w:rsidP="009951B0">
      <w:pPr>
        <w:pStyle w:val="RSCB08CHeadingIn-line"/>
        <w:jc w:val="both"/>
        <w:rPr>
          <w:rFonts w:ascii="Arial" w:eastAsia="MS Mincho" w:hAnsi="Arial" w:cs="Times New Roman"/>
          <w:color w:val="000000" w:themeColor="text1"/>
          <w:sz w:val="17"/>
          <w:szCs w:val="24"/>
          <w:lang w:val="en-US" w:eastAsia="ja-JP"/>
        </w:rPr>
      </w:pPr>
      <w:r w:rsidRPr="009951B0">
        <w:rPr>
          <w:rFonts w:ascii="Arial" w:eastAsia="MS Mincho" w:hAnsi="Arial" w:cs="Times New Roman"/>
          <w:color w:val="000000" w:themeColor="text1"/>
          <w:sz w:val="17"/>
          <w:szCs w:val="24"/>
          <w:lang w:val="en-US" w:eastAsia="ja-JP"/>
        </w:rPr>
        <w:t>Synthesis of cyclic carbonates</w:t>
      </w:r>
    </w:p>
    <w:p w:rsidR="009951B0" w:rsidRPr="00B04BE2" w:rsidRDefault="009951B0" w:rsidP="009951B0">
      <w:pPr>
        <w:pStyle w:val="P1"/>
        <w:rPr>
          <w:color w:val="FF0000"/>
        </w:rPr>
      </w:pPr>
      <w:r w:rsidRPr="00C3609A">
        <w:rPr>
          <w:color w:val="000000" w:themeColor="text1"/>
        </w:rPr>
        <w:t xml:space="preserve">All cyclic carbonate syntheses were carried out in autoclaves with 50 bar </w:t>
      </w:r>
      <w:r w:rsidR="00B04BE2">
        <w:rPr>
          <w:color w:val="000000" w:themeColor="text1"/>
        </w:rPr>
        <w:t xml:space="preserve">carbon dioxide </w:t>
      </w:r>
      <w:r w:rsidRPr="00C3609A">
        <w:rPr>
          <w:color w:val="000000" w:themeColor="text1"/>
        </w:rPr>
        <w:t xml:space="preserve">starting pressure. The reactions were </w:t>
      </w:r>
      <w:r w:rsidR="00B04BE2">
        <w:rPr>
          <w:color w:val="000000" w:themeColor="text1"/>
        </w:rPr>
        <w:t xml:space="preserve">heated to 50 </w:t>
      </w:r>
      <w:r w:rsidR="00B04BE2" w:rsidRPr="00B04BE2">
        <w:rPr>
          <w:color w:val="000000" w:themeColor="text1"/>
          <w:vertAlign w:val="superscript"/>
        </w:rPr>
        <w:t>o</w:t>
      </w:r>
      <w:r w:rsidR="00B04BE2">
        <w:rPr>
          <w:color w:val="000000" w:themeColor="text1"/>
        </w:rPr>
        <w:t xml:space="preserve">C and </w:t>
      </w:r>
      <w:r w:rsidRPr="00C3609A">
        <w:rPr>
          <w:color w:val="000000" w:themeColor="text1"/>
        </w:rPr>
        <w:t xml:space="preserve">magnetically stirred. After completion of the experiment, the </w:t>
      </w:r>
      <w:r w:rsidR="00B04BE2">
        <w:rPr>
          <w:color w:val="000000" w:themeColor="text1"/>
        </w:rPr>
        <w:t xml:space="preserve">autoclave was cooled to room temperature before the pressure was released. The </w:t>
      </w:r>
      <w:r w:rsidRPr="00C3609A">
        <w:rPr>
          <w:color w:val="000000" w:themeColor="text1"/>
        </w:rPr>
        <w:t xml:space="preserve">reaction mixture was analysed by </w:t>
      </w:r>
      <w:r w:rsidRPr="00C3609A">
        <w:rPr>
          <w:color w:val="000000" w:themeColor="text1"/>
          <w:vertAlign w:val="superscript"/>
        </w:rPr>
        <w:t>1</w:t>
      </w:r>
      <w:r w:rsidRPr="00C3609A">
        <w:rPr>
          <w:color w:val="000000" w:themeColor="text1"/>
        </w:rPr>
        <w:t xml:space="preserve">H NMR spectroscopy and passed through a pad of silica to separate the </w:t>
      </w:r>
      <w:r w:rsidRPr="00995B0D">
        <w:rPr>
          <w:color w:val="000000" w:themeColor="text1"/>
        </w:rPr>
        <w:t>catalyst. Column chromatography (SiO</w:t>
      </w:r>
      <w:r w:rsidRPr="00995B0D">
        <w:rPr>
          <w:color w:val="000000" w:themeColor="text1"/>
          <w:vertAlign w:val="subscript"/>
        </w:rPr>
        <w:t>2</w:t>
      </w:r>
      <w:r w:rsidRPr="00995B0D">
        <w:rPr>
          <w:color w:val="000000" w:themeColor="text1"/>
        </w:rPr>
        <w:t>, EtOAc/hexane, 1:3) wa</w:t>
      </w:r>
      <w:r w:rsidRPr="00C3609A">
        <w:rPr>
          <w:color w:val="000000" w:themeColor="text1"/>
        </w:rPr>
        <w:t>s then used to purify the cyclic carbonate</w:t>
      </w:r>
      <w:r>
        <w:rPr>
          <w:color w:val="000000" w:themeColor="text1"/>
        </w:rPr>
        <w:t>s</w:t>
      </w:r>
      <w:r w:rsidRPr="00C3609A">
        <w:rPr>
          <w:color w:val="000000" w:themeColor="text1"/>
        </w:rPr>
        <w:t>.</w:t>
      </w:r>
      <w:r w:rsidR="00B04BE2">
        <w:rPr>
          <w:color w:val="000000" w:themeColor="text1"/>
        </w:rPr>
        <w:t xml:space="preserve"> </w:t>
      </w:r>
    </w:p>
    <w:p w:rsidR="009951B0" w:rsidRDefault="009951B0" w:rsidP="009951B0">
      <w:pPr>
        <w:pStyle w:val="P1"/>
        <w:rPr>
          <w:color w:val="000000" w:themeColor="text1"/>
        </w:rPr>
      </w:pPr>
    </w:p>
    <w:p w:rsidR="009951B0" w:rsidRDefault="009951B0" w:rsidP="00F72699">
      <w:pPr>
        <w:pStyle w:val="P1"/>
        <w:rPr>
          <w:rFonts w:cs="AdvMYR4"/>
          <w:color w:val="FF0000"/>
        </w:rPr>
      </w:pPr>
      <w:r w:rsidRPr="009951B0">
        <w:rPr>
          <w:rFonts w:cs="TimesNewRomanWGL"/>
          <w:b/>
          <w:color w:val="000000" w:themeColor="text1"/>
        </w:rPr>
        <w:t>Styrene carbonate</w:t>
      </w:r>
      <w:r w:rsidR="00767B66">
        <w:rPr>
          <w:rFonts w:cs="TimesNewRomanWGL"/>
          <w:b/>
          <w:color w:val="000000" w:themeColor="text1"/>
        </w:rPr>
        <w:t xml:space="preserve"> 2a</w:t>
      </w:r>
      <w:r w:rsidRPr="009951B0">
        <w:rPr>
          <w:rFonts w:cs="TimesNewRomanWGL"/>
          <w:b/>
          <w:color w:val="000000" w:themeColor="text1"/>
        </w:rPr>
        <w:t>:</w:t>
      </w:r>
      <w:r w:rsidRPr="00DE7B73">
        <w:rPr>
          <w:rFonts w:cs="TimesNewRomanWGL"/>
          <w:color w:val="000000" w:themeColor="text1"/>
        </w:rPr>
        <w:t xml:space="preserve"> </w:t>
      </w:r>
      <w:r w:rsidR="003F66CF">
        <w:rPr>
          <w:color w:val="000000" w:themeColor="text1"/>
        </w:rPr>
        <w:t xml:space="preserve">Mp 50–52 </w:t>
      </w:r>
      <w:r w:rsidR="003F66CF" w:rsidRPr="00943CC7">
        <w:rPr>
          <w:rFonts w:cs="Arial"/>
          <w:color w:val="000000" w:themeColor="text1"/>
          <w:vertAlign w:val="superscript"/>
        </w:rPr>
        <w:t>°</w:t>
      </w:r>
      <w:r w:rsidR="003F66CF">
        <w:rPr>
          <w:color w:val="000000" w:themeColor="text1"/>
        </w:rPr>
        <w:t xml:space="preserve">C; </w:t>
      </w:r>
      <w:r w:rsidR="00F00013">
        <w:rPr>
          <w:rFonts w:ascii="Symbol" w:hAnsi="Symbol"/>
          <w:color w:val="000000" w:themeColor="text1"/>
        </w:rPr>
        <w:t></w:t>
      </w:r>
      <w:r w:rsidR="00F00013" w:rsidRPr="00943CC7">
        <w:rPr>
          <w:color w:val="000000" w:themeColor="text1"/>
          <w:vertAlign w:val="subscript"/>
        </w:rPr>
        <w:t>max</w:t>
      </w:r>
      <w:r w:rsidR="00F00013">
        <w:rPr>
          <w:color w:val="000000" w:themeColor="text1"/>
        </w:rPr>
        <w:t>(ATR)</w:t>
      </w:r>
      <w:r w:rsidR="003F66CF">
        <w:rPr>
          <w:color w:val="000000" w:themeColor="text1"/>
        </w:rPr>
        <w:t xml:space="preserve"> </w:t>
      </w:r>
      <w:r w:rsidR="00F00013">
        <w:rPr>
          <w:color w:val="000000" w:themeColor="text1"/>
        </w:rPr>
        <w:t xml:space="preserve">3037, 2921, </w:t>
      </w:r>
      <w:r w:rsidR="003F66CF">
        <w:rPr>
          <w:color w:val="000000" w:themeColor="text1"/>
        </w:rPr>
        <w:t>1782, 1160 and 1050</w:t>
      </w:r>
      <w:r w:rsidR="00F00013">
        <w:rPr>
          <w:color w:val="000000" w:themeColor="text1"/>
        </w:rPr>
        <w:t xml:space="preserve"> cm</w:t>
      </w:r>
      <w:r w:rsidR="00F00013" w:rsidRPr="00943CC7">
        <w:rPr>
          <w:color w:val="000000" w:themeColor="text1"/>
          <w:vertAlign w:val="superscript"/>
        </w:rPr>
        <w:t>-1</w:t>
      </w:r>
      <w:r w:rsidR="003F66CF">
        <w:rPr>
          <w:color w:val="000000" w:themeColor="text1"/>
        </w:rPr>
        <w:t>;</w:t>
      </w:r>
      <w:r w:rsidR="003F66CF" w:rsidRPr="00943CC7">
        <w:rPr>
          <w:color w:val="000000" w:themeColor="text1"/>
        </w:rPr>
        <w:t xml:space="preserve"> </w:t>
      </w:r>
      <w:r w:rsidRPr="00DE7B73">
        <w:rPr>
          <w:rFonts w:cs="TimesNewRomanWGL"/>
          <w:color w:val="000000" w:themeColor="text1"/>
          <w:vertAlign w:val="superscript"/>
        </w:rPr>
        <w:t>1</w:t>
      </w:r>
      <w:r w:rsidRPr="00DE7B73">
        <w:rPr>
          <w:rFonts w:cs="TimesNewRomanWGL"/>
          <w:color w:val="000000" w:themeColor="text1"/>
        </w:rPr>
        <w:t>H NMR (400 MHz, CDCl</w:t>
      </w:r>
      <w:r w:rsidRPr="00DE7B73">
        <w:rPr>
          <w:rFonts w:cs="TimesNewRomanWGL"/>
          <w:color w:val="000000" w:themeColor="text1"/>
          <w:vertAlign w:val="subscript"/>
        </w:rPr>
        <w:t>3</w:t>
      </w:r>
      <w:r w:rsidRPr="00DE7B73">
        <w:rPr>
          <w:rFonts w:cs="TimesNewRomanWGL"/>
          <w:color w:val="000000" w:themeColor="text1"/>
        </w:rPr>
        <w:t xml:space="preserve">) δ 7.44–7.32 (m, 5H), 5.66 (t </w:t>
      </w:r>
      <w:r w:rsidRPr="00DE7B73">
        <w:rPr>
          <w:rFonts w:cs="TimesNewRomanWGL"/>
          <w:i/>
          <w:color w:val="000000" w:themeColor="text1"/>
        </w:rPr>
        <w:t>J</w:t>
      </w:r>
      <w:r w:rsidRPr="00DE7B73">
        <w:rPr>
          <w:rFonts w:cs="TimesNewRomanWGL"/>
          <w:color w:val="000000" w:themeColor="text1"/>
        </w:rPr>
        <w:t xml:space="preserve"> 8.0 Hz, 1H), 4.82–4.73 (m, 1H), 4.37–4.26 (m, 1H); </w:t>
      </w:r>
      <w:r w:rsidRPr="00DE7B73">
        <w:rPr>
          <w:rFonts w:cs="TimesNewRomanWGL"/>
          <w:color w:val="000000" w:themeColor="text1"/>
          <w:vertAlign w:val="superscript"/>
        </w:rPr>
        <w:t>13</w:t>
      </w:r>
      <w:r w:rsidRPr="00DE7B73">
        <w:rPr>
          <w:rFonts w:cs="TimesNewRomanWGL"/>
          <w:color w:val="000000" w:themeColor="text1"/>
        </w:rPr>
        <w:t>C NMR (101 MHz, CDCl</w:t>
      </w:r>
      <w:r w:rsidRPr="00DE7B73">
        <w:rPr>
          <w:rFonts w:cs="TimesNewRomanWGL"/>
          <w:color w:val="000000" w:themeColor="text1"/>
          <w:vertAlign w:val="subscript"/>
        </w:rPr>
        <w:t>3</w:t>
      </w:r>
      <w:r w:rsidRPr="00DE7B73">
        <w:rPr>
          <w:rFonts w:cs="TimesNewRomanWGL"/>
          <w:color w:val="000000" w:themeColor="text1"/>
        </w:rPr>
        <w:t>) δ 155.00, 135.88, 129.80, 129.31, 126.00, 78.11, 71.28.</w:t>
      </w:r>
    </w:p>
    <w:p w:rsidR="00767B66" w:rsidRDefault="009951B0" w:rsidP="00F72699">
      <w:pPr>
        <w:pStyle w:val="P1"/>
        <w:rPr>
          <w:rFonts w:cs="TimesNewRomanWGL"/>
          <w:color w:val="000000" w:themeColor="text1"/>
        </w:rPr>
      </w:pPr>
      <w:r w:rsidRPr="009951B0">
        <w:rPr>
          <w:rFonts w:cs="TimesNewRomanWGL-Bold"/>
          <w:b/>
          <w:bCs/>
          <w:color w:val="000000" w:themeColor="text1"/>
        </w:rPr>
        <w:t>4-Chlorostyrene carbonate</w:t>
      </w:r>
      <w:r w:rsidR="00767B66">
        <w:rPr>
          <w:rFonts w:cs="TimesNewRomanWGL-Bold"/>
          <w:b/>
          <w:bCs/>
          <w:color w:val="000000" w:themeColor="text1"/>
        </w:rPr>
        <w:t xml:space="preserve"> 2b</w:t>
      </w:r>
      <w:r w:rsidRPr="009951B0">
        <w:rPr>
          <w:rFonts w:cs="TimesNewRomanWGL-Bold"/>
          <w:b/>
          <w:bCs/>
          <w:color w:val="000000" w:themeColor="text1"/>
        </w:rPr>
        <w:t>:</w:t>
      </w:r>
      <w:r w:rsidRPr="00DE7B73">
        <w:rPr>
          <w:rFonts w:cs="TimesNewRomanWGL-Bold"/>
          <w:bCs/>
          <w:color w:val="000000" w:themeColor="text1"/>
        </w:rPr>
        <w:t xml:space="preserve"> </w:t>
      </w:r>
      <w:r w:rsidR="003F66CF">
        <w:rPr>
          <w:color w:val="000000" w:themeColor="text1"/>
        </w:rPr>
        <w:t xml:space="preserve">Mp 67–70 </w:t>
      </w:r>
      <w:r w:rsidR="003F66CF" w:rsidRPr="00943CC7">
        <w:rPr>
          <w:rFonts w:cs="Arial"/>
          <w:color w:val="000000" w:themeColor="text1"/>
          <w:vertAlign w:val="superscript"/>
        </w:rPr>
        <w:t>°</w:t>
      </w:r>
      <w:r w:rsidR="003F66CF">
        <w:rPr>
          <w:color w:val="000000" w:themeColor="text1"/>
        </w:rPr>
        <w:t xml:space="preserve">C; </w:t>
      </w:r>
      <w:r w:rsidR="00F00013">
        <w:rPr>
          <w:rFonts w:ascii="Symbol" w:hAnsi="Symbol"/>
          <w:color w:val="000000" w:themeColor="text1"/>
        </w:rPr>
        <w:t></w:t>
      </w:r>
      <w:r w:rsidR="00F00013" w:rsidRPr="00943CC7">
        <w:rPr>
          <w:color w:val="000000" w:themeColor="text1"/>
          <w:vertAlign w:val="subscript"/>
        </w:rPr>
        <w:t>max</w:t>
      </w:r>
      <w:r w:rsidR="00F00013">
        <w:rPr>
          <w:color w:val="000000" w:themeColor="text1"/>
        </w:rPr>
        <w:t xml:space="preserve">(ATR) 3087, 2964, 2912, </w:t>
      </w:r>
      <w:r w:rsidR="003F66CF">
        <w:rPr>
          <w:color w:val="000000" w:themeColor="text1"/>
        </w:rPr>
        <w:t>1789, 1162 and 1048</w:t>
      </w:r>
      <w:r w:rsidR="00F00013">
        <w:rPr>
          <w:color w:val="000000" w:themeColor="text1"/>
        </w:rPr>
        <w:t xml:space="preserve"> cm</w:t>
      </w:r>
      <w:r w:rsidR="00F00013" w:rsidRPr="00943CC7">
        <w:rPr>
          <w:color w:val="000000" w:themeColor="text1"/>
          <w:vertAlign w:val="superscript"/>
        </w:rPr>
        <w:t>-1</w:t>
      </w:r>
      <w:r w:rsidR="003F66CF">
        <w:rPr>
          <w:color w:val="000000" w:themeColor="text1"/>
        </w:rPr>
        <w:t xml:space="preserve">; </w:t>
      </w:r>
      <w:r w:rsidRPr="00DE7B73">
        <w:rPr>
          <w:rFonts w:cs="TimesNewRomanWGL"/>
          <w:color w:val="000000" w:themeColor="text1"/>
          <w:vertAlign w:val="superscript"/>
        </w:rPr>
        <w:t>1</w:t>
      </w:r>
      <w:r w:rsidRPr="00DE7B73">
        <w:rPr>
          <w:rFonts w:cs="TimesNewRomanWGL"/>
          <w:color w:val="000000" w:themeColor="text1"/>
        </w:rPr>
        <w:t>H NMR (400 MHz, CDCl</w:t>
      </w:r>
      <w:r w:rsidRPr="00DE7B73">
        <w:rPr>
          <w:rFonts w:cs="TimesNewRomanWGL"/>
          <w:color w:val="000000" w:themeColor="text1"/>
          <w:vertAlign w:val="subscript"/>
        </w:rPr>
        <w:t>3</w:t>
      </w:r>
      <w:r w:rsidRPr="00DE7B73">
        <w:rPr>
          <w:rFonts w:cs="TimesNewRomanWGL"/>
          <w:color w:val="000000" w:themeColor="text1"/>
        </w:rPr>
        <w:t xml:space="preserve">) δ 7.48–7.25 (m, 4H), 5.65 (t </w:t>
      </w:r>
      <w:r w:rsidRPr="00DE7B73">
        <w:rPr>
          <w:rFonts w:cs="TimesNewRomanWGL-Italic"/>
          <w:i/>
          <w:iCs/>
          <w:color w:val="000000" w:themeColor="text1"/>
        </w:rPr>
        <w:t>J</w:t>
      </w:r>
      <w:r w:rsidRPr="00DE7B73">
        <w:rPr>
          <w:rFonts w:cs="TimesNewRomanWGL"/>
          <w:color w:val="000000" w:themeColor="text1"/>
        </w:rPr>
        <w:t xml:space="preserve"> 8.0 Hz, 1H), 4.79 (t </w:t>
      </w:r>
      <w:r w:rsidRPr="00DE7B73">
        <w:rPr>
          <w:rFonts w:cs="TimesNewRomanWGL-Italic"/>
          <w:i/>
          <w:iCs/>
          <w:color w:val="000000" w:themeColor="text1"/>
        </w:rPr>
        <w:t xml:space="preserve">J </w:t>
      </w:r>
      <w:r w:rsidRPr="00DE7B73">
        <w:rPr>
          <w:rFonts w:cs="TimesNewRomanWGL"/>
          <w:color w:val="000000" w:themeColor="text1"/>
        </w:rPr>
        <w:t xml:space="preserve">8.2 Hz, 1H), 4.29 (dd </w:t>
      </w:r>
      <w:r w:rsidRPr="00DE7B73">
        <w:rPr>
          <w:rFonts w:cs="TimesNewRomanWGL-Italic"/>
          <w:i/>
          <w:iCs/>
          <w:color w:val="000000" w:themeColor="text1"/>
        </w:rPr>
        <w:t>J</w:t>
      </w:r>
      <w:r w:rsidRPr="00DE7B73">
        <w:rPr>
          <w:rFonts w:cs="TimesNewRomanWGL"/>
          <w:color w:val="000000" w:themeColor="text1"/>
        </w:rPr>
        <w:t xml:space="preserve"> 8.6, 7.9 Hz, 1H); </w:t>
      </w:r>
      <w:r w:rsidRPr="00DE7B73">
        <w:rPr>
          <w:rFonts w:cs="TimesNewRomanWGL"/>
          <w:color w:val="000000" w:themeColor="text1"/>
          <w:vertAlign w:val="superscript"/>
        </w:rPr>
        <w:t>13</w:t>
      </w:r>
      <w:r w:rsidRPr="00DE7B73">
        <w:rPr>
          <w:rFonts w:cs="TimesNewRomanWGL"/>
          <w:color w:val="000000" w:themeColor="text1"/>
        </w:rPr>
        <w:t>C NMR (101 MHz, CDCl</w:t>
      </w:r>
      <w:r w:rsidRPr="00DE7B73">
        <w:rPr>
          <w:rFonts w:cs="TimesNewRomanWGL"/>
          <w:color w:val="000000" w:themeColor="text1"/>
          <w:vertAlign w:val="subscript"/>
        </w:rPr>
        <w:t>3</w:t>
      </w:r>
      <w:r w:rsidRPr="00DE7B73">
        <w:rPr>
          <w:rFonts w:cs="TimesNewRomanWGL"/>
          <w:color w:val="000000" w:themeColor="text1"/>
        </w:rPr>
        <w:t>) δ 154.65, 135.85, 134.35, 129.59, 127.37, 77.34, 71.10.</w:t>
      </w:r>
    </w:p>
    <w:p w:rsidR="00767B66" w:rsidRPr="00995B0D" w:rsidRDefault="00767B66" w:rsidP="00F72699">
      <w:pPr>
        <w:pStyle w:val="P1"/>
        <w:rPr>
          <w:rFonts w:cs="TimesNewRomanWGL"/>
          <w:color w:val="FF0000"/>
        </w:rPr>
      </w:pPr>
      <w:r w:rsidRPr="009951B0">
        <w:rPr>
          <w:rFonts w:cs="TimesNewRomanWGL-Bold"/>
          <w:b/>
          <w:bCs/>
          <w:color w:val="000000" w:themeColor="text1"/>
        </w:rPr>
        <w:t>4-</w:t>
      </w:r>
      <w:r>
        <w:rPr>
          <w:rFonts w:cs="TimesNewRomanWGL-Bold"/>
          <w:b/>
          <w:bCs/>
          <w:color w:val="000000" w:themeColor="text1"/>
        </w:rPr>
        <w:t>Brom</w:t>
      </w:r>
      <w:r w:rsidRPr="009951B0">
        <w:rPr>
          <w:rFonts w:cs="TimesNewRomanWGL-Bold"/>
          <w:b/>
          <w:bCs/>
          <w:color w:val="000000" w:themeColor="text1"/>
        </w:rPr>
        <w:t>ostyrene carbonate</w:t>
      </w:r>
      <w:r>
        <w:rPr>
          <w:rFonts w:cs="TimesNewRomanWGL-Bold"/>
          <w:b/>
          <w:bCs/>
          <w:color w:val="000000" w:themeColor="text1"/>
        </w:rPr>
        <w:t xml:space="preserve"> 2c</w:t>
      </w:r>
      <w:r w:rsidRPr="009951B0">
        <w:rPr>
          <w:rFonts w:cs="TimesNewRomanWGL-Bold"/>
          <w:b/>
          <w:bCs/>
          <w:color w:val="000000" w:themeColor="text1"/>
        </w:rPr>
        <w:t>:</w:t>
      </w:r>
      <w:r>
        <w:rPr>
          <w:rFonts w:cs="TimesNewRomanWGL-Bold"/>
          <w:b/>
          <w:bCs/>
          <w:color w:val="000000" w:themeColor="text1"/>
        </w:rPr>
        <w:t xml:space="preserve"> </w:t>
      </w:r>
      <w:r w:rsidR="00995B0D">
        <w:t>Mp</w:t>
      </w:r>
      <w:r w:rsidR="00995B0D" w:rsidRPr="00816419">
        <w:t xml:space="preserve"> 70</w:t>
      </w:r>
      <w:r w:rsidR="00995B0D">
        <w:rPr>
          <w:rFonts w:eastAsia="SimSun"/>
          <w:lang w:eastAsia="zh-CN"/>
        </w:rPr>
        <w:t>–</w:t>
      </w:r>
      <w:r w:rsidR="00995B0D" w:rsidRPr="00816419">
        <w:t xml:space="preserve">72 </w:t>
      </w:r>
      <w:r w:rsidR="00995B0D" w:rsidRPr="00943CC7">
        <w:rPr>
          <w:rFonts w:cs="Arial"/>
          <w:color w:val="000000" w:themeColor="text1"/>
          <w:vertAlign w:val="superscript"/>
        </w:rPr>
        <w:t>°</w:t>
      </w:r>
      <w:r w:rsidR="00995B0D">
        <w:t>C;</w:t>
      </w:r>
      <w:r w:rsidR="00995B0D">
        <w:rPr>
          <w:color w:val="000000" w:themeColor="text1"/>
        </w:rPr>
        <w:t xml:space="preserve"> </w:t>
      </w:r>
      <w:r w:rsidR="00995B0D">
        <w:rPr>
          <w:rFonts w:ascii="Symbol" w:hAnsi="Symbol"/>
          <w:color w:val="000000" w:themeColor="text1"/>
        </w:rPr>
        <w:t></w:t>
      </w:r>
      <w:r w:rsidR="00995B0D" w:rsidRPr="00943CC7">
        <w:rPr>
          <w:color w:val="000000" w:themeColor="text1"/>
          <w:vertAlign w:val="subscript"/>
        </w:rPr>
        <w:t>max</w:t>
      </w:r>
      <w:r w:rsidR="00995B0D">
        <w:rPr>
          <w:color w:val="000000" w:themeColor="text1"/>
        </w:rPr>
        <w:t xml:space="preserve">(ATR) </w:t>
      </w:r>
      <w:r w:rsidR="00995B0D" w:rsidRPr="00816419">
        <w:t>295</w:t>
      </w:r>
      <w:r w:rsidR="00995B0D">
        <w:t>1, 2522, 2161, 2017, 1981, 1801 and</w:t>
      </w:r>
      <w:r w:rsidR="00995B0D" w:rsidRPr="00816419">
        <w:t xml:space="preserve"> 1771</w:t>
      </w:r>
      <w:r w:rsidR="00995B0D">
        <w:t xml:space="preserve"> </w:t>
      </w:r>
      <w:r w:rsidR="00995B0D">
        <w:rPr>
          <w:color w:val="000000" w:themeColor="text1"/>
        </w:rPr>
        <w:t>cm</w:t>
      </w:r>
      <w:r w:rsidR="00995B0D" w:rsidRPr="00943CC7">
        <w:rPr>
          <w:color w:val="000000" w:themeColor="text1"/>
          <w:vertAlign w:val="superscript"/>
        </w:rPr>
        <w:t>-1</w:t>
      </w:r>
      <w:r w:rsidR="00995B0D">
        <w:t xml:space="preserve">; </w:t>
      </w:r>
      <w:r w:rsidR="00995B0D" w:rsidRPr="00816419">
        <w:rPr>
          <w:rFonts w:hint="eastAsia"/>
          <w:vertAlign w:val="superscript"/>
        </w:rPr>
        <w:t>1</w:t>
      </w:r>
      <w:r w:rsidR="00995B0D" w:rsidRPr="00816419">
        <w:rPr>
          <w:rFonts w:hint="eastAsia"/>
        </w:rPr>
        <w:t>H NMR (400 MHz, CDCl</w:t>
      </w:r>
      <w:r w:rsidR="00995B0D" w:rsidRPr="00816419">
        <w:rPr>
          <w:rFonts w:hint="eastAsia"/>
          <w:vertAlign w:val="subscript"/>
        </w:rPr>
        <w:t>3</w:t>
      </w:r>
      <w:r w:rsidR="00995B0D" w:rsidRPr="00816419">
        <w:rPr>
          <w:rFonts w:hint="eastAsia"/>
        </w:rPr>
        <w:t xml:space="preserve">) </w:t>
      </w:r>
      <w:r w:rsidR="00995B0D" w:rsidRPr="00C3609A">
        <w:rPr>
          <w:rFonts w:cs="TimesNewRomanWGL"/>
          <w:color w:val="000000" w:themeColor="text1"/>
        </w:rPr>
        <w:t>δ</w:t>
      </w:r>
      <w:r w:rsidR="00995B0D">
        <w:rPr>
          <w:rFonts w:ascii="Symbol" w:hAnsi="Symbol"/>
        </w:rPr>
        <w:t></w:t>
      </w:r>
      <w:r w:rsidR="00995B0D">
        <w:rPr>
          <w:rFonts w:ascii="Symbol" w:hAnsi="Symbol"/>
        </w:rPr>
        <w:t></w:t>
      </w:r>
      <w:r w:rsidR="00995B0D">
        <w:rPr>
          <w:rFonts w:eastAsia="SimSun" w:cs="Arial" w:hint="eastAsia"/>
          <w:lang w:eastAsia="zh-CN"/>
        </w:rPr>
        <w:t>7.5</w:t>
      </w:r>
      <w:r w:rsidR="00995B0D">
        <w:rPr>
          <w:rFonts w:eastAsia="SimSun" w:cs="Arial"/>
          <w:lang w:eastAsia="zh-CN"/>
        </w:rPr>
        <w:t>9</w:t>
      </w:r>
      <w:r w:rsidR="00995B0D" w:rsidRPr="00816419">
        <w:rPr>
          <w:rFonts w:eastAsia="SimSun" w:cs="Arial" w:hint="eastAsia"/>
          <w:lang w:eastAsia="zh-CN"/>
        </w:rPr>
        <w:t xml:space="preserve"> (d </w:t>
      </w:r>
      <w:r w:rsidR="00995B0D" w:rsidRPr="00816419">
        <w:rPr>
          <w:rFonts w:eastAsia="SimSun" w:cs="Arial" w:hint="eastAsia"/>
          <w:i/>
          <w:lang w:eastAsia="zh-CN"/>
        </w:rPr>
        <w:t>J</w:t>
      </w:r>
      <w:r w:rsidR="00995B0D">
        <w:rPr>
          <w:rFonts w:eastAsia="SimSun" w:cs="Arial" w:hint="eastAsia"/>
          <w:lang w:eastAsia="zh-CN"/>
        </w:rPr>
        <w:t xml:space="preserve"> 8.0 Hz, 2H</w:t>
      </w:r>
      <w:r w:rsidR="00995B0D" w:rsidRPr="00816419">
        <w:rPr>
          <w:rFonts w:eastAsia="SimSun" w:cs="Arial" w:hint="eastAsia"/>
          <w:lang w:eastAsia="zh-CN"/>
        </w:rPr>
        <w:t>),</w:t>
      </w:r>
      <w:r w:rsidR="00995B0D" w:rsidRPr="00816419">
        <w:rPr>
          <w:rFonts w:hint="eastAsia"/>
        </w:rPr>
        <w:t xml:space="preserve"> 7.</w:t>
      </w:r>
      <w:r w:rsidR="00995B0D">
        <w:rPr>
          <w:rFonts w:eastAsia="SimSun" w:hint="eastAsia"/>
          <w:lang w:eastAsia="zh-CN"/>
        </w:rPr>
        <w:t>2</w:t>
      </w:r>
      <w:r w:rsidR="00995B0D">
        <w:rPr>
          <w:rFonts w:eastAsia="SimSun"/>
          <w:lang w:eastAsia="zh-CN"/>
        </w:rPr>
        <w:t>5</w:t>
      </w:r>
      <w:r w:rsidR="00995B0D" w:rsidRPr="00816419">
        <w:rPr>
          <w:rFonts w:hint="eastAsia"/>
        </w:rPr>
        <w:t xml:space="preserve"> </w:t>
      </w:r>
      <w:r w:rsidR="00995B0D">
        <w:rPr>
          <w:rFonts w:ascii="Symbol" w:hAnsi="Symbol"/>
        </w:rPr>
        <w:t></w:t>
      </w:r>
      <w:r w:rsidR="00995B0D" w:rsidRPr="00816419">
        <w:rPr>
          <w:rFonts w:hint="eastAsia"/>
        </w:rPr>
        <w:t>d</w:t>
      </w:r>
      <w:r w:rsidR="00995B0D" w:rsidRPr="00816419">
        <w:rPr>
          <w:rFonts w:eastAsia="SimSun" w:hint="eastAsia"/>
          <w:lang w:eastAsia="zh-CN"/>
        </w:rPr>
        <w:t>,</w:t>
      </w:r>
      <w:r w:rsidR="00995B0D" w:rsidRPr="00816419">
        <w:rPr>
          <w:rFonts w:eastAsia="SimSun" w:cs="Arial" w:hint="eastAsia"/>
          <w:i/>
          <w:lang w:eastAsia="zh-CN"/>
        </w:rPr>
        <w:t xml:space="preserve"> </w:t>
      </w:r>
      <w:r w:rsidR="00995B0D" w:rsidRPr="00816419">
        <w:rPr>
          <w:rFonts w:cs="Arial"/>
          <w:i/>
        </w:rPr>
        <w:t>J</w:t>
      </w:r>
      <w:r w:rsidR="00995B0D" w:rsidRPr="00816419">
        <w:rPr>
          <w:rFonts w:eastAsia="SimSun" w:cs="Arial" w:hint="eastAsia"/>
          <w:i/>
          <w:lang w:eastAsia="zh-CN"/>
        </w:rPr>
        <w:t xml:space="preserve"> </w:t>
      </w:r>
      <w:r w:rsidR="00995B0D" w:rsidRPr="00816419">
        <w:rPr>
          <w:rFonts w:cs="Arial"/>
        </w:rPr>
        <w:t>8.0</w:t>
      </w:r>
      <w:r w:rsidR="00995B0D" w:rsidRPr="00816419">
        <w:t xml:space="preserve"> Hz</w:t>
      </w:r>
      <w:r w:rsidR="00995B0D">
        <w:rPr>
          <w:rFonts w:ascii="Symbol" w:hAnsi="Symbol"/>
        </w:rPr>
        <w:t></w:t>
      </w:r>
      <w:r w:rsidR="00995B0D">
        <w:rPr>
          <w:rFonts w:ascii="Symbol" w:hAnsi="Symbol"/>
        </w:rPr>
        <w:t></w:t>
      </w:r>
      <w:r w:rsidR="00995B0D" w:rsidRPr="00816419">
        <w:rPr>
          <w:rFonts w:eastAsia="SimSun" w:cs="Arial" w:hint="eastAsia"/>
          <w:lang w:eastAsia="zh-CN"/>
        </w:rPr>
        <w:t>2H</w:t>
      </w:r>
      <w:r w:rsidR="00995B0D" w:rsidRPr="00816419">
        <w:t>)</w:t>
      </w:r>
      <w:r w:rsidR="00995B0D" w:rsidRPr="00816419">
        <w:rPr>
          <w:rFonts w:hint="eastAsia"/>
        </w:rPr>
        <w:t>, 5.6</w:t>
      </w:r>
      <w:r w:rsidR="00995B0D" w:rsidRPr="00816419">
        <w:rPr>
          <w:rFonts w:eastAsia="SimSun" w:hint="eastAsia"/>
          <w:lang w:eastAsia="zh-CN"/>
        </w:rPr>
        <w:t>4</w:t>
      </w:r>
      <w:r w:rsidR="00995B0D" w:rsidRPr="00816419">
        <w:rPr>
          <w:rFonts w:hint="eastAsia"/>
        </w:rPr>
        <w:t xml:space="preserve"> (t </w:t>
      </w:r>
      <w:r w:rsidR="00995B0D" w:rsidRPr="00816419">
        <w:rPr>
          <w:rFonts w:hint="eastAsia"/>
          <w:i/>
        </w:rPr>
        <w:t>J</w:t>
      </w:r>
      <w:r w:rsidR="00995B0D" w:rsidRPr="00816419">
        <w:rPr>
          <w:rFonts w:eastAsia="SimSun" w:hint="eastAsia"/>
          <w:i/>
          <w:lang w:eastAsia="zh-CN"/>
        </w:rPr>
        <w:t xml:space="preserve"> </w:t>
      </w:r>
      <w:r w:rsidR="00995B0D" w:rsidRPr="00816419">
        <w:rPr>
          <w:rFonts w:hint="eastAsia"/>
        </w:rPr>
        <w:t>8</w:t>
      </w:r>
      <w:r w:rsidR="00995B0D" w:rsidRPr="00816419">
        <w:t>.0 Hz</w:t>
      </w:r>
      <w:r w:rsidR="00995B0D">
        <w:rPr>
          <w:rFonts w:hint="eastAsia"/>
        </w:rPr>
        <w:t>, 1H</w:t>
      </w:r>
      <w:r w:rsidR="00995B0D" w:rsidRPr="00816419">
        <w:rPr>
          <w:rFonts w:hint="eastAsia"/>
        </w:rPr>
        <w:t xml:space="preserve">), 4.80 (t </w:t>
      </w:r>
      <w:r w:rsidR="00995B0D" w:rsidRPr="00816419">
        <w:rPr>
          <w:rFonts w:hint="eastAsia"/>
          <w:i/>
        </w:rPr>
        <w:t>J</w:t>
      </w:r>
      <w:r w:rsidR="00995B0D">
        <w:rPr>
          <w:rFonts w:hint="eastAsia"/>
        </w:rPr>
        <w:t xml:space="preserve"> 8.0 Hz, 1H</w:t>
      </w:r>
      <w:r w:rsidR="00995B0D" w:rsidRPr="00816419">
        <w:rPr>
          <w:rFonts w:hint="eastAsia"/>
        </w:rPr>
        <w:t>), 4.3</w:t>
      </w:r>
      <w:r w:rsidR="00995B0D" w:rsidRPr="00816419">
        <w:rPr>
          <w:rFonts w:eastAsia="SimSun" w:hint="eastAsia"/>
          <w:lang w:eastAsia="zh-CN"/>
        </w:rPr>
        <w:t>0</w:t>
      </w:r>
      <w:r w:rsidR="00995B0D" w:rsidRPr="00816419">
        <w:rPr>
          <w:rFonts w:hint="eastAsia"/>
        </w:rPr>
        <w:t xml:space="preserve"> (t </w:t>
      </w:r>
      <w:r w:rsidR="00995B0D" w:rsidRPr="00816419">
        <w:rPr>
          <w:rFonts w:hint="eastAsia"/>
          <w:i/>
        </w:rPr>
        <w:t>J</w:t>
      </w:r>
      <w:r w:rsidR="00995B0D">
        <w:rPr>
          <w:rFonts w:hint="eastAsia"/>
        </w:rPr>
        <w:t xml:space="preserve"> 8.0 Hz, 1H</w:t>
      </w:r>
      <w:r w:rsidR="00995B0D" w:rsidRPr="00816419">
        <w:rPr>
          <w:rFonts w:hint="eastAsia"/>
        </w:rPr>
        <w:t>);</w:t>
      </w:r>
      <w:r w:rsidR="00995B0D" w:rsidRPr="00816419">
        <w:t xml:space="preserve"> </w:t>
      </w:r>
      <w:r w:rsidR="00995B0D" w:rsidRPr="00816419">
        <w:rPr>
          <w:rFonts w:hint="eastAsia"/>
          <w:vertAlign w:val="superscript"/>
        </w:rPr>
        <w:t>13</w:t>
      </w:r>
      <w:r w:rsidR="00995B0D" w:rsidRPr="00816419">
        <w:rPr>
          <w:rFonts w:hint="eastAsia"/>
        </w:rPr>
        <w:t>C NMR (100 MHz, CDCl</w:t>
      </w:r>
      <w:r w:rsidR="00995B0D" w:rsidRPr="00816419">
        <w:rPr>
          <w:rFonts w:hint="eastAsia"/>
          <w:vertAlign w:val="subscript"/>
        </w:rPr>
        <w:t>3</w:t>
      </w:r>
      <w:r w:rsidR="00995B0D" w:rsidRPr="00816419">
        <w:rPr>
          <w:rFonts w:hint="eastAsia"/>
        </w:rPr>
        <w:t xml:space="preserve">) </w:t>
      </w:r>
      <w:r w:rsidR="00995B0D" w:rsidRPr="00C3609A">
        <w:rPr>
          <w:rFonts w:cs="TimesNewRomanWGL"/>
          <w:color w:val="000000" w:themeColor="text1"/>
        </w:rPr>
        <w:t>δ</w:t>
      </w:r>
      <w:r w:rsidR="00995B0D" w:rsidRPr="00C068F6">
        <w:rPr>
          <w:rFonts w:ascii="Symbol" w:hAnsi="Symbol"/>
        </w:rPr>
        <w:t></w:t>
      </w:r>
      <w:r w:rsidR="00995B0D" w:rsidRPr="00C068F6">
        <w:rPr>
          <w:rFonts w:ascii="Symbol" w:hAnsi="Symbol"/>
        </w:rPr>
        <w:t></w:t>
      </w:r>
      <w:r w:rsidR="00995B0D" w:rsidRPr="00816419">
        <w:rPr>
          <w:rFonts w:hint="eastAsia"/>
        </w:rPr>
        <w:t>154.</w:t>
      </w:r>
      <w:r w:rsidR="00995B0D">
        <w:rPr>
          <w:rFonts w:eastAsia="SimSun"/>
          <w:lang w:eastAsia="zh-CN"/>
        </w:rPr>
        <w:t>5</w:t>
      </w:r>
      <w:r w:rsidR="00995B0D" w:rsidRPr="00816419">
        <w:rPr>
          <w:rFonts w:hint="eastAsia"/>
        </w:rPr>
        <w:t xml:space="preserve">, </w:t>
      </w:r>
      <w:r w:rsidR="00995B0D" w:rsidRPr="00816419">
        <w:rPr>
          <w:rFonts w:eastAsia="SimSun" w:hint="eastAsia"/>
          <w:lang w:eastAsia="zh-CN"/>
        </w:rPr>
        <w:t>134</w:t>
      </w:r>
      <w:r w:rsidR="00995B0D">
        <w:rPr>
          <w:rFonts w:eastAsia="SimSun" w:hint="eastAsia"/>
          <w:lang w:eastAsia="zh-CN"/>
        </w:rPr>
        <w:t>.8, 132.5, 127.4, 123.9</w:t>
      </w:r>
      <w:r w:rsidR="00995B0D" w:rsidRPr="00816419">
        <w:rPr>
          <w:rFonts w:eastAsia="SimSun" w:hint="eastAsia"/>
          <w:lang w:eastAsia="zh-CN"/>
        </w:rPr>
        <w:t xml:space="preserve">, </w:t>
      </w:r>
      <w:r w:rsidR="00995B0D" w:rsidRPr="00816419">
        <w:rPr>
          <w:rFonts w:hint="eastAsia"/>
        </w:rPr>
        <w:t>7</w:t>
      </w:r>
      <w:r w:rsidR="00995B0D">
        <w:rPr>
          <w:rFonts w:eastAsia="SimSun" w:hint="eastAsia"/>
          <w:lang w:eastAsia="zh-CN"/>
        </w:rPr>
        <w:t>7.2</w:t>
      </w:r>
      <w:r w:rsidR="00995B0D" w:rsidRPr="00816419">
        <w:rPr>
          <w:rFonts w:hint="eastAsia"/>
        </w:rPr>
        <w:t xml:space="preserve">, </w:t>
      </w:r>
      <w:r w:rsidR="00995B0D" w:rsidRPr="00816419">
        <w:rPr>
          <w:rFonts w:eastAsia="SimSun" w:hint="eastAsia"/>
          <w:lang w:eastAsia="zh-CN"/>
        </w:rPr>
        <w:t>7</w:t>
      </w:r>
      <w:r w:rsidR="00995B0D">
        <w:rPr>
          <w:rFonts w:eastAsia="SimSun" w:hint="eastAsia"/>
          <w:lang w:eastAsia="zh-CN"/>
        </w:rPr>
        <w:t>0.9</w:t>
      </w:r>
      <w:r w:rsidR="00995B0D">
        <w:rPr>
          <w:rFonts w:eastAsia="SimSun"/>
          <w:lang w:eastAsia="zh-CN"/>
        </w:rPr>
        <w:t>.</w:t>
      </w:r>
    </w:p>
    <w:p w:rsidR="00767B66" w:rsidRDefault="00767B66" w:rsidP="00767B66">
      <w:pPr>
        <w:pStyle w:val="P1"/>
        <w:rPr>
          <w:rFonts w:cs="AdvMYR4"/>
          <w:color w:val="FF0000"/>
        </w:rPr>
      </w:pPr>
      <w:r w:rsidRPr="009951B0">
        <w:rPr>
          <w:rFonts w:cs="TimesNewRomanWGL"/>
          <w:b/>
          <w:color w:val="000000" w:themeColor="text1"/>
        </w:rPr>
        <w:t>3-Chloropropylene carbonate</w:t>
      </w:r>
      <w:r>
        <w:rPr>
          <w:rFonts w:cs="TimesNewRomanWGL"/>
          <w:b/>
          <w:color w:val="000000" w:themeColor="text1"/>
        </w:rPr>
        <w:t xml:space="preserve"> 2d</w:t>
      </w:r>
      <w:r w:rsidRPr="009951B0">
        <w:rPr>
          <w:rFonts w:cs="TimesNewRomanWGL"/>
          <w:b/>
          <w:color w:val="000000" w:themeColor="text1"/>
        </w:rPr>
        <w:t>:</w:t>
      </w:r>
      <w:r w:rsidRPr="00C3609A">
        <w:rPr>
          <w:rFonts w:cs="TimesNewRomanWGL"/>
          <w:color w:val="000000" w:themeColor="text1"/>
        </w:rPr>
        <w:t xml:space="preserve"> </w:t>
      </w:r>
      <w:r>
        <w:rPr>
          <w:rFonts w:ascii="Symbol" w:hAnsi="Symbol"/>
          <w:color w:val="000000" w:themeColor="text1"/>
        </w:rPr>
        <w:t></w:t>
      </w:r>
      <w:r w:rsidRPr="00943CC7">
        <w:rPr>
          <w:color w:val="000000" w:themeColor="text1"/>
          <w:vertAlign w:val="subscript"/>
        </w:rPr>
        <w:t>max</w:t>
      </w:r>
      <w:r>
        <w:rPr>
          <w:color w:val="000000" w:themeColor="text1"/>
        </w:rPr>
        <w:t>(ATR) 2967, 1779, 1159 and 1055 cm</w:t>
      </w:r>
      <w:r w:rsidRPr="00943CC7">
        <w:rPr>
          <w:color w:val="000000" w:themeColor="text1"/>
          <w:vertAlign w:val="superscript"/>
        </w:rPr>
        <w:t>-1</w:t>
      </w:r>
      <w:r>
        <w:rPr>
          <w:color w:val="000000" w:themeColor="text1"/>
        </w:rPr>
        <w:t>;</w:t>
      </w:r>
      <w:r w:rsidRPr="00943CC7">
        <w:rPr>
          <w:color w:val="000000" w:themeColor="text1"/>
        </w:rPr>
        <w:t xml:space="preserve"> </w:t>
      </w:r>
      <w:r w:rsidRPr="00C3609A">
        <w:rPr>
          <w:rFonts w:cs="TimesNewRomanWGL"/>
          <w:color w:val="000000" w:themeColor="text1"/>
          <w:vertAlign w:val="superscript"/>
        </w:rPr>
        <w:t>1</w:t>
      </w:r>
      <w:r w:rsidRPr="00C3609A">
        <w:rPr>
          <w:rFonts w:cs="TimesNewRomanWGL"/>
          <w:color w:val="000000" w:themeColor="text1"/>
        </w:rPr>
        <w:t>H NMR (400 MHz, CDCl</w:t>
      </w:r>
      <w:r w:rsidRPr="00C3609A">
        <w:rPr>
          <w:rFonts w:cs="TimesNewRomanWGL"/>
          <w:color w:val="000000" w:themeColor="text1"/>
          <w:vertAlign w:val="subscript"/>
        </w:rPr>
        <w:t>3</w:t>
      </w:r>
      <w:r w:rsidRPr="00C3609A">
        <w:rPr>
          <w:rFonts w:cs="TimesNewRomanWGL"/>
          <w:color w:val="000000" w:themeColor="text1"/>
        </w:rPr>
        <w:t xml:space="preserve">) δ 5.02–4.93 (m, 1H), 4.60–4.53 (m, 1H), 4.37 (dd </w:t>
      </w:r>
      <w:r w:rsidRPr="00C3609A">
        <w:rPr>
          <w:rFonts w:cs="TimesNewRomanWGL"/>
          <w:i/>
          <w:color w:val="000000" w:themeColor="text1"/>
        </w:rPr>
        <w:t>J</w:t>
      </w:r>
      <w:r w:rsidRPr="00C3609A">
        <w:rPr>
          <w:rFonts w:cs="TimesNewRomanWGL"/>
          <w:color w:val="000000" w:themeColor="text1"/>
        </w:rPr>
        <w:t xml:space="preserve"> 8.9, 5.7 Hz, 1H), 3.82–3.67 (m, 2H); </w:t>
      </w:r>
      <w:r w:rsidRPr="00C3609A">
        <w:rPr>
          <w:rFonts w:cs="TimesNewRomanWGL"/>
          <w:color w:val="000000" w:themeColor="text1"/>
          <w:vertAlign w:val="superscript"/>
        </w:rPr>
        <w:t>13</w:t>
      </w:r>
      <w:r w:rsidRPr="00C3609A">
        <w:rPr>
          <w:rFonts w:cs="TimesNewRomanWGL"/>
          <w:color w:val="000000" w:themeColor="text1"/>
        </w:rPr>
        <w:t>C NMR (101 MHz, CDCl</w:t>
      </w:r>
      <w:r w:rsidRPr="00C3609A">
        <w:rPr>
          <w:rFonts w:cs="TimesNewRomanWGL"/>
          <w:color w:val="000000" w:themeColor="text1"/>
          <w:vertAlign w:val="subscript"/>
        </w:rPr>
        <w:t>3</w:t>
      </w:r>
      <w:r w:rsidRPr="00C3609A">
        <w:rPr>
          <w:rFonts w:cs="TimesNewRomanWGL"/>
          <w:color w:val="000000" w:themeColor="text1"/>
        </w:rPr>
        <w:t>) δ 154.49, 74.48, 67.06, 44.03.</w:t>
      </w:r>
    </w:p>
    <w:p w:rsidR="00767B66" w:rsidRPr="00995B0D" w:rsidRDefault="00767B66" w:rsidP="00767B66">
      <w:pPr>
        <w:pStyle w:val="P1"/>
        <w:rPr>
          <w:b/>
        </w:rPr>
      </w:pPr>
      <w:r w:rsidRPr="009951B0">
        <w:rPr>
          <w:rFonts w:cs="TimesNewRomanWGL-Bold"/>
          <w:b/>
          <w:bCs/>
          <w:color w:val="000000" w:themeColor="text1"/>
        </w:rPr>
        <w:t>Propylene carbonate</w:t>
      </w:r>
      <w:r>
        <w:rPr>
          <w:rFonts w:cs="TimesNewRomanWGL-Bold"/>
          <w:b/>
          <w:bCs/>
          <w:color w:val="000000" w:themeColor="text1"/>
        </w:rPr>
        <w:t xml:space="preserve"> 2e</w:t>
      </w:r>
      <w:r w:rsidRPr="009951B0">
        <w:rPr>
          <w:rFonts w:cs="TimesNewRomanWGL-Bold"/>
          <w:b/>
          <w:bCs/>
          <w:color w:val="000000" w:themeColor="text1"/>
        </w:rPr>
        <w:t>:</w:t>
      </w:r>
      <w:r w:rsidRPr="00C3609A">
        <w:rPr>
          <w:rFonts w:cs="TimesNewRomanWGL-Bold"/>
          <w:bCs/>
          <w:color w:val="000000" w:themeColor="text1"/>
        </w:rPr>
        <w:t xml:space="preserve"> </w:t>
      </w:r>
      <w:r>
        <w:rPr>
          <w:rFonts w:ascii="Symbol" w:hAnsi="Symbol"/>
          <w:color w:val="000000" w:themeColor="text1"/>
        </w:rPr>
        <w:t></w:t>
      </w:r>
      <w:r w:rsidRPr="00943CC7">
        <w:rPr>
          <w:color w:val="000000" w:themeColor="text1"/>
          <w:vertAlign w:val="subscript"/>
        </w:rPr>
        <w:t>max</w:t>
      </w:r>
      <w:r>
        <w:rPr>
          <w:color w:val="000000" w:themeColor="text1"/>
        </w:rPr>
        <w:t>(ATR) 2988, 2924, 1781, 1174 and 1044 cm</w:t>
      </w:r>
      <w:r w:rsidRPr="00943CC7">
        <w:rPr>
          <w:color w:val="000000" w:themeColor="text1"/>
          <w:vertAlign w:val="superscript"/>
        </w:rPr>
        <w:t>-1</w:t>
      </w:r>
      <w:r>
        <w:rPr>
          <w:color w:val="000000" w:themeColor="text1"/>
        </w:rPr>
        <w:t>;</w:t>
      </w:r>
      <w:r w:rsidRPr="00943CC7">
        <w:rPr>
          <w:color w:val="000000" w:themeColor="text1"/>
        </w:rPr>
        <w:t xml:space="preserve"> </w:t>
      </w:r>
      <w:r w:rsidRPr="00C3609A">
        <w:rPr>
          <w:rFonts w:cs="TimesNewRomanWGL"/>
          <w:color w:val="000000" w:themeColor="text1"/>
          <w:vertAlign w:val="superscript"/>
        </w:rPr>
        <w:t>1</w:t>
      </w:r>
      <w:r w:rsidRPr="00C3609A">
        <w:rPr>
          <w:rFonts w:cs="TimesNewRomanWGL"/>
          <w:color w:val="000000" w:themeColor="text1"/>
        </w:rPr>
        <w:t>H NMR (400 MHz, CDCl</w:t>
      </w:r>
      <w:r w:rsidRPr="00C3609A">
        <w:rPr>
          <w:rFonts w:cs="TimesNewRomanWGL"/>
          <w:color w:val="000000" w:themeColor="text1"/>
          <w:vertAlign w:val="subscript"/>
        </w:rPr>
        <w:t>3</w:t>
      </w:r>
      <w:r w:rsidRPr="00C3609A">
        <w:rPr>
          <w:rFonts w:cs="TimesNewRomanWGL"/>
          <w:color w:val="000000" w:themeColor="text1"/>
        </w:rPr>
        <w:t>) δ 4.92–4.67 (m, 1H), 4.64–4.38 (m, 1H), 4.07–3.89 (m, 1H</w:t>
      </w:r>
      <w:r w:rsidRPr="003F66CF">
        <w:rPr>
          <w:rFonts w:cs="TimesNewRomanWGL"/>
          <w:color w:val="000000" w:themeColor="text1"/>
        </w:rPr>
        <w:t xml:space="preserve">), 1.43 (d, </w:t>
      </w:r>
      <w:r w:rsidRPr="003F66CF">
        <w:rPr>
          <w:rFonts w:cs="TimesNewRomanWGL"/>
          <w:i/>
          <w:color w:val="000000" w:themeColor="text1"/>
        </w:rPr>
        <w:t>J</w:t>
      </w:r>
      <w:r w:rsidRPr="003F66CF">
        <w:rPr>
          <w:rFonts w:cs="TimesNewRomanWGL"/>
          <w:color w:val="000000" w:themeColor="text1"/>
        </w:rPr>
        <w:t xml:space="preserve"> = 6.3 Hz, 3H); </w:t>
      </w:r>
      <w:r w:rsidRPr="003F66CF">
        <w:rPr>
          <w:rFonts w:cs="TimesNewRomanWGL"/>
          <w:color w:val="000000" w:themeColor="text1"/>
          <w:vertAlign w:val="superscript"/>
        </w:rPr>
        <w:t>13</w:t>
      </w:r>
      <w:r w:rsidRPr="003F66CF">
        <w:rPr>
          <w:rFonts w:cs="TimesNewRomanWGL"/>
          <w:color w:val="000000" w:themeColor="text1"/>
        </w:rPr>
        <w:t>C</w:t>
      </w:r>
      <w:r w:rsidRPr="00C3609A">
        <w:rPr>
          <w:rFonts w:cs="TimesNewRomanWGL"/>
          <w:color w:val="000000" w:themeColor="text1"/>
        </w:rPr>
        <w:t xml:space="preserve"> NMR (101 MHz, CDCl</w:t>
      </w:r>
      <w:r w:rsidRPr="00C3609A">
        <w:rPr>
          <w:rFonts w:cs="TimesNewRomanWGL"/>
          <w:color w:val="000000" w:themeColor="text1"/>
          <w:vertAlign w:val="subscript"/>
        </w:rPr>
        <w:t>3</w:t>
      </w:r>
      <w:r w:rsidRPr="00C3609A">
        <w:rPr>
          <w:rFonts w:cs="TimesNewRomanWGL"/>
          <w:color w:val="000000" w:themeColor="text1"/>
        </w:rPr>
        <w:t>) δ 155.22, 73.74, 70.78, 19.45.</w:t>
      </w:r>
    </w:p>
    <w:p w:rsidR="002C724A" w:rsidRDefault="00767B66" w:rsidP="00F72699">
      <w:pPr>
        <w:pStyle w:val="P1"/>
        <w:rPr>
          <w:rFonts w:cs="AdvMYR4"/>
          <w:color w:val="FF0000"/>
        </w:rPr>
      </w:pPr>
      <w:r>
        <w:rPr>
          <w:rFonts w:cs="TimesNewRomanWGL-Bold"/>
          <w:b/>
          <w:bCs/>
          <w:color w:val="000000" w:themeColor="text1"/>
        </w:rPr>
        <w:t>1,2-Decylene</w:t>
      </w:r>
      <w:r w:rsidRPr="009951B0">
        <w:rPr>
          <w:rFonts w:cs="TimesNewRomanWGL-Bold"/>
          <w:b/>
          <w:bCs/>
          <w:color w:val="000000" w:themeColor="text1"/>
        </w:rPr>
        <w:t xml:space="preserve"> carbonate</w:t>
      </w:r>
      <w:r>
        <w:rPr>
          <w:rFonts w:cs="TimesNewRomanWGL-Bold"/>
          <w:b/>
          <w:bCs/>
          <w:color w:val="000000" w:themeColor="text1"/>
        </w:rPr>
        <w:t xml:space="preserve"> 2f</w:t>
      </w:r>
      <w:r w:rsidRPr="009951B0">
        <w:rPr>
          <w:rFonts w:cs="TimesNewRomanWGL-Bold"/>
          <w:b/>
          <w:bCs/>
          <w:color w:val="000000" w:themeColor="text1"/>
        </w:rPr>
        <w:t>:</w:t>
      </w:r>
      <w:r w:rsidRPr="00767B66">
        <w:rPr>
          <w:rFonts w:cs="TimesNewRomanWGL-Bold"/>
          <w:bCs/>
          <w:color w:val="FF0000"/>
        </w:rPr>
        <w:t xml:space="preserve"> </w:t>
      </w:r>
      <w:r w:rsidR="00995B0D">
        <w:rPr>
          <w:rFonts w:ascii="Symbol" w:hAnsi="Symbol"/>
          <w:color w:val="000000" w:themeColor="text1"/>
        </w:rPr>
        <w:t></w:t>
      </w:r>
      <w:r w:rsidR="00995B0D" w:rsidRPr="00943CC7">
        <w:rPr>
          <w:color w:val="000000" w:themeColor="text1"/>
          <w:vertAlign w:val="subscript"/>
        </w:rPr>
        <w:t>max</w:t>
      </w:r>
      <w:r w:rsidR="00995B0D">
        <w:rPr>
          <w:color w:val="000000" w:themeColor="text1"/>
        </w:rPr>
        <w:t>(ATR) 2931, 2835 and 1796 cm</w:t>
      </w:r>
      <w:r w:rsidR="00995B0D" w:rsidRPr="00943CC7">
        <w:rPr>
          <w:color w:val="000000" w:themeColor="text1"/>
          <w:vertAlign w:val="superscript"/>
        </w:rPr>
        <w:t>-1</w:t>
      </w:r>
      <w:r w:rsidR="00995B0D">
        <w:rPr>
          <w:color w:val="000000" w:themeColor="text1"/>
        </w:rPr>
        <w:t>;</w:t>
      </w:r>
      <w:r w:rsidR="00995B0D" w:rsidRPr="00151B71">
        <w:t xml:space="preserve"> </w:t>
      </w:r>
      <w:r w:rsidR="00995B0D" w:rsidRPr="00AA616A">
        <w:rPr>
          <w:rFonts w:hint="eastAsia"/>
          <w:vertAlign w:val="superscript"/>
        </w:rPr>
        <w:t>1</w:t>
      </w:r>
      <w:r w:rsidR="00995B0D" w:rsidRPr="00AA616A">
        <w:rPr>
          <w:rFonts w:hint="eastAsia"/>
        </w:rPr>
        <w:t>H NMR (400 MHz, CDCl</w:t>
      </w:r>
      <w:r w:rsidR="00995B0D" w:rsidRPr="00AA616A">
        <w:rPr>
          <w:rFonts w:hint="eastAsia"/>
          <w:vertAlign w:val="subscript"/>
        </w:rPr>
        <w:t>3</w:t>
      </w:r>
      <w:r w:rsidR="00995B0D" w:rsidRPr="00AA616A">
        <w:rPr>
          <w:rFonts w:hint="eastAsia"/>
        </w:rPr>
        <w:t xml:space="preserve">) </w:t>
      </w:r>
      <w:r w:rsidR="00995B0D" w:rsidRPr="00C3609A">
        <w:rPr>
          <w:rFonts w:cs="TimesNewRomanWGL"/>
          <w:color w:val="000000" w:themeColor="text1"/>
        </w:rPr>
        <w:t>δ</w:t>
      </w:r>
      <w:r w:rsidR="00995B0D">
        <w:rPr>
          <w:rFonts w:ascii="Symbol" w:hAnsi="Symbol"/>
        </w:rPr>
        <w:t></w:t>
      </w:r>
      <w:r w:rsidR="00995B0D">
        <w:rPr>
          <w:rFonts w:ascii="Symbol" w:hAnsi="Symbol"/>
        </w:rPr>
        <w:t></w:t>
      </w:r>
      <w:r w:rsidR="00995B0D">
        <w:rPr>
          <w:rFonts w:eastAsia="SimSun" w:cs="Arial" w:hint="eastAsia"/>
          <w:lang w:eastAsia="zh-CN"/>
        </w:rPr>
        <w:t>4.7</w:t>
      </w:r>
      <w:r w:rsidR="00995B0D">
        <w:rPr>
          <w:rFonts w:eastAsia="SimSun" w:cs="Arial"/>
          <w:lang w:eastAsia="zh-CN"/>
        </w:rPr>
        <w:t>1–</w:t>
      </w:r>
      <w:r w:rsidR="00995B0D" w:rsidRPr="00AA616A">
        <w:rPr>
          <w:rFonts w:eastAsia="SimSun" w:cs="Arial" w:hint="eastAsia"/>
          <w:lang w:eastAsia="zh-CN"/>
        </w:rPr>
        <w:t>4.6</w:t>
      </w:r>
      <w:r w:rsidR="00995B0D">
        <w:rPr>
          <w:rFonts w:eastAsia="SimSun" w:cs="Arial"/>
          <w:lang w:eastAsia="zh-CN"/>
        </w:rPr>
        <w:t>8</w:t>
      </w:r>
      <w:r w:rsidR="00995B0D">
        <w:rPr>
          <w:rFonts w:ascii="Symbol" w:hAnsi="Symbol"/>
        </w:rPr>
        <w:t></w:t>
      </w:r>
      <w:r w:rsidR="00995B0D" w:rsidRPr="00AA616A">
        <w:rPr>
          <w:rFonts w:hint="eastAsia"/>
        </w:rPr>
        <w:t>(</w:t>
      </w:r>
      <w:r w:rsidR="00995B0D" w:rsidRPr="00AA616A">
        <w:t xml:space="preserve">m, </w:t>
      </w:r>
      <w:r w:rsidR="00995B0D" w:rsidRPr="00AA616A">
        <w:rPr>
          <w:rFonts w:hint="eastAsia"/>
        </w:rPr>
        <w:t>1</w:t>
      </w:r>
      <w:r w:rsidR="00995B0D">
        <w:t>H</w:t>
      </w:r>
      <w:r w:rsidR="00995B0D" w:rsidRPr="00AA616A">
        <w:t>)</w:t>
      </w:r>
      <w:r w:rsidR="00995B0D">
        <w:rPr>
          <w:rFonts w:hint="eastAsia"/>
        </w:rPr>
        <w:t>, 4.5</w:t>
      </w:r>
      <w:r w:rsidR="00995B0D">
        <w:rPr>
          <w:rFonts w:eastAsia="SimSun" w:hint="eastAsia"/>
          <w:lang w:eastAsia="zh-CN"/>
        </w:rPr>
        <w:t>2</w:t>
      </w:r>
      <w:r w:rsidR="00995B0D" w:rsidRPr="00AA616A">
        <w:rPr>
          <w:rFonts w:hint="eastAsia"/>
        </w:rPr>
        <w:t xml:space="preserve"> (t </w:t>
      </w:r>
      <w:r w:rsidR="00995B0D" w:rsidRPr="00AA616A">
        <w:rPr>
          <w:rFonts w:hint="eastAsia"/>
          <w:i/>
        </w:rPr>
        <w:t>J</w:t>
      </w:r>
      <w:r w:rsidR="00995B0D">
        <w:rPr>
          <w:rFonts w:hint="eastAsia"/>
        </w:rPr>
        <w:t xml:space="preserve"> 8.0 Hz, 1H), 4.0</w:t>
      </w:r>
      <w:r w:rsidR="00995B0D">
        <w:rPr>
          <w:rFonts w:eastAsia="SimSun" w:hint="eastAsia"/>
          <w:lang w:eastAsia="zh-CN"/>
        </w:rPr>
        <w:t>6</w:t>
      </w:r>
      <w:r w:rsidR="00995B0D" w:rsidRPr="00AA616A">
        <w:rPr>
          <w:rFonts w:hint="eastAsia"/>
        </w:rPr>
        <w:t xml:space="preserve"> (t </w:t>
      </w:r>
      <w:r w:rsidR="00995B0D" w:rsidRPr="00AA616A">
        <w:rPr>
          <w:rFonts w:hint="eastAsia"/>
          <w:i/>
        </w:rPr>
        <w:t>J</w:t>
      </w:r>
      <w:r w:rsidR="00995B0D" w:rsidRPr="00AA616A">
        <w:rPr>
          <w:rFonts w:hint="eastAsia"/>
        </w:rPr>
        <w:t xml:space="preserve"> 8.</w:t>
      </w:r>
      <w:r w:rsidR="00995B0D">
        <w:rPr>
          <w:rFonts w:hint="eastAsia"/>
        </w:rPr>
        <w:t>0 Hz, 1H</w:t>
      </w:r>
      <w:r w:rsidR="00995B0D" w:rsidRPr="005F72CA">
        <w:rPr>
          <w:rFonts w:hint="eastAsia"/>
        </w:rPr>
        <w:t>), 1.8</w:t>
      </w:r>
      <w:r w:rsidR="00995B0D" w:rsidRPr="005F72CA">
        <w:rPr>
          <w:rFonts w:eastAsia="SimSun"/>
          <w:lang w:eastAsia="zh-CN"/>
        </w:rPr>
        <w:t>3</w:t>
      </w:r>
      <w:r w:rsidR="00995B0D" w:rsidRPr="005F72CA">
        <w:t>–</w:t>
      </w:r>
      <w:r w:rsidR="00995B0D" w:rsidRPr="005F72CA">
        <w:rPr>
          <w:rFonts w:hint="eastAsia"/>
        </w:rPr>
        <w:t>1.</w:t>
      </w:r>
      <w:r w:rsidR="00995B0D" w:rsidRPr="005F72CA">
        <w:rPr>
          <w:rFonts w:eastAsia="SimSun" w:hint="eastAsia"/>
          <w:lang w:eastAsia="zh-CN"/>
        </w:rPr>
        <w:t>6</w:t>
      </w:r>
      <w:r w:rsidR="00995B0D" w:rsidRPr="005F72CA">
        <w:rPr>
          <w:rFonts w:eastAsia="SimSun"/>
          <w:lang w:eastAsia="zh-CN"/>
        </w:rPr>
        <w:t>3</w:t>
      </w:r>
      <w:r w:rsidR="00995B0D">
        <w:rPr>
          <w:rFonts w:hint="eastAsia"/>
        </w:rPr>
        <w:t xml:space="preserve"> (m, 2H</w:t>
      </w:r>
      <w:r w:rsidR="00995B0D" w:rsidRPr="005F72CA">
        <w:rPr>
          <w:rFonts w:hint="eastAsia"/>
        </w:rPr>
        <w:t>), 1.</w:t>
      </w:r>
      <w:r w:rsidR="00995B0D" w:rsidRPr="005F72CA">
        <w:rPr>
          <w:rFonts w:eastAsia="SimSun"/>
          <w:lang w:eastAsia="zh-CN"/>
        </w:rPr>
        <w:t>47</w:t>
      </w:r>
      <w:r w:rsidR="00995B0D" w:rsidRPr="005F72CA">
        <w:t>–</w:t>
      </w:r>
      <w:r w:rsidR="00995B0D" w:rsidRPr="005F72CA">
        <w:rPr>
          <w:rFonts w:hint="eastAsia"/>
        </w:rPr>
        <w:t>1.</w:t>
      </w:r>
      <w:r w:rsidR="00995B0D" w:rsidRPr="005F72CA">
        <w:rPr>
          <w:rFonts w:eastAsia="SimSun" w:hint="eastAsia"/>
          <w:lang w:eastAsia="zh-CN"/>
        </w:rPr>
        <w:t>26</w:t>
      </w:r>
      <w:r w:rsidR="00995B0D" w:rsidRPr="005F72CA">
        <w:rPr>
          <w:rFonts w:hint="eastAsia"/>
        </w:rPr>
        <w:t xml:space="preserve"> (m, 1</w:t>
      </w:r>
      <w:r w:rsidR="00995B0D" w:rsidRPr="005F72CA">
        <w:rPr>
          <w:rFonts w:eastAsia="SimSun" w:hint="eastAsia"/>
          <w:lang w:eastAsia="zh-CN"/>
        </w:rPr>
        <w:t>2</w:t>
      </w:r>
      <w:r w:rsidR="00995B0D">
        <w:rPr>
          <w:rFonts w:hint="eastAsia"/>
        </w:rPr>
        <w:t>H</w:t>
      </w:r>
      <w:r w:rsidR="00995B0D" w:rsidRPr="005F72CA">
        <w:rPr>
          <w:rFonts w:hint="eastAsia"/>
        </w:rPr>
        <w:t>), 0.8</w:t>
      </w:r>
      <w:r w:rsidR="00995B0D" w:rsidRPr="005F72CA">
        <w:rPr>
          <w:rFonts w:eastAsia="SimSun" w:hint="eastAsia"/>
          <w:lang w:eastAsia="zh-CN"/>
        </w:rPr>
        <w:t>7</w:t>
      </w:r>
      <w:r w:rsidR="00995B0D" w:rsidRPr="005F72CA">
        <w:rPr>
          <w:rFonts w:hint="eastAsia"/>
        </w:rPr>
        <w:t xml:space="preserve"> (t </w:t>
      </w:r>
      <w:r w:rsidR="00995B0D" w:rsidRPr="005F72CA">
        <w:rPr>
          <w:rFonts w:hint="eastAsia"/>
          <w:i/>
        </w:rPr>
        <w:t>J</w:t>
      </w:r>
      <w:r w:rsidR="00995B0D" w:rsidRPr="005F72CA">
        <w:rPr>
          <w:rFonts w:hint="eastAsia"/>
        </w:rPr>
        <w:t xml:space="preserve"> 8.0 Hz, </w:t>
      </w:r>
      <w:r w:rsidR="00995B0D">
        <w:t>3H</w:t>
      </w:r>
      <w:r w:rsidR="00995B0D" w:rsidRPr="005F72CA">
        <w:rPr>
          <w:rFonts w:hint="eastAsia"/>
        </w:rPr>
        <w:t>);</w:t>
      </w:r>
      <w:r w:rsidR="00995B0D" w:rsidRPr="005F72CA">
        <w:t xml:space="preserve"> </w:t>
      </w:r>
      <w:r w:rsidR="00995B0D" w:rsidRPr="005F72CA">
        <w:rPr>
          <w:rFonts w:hint="eastAsia"/>
          <w:vertAlign w:val="superscript"/>
        </w:rPr>
        <w:t>13</w:t>
      </w:r>
      <w:r w:rsidR="00995B0D" w:rsidRPr="005F72CA">
        <w:rPr>
          <w:rFonts w:hint="eastAsia"/>
        </w:rPr>
        <w:t>C NMR (</w:t>
      </w:r>
      <w:r w:rsidR="00995B0D" w:rsidRPr="00A238CB">
        <w:rPr>
          <w:rFonts w:hint="eastAsia"/>
        </w:rPr>
        <w:t>100 MHz, CDCl</w:t>
      </w:r>
      <w:r w:rsidR="00995B0D" w:rsidRPr="00A238CB">
        <w:rPr>
          <w:rFonts w:hint="eastAsia"/>
          <w:vertAlign w:val="subscript"/>
        </w:rPr>
        <w:t>3</w:t>
      </w:r>
      <w:r w:rsidR="00995B0D" w:rsidRPr="00A238CB">
        <w:rPr>
          <w:rFonts w:hint="eastAsia"/>
        </w:rPr>
        <w:t xml:space="preserve">) </w:t>
      </w:r>
      <w:r w:rsidR="00995B0D" w:rsidRPr="00C3609A">
        <w:rPr>
          <w:rFonts w:cs="TimesNewRomanWGL"/>
          <w:color w:val="000000" w:themeColor="text1"/>
        </w:rPr>
        <w:t>δ</w:t>
      </w:r>
      <w:r w:rsidR="00995B0D" w:rsidRPr="00A238CB">
        <w:rPr>
          <w:rFonts w:ascii="Symbol" w:hAnsi="Symbol"/>
        </w:rPr>
        <w:t></w:t>
      </w:r>
      <w:r w:rsidR="00995B0D" w:rsidRPr="00A238CB">
        <w:rPr>
          <w:rFonts w:ascii="Symbol" w:hAnsi="Symbol"/>
        </w:rPr>
        <w:t></w:t>
      </w:r>
      <w:r w:rsidR="00995B0D" w:rsidRPr="00A238CB">
        <w:rPr>
          <w:rFonts w:hint="eastAsia"/>
        </w:rPr>
        <w:t>15</w:t>
      </w:r>
      <w:r w:rsidR="00995B0D" w:rsidRPr="00A238CB">
        <w:rPr>
          <w:rFonts w:eastAsia="SimSun" w:hint="eastAsia"/>
          <w:lang w:eastAsia="zh-CN"/>
        </w:rPr>
        <w:t>5.</w:t>
      </w:r>
      <w:r w:rsidR="00995B0D">
        <w:rPr>
          <w:rFonts w:eastAsia="SimSun" w:hint="eastAsia"/>
          <w:lang w:eastAsia="zh-CN"/>
        </w:rPr>
        <w:t>1</w:t>
      </w:r>
      <w:r w:rsidR="00995B0D" w:rsidRPr="00A238CB">
        <w:rPr>
          <w:rFonts w:hint="eastAsia"/>
        </w:rPr>
        <w:t xml:space="preserve">, </w:t>
      </w:r>
      <w:r w:rsidR="00995B0D">
        <w:rPr>
          <w:rFonts w:eastAsia="SimSun" w:hint="eastAsia"/>
          <w:lang w:eastAsia="zh-CN"/>
        </w:rPr>
        <w:t>77</w:t>
      </w:r>
      <w:r w:rsidR="00995B0D" w:rsidRPr="00A238CB">
        <w:rPr>
          <w:rFonts w:eastAsia="SimSun" w:hint="eastAsia"/>
          <w:lang w:eastAsia="zh-CN"/>
        </w:rPr>
        <w:t>.0</w:t>
      </w:r>
      <w:r w:rsidR="00995B0D" w:rsidRPr="00A238CB">
        <w:rPr>
          <w:rFonts w:hint="eastAsia"/>
        </w:rPr>
        <w:t xml:space="preserve">, </w:t>
      </w:r>
      <w:r w:rsidR="00995B0D">
        <w:rPr>
          <w:rFonts w:eastAsia="SimSun" w:hint="eastAsia"/>
          <w:lang w:eastAsia="zh-CN"/>
        </w:rPr>
        <w:t>69.4, 33.9, 31.8, 29.3, 29.1, 29.0, 24.3, 22.6, 14.1</w:t>
      </w:r>
      <w:r w:rsidR="00995B0D">
        <w:rPr>
          <w:rFonts w:eastAsia="SimSun"/>
          <w:lang w:eastAsia="zh-CN"/>
        </w:rPr>
        <w:t>.</w:t>
      </w:r>
    </w:p>
    <w:p w:rsidR="00767B66" w:rsidRDefault="00995B0D" w:rsidP="00F72699">
      <w:pPr>
        <w:pStyle w:val="P1"/>
        <w:rPr>
          <w:rFonts w:cs="TimesNewRomanWGL-Bold"/>
          <w:bCs/>
          <w:color w:val="FF0000"/>
        </w:rPr>
      </w:pPr>
      <w:r>
        <w:rPr>
          <w:rFonts w:cs="TimesNewRomanWGL-Bold"/>
          <w:b/>
          <w:bCs/>
          <w:color w:val="000000" w:themeColor="text1"/>
        </w:rPr>
        <w:t>1,2-Hexyl</w:t>
      </w:r>
      <w:r w:rsidR="00767B66">
        <w:rPr>
          <w:rFonts w:cs="TimesNewRomanWGL-Bold"/>
          <w:b/>
          <w:bCs/>
          <w:color w:val="000000" w:themeColor="text1"/>
        </w:rPr>
        <w:t>ene</w:t>
      </w:r>
      <w:r w:rsidR="00767B66" w:rsidRPr="009951B0">
        <w:rPr>
          <w:rFonts w:cs="TimesNewRomanWGL-Bold"/>
          <w:b/>
          <w:bCs/>
          <w:color w:val="000000" w:themeColor="text1"/>
        </w:rPr>
        <w:t xml:space="preserve"> carbonate</w:t>
      </w:r>
      <w:r w:rsidR="00767B66">
        <w:rPr>
          <w:rFonts w:cs="TimesNewRomanWGL-Bold"/>
          <w:b/>
          <w:bCs/>
          <w:color w:val="000000" w:themeColor="text1"/>
        </w:rPr>
        <w:t xml:space="preserve"> 2g</w:t>
      </w:r>
      <w:r w:rsidR="00767B66" w:rsidRPr="009951B0">
        <w:rPr>
          <w:rFonts w:cs="TimesNewRomanWGL-Bold"/>
          <w:b/>
          <w:bCs/>
          <w:color w:val="000000" w:themeColor="text1"/>
        </w:rPr>
        <w:t>:</w:t>
      </w:r>
      <w:r w:rsidR="00767B66" w:rsidRPr="00767B66">
        <w:rPr>
          <w:rFonts w:cs="TimesNewRomanWGL-Bold"/>
          <w:bCs/>
          <w:color w:val="FF0000"/>
        </w:rPr>
        <w:t xml:space="preserve"> </w:t>
      </w:r>
      <w:r>
        <w:rPr>
          <w:rFonts w:ascii="Symbol" w:hAnsi="Symbol"/>
          <w:color w:val="000000" w:themeColor="text1"/>
        </w:rPr>
        <w:t></w:t>
      </w:r>
      <w:r w:rsidRPr="00943CC7">
        <w:rPr>
          <w:color w:val="000000" w:themeColor="text1"/>
          <w:vertAlign w:val="subscript"/>
        </w:rPr>
        <w:t>max</w:t>
      </w:r>
      <w:r>
        <w:rPr>
          <w:color w:val="000000" w:themeColor="text1"/>
        </w:rPr>
        <w:t xml:space="preserve">(ATR) </w:t>
      </w:r>
      <w:r>
        <w:t>2941, 2922, 2899 and 1796</w:t>
      </w:r>
      <w:r w:rsidRPr="00A81EB6">
        <w:rPr>
          <w:color w:val="000000" w:themeColor="text1"/>
        </w:rPr>
        <w:t xml:space="preserve"> </w:t>
      </w:r>
      <w:r>
        <w:rPr>
          <w:color w:val="000000" w:themeColor="text1"/>
        </w:rPr>
        <w:t>cm</w:t>
      </w:r>
      <w:r w:rsidRPr="00943CC7">
        <w:rPr>
          <w:color w:val="000000" w:themeColor="text1"/>
          <w:vertAlign w:val="superscript"/>
        </w:rPr>
        <w:t>-</w:t>
      </w:r>
      <w:r w:rsidRPr="00A81EB6">
        <w:rPr>
          <w:color w:val="000000" w:themeColor="text1"/>
          <w:vertAlign w:val="superscript"/>
        </w:rPr>
        <w:t>1</w:t>
      </w:r>
      <w:r>
        <w:rPr>
          <w:color w:val="000000" w:themeColor="text1"/>
        </w:rPr>
        <w:t xml:space="preserve">; </w:t>
      </w:r>
      <w:r w:rsidRPr="00A81EB6">
        <w:rPr>
          <w:rFonts w:hint="eastAsia"/>
          <w:vertAlign w:val="superscript"/>
        </w:rPr>
        <w:t>1</w:t>
      </w:r>
      <w:r w:rsidRPr="00A81EB6">
        <w:rPr>
          <w:rFonts w:hint="eastAsia"/>
        </w:rPr>
        <w:t>H</w:t>
      </w:r>
      <w:r>
        <w:rPr>
          <w:rFonts w:hint="eastAsia"/>
        </w:rPr>
        <w:t xml:space="preserve"> NMR (400 MHz, CDCl</w:t>
      </w:r>
      <w:r w:rsidRPr="00EF262C">
        <w:rPr>
          <w:rFonts w:hint="eastAsia"/>
          <w:vertAlign w:val="subscript"/>
        </w:rPr>
        <w:t>3</w:t>
      </w:r>
      <w:r>
        <w:rPr>
          <w:rFonts w:hint="eastAsia"/>
        </w:rPr>
        <w:t xml:space="preserve">) </w:t>
      </w:r>
      <w:r w:rsidRPr="00C3609A">
        <w:rPr>
          <w:rFonts w:cs="TimesNewRomanWGL"/>
          <w:color w:val="000000" w:themeColor="text1"/>
        </w:rPr>
        <w:t>δ</w:t>
      </w:r>
      <w:r>
        <w:rPr>
          <w:rFonts w:ascii="Symbol" w:hAnsi="Symbol"/>
        </w:rPr>
        <w:t></w:t>
      </w:r>
      <w:r>
        <w:rPr>
          <w:rFonts w:ascii="Symbol" w:hAnsi="Symbol"/>
        </w:rPr>
        <w:t></w:t>
      </w:r>
      <w:r>
        <w:rPr>
          <w:rFonts w:eastAsia="SimSun" w:cs="Arial" w:hint="eastAsia"/>
          <w:lang w:eastAsia="zh-CN"/>
        </w:rPr>
        <w:t>4.7</w:t>
      </w:r>
      <w:r>
        <w:rPr>
          <w:rFonts w:eastAsia="SimSun" w:cs="Arial"/>
          <w:lang w:eastAsia="zh-CN"/>
        </w:rPr>
        <w:t>3–</w:t>
      </w:r>
      <w:r>
        <w:rPr>
          <w:rFonts w:eastAsia="SimSun" w:cs="Arial" w:hint="eastAsia"/>
          <w:lang w:eastAsia="zh-CN"/>
        </w:rPr>
        <w:t>4.</w:t>
      </w:r>
      <w:r>
        <w:rPr>
          <w:rFonts w:eastAsia="SimSun" w:cs="Arial"/>
          <w:lang w:eastAsia="zh-CN"/>
        </w:rPr>
        <w:t>66</w:t>
      </w:r>
      <w:r>
        <w:rPr>
          <w:rFonts w:ascii="Symbol" w:hAnsi="Symbol"/>
        </w:rPr>
        <w:t></w:t>
      </w:r>
      <w:r>
        <w:rPr>
          <w:rFonts w:hint="eastAsia"/>
        </w:rPr>
        <w:t>(</w:t>
      </w:r>
      <w:r>
        <w:t xml:space="preserve">m, </w:t>
      </w:r>
      <w:r>
        <w:rPr>
          <w:rFonts w:hint="eastAsia"/>
        </w:rPr>
        <w:t>1</w:t>
      </w:r>
      <w:r w:rsidRPr="00EF262C">
        <w:t xml:space="preserve">H, </w:t>
      </w:r>
      <w:r>
        <w:rPr>
          <w:rFonts w:eastAsia="SimSun" w:hint="eastAsia"/>
          <w:lang w:eastAsia="zh-CN"/>
        </w:rPr>
        <w:t>O</w:t>
      </w:r>
      <w:r w:rsidRPr="00EF262C">
        <w:t>CH)</w:t>
      </w:r>
      <w:r>
        <w:rPr>
          <w:rFonts w:hint="eastAsia"/>
        </w:rPr>
        <w:t>, 4.5</w:t>
      </w:r>
      <w:r>
        <w:t>2</w:t>
      </w:r>
      <w:r>
        <w:rPr>
          <w:rFonts w:hint="eastAsia"/>
        </w:rPr>
        <w:t xml:space="preserve"> (t </w:t>
      </w:r>
      <w:r w:rsidRPr="00661275">
        <w:rPr>
          <w:rFonts w:hint="eastAsia"/>
          <w:i/>
        </w:rPr>
        <w:t>J</w:t>
      </w:r>
      <w:r>
        <w:rPr>
          <w:rFonts w:hint="eastAsia"/>
        </w:rPr>
        <w:t xml:space="preserve"> 8.0 Hz, 1H), 4.0</w:t>
      </w:r>
      <w:r>
        <w:t>6</w:t>
      </w:r>
      <w:r>
        <w:rPr>
          <w:rFonts w:hint="eastAsia"/>
        </w:rPr>
        <w:t xml:space="preserve"> (t </w:t>
      </w:r>
      <w:r w:rsidRPr="00661275">
        <w:rPr>
          <w:rFonts w:hint="eastAsia"/>
          <w:i/>
        </w:rPr>
        <w:t>J</w:t>
      </w:r>
      <w:r>
        <w:rPr>
          <w:rFonts w:hint="eastAsia"/>
        </w:rPr>
        <w:t xml:space="preserve"> 8.0 Hz, 1H), 1.8</w:t>
      </w:r>
      <w:r>
        <w:t>6–</w:t>
      </w:r>
      <w:r>
        <w:rPr>
          <w:rFonts w:hint="eastAsia"/>
        </w:rPr>
        <w:t>1.6</w:t>
      </w:r>
      <w:r>
        <w:t>5</w:t>
      </w:r>
      <w:r>
        <w:rPr>
          <w:rFonts w:hint="eastAsia"/>
        </w:rPr>
        <w:t xml:space="preserve"> (m, 2H), 1.4</w:t>
      </w:r>
      <w:r>
        <w:t>9–</w:t>
      </w:r>
      <w:r>
        <w:rPr>
          <w:rFonts w:hint="eastAsia"/>
        </w:rPr>
        <w:t>1.3</w:t>
      </w:r>
      <w:r>
        <w:t>5</w:t>
      </w:r>
      <w:r>
        <w:rPr>
          <w:rFonts w:hint="eastAsia"/>
        </w:rPr>
        <w:t xml:space="preserve"> (m, 4H), 0.9</w:t>
      </w:r>
      <w:r>
        <w:t>2</w:t>
      </w:r>
      <w:r w:rsidRPr="000057AC">
        <w:rPr>
          <w:rFonts w:hint="eastAsia"/>
        </w:rPr>
        <w:t xml:space="preserve"> (t </w:t>
      </w:r>
      <w:r w:rsidRPr="000057AC">
        <w:rPr>
          <w:rFonts w:hint="eastAsia"/>
          <w:i/>
        </w:rPr>
        <w:t>J</w:t>
      </w:r>
      <w:r w:rsidRPr="000057AC">
        <w:rPr>
          <w:rFonts w:hint="eastAsia"/>
        </w:rPr>
        <w:t xml:space="preserve"> 8.0 Hz, </w:t>
      </w:r>
      <w:r>
        <w:t>3H</w:t>
      </w:r>
      <w:r w:rsidRPr="000057AC">
        <w:rPr>
          <w:rFonts w:hint="eastAsia"/>
        </w:rPr>
        <w:t>);</w:t>
      </w:r>
      <w:r>
        <w:t xml:space="preserve"> </w:t>
      </w:r>
      <w:r w:rsidRPr="000057AC">
        <w:rPr>
          <w:rFonts w:hint="eastAsia"/>
          <w:vertAlign w:val="superscript"/>
        </w:rPr>
        <w:t>13</w:t>
      </w:r>
      <w:r w:rsidRPr="000057AC">
        <w:rPr>
          <w:rFonts w:hint="eastAsia"/>
        </w:rPr>
        <w:t>C NMR (100 MHz, CDCl</w:t>
      </w:r>
      <w:r w:rsidRPr="000057AC">
        <w:rPr>
          <w:rFonts w:hint="eastAsia"/>
          <w:vertAlign w:val="subscript"/>
        </w:rPr>
        <w:t>3</w:t>
      </w:r>
      <w:r w:rsidRPr="000057AC">
        <w:rPr>
          <w:rFonts w:hint="eastAsia"/>
        </w:rPr>
        <w:t xml:space="preserve">) </w:t>
      </w:r>
      <w:r w:rsidRPr="00C3609A">
        <w:rPr>
          <w:rFonts w:cs="TimesNewRomanWGL"/>
          <w:color w:val="000000" w:themeColor="text1"/>
        </w:rPr>
        <w:t>δ</w:t>
      </w:r>
      <w:r w:rsidRPr="000057AC">
        <w:rPr>
          <w:rFonts w:ascii="Symbol" w:hAnsi="Symbol"/>
        </w:rPr>
        <w:t></w:t>
      </w:r>
      <w:r w:rsidRPr="000057AC">
        <w:rPr>
          <w:rFonts w:ascii="Symbol" w:hAnsi="Symbol"/>
        </w:rPr>
        <w:t></w:t>
      </w:r>
      <w:r>
        <w:rPr>
          <w:rFonts w:hint="eastAsia"/>
        </w:rPr>
        <w:t>155.1, 76.8</w:t>
      </w:r>
      <w:r w:rsidRPr="000057AC">
        <w:rPr>
          <w:rFonts w:hint="eastAsia"/>
        </w:rPr>
        <w:t xml:space="preserve">, </w:t>
      </w:r>
      <w:r>
        <w:t>69.4</w:t>
      </w:r>
      <w:r w:rsidRPr="000057AC">
        <w:rPr>
          <w:rFonts w:eastAsia="SimSun" w:hint="eastAsia"/>
          <w:lang w:eastAsia="zh-CN"/>
        </w:rPr>
        <w:t xml:space="preserve">, </w:t>
      </w:r>
      <w:r>
        <w:t>33.5</w:t>
      </w:r>
      <w:r w:rsidRPr="000057AC">
        <w:rPr>
          <w:rFonts w:eastAsia="SimSun" w:hint="eastAsia"/>
          <w:lang w:eastAsia="zh-CN"/>
        </w:rPr>
        <w:t>,</w:t>
      </w:r>
      <w:r w:rsidRPr="000057AC">
        <w:rPr>
          <w:rFonts w:eastAsia="SimSun"/>
          <w:lang w:eastAsia="zh-CN"/>
        </w:rPr>
        <w:t xml:space="preserve"> 26.4</w:t>
      </w:r>
      <w:r w:rsidRPr="000057AC">
        <w:rPr>
          <w:rFonts w:eastAsia="SimSun" w:hint="eastAsia"/>
          <w:lang w:eastAsia="zh-CN"/>
        </w:rPr>
        <w:t xml:space="preserve">, </w:t>
      </w:r>
      <w:r>
        <w:rPr>
          <w:rFonts w:eastAsia="SimSun"/>
          <w:lang w:eastAsia="zh-CN"/>
        </w:rPr>
        <w:t>22.2</w:t>
      </w:r>
      <w:r w:rsidRPr="000057AC">
        <w:rPr>
          <w:rFonts w:eastAsia="SimSun" w:hint="eastAsia"/>
          <w:lang w:eastAsia="zh-CN"/>
        </w:rPr>
        <w:t xml:space="preserve">, </w:t>
      </w:r>
      <w:r>
        <w:rPr>
          <w:rFonts w:hint="eastAsia"/>
        </w:rPr>
        <w:t>13.8</w:t>
      </w:r>
      <w:r>
        <w:t>.</w:t>
      </w:r>
    </w:p>
    <w:p w:rsidR="00767B66" w:rsidRDefault="00767B66" w:rsidP="00F72699">
      <w:pPr>
        <w:pStyle w:val="P1"/>
        <w:rPr>
          <w:rFonts w:cs="TimesNewRomanWGL-Bold"/>
          <w:bCs/>
          <w:color w:val="FF0000"/>
        </w:rPr>
      </w:pPr>
      <w:r>
        <w:rPr>
          <w:rFonts w:cs="TimesNewRomanWGL-Bold"/>
          <w:b/>
          <w:bCs/>
          <w:color w:val="000000" w:themeColor="text1"/>
        </w:rPr>
        <w:t>1,2-Dodecylene</w:t>
      </w:r>
      <w:r w:rsidRPr="009951B0">
        <w:rPr>
          <w:rFonts w:cs="TimesNewRomanWGL-Bold"/>
          <w:b/>
          <w:bCs/>
          <w:color w:val="000000" w:themeColor="text1"/>
        </w:rPr>
        <w:t xml:space="preserve"> carbonate</w:t>
      </w:r>
      <w:r>
        <w:rPr>
          <w:rFonts w:cs="TimesNewRomanWGL-Bold"/>
          <w:b/>
          <w:bCs/>
          <w:color w:val="000000" w:themeColor="text1"/>
        </w:rPr>
        <w:t xml:space="preserve"> 2</w:t>
      </w:r>
      <w:r w:rsidR="00B04BE2">
        <w:rPr>
          <w:rFonts w:cs="TimesNewRomanWGL-Bold"/>
          <w:b/>
          <w:bCs/>
          <w:color w:val="000000" w:themeColor="text1"/>
        </w:rPr>
        <w:t>h</w:t>
      </w:r>
      <w:r w:rsidRPr="009951B0">
        <w:rPr>
          <w:rFonts w:cs="TimesNewRomanWGL-Bold"/>
          <w:b/>
          <w:bCs/>
          <w:color w:val="000000" w:themeColor="text1"/>
        </w:rPr>
        <w:t>:</w:t>
      </w:r>
      <w:r w:rsidRPr="00767B66">
        <w:rPr>
          <w:rFonts w:cs="TimesNewRomanWGL-Bold"/>
          <w:bCs/>
          <w:color w:val="FF0000"/>
        </w:rPr>
        <w:t xml:space="preserve"> </w:t>
      </w:r>
      <w:r w:rsidR="00995B0D">
        <w:rPr>
          <w:rFonts w:ascii="Symbol" w:hAnsi="Symbol"/>
          <w:color w:val="000000" w:themeColor="text1"/>
        </w:rPr>
        <w:t></w:t>
      </w:r>
      <w:r w:rsidR="00995B0D" w:rsidRPr="00943CC7">
        <w:rPr>
          <w:color w:val="000000" w:themeColor="text1"/>
          <w:vertAlign w:val="subscript"/>
        </w:rPr>
        <w:t>max</w:t>
      </w:r>
      <w:r w:rsidR="00995B0D">
        <w:rPr>
          <w:color w:val="000000" w:themeColor="text1"/>
        </w:rPr>
        <w:t xml:space="preserve">(ATR) </w:t>
      </w:r>
      <w:r w:rsidR="00995B0D">
        <w:t>2931, 2832 and 1798</w:t>
      </w:r>
      <w:r w:rsidR="00995B0D" w:rsidRPr="00A81EB6">
        <w:rPr>
          <w:color w:val="000000" w:themeColor="text1"/>
        </w:rPr>
        <w:t xml:space="preserve"> </w:t>
      </w:r>
      <w:r w:rsidR="00995B0D">
        <w:rPr>
          <w:color w:val="000000" w:themeColor="text1"/>
        </w:rPr>
        <w:t>cm</w:t>
      </w:r>
      <w:r w:rsidR="00995B0D" w:rsidRPr="00943CC7">
        <w:rPr>
          <w:color w:val="000000" w:themeColor="text1"/>
          <w:vertAlign w:val="superscript"/>
        </w:rPr>
        <w:t>-</w:t>
      </w:r>
      <w:r w:rsidR="00995B0D" w:rsidRPr="00A81EB6">
        <w:rPr>
          <w:color w:val="000000" w:themeColor="text1"/>
          <w:vertAlign w:val="superscript"/>
        </w:rPr>
        <w:t>1</w:t>
      </w:r>
      <w:r w:rsidR="00995B0D">
        <w:rPr>
          <w:color w:val="000000" w:themeColor="text1"/>
        </w:rPr>
        <w:t>;</w:t>
      </w:r>
      <w:r w:rsidR="00995B0D">
        <w:rPr>
          <w:rFonts w:eastAsia="SimSun" w:hint="eastAsia"/>
          <w:lang w:eastAsia="zh-CN"/>
        </w:rPr>
        <w:t xml:space="preserve"> </w:t>
      </w:r>
      <w:r w:rsidR="00995B0D" w:rsidRPr="00AA616A">
        <w:rPr>
          <w:rFonts w:hint="eastAsia"/>
          <w:vertAlign w:val="superscript"/>
        </w:rPr>
        <w:t>1</w:t>
      </w:r>
      <w:r w:rsidR="00995B0D" w:rsidRPr="00AA616A">
        <w:rPr>
          <w:rFonts w:hint="eastAsia"/>
        </w:rPr>
        <w:t>H NMR (400 MHz, CDCl</w:t>
      </w:r>
      <w:r w:rsidR="00995B0D" w:rsidRPr="00AA616A">
        <w:rPr>
          <w:rFonts w:hint="eastAsia"/>
          <w:vertAlign w:val="subscript"/>
        </w:rPr>
        <w:t>3</w:t>
      </w:r>
      <w:r w:rsidR="00995B0D" w:rsidRPr="00AA616A">
        <w:rPr>
          <w:rFonts w:hint="eastAsia"/>
        </w:rPr>
        <w:t xml:space="preserve">) </w:t>
      </w:r>
      <w:r w:rsidR="00995B0D" w:rsidRPr="00C3609A">
        <w:rPr>
          <w:rFonts w:cs="TimesNewRomanWGL"/>
          <w:color w:val="000000" w:themeColor="text1"/>
        </w:rPr>
        <w:t>δ</w:t>
      </w:r>
      <w:r w:rsidR="00995B0D">
        <w:rPr>
          <w:rFonts w:ascii="Symbol" w:hAnsi="Symbol"/>
        </w:rPr>
        <w:t></w:t>
      </w:r>
      <w:r w:rsidR="00995B0D">
        <w:rPr>
          <w:rFonts w:ascii="Symbol" w:hAnsi="Symbol"/>
        </w:rPr>
        <w:t></w:t>
      </w:r>
      <w:r w:rsidR="00995B0D" w:rsidRPr="00AA616A">
        <w:rPr>
          <w:rFonts w:eastAsia="SimSun" w:cs="Arial" w:hint="eastAsia"/>
          <w:lang w:eastAsia="zh-CN"/>
        </w:rPr>
        <w:t>4.73</w:t>
      </w:r>
      <w:r w:rsidR="00995B0D">
        <w:rPr>
          <w:rFonts w:eastAsia="SimSun" w:cs="Arial"/>
          <w:lang w:eastAsia="zh-CN"/>
        </w:rPr>
        <w:t>–</w:t>
      </w:r>
      <w:r w:rsidR="00995B0D" w:rsidRPr="00AA616A">
        <w:rPr>
          <w:rFonts w:eastAsia="SimSun" w:cs="Arial" w:hint="eastAsia"/>
          <w:lang w:eastAsia="zh-CN"/>
        </w:rPr>
        <w:t>4.66</w:t>
      </w:r>
      <w:r w:rsidR="00995B0D">
        <w:rPr>
          <w:rFonts w:ascii="Symbol" w:hAnsi="Symbol"/>
        </w:rPr>
        <w:t></w:t>
      </w:r>
      <w:r w:rsidR="00995B0D" w:rsidRPr="00AA616A">
        <w:rPr>
          <w:rFonts w:hint="eastAsia"/>
        </w:rPr>
        <w:t>(</w:t>
      </w:r>
      <w:r w:rsidR="00995B0D" w:rsidRPr="00AA616A">
        <w:t xml:space="preserve">m, </w:t>
      </w:r>
      <w:r w:rsidR="00995B0D" w:rsidRPr="00AA616A">
        <w:rPr>
          <w:rFonts w:hint="eastAsia"/>
        </w:rPr>
        <w:t>1</w:t>
      </w:r>
      <w:r w:rsidR="00995B0D">
        <w:t>H</w:t>
      </w:r>
      <w:r w:rsidR="00995B0D" w:rsidRPr="00AA616A">
        <w:t>)</w:t>
      </w:r>
      <w:r w:rsidR="00995B0D">
        <w:rPr>
          <w:rFonts w:hint="eastAsia"/>
        </w:rPr>
        <w:t>, 4.5</w:t>
      </w:r>
      <w:r w:rsidR="00995B0D">
        <w:rPr>
          <w:rFonts w:eastAsia="SimSun" w:hint="eastAsia"/>
          <w:lang w:eastAsia="zh-CN"/>
        </w:rPr>
        <w:t>2</w:t>
      </w:r>
      <w:r w:rsidR="00995B0D" w:rsidRPr="00AA616A">
        <w:rPr>
          <w:rFonts w:hint="eastAsia"/>
        </w:rPr>
        <w:t xml:space="preserve"> (t </w:t>
      </w:r>
      <w:r w:rsidR="00995B0D" w:rsidRPr="00AA616A">
        <w:rPr>
          <w:rFonts w:hint="eastAsia"/>
          <w:i/>
        </w:rPr>
        <w:t>J</w:t>
      </w:r>
      <w:r w:rsidR="00995B0D">
        <w:rPr>
          <w:rFonts w:hint="eastAsia"/>
        </w:rPr>
        <w:t xml:space="preserve"> 8.0 Hz, 1H</w:t>
      </w:r>
      <w:r w:rsidR="00995B0D" w:rsidRPr="00AA616A">
        <w:rPr>
          <w:rFonts w:hint="eastAsia"/>
        </w:rPr>
        <w:t xml:space="preserve">), 4.06 (t </w:t>
      </w:r>
      <w:r w:rsidR="00995B0D" w:rsidRPr="00AA616A">
        <w:rPr>
          <w:rFonts w:hint="eastAsia"/>
          <w:i/>
        </w:rPr>
        <w:t>J</w:t>
      </w:r>
      <w:r w:rsidR="00995B0D">
        <w:rPr>
          <w:rFonts w:hint="eastAsia"/>
        </w:rPr>
        <w:t xml:space="preserve"> 8.0 Hz, 1H</w:t>
      </w:r>
      <w:r w:rsidR="00995B0D" w:rsidRPr="00AA616A">
        <w:rPr>
          <w:rFonts w:hint="eastAsia"/>
        </w:rPr>
        <w:t>), 1.84</w:t>
      </w:r>
      <w:r w:rsidR="00995B0D">
        <w:t>–</w:t>
      </w:r>
      <w:r w:rsidR="00995B0D">
        <w:rPr>
          <w:rFonts w:hint="eastAsia"/>
        </w:rPr>
        <w:t>1.70 (m, 2H</w:t>
      </w:r>
      <w:r w:rsidR="00995B0D" w:rsidRPr="00AA616A">
        <w:rPr>
          <w:rFonts w:hint="eastAsia"/>
        </w:rPr>
        <w:t>), 1.63</w:t>
      </w:r>
      <w:r w:rsidR="00995B0D">
        <w:t>–</w:t>
      </w:r>
      <w:r w:rsidR="00995B0D">
        <w:rPr>
          <w:rFonts w:hint="eastAsia"/>
        </w:rPr>
        <w:t>1.26 (m, 1</w:t>
      </w:r>
      <w:r w:rsidR="00995B0D">
        <w:rPr>
          <w:rFonts w:eastAsia="SimSun" w:hint="eastAsia"/>
          <w:lang w:eastAsia="zh-CN"/>
        </w:rPr>
        <w:t>6</w:t>
      </w:r>
      <w:r w:rsidR="00995B0D">
        <w:rPr>
          <w:rFonts w:hint="eastAsia"/>
        </w:rPr>
        <w:t>H</w:t>
      </w:r>
      <w:r w:rsidR="00995B0D" w:rsidRPr="00AA616A">
        <w:rPr>
          <w:rFonts w:hint="eastAsia"/>
        </w:rPr>
        <w:t xml:space="preserve">), 0.88 (t </w:t>
      </w:r>
      <w:r w:rsidR="00995B0D" w:rsidRPr="00AA616A">
        <w:rPr>
          <w:rFonts w:hint="eastAsia"/>
          <w:i/>
        </w:rPr>
        <w:t>J</w:t>
      </w:r>
      <w:r w:rsidR="00995B0D" w:rsidRPr="00AA616A">
        <w:rPr>
          <w:rFonts w:hint="eastAsia"/>
        </w:rPr>
        <w:t xml:space="preserve"> 8.0 Hz, </w:t>
      </w:r>
      <w:r w:rsidR="00995B0D">
        <w:t>3H</w:t>
      </w:r>
      <w:r w:rsidR="00995B0D" w:rsidRPr="005F72CA">
        <w:rPr>
          <w:rFonts w:hint="eastAsia"/>
        </w:rPr>
        <w:t>);</w:t>
      </w:r>
      <w:r w:rsidR="00995B0D" w:rsidRPr="005F72CA">
        <w:t xml:space="preserve"> </w:t>
      </w:r>
      <w:r w:rsidR="00995B0D" w:rsidRPr="005F72CA">
        <w:rPr>
          <w:rFonts w:hint="eastAsia"/>
          <w:vertAlign w:val="superscript"/>
        </w:rPr>
        <w:t>13</w:t>
      </w:r>
      <w:r w:rsidR="00995B0D" w:rsidRPr="005F72CA">
        <w:rPr>
          <w:rFonts w:hint="eastAsia"/>
        </w:rPr>
        <w:t xml:space="preserve">C NMR </w:t>
      </w:r>
      <w:r w:rsidR="00995B0D" w:rsidRPr="00C60BD3">
        <w:rPr>
          <w:rFonts w:hint="eastAsia"/>
        </w:rPr>
        <w:t>(100 MHz, CDCl</w:t>
      </w:r>
      <w:r w:rsidR="00995B0D" w:rsidRPr="00C60BD3">
        <w:rPr>
          <w:rFonts w:hint="eastAsia"/>
          <w:vertAlign w:val="subscript"/>
        </w:rPr>
        <w:t>3</w:t>
      </w:r>
      <w:r w:rsidR="00995B0D" w:rsidRPr="00C60BD3">
        <w:rPr>
          <w:rFonts w:hint="eastAsia"/>
        </w:rPr>
        <w:t xml:space="preserve">) </w:t>
      </w:r>
      <w:r w:rsidR="00995B0D" w:rsidRPr="00C3609A">
        <w:rPr>
          <w:rFonts w:cs="TimesNewRomanWGL"/>
          <w:color w:val="000000" w:themeColor="text1"/>
        </w:rPr>
        <w:t>δ</w:t>
      </w:r>
      <w:r w:rsidR="00995B0D" w:rsidRPr="00C60BD3">
        <w:rPr>
          <w:rFonts w:ascii="Symbol" w:hAnsi="Symbol"/>
        </w:rPr>
        <w:t></w:t>
      </w:r>
      <w:r w:rsidR="00995B0D" w:rsidRPr="00C60BD3">
        <w:rPr>
          <w:rFonts w:ascii="Symbol" w:hAnsi="Symbol"/>
        </w:rPr>
        <w:t></w:t>
      </w:r>
      <w:r w:rsidR="00995B0D">
        <w:rPr>
          <w:rFonts w:hint="eastAsia"/>
        </w:rPr>
        <w:t>155.1</w:t>
      </w:r>
      <w:r w:rsidR="00995B0D" w:rsidRPr="00C60BD3">
        <w:rPr>
          <w:rFonts w:hint="eastAsia"/>
        </w:rPr>
        <w:t xml:space="preserve">, </w:t>
      </w:r>
      <w:r w:rsidR="00995B0D">
        <w:rPr>
          <w:rFonts w:hint="eastAsia"/>
        </w:rPr>
        <w:t>77</w:t>
      </w:r>
      <w:r w:rsidR="00995B0D">
        <w:t>.1</w:t>
      </w:r>
      <w:r w:rsidR="00995B0D" w:rsidRPr="00A732B3">
        <w:rPr>
          <w:rFonts w:hint="eastAsia"/>
        </w:rPr>
        <w:t xml:space="preserve">, </w:t>
      </w:r>
      <w:r w:rsidR="00995B0D">
        <w:t>69.4</w:t>
      </w:r>
      <w:r w:rsidR="00995B0D" w:rsidRPr="00A732B3">
        <w:rPr>
          <w:rFonts w:eastAsia="SimSun" w:hint="eastAsia"/>
          <w:lang w:eastAsia="zh-CN"/>
        </w:rPr>
        <w:t xml:space="preserve">, </w:t>
      </w:r>
      <w:r w:rsidR="00995B0D">
        <w:t>33.</w:t>
      </w:r>
      <w:r w:rsidR="00995B0D">
        <w:rPr>
          <w:rFonts w:eastAsia="SimSun" w:hint="eastAsia"/>
          <w:lang w:eastAsia="zh-CN"/>
        </w:rPr>
        <w:t>9</w:t>
      </w:r>
      <w:r w:rsidR="00995B0D" w:rsidRPr="00A732B3">
        <w:rPr>
          <w:rFonts w:eastAsia="SimSun" w:hint="eastAsia"/>
          <w:lang w:eastAsia="zh-CN"/>
        </w:rPr>
        <w:t>,</w:t>
      </w:r>
      <w:r w:rsidR="00995B0D" w:rsidRPr="00A732B3">
        <w:rPr>
          <w:rFonts w:eastAsia="SimSun"/>
          <w:lang w:eastAsia="zh-CN"/>
        </w:rPr>
        <w:t xml:space="preserve"> 31.8</w:t>
      </w:r>
      <w:r w:rsidR="00995B0D" w:rsidRPr="00A732B3">
        <w:rPr>
          <w:rFonts w:eastAsia="SimSun" w:hint="eastAsia"/>
          <w:lang w:eastAsia="zh-CN"/>
        </w:rPr>
        <w:t xml:space="preserve">, </w:t>
      </w:r>
      <w:r w:rsidR="00995B0D">
        <w:rPr>
          <w:rFonts w:eastAsia="SimSun"/>
          <w:lang w:eastAsia="zh-CN"/>
        </w:rPr>
        <w:t>29.5</w:t>
      </w:r>
      <w:r w:rsidR="00995B0D" w:rsidRPr="00A732B3">
        <w:rPr>
          <w:rFonts w:eastAsia="SimSun" w:hint="eastAsia"/>
          <w:lang w:eastAsia="zh-CN"/>
        </w:rPr>
        <w:t>,</w:t>
      </w:r>
      <w:r w:rsidR="00995B0D">
        <w:rPr>
          <w:rFonts w:eastAsia="SimSun"/>
          <w:lang w:eastAsia="zh-CN"/>
        </w:rPr>
        <w:t xml:space="preserve"> 29.4</w:t>
      </w:r>
      <w:r w:rsidR="00995B0D" w:rsidRPr="00A732B3">
        <w:rPr>
          <w:rFonts w:eastAsia="SimSun" w:hint="eastAsia"/>
          <w:lang w:eastAsia="zh-CN"/>
        </w:rPr>
        <w:t xml:space="preserve">, </w:t>
      </w:r>
      <w:r w:rsidR="00995B0D">
        <w:rPr>
          <w:rFonts w:eastAsia="SimSun"/>
          <w:lang w:eastAsia="zh-CN"/>
        </w:rPr>
        <w:t>29.3</w:t>
      </w:r>
      <w:r w:rsidR="00995B0D" w:rsidRPr="00A732B3">
        <w:rPr>
          <w:rFonts w:eastAsia="SimSun" w:hint="eastAsia"/>
          <w:lang w:eastAsia="zh-CN"/>
        </w:rPr>
        <w:t xml:space="preserve">, </w:t>
      </w:r>
      <w:r w:rsidR="00995B0D">
        <w:rPr>
          <w:rFonts w:eastAsia="SimSun"/>
          <w:lang w:eastAsia="zh-CN"/>
        </w:rPr>
        <w:t>29.2</w:t>
      </w:r>
      <w:r w:rsidR="00995B0D" w:rsidRPr="00A732B3">
        <w:rPr>
          <w:rFonts w:eastAsia="SimSun" w:hint="eastAsia"/>
          <w:lang w:eastAsia="zh-CN"/>
        </w:rPr>
        <w:t xml:space="preserve">, </w:t>
      </w:r>
      <w:r w:rsidR="00995B0D">
        <w:rPr>
          <w:rFonts w:eastAsia="SimSun"/>
          <w:lang w:eastAsia="zh-CN"/>
        </w:rPr>
        <w:t>29.1</w:t>
      </w:r>
      <w:r w:rsidR="00995B0D" w:rsidRPr="00A732B3">
        <w:rPr>
          <w:rFonts w:eastAsia="SimSun" w:hint="eastAsia"/>
          <w:lang w:eastAsia="zh-CN"/>
        </w:rPr>
        <w:t>,</w:t>
      </w:r>
      <w:r w:rsidR="00995B0D">
        <w:rPr>
          <w:rFonts w:eastAsia="SimSun"/>
          <w:lang w:eastAsia="zh-CN"/>
        </w:rPr>
        <w:t xml:space="preserve"> 24.3</w:t>
      </w:r>
      <w:r w:rsidR="00995B0D" w:rsidRPr="00A732B3">
        <w:rPr>
          <w:rFonts w:eastAsia="SimSun" w:hint="eastAsia"/>
          <w:lang w:eastAsia="zh-CN"/>
        </w:rPr>
        <w:t xml:space="preserve">, </w:t>
      </w:r>
      <w:r w:rsidR="00995B0D">
        <w:rPr>
          <w:rFonts w:eastAsia="SimSun"/>
          <w:lang w:eastAsia="zh-CN"/>
        </w:rPr>
        <w:t>22.6</w:t>
      </w:r>
      <w:r w:rsidR="00995B0D" w:rsidRPr="00A732B3">
        <w:rPr>
          <w:rFonts w:eastAsia="SimSun" w:hint="eastAsia"/>
          <w:lang w:eastAsia="zh-CN"/>
        </w:rPr>
        <w:t xml:space="preserve">, </w:t>
      </w:r>
      <w:r w:rsidR="00995B0D">
        <w:rPr>
          <w:rFonts w:hint="eastAsia"/>
        </w:rPr>
        <w:t>14.</w:t>
      </w:r>
      <w:r w:rsidR="00995B0D">
        <w:rPr>
          <w:rFonts w:eastAsia="SimSun" w:hint="eastAsia"/>
          <w:lang w:eastAsia="zh-CN"/>
        </w:rPr>
        <w:t>1</w:t>
      </w:r>
      <w:r w:rsidR="00995B0D">
        <w:t>.</w:t>
      </w:r>
    </w:p>
    <w:p w:rsidR="00B04BE2" w:rsidRDefault="00B04BE2" w:rsidP="00F72699">
      <w:pPr>
        <w:pStyle w:val="P1"/>
        <w:rPr>
          <w:rFonts w:cs="TimesNewRomanWGL-Bold"/>
          <w:b/>
          <w:bCs/>
          <w:color w:val="000000" w:themeColor="text1"/>
        </w:rPr>
      </w:pPr>
      <w:r>
        <w:rPr>
          <w:rFonts w:cs="TimesNewRomanWGL-Bold"/>
          <w:b/>
          <w:bCs/>
          <w:color w:val="000000" w:themeColor="text1"/>
        </w:rPr>
        <w:t>3-Phenoxyp</w:t>
      </w:r>
      <w:r w:rsidRPr="009951B0">
        <w:rPr>
          <w:rFonts w:cs="TimesNewRomanWGL-Bold"/>
          <w:b/>
          <w:bCs/>
          <w:color w:val="000000" w:themeColor="text1"/>
        </w:rPr>
        <w:t>ropylene carbonate</w:t>
      </w:r>
      <w:r>
        <w:rPr>
          <w:rFonts w:cs="TimesNewRomanWGL-Bold"/>
          <w:b/>
          <w:bCs/>
          <w:color w:val="000000" w:themeColor="text1"/>
        </w:rPr>
        <w:t xml:space="preserve"> 2i</w:t>
      </w:r>
      <w:r w:rsidRPr="009951B0">
        <w:rPr>
          <w:rFonts w:cs="TimesNewRomanWGL-Bold"/>
          <w:b/>
          <w:bCs/>
          <w:color w:val="000000" w:themeColor="text1"/>
        </w:rPr>
        <w:t>:</w:t>
      </w:r>
      <w:r w:rsidRPr="00B04BE2">
        <w:rPr>
          <w:rFonts w:cs="TimesNewRomanWGL-Bold"/>
          <w:bCs/>
          <w:color w:val="FF0000"/>
        </w:rPr>
        <w:t xml:space="preserve"> </w:t>
      </w:r>
      <w:r w:rsidR="00995B0D">
        <w:t>Mp</w:t>
      </w:r>
      <w:r w:rsidR="00995B0D" w:rsidRPr="00C0378F">
        <w:t xml:space="preserve"> 94</w:t>
      </w:r>
      <w:r w:rsidR="00995B0D">
        <w:rPr>
          <w:rFonts w:eastAsia="SimSun"/>
          <w:lang w:eastAsia="zh-CN"/>
        </w:rPr>
        <w:t>–</w:t>
      </w:r>
      <w:r w:rsidR="00995B0D" w:rsidRPr="00C0378F">
        <w:t xml:space="preserve">96 </w:t>
      </w:r>
      <w:r w:rsidR="00995B0D" w:rsidRPr="00943CC7">
        <w:rPr>
          <w:rFonts w:cs="Arial"/>
          <w:color w:val="000000" w:themeColor="text1"/>
          <w:vertAlign w:val="superscript"/>
        </w:rPr>
        <w:t>°</w:t>
      </w:r>
      <w:r w:rsidR="00995B0D">
        <w:t>C</w:t>
      </w:r>
      <w:r w:rsidR="00995B0D" w:rsidRPr="00C0378F">
        <w:t>;</w:t>
      </w:r>
      <w:r w:rsidR="00995B0D" w:rsidRPr="00FD7C00">
        <w:rPr>
          <w:rFonts w:ascii="Symbol" w:hAnsi="Symbol"/>
          <w:color w:val="000000" w:themeColor="text1"/>
        </w:rPr>
        <w:t></w:t>
      </w:r>
      <w:r w:rsidR="00995B0D">
        <w:rPr>
          <w:rFonts w:ascii="Symbol" w:hAnsi="Symbol"/>
          <w:color w:val="000000" w:themeColor="text1"/>
        </w:rPr>
        <w:t></w:t>
      </w:r>
      <w:r w:rsidR="00995B0D" w:rsidRPr="00943CC7">
        <w:rPr>
          <w:color w:val="000000" w:themeColor="text1"/>
          <w:vertAlign w:val="subscript"/>
        </w:rPr>
        <w:t>max</w:t>
      </w:r>
      <w:r w:rsidR="00995B0D">
        <w:rPr>
          <w:color w:val="000000" w:themeColor="text1"/>
        </w:rPr>
        <w:t xml:space="preserve">(ATR) </w:t>
      </w:r>
      <w:r w:rsidR="00995B0D">
        <w:t xml:space="preserve">3429, 3061, 2989, 2924, 2328 and </w:t>
      </w:r>
      <w:r w:rsidR="00995B0D" w:rsidRPr="00AE04DA">
        <w:t>1791</w:t>
      </w:r>
      <w:r w:rsidR="00995B0D" w:rsidRPr="00FD7C00">
        <w:rPr>
          <w:color w:val="000000" w:themeColor="text1"/>
        </w:rPr>
        <w:t xml:space="preserve"> </w:t>
      </w:r>
      <w:r w:rsidR="00995B0D">
        <w:rPr>
          <w:color w:val="000000" w:themeColor="text1"/>
        </w:rPr>
        <w:t>cm</w:t>
      </w:r>
      <w:r w:rsidR="00995B0D" w:rsidRPr="00943CC7">
        <w:rPr>
          <w:color w:val="000000" w:themeColor="text1"/>
          <w:vertAlign w:val="superscript"/>
        </w:rPr>
        <w:t>-</w:t>
      </w:r>
      <w:r w:rsidR="00995B0D" w:rsidRPr="00A81EB6">
        <w:rPr>
          <w:color w:val="000000" w:themeColor="text1"/>
          <w:vertAlign w:val="superscript"/>
        </w:rPr>
        <w:t>1</w:t>
      </w:r>
      <w:r w:rsidR="00995B0D">
        <w:rPr>
          <w:color w:val="000000" w:themeColor="text1"/>
        </w:rPr>
        <w:t>;</w:t>
      </w:r>
      <w:r w:rsidR="00995B0D" w:rsidRPr="00C0378F">
        <w:rPr>
          <w:vertAlign w:val="superscript"/>
        </w:rPr>
        <w:t xml:space="preserve"> 1</w:t>
      </w:r>
      <w:r w:rsidR="00995B0D" w:rsidRPr="00C0378F">
        <w:t>H NMR (400 MHz, CDCl</w:t>
      </w:r>
      <w:r w:rsidR="00995B0D" w:rsidRPr="00C0378F">
        <w:rPr>
          <w:vertAlign w:val="subscript"/>
        </w:rPr>
        <w:t>3</w:t>
      </w:r>
      <w:r w:rsidR="00995B0D" w:rsidRPr="00C0378F">
        <w:t xml:space="preserve">) </w:t>
      </w:r>
      <w:r w:rsidR="00995B0D" w:rsidRPr="00C3609A">
        <w:rPr>
          <w:rFonts w:cs="TimesNewRomanWGL"/>
          <w:color w:val="000000" w:themeColor="text1"/>
        </w:rPr>
        <w:t>δ</w:t>
      </w:r>
      <w:r w:rsidR="00995B0D" w:rsidRPr="00EF2B2A">
        <w:rPr>
          <w:rFonts w:ascii="Symbol" w:hAnsi="Symbol"/>
        </w:rPr>
        <w:t></w:t>
      </w:r>
      <w:r w:rsidR="00995B0D" w:rsidRPr="00EF2B2A">
        <w:rPr>
          <w:rFonts w:ascii="Symbol" w:hAnsi="Symbol"/>
        </w:rPr>
        <w:t></w:t>
      </w:r>
      <w:r w:rsidR="00995B0D" w:rsidRPr="00C0378F">
        <w:rPr>
          <w:rFonts w:hint="eastAsia"/>
        </w:rPr>
        <w:t>7.</w:t>
      </w:r>
      <w:r w:rsidR="00995B0D" w:rsidRPr="00C0378F">
        <w:rPr>
          <w:rFonts w:eastAsia="SimSun" w:hint="eastAsia"/>
          <w:lang w:eastAsia="zh-CN"/>
        </w:rPr>
        <w:t>30</w:t>
      </w:r>
      <w:r w:rsidR="00995B0D" w:rsidRPr="00C0378F">
        <w:rPr>
          <w:rFonts w:hint="eastAsia"/>
        </w:rPr>
        <w:t xml:space="preserve"> (</w:t>
      </w:r>
      <w:r w:rsidR="00995B0D" w:rsidRPr="00C0378F">
        <w:rPr>
          <w:rFonts w:eastAsia="SimSun" w:hint="eastAsia"/>
          <w:lang w:eastAsia="zh-CN"/>
        </w:rPr>
        <w:t xml:space="preserve">t </w:t>
      </w:r>
      <w:r w:rsidR="00995B0D" w:rsidRPr="00C0378F">
        <w:rPr>
          <w:i/>
        </w:rPr>
        <w:t>J</w:t>
      </w:r>
      <w:r w:rsidR="00995B0D" w:rsidRPr="00C0378F">
        <w:t xml:space="preserve"> 8.0 Hz, </w:t>
      </w:r>
      <w:r w:rsidR="00995B0D" w:rsidRPr="00C0378F">
        <w:rPr>
          <w:rFonts w:eastAsia="SimSun" w:hint="eastAsia"/>
          <w:lang w:eastAsia="zh-CN"/>
        </w:rPr>
        <w:t>2</w:t>
      </w:r>
      <w:r w:rsidR="00995B0D">
        <w:t>H</w:t>
      </w:r>
      <w:r w:rsidR="00995B0D" w:rsidRPr="00C0378F">
        <w:t xml:space="preserve">), </w:t>
      </w:r>
      <w:r w:rsidR="00995B0D" w:rsidRPr="00C0378F">
        <w:rPr>
          <w:rFonts w:hint="eastAsia"/>
        </w:rPr>
        <w:t>7.</w:t>
      </w:r>
      <w:r w:rsidR="00995B0D">
        <w:rPr>
          <w:rFonts w:eastAsia="SimSun" w:hint="eastAsia"/>
          <w:lang w:eastAsia="zh-CN"/>
        </w:rPr>
        <w:t>0</w:t>
      </w:r>
      <w:r w:rsidR="00995B0D">
        <w:rPr>
          <w:rFonts w:eastAsia="SimSun"/>
          <w:lang w:eastAsia="zh-CN"/>
        </w:rPr>
        <w:t>2</w:t>
      </w:r>
      <w:r w:rsidR="00995B0D" w:rsidRPr="00C0378F">
        <w:rPr>
          <w:rFonts w:hint="eastAsia"/>
        </w:rPr>
        <w:t xml:space="preserve"> (</w:t>
      </w:r>
      <w:r w:rsidR="00995B0D" w:rsidRPr="00C0378F">
        <w:rPr>
          <w:rFonts w:eastAsia="SimSun" w:hint="eastAsia"/>
          <w:lang w:eastAsia="zh-CN"/>
        </w:rPr>
        <w:t xml:space="preserve">t </w:t>
      </w:r>
      <w:r w:rsidR="00995B0D" w:rsidRPr="00C0378F">
        <w:rPr>
          <w:i/>
        </w:rPr>
        <w:t>J</w:t>
      </w:r>
      <w:r w:rsidR="00995B0D">
        <w:t xml:space="preserve"> 8.0 Hz, 1H</w:t>
      </w:r>
      <w:r w:rsidR="00995B0D" w:rsidRPr="00C0378F">
        <w:t>),</w:t>
      </w:r>
      <w:r w:rsidR="00995B0D">
        <w:rPr>
          <w:rFonts w:eastAsia="SimSun" w:hint="eastAsia"/>
          <w:lang w:eastAsia="zh-CN"/>
        </w:rPr>
        <w:t xml:space="preserve"> 6.9</w:t>
      </w:r>
      <w:r w:rsidR="00995B0D">
        <w:rPr>
          <w:rFonts w:eastAsia="SimSun"/>
          <w:lang w:eastAsia="zh-CN"/>
        </w:rPr>
        <w:t>1</w:t>
      </w:r>
      <w:r w:rsidR="00995B0D" w:rsidRPr="00C0378F">
        <w:rPr>
          <w:rFonts w:hint="eastAsia"/>
        </w:rPr>
        <w:t xml:space="preserve"> (</w:t>
      </w:r>
      <w:r w:rsidR="00995B0D" w:rsidRPr="00C0378F">
        <w:rPr>
          <w:rFonts w:eastAsia="SimSun" w:hint="eastAsia"/>
          <w:lang w:eastAsia="zh-CN"/>
        </w:rPr>
        <w:t>d</w:t>
      </w:r>
      <w:r w:rsidR="00995B0D">
        <w:rPr>
          <w:rFonts w:eastAsia="SimSun"/>
          <w:lang w:eastAsia="zh-CN"/>
        </w:rPr>
        <w:t xml:space="preserve"> </w:t>
      </w:r>
      <w:r w:rsidR="00995B0D" w:rsidRPr="00C0378F">
        <w:rPr>
          <w:i/>
        </w:rPr>
        <w:t>J</w:t>
      </w:r>
      <w:r w:rsidR="00995B0D">
        <w:t xml:space="preserve"> </w:t>
      </w:r>
      <w:r w:rsidR="00995B0D" w:rsidRPr="00C0378F">
        <w:t xml:space="preserve">8.0 Hz, </w:t>
      </w:r>
      <w:r w:rsidR="00995B0D" w:rsidRPr="00C0378F">
        <w:rPr>
          <w:rFonts w:eastAsia="SimSun" w:hint="eastAsia"/>
          <w:lang w:eastAsia="zh-CN"/>
        </w:rPr>
        <w:t>2</w:t>
      </w:r>
      <w:r w:rsidR="00995B0D">
        <w:t>H</w:t>
      </w:r>
      <w:r w:rsidR="00995B0D" w:rsidRPr="00C0378F">
        <w:t>),</w:t>
      </w:r>
      <w:r w:rsidR="00995B0D" w:rsidRPr="00C0378F">
        <w:rPr>
          <w:rFonts w:eastAsia="SimSun" w:hint="eastAsia"/>
          <w:lang w:eastAsia="zh-CN"/>
        </w:rPr>
        <w:t xml:space="preserve"> </w:t>
      </w:r>
      <w:r w:rsidR="00995B0D" w:rsidRPr="00C0378F">
        <w:t>5.</w:t>
      </w:r>
      <w:r w:rsidR="00995B0D">
        <w:rPr>
          <w:rFonts w:eastAsia="SimSun"/>
          <w:lang w:eastAsia="zh-CN"/>
        </w:rPr>
        <w:t>06</w:t>
      </w:r>
      <w:r w:rsidR="00995B0D" w:rsidRPr="00C0378F">
        <w:rPr>
          <w:rFonts w:eastAsia="SimSun"/>
          <w:lang w:eastAsia="zh-CN"/>
        </w:rPr>
        <w:t>–</w:t>
      </w:r>
      <w:r w:rsidR="00995B0D">
        <w:rPr>
          <w:rFonts w:eastAsia="SimSun" w:hint="eastAsia"/>
          <w:lang w:eastAsia="zh-CN"/>
        </w:rPr>
        <w:t>5.0</w:t>
      </w:r>
      <w:r w:rsidR="00995B0D">
        <w:rPr>
          <w:rFonts w:eastAsia="SimSun"/>
          <w:lang w:eastAsia="zh-CN"/>
        </w:rPr>
        <w:t>1</w:t>
      </w:r>
      <w:r w:rsidR="00995B0D" w:rsidRPr="00C0378F">
        <w:t xml:space="preserve"> (</w:t>
      </w:r>
      <w:r w:rsidR="00995B0D" w:rsidRPr="00C0378F">
        <w:rPr>
          <w:rFonts w:eastAsia="SimSun" w:hint="eastAsia"/>
          <w:lang w:eastAsia="zh-CN"/>
        </w:rPr>
        <w:t>m,</w:t>
      </w:r>
      <w:r w:rsidR="00995B0D">
        <w:t xml:space="preserve"> 1H), 4.62</w:t>
      </w:r>
      <w:r w:rsidR="00995B0D" w:rsidRPr="00C0378F">
        <w:rPr>
          <w:rFonts w:eastAsia="SimSun"/>
          <w:lang w:eastAsia="zh-CN"/>
        </w:rPr>
        <w:t>–</w:t>
      </w:r>
      <w:r w:rsidR="00995B0D">
        <w:rPr>
          <w:rFonts w:eastAsia="SimSun" w:hint="eastAsia"/>
          <w:lang w:eastAsia="zh-CN"/>
        </w:rPr>
        <w:t>4.5</w:t>
      </w:r>
      <w:r w:rsidR="00995B0D">
        <w:rPr>
          <w:rFonts w:eastAsia="SimSun"/>
          <w:lang w:eastAsia="zh-CN"/>
        </w:rPr>
        <w:t>5</w:t>
      </w:r>
      <w:r w:rsidR="00995B0D" w:rsidRPr="00C0378F">
        <w:t xml:space="preserve"> (</w:t>
      </w:r>
      <w:r w:rsidR="00995B0D" w:rsidRPr="00C0378F">
        <w:rPr>
          <w:rFonts w:eastAsia="SimSun" w:hint="eastAsia"/>
          <w:lang w:eastAsia="zh-CN"/>
        </w:rPr>
        <w:t>m,</w:t>
      </w:r>
      <w:r w:rsidR="00995B0D" w:rsidRPr="00C0378F">
        <w:t xml:space="preserve"> </w:t>
      </w:r>
      <w:r w:rsidR="00995B0D" w:rsidRPr="00C0378F">
        <w:rPr>
          <w:rFonts w:eastAsia="SimSun" w:hint="eastAsia"/>
          <w:lang w:eastAsia="zh-CN"/>
        </w:rPr>
        <w:t>2</w:t>
      </w:r>
      <w:r w:rsidR="00995B0D">
        <w:t>H</w:t>
      </w:r>
      <w:r w:rsidR="00995B0D" w:rsidRPr="00C0378F">
        <w:t>), 4.</w:t>
      </w:r>
      <w:r w:rsidR="00995B0D">
        <w:rPr>
          <w:rFonts w:eastAsia="SimSun" w:hint="eastAsia"/>
          <w:lang w:eastAsia="zh-CN"/>
        </w:rPr>
        <w:t>2</w:t>
      </w:r>
      <w:r w:rsidR="00995B0D">
        <w:rPr>
          <w:rFonts w:eastAsia="SimSun"/>
          <w:lang w:eastAsia="zh-CN"/>
        </w:rPr>
        <w:t>4</w:t>
      </w:r>
      <w:r w:rsidR="00995B0D" w:rsidRPr="00C0378F">
        <w:t xml:space="preserve"> (</w:t>
      </w:r>
      <w:r w:rsidR="00995B0D" w:rsidRPr="00C0378F">
        <w:rPr>
          <w:rFonts w:eastAsia="SimSun" w:hint="eastAsia"/>
          <w:lang w:eastAsia="zh-CN"/>
        </w:rPr>
        <w:t>dd</w:t>
      </w:r>
      <w:r w:rsidR="00995B0D" w:rsidRPr="00C0378F">
        <w:t xml:space="preserve"> </w:t>
      </w:r>
      <w:r w:rsidR="00995B0D" w:rsidRPr="00C0378F">
        <w:rPr>
          <w:i/>
        </w:rPr>
        <w:t>J</w:t>
      </w:r>
      <w:r w:rsidR="00995B0D">
        <w:t xml:space="preserve"> </w:t>
      </w:r>
      <w:r w:rsidR="00995B0D" w:rsidRPr="00C0378F">
        <w:rPr>
          <w:rFonts w:eastAsia="SimSun" w:hint="eastAsia"/>
          <w:lang w:eastAsia="zh-CN"/>
        </w:rPr>
        <w:t>11</w:t>
      </w:r>
      <w:r w:rsidR="00995B0D" w:rsidRPr="00C0378F">
        <w:t>.0</w:t>
      </w:r>
      <w:r w:rsidR="00995B0D" w:rsidRPr="00C0378F">
        <w:rPr>
          <w:rFonts w:eastAsia="SimSun" w:hint="eastAsia"/>
          <w:lang w:eastAsia="zh-CN"/>
        </w:rPr>
        <w:t>, 4.0</w:t>
      </w:r>
      <w:r w:rsidR="00995B0D" w:rsidRPr="00C0378F">
        <w:t xml:space="preserve"> Hz, 1H)</w:t>
      </w:r>
      <w:r w:rsidR="00995B0D" w:rsidRPr="00C0378F">
        <w:rPr>
          <w:rFonts w:eastAsia="SimSun" w:hint="eastAsia"/>
          <w:lang w:eastAsia="zh-CN"/>
        </w:rPr>
        <w:t xml:space="preserve">, </w:t>
      </w:r>
      <w:r w:rsidR="00995B0D" w:rsidRPr="00C0378F">
        <w:t>4.</w:t>
      </w:r>
      <w:r w:rsidR="00995B0D" w:rsidRPr="00C0378F">
        <w:rPr>
          <w:rFonts w:eastAsia="SimSun" w:hint="eastAsia"/>
          <w:lang w:eastAsia="zh-CN"/>
        </w:rPr>
        <w:t>16</w:t>
      </w:r>
      <w:r w:rsidR="00995B0D" w:rsidRPr="00C0378F">
        <w:t xml:space="preserve"> (</w:t>
      </w:r>
      <w:r w:rsidR="00995B0D" w:rsidRPr="00C0378F">
        <w:rPr>
          <w:rFonts w:eastAsia="SimSun" w:hint="eastAsia"/>
          <w:lang w:eastAsia="zh-CN"/>
        </w:rPr>
        <w:t>dd</w:t>
      </w:r>
      <w:r w:rsidR="00995B0D" w:rsidRPr="00C0378F">
        <w:t xml:space="preserve"> </w:t>
      </w:r>
      <w:r w:rsidR="00995B0D" w:rsidRPr="00C0378F">
        <w:rPr>
          <w:i/>
        </w:rPr>
        <w:t>J</w:t>
      </w:r>
      <w:r w:rsidR="00995B0D" w:rsidRPr="00C0378F">
        <w:t xml:space="preserve"> </w:t>
      </w:r>
      <w:r w:rsidR="00995B0D" w:rsidRPr="00C0378F">
        <w:rPr>
          <w:rFonts w:eastAsia="SimSun" w:hint="eastAsia"/>
          <w:lang w:eastAsia="zh-CN"/>
        </w:rPr>
        <w:t>11</w:t>
      </w:r>
      <w:r w:rsidR="00995B0D" w:rsidRPr="00C0378F">
        <w:t>.0</w:t>
      </w:r>
      <w:r w:rsidR="00995B0D" w:rsidRPr="00C0378F">
        <w:rPr>
          <w:rFonts w:eastAsia="SimSun" w:hint="eastAsia"/>
          <w:lang w:eastAsia="zh-CN"/>
        </w:rPr>
        <w:t>, 4.0</w:t>
      </w:r>
      <w:r w:rsidR="00995B0D">
        <w:t xml:space="preserve"> Hz, 1H</w:t>
      </w:r>
      <w:r w:rsidR="00995B0D" w:rsidRPr="00C0378F">
        <w:t xml:space="preserve">); </w:t>
      </w:r>
      <w:r w:rsidR="00995B0D" w:rsidRPr="00C0378F">
        <w:rPr>
          <w:vertAlign w:val="superscript"/>
        </w:rPr>
        <w:t>13</w:t>
      </w:r>
      <w:r w:rsidR="00995B0D" w:rsidRPr="00C0378F">
        <w:t>C NMR (100 MHz, CDCl</w:t>
      </w:r>
      <w:r w:rsidR="00995B0D" w:rsidRPr="00C0378F">
        <w:rPr>
          <w:vertAlign w:val="subscript"/>
        </w:rPr>
        <w:t>3</w:t>
      </w:r>
      <w:r w:rsidR="00995B0D" w:rsidRPr="00C0378F">
        <w:t>)</w:t>
      </w:r>
      <w:r w:rsidR="00995B0D" w:rsidRPr="00C0378F">
        <w:rPr>
          <w:rFonts w:ascii="Times New Roman" w:hAnsi="Times New Roman" w:hint="eastAsia"/>
        </w:rPr>
        <w:t xml:space="preserve"> </w:t>
      </w:r>
      <w:r w:rsidR="00995B0D" w:rsidRPr="00C3609A">
        <w:rPr>
          <w:rFonts w:cs="TimesNewRomanWGL"/>
          <w:color w:val="000000" w:themeColor="text1"/>
        </w:rPr>
        <w:t>δ</w:t>
      </w:r>
      <w:r w:rsidR="00995B0D" w:rsidRPr="00EF2B2A">
        <w:rPr>
          <w:rFonts w:ascii="Symbol" w:hAnsi="Symbol"/>
        </w:rPr>
        <w:t></w:t>
      </w:r>
      <w:r w:rsidR="00995B0D" w:rsidRPr="00EF2B2A">
        <w:rPr>
          <w:rFonts w:ascii="Symbol" w:hAnsi="Symbol"/>
        </w:rPr>
        <w:t></w:t>
      </w:r>
      <w:r w:rsidR="00995B0D" w:rsidRPr="00C0378F">
        <w:t>15</w:t>
      </w:r>
      <w:r w:rsidR="00995B0D" w:rsidRPr="00C0378F">
        <w:rPr>
          <w:rFonts w:eastAsia="SimSun" w:hint="eastAsia"/>
          <w:lang w:eastAsia="zh-CN"/>
        </w:rPr>
        <w:t>7</w:t>
      </w:r>
      <w:r w:rsidR="00995B0D">
        <w:t>.</w:t>
      </w:r>
      <w:r w:rsidR="00995B0D">
        <w:rPr>
          <w:rFonts w:eastAsia="SimSun" w:hint="eastAsia"/>
          <w:lang w:eastAsia="zh-CN"/>
        </w:rPr>
        <w:t>7</w:t>
      </w:r>
      <w:r w:rsidR="00995B0D" w:rsidRPr="00C0378F">
        <w:t xml:space="preserve">, </w:t>
      </w:r>
      <w:r w:rsidR="00995B0D" w:rsidRPr="00C0378F">
        <w:rPr>
          <w:rFonts w:eastAsia="SimSun" w:hint="eastAsia"/>
          <w:lang w:eastAsia="zh-CN"/>
        </w:rPr>
        <w:t>154.</w:t>
      </w:r>
      <w:r w:rsidR="00995B0D">
        <w:rPr>
          <w:rFonts w:eastAsia="SimSun" w:hint="eastAsia"/>
          <w:lang w:eastAsia="zh-CN"/>
        </w:rPr>
        <w:t>6</w:t>
      </w:r>
      <w:r w:rsidR="00995B0D">
        <w:t>, 129.</w:t>
      </w:r>
      <w:r w:rsidR="00995B0D">
        <w:rPr>
          <w:rFonts w:eastAsia="SimSun" w:hint="eastAsia"/>
          <w:lang w:eastAsia="zh-CN"/>
        </w:rPr>
        <w:t>7</w:t>
      </w:r>
      <w:r w:rsidR="00995B0D" w:rsidRPr="00C0378F">
        <w:t>, 12</w:t>
      </w:r>
      <w:r w:rsidR="00995B0D" w:rsidRPr="00C0378F">
        <w:rPr>
          <w:rFonts w:eastAsia="SimSun" w:hint="eastAsia"/>
          <w:lang w:eastAsia="zh-CN"/>
        </w:rPr>
        <w:t>2.</w:t>
      </w:r>
      <w:r w:rsidR="00995B0D">
        <w:rPr>
          <w:rFonts w:eastAsia="SimSun" w:hint="eastAsia"/>
          <w:lang w:eastAsia="zh-CN"/>
        </w:rPr>
        <w:t>0</w:t>
      </w:r>
      <w:r w:rsidR="00995B0D" w:rsidRPr="00C0378F">
        <w:t>, 1</w:t>
      </w:r>
      <w:r w:rsidR="00995B0D" w:rsidRPr="00C0378F">
        <w:rPr>
          <w:rFonts w:eastAsia="SimSun" w:hint="eastAsia"/>
          <w:lang w:eastAsia="zh-CN"/>
        </w:rPr>
        <w:t>14.</w:t>
      </w:r>
      <w:r w:rsidR="00995B0D">
        <w:rPr>
          <w:rFonts w:eastAsia="SimSun" w:hint="eastAsia"/>
          <w:lang w:eastAsia="zh-CN"/>
        </w:rPr>
        <w:t>6</w:t>
      </w:r>
      <w:r w:rsidR="00995B0D" w:rsidRPr="00C0378F">
        <w:t>, 7</w:t>
      </w:r>
      <w:r w:rsidR="00995B0D" w:rsidRPr="00C0378F">
        <w:rPr>
          <w:rFonts w:eastAsia="SimSun" w:hint="eastAsia"/>
          <w:lang w:eastAsia="zh-CN"/>
        </w:rPr>
        <w:t>4.</w:t>
      </w:r>
      <w:r w:rsidR="00995B0D">
        <w:rPr>
          <w:rFonts w:eastAsia="SimSun" w:hint="eastAsia"/>
          <w:lang w:eastAsia="zh-CN"/>
        </w:rPr>
        <w:t>0</w:t>
      </w:r>
      <w:r w:rsidR="00995B0D" w:rsidRPr="00C0378F">
        <w:t xml:space="preserve">, </w:t>
      </w:r>
      <w:r w:rsidR="00995B0D" w:rsidRPr="00C0378F">
        <w:rPr>
          <w:rFonts w:eastAsia="SimSun" w:hint="eastAsia"/>
          <w:lang w:eastAsia="zh-CN"/>
        </w:rPr>
        <w:t>66.</w:t>
      </w:r>
      <w:r w:rsidR="00995B0D">
        <w:rPr>
          <w:rFonts w:eastAsia="SimSun" w:hint="eastAsia"/>
          <w:lang w:eastAsia="zh-CN"/>
        </w:rPr>
        <w:t>8, 66.2</w:t>
      </w:r>
      <w:r w:rsidR="00995B0D">
        <w:rPr>
          <w:rFonts w:eastAsia="SimSun"/>
          <w:lang w:eastAsia="zh-CN"/>
        </w:rPr>
        <w:t>.</w:t>
      </w:r>
    </w:p>
    <w:p w:rsidR="00B04BE2" w:rsidRDefault="00B04BE2" w:rsidP="00F72699">
      <w:pPr>
        <w:pStyle w:val="P1"/>
        <w:rPr>
          <w:rFonts w:cs="TimesNewRomanWGL-Bold"/>
          <w:b/>
          <w:bCs/>
          <w:color w:val="000000" w:themeColor="text1"/>
        </w:rPr>
      </w:pPr>
      <w:r>
        <w:rPr>
          <w:rFonts w:cs="TimesNewRomanWGL-Bold"/>
          <w:b/>
          <w:bCs/>
          <w:color w:val="000000" w:themeColor="text1"/>
        </w:rPr>
        <w:t>Glycerol carbonate 2j:</w:t>
      </w:r>
      <w:r w:rsidRPr="00B04BE2">
        <w:rPr>
          <w:rFonts w:cs="TimesNewRomanWGL-Bold"/>
          <w:bCs/>
          <w:color w:val="FF0000"/>
        </w:rPr>
        <w:t xml:space="preserve"> </w:t>
      </w:r>
      <w:r w:rsidR="00995B0D">
        <w:t>.</w:t>
      </w:r>
      <w:r w:rsidR="00995B0D" w:rsidRPr="00FD7C00">
        <w:rPr>
          <w:rFonts w:ascii="Symbol" w:hAnsi="Symbol"/>
          <w:color w:val="000000" w:themeColor="text1"/>
        </w:rPr>
        <w:t></w:t>
      </w:r>
      <w:r w:rsidR="00995B0D">
        <w:rPr>
          <w:rFonts w:ascii="Symbol" w:hAnsi="Symbol"/>
          <w:color w:val="000000" w:themeColor="text1"/>
        </w:rPr>
        <w:t></w:t>
      </w:r>
      <w:r w:rsidR="00995B0D" w:rsidRPr="00943CC7">
        <w:rPr>
          <w:color w:val="000000" w:themeColor="text1"/>
          <w:vertAlign w:val="subscript"/>
        </w:rPr>
        <w:t>max</w:t>
      </w:r>
      <w:r w:rsidR="00995B0D">
        <w:rPr>
          <w:color w:val="000000" w:themeColor="text1"/>
        </w:rPr>
        <w:t xml:space="preserve">(ATR) </w:t>
      </w:r>
      <w:r w:rsidR="00995B0D">
        <w:t>3382, 2901 and</w:t>
      </w:r>
      <w:r w:rsidR="00995B0D" w:rsidRPr="00FA0D6A">
        <w:t xml:space="preserve"> 1799</w:t>
      </w:r>
      <w:r w:rsidR="00995B0D" w:rsidRPr="00037196">
        <w:rPr>
          <w:color w:val="000000" w:themeColor="text1"/>
        </w:rPr>
        <w:t xml:space="preserve"> </w:t>
      </w:r>
      <w:r w:rsidR="00995B0D">
        <w:rPr>
          <w:color w:val="000000" w:themeColor="text1"/>
        </w:rPr>
        <w:t>cm</w:t>
      </w:r>
      <w:r w:rsidR="00995B0D" w:rsidRPr="00943CC7">
        <w:rPr>
          <w:color w:val="000000" w:themeColor="text1"/>
          <w:vertAlign w:val="superscript"/>
        </w:rPr>
        <w:t>-</w:t>
      </w:r>
      <w:r w:rsidR="00995B0D" w:rsidRPr="00A81EB6">
        <w:rPr>
          <w:color w:val="000000" w:themeColor="text1"/>
          <w:vertAlign w:val="superscript"/>
        </w:rPr>
        <w:t>1</w:t>
      </w:r>
      <w:r w:rsidR="00995B0D">
        <w:rPr>
          <w:color w:val="000000" w:themeColor="text1"/>
        </w:rPr>
        <w:t>;</w:t>
      </w:r>
      <w:r w:rsidR="00995B0D">
        <w:rPr>
          <w:rFonts w:eastAsia="SimSun"/>
          <w:lang w:eastAsia="zh-CN"/>
        </w:rPr>
        <w:t xml:space="preserve"> </w:t>
      </w:r>
      <w:r w:rsidR="00995B0D" w:rsidRPr="003824DB">
        <w:rPr>
          <w:vertAlign w:val="superscript"/>
        </w:rPr>
        <w:t>1</w:t>
      </w:r>
      <w:r w:rsidR="00995B0D" w:rsidRPr="003824DB">
        <w:t>H NMR (400 MHz, CDCl</w:t>
      </w:r>
      <w:r w:rsidR="00995B0D" w:rsidRPr="003824DB">
        <w:rPr>
          <w:vertAlign w:val="subscript"/>
        </w:rPr>
        <w:t>3</w:t>
      </w:r>
      <w:r w:rsidR="00995B0D" w:rsidRPr="003824DB">
        <w:t xml:space="preserve">) </w:t>
      </w:r>
      <w:r w:rsidR="00995B0D" w:rsidRPr="00C3609A">
        <w:rPr>
          <w:rFonts w:cs="TimesNewRomanWGL"/>
          <w:color w:val="000000" w:themeColor="text1"/>
        </w:rPr>
        <w:t>δ</w:t>
      </w:r>
      <w:r w:rsidR="00995B0D" w:rsidRPr="00EF2B2A">
        <w:rPr>
          <w:rFonts w:ascii="Symbol" w:hAnsi="Symbol"/>
        </w:rPr>
        <w:t></w:t>
      </w:r>
      <w:r w:rsidR="00995B0D" w:rsidRPr="00EF2B2A">
        <w:rPr>
          <w:rFonts w:ascii="Symbol" w:hAnsi="Symbol"/>
        </w:rPr>
        <w:t></w:t>
      </w:r>
      <w:r w:rsidR="00995B0D" w:rsidRPr="00A238CB">
        <w:rPr>
          <w:rFonts w:eastAsia="SimSun" w:hint="eastAsia"/>
          <w:lang w:eastAsia="zh-CN"/>
        </w:rPr>
        <w:t>4.</w:t>
      </w:r>
      <w:r w:rsidR="00995B0D">
        <w:rPr>
          <w:rFonts w:eastAsia="SimSun" w:hint="eastAsia"/>
          <w:lang w:eastAsia="zh-CN"/>
        </w:rPr>
        <w:t>8</w:t>
      </w:r>
      <w:r w:rsidR="00995B0D">
        <w:rPr>
          <w:rFonts w:eastAsia="SimSun"/>
          <w:lang w:eastAsia="zh-CN"/>
        </w:rPr>
        <w:t>4–</w:t>
      </w:r>
      <w:r w:rsidR="00995B0D">
        <w:rPr>
          <w:rFonts w:eastAsia="SimSun" w:hint="eastAsia"/>
          <w:lang w:eastAsia="zh-CN"/>
        </w:rPr>
        <w:t>4.7</w:t>
      </w:r>
      <w:r w:rsidR="00995B0D">
        <w:rPr>
          <w:rFonts w:eastAsia="SimSun"/>
          <w:lang w:eastAsia="zh-CN"/>
        </w:rPr>
        <w:t>8</w:t>
      </w:r>
      <w:r w:rsidR="00995B0D">
        <w:t xml:space="preserve"> (m, 1H), 4.52</w:t>
      </w:r>
      <w:r w:rsidR="00995B0D" w:rsidRPr="003824DB">
        <w:t xml:space="preserve"> (t </w:t>
      </w:r>
      <w:r w:rsidR="00995B0D" w:rsidRPr="003824DB">
        <w:rPr>
          <w:i/>
        </w:rPr>
        <w:t>J</w:t>
      </w:r>
      <w:r w:rsidR="00995B0D">
        <w:t xml:space="preserve"> </w:t>
      </w:r>
      <w:r w:rsidR="00995B0D" w:rsidRPr="003824DB">
        <w:t>8.0 Hz, 1H</w:t>
      </w:r>
      <w:r w:rsidR="00995B0D">
        <w:t>), 4.44</w:t>
      </w:r>
      <w:r w:rsidR="00995B0D" w:rsidRPr="003824DB">
        <w:t xml:space="preserve"> (dd </w:t>
      </w:r>
      <w:r w:rsidR="00995B0D" w:rsidRPr="003824DB">
        <w:rPr>
          <w:i/>
        </w:rPr>
        <w:t>J</w:t>
      </w:r>
      <w:r w:rsidR="00995B0D" w:rsidRPr="003824DB">
        <w:t xml:space="preserve"> 8.0</w:t>
      </w:r>
      <w:r w:rsidR="00995B0D">
        <w:t>, 4.0 Hz, 1H), 3.96 (d</w:t>
      </w:r>
      <w:r w:rsidR="00995B0D" w:rsidRPr="00F23D47">
        <w:t xml:space="preserve"> </w:t>
      </w:r>
      <w:r w:rsidR="00995B0D" w:rsidRPr="00F23D47">
        <w:rPr>
          <w:i/>
        </w:rPr>
        <w:t>J</w:t>
      </w:r>
      <w:r w:rsidR="00995B0D">
        <w:t xml:space="preserve"> 16.0, 4.0 Hz, 1H), 3.68 (d</w:t>
      </w:r>
      <w:r w:rsidR="00995B0D" w:rsidRPr="00F23D47">
        <w:t xml:space="preserve"> </w:t>
      </w:r>
      <w:r w:rsidR="00995B0D" w:rsidRPr="00F23D47">
        <w:rPr>
          <w:i/>
        </w:rPr>
        <w:t>J</w:t>
      </w:r>
      <w:r w:rsidR="00995B0D">
        <w:t xml:space="preserve"> 16.0, 4.0 Hz, 1H</w:t>
      </w:r>
      <w:r w:rsidR="00995B0D" w:rsidRPr="00F23D47">
        <w:t xml:space="preserve">); </w:t>
      </w:r>
      <w:r w:rsidR="00995B0D" w:rsidRPr="00F23D47">
        <w:rPr>
          <w:vertAlign w:val="superscript"/>
        </w:rPr>
        <w:t>13</w:t>
      </w:r>
      <w:r w:rsidR="00995B0D" w:rsidRPr="00F23D47">
        <w:t>C NMR (100 MHz</w:t>
      </w:r>
      <w:r w:rsidR="00995B0D" w:rsidRPr="00720FCA">
        <w:t>, CDCl</w:t>
      </w:r>
      <w:r w:rsidR="00995B0D" w:rsidRPr="00720FCA">
        <w:rPr>
          <w:vertAlign w:val="subscript"/>
        </w:rPr>
        <w:t>3</w:t>
      </w:r>
      <w:r w:rsidR="00995B0D" w:rsidRPr="00720FCA">
        <w:t xml:space="preserve">) </w:t>
      </w:r>
      <w:r w:rsidR="00995B0D" w:rsidRPr="00C3609A">
        <w:rPr>
          <w:rFonts w:cs="TimesNewRomanWGL"/>
          <w:color w:val="000000" w:themeColor="text1"/>
        </w:rPr>
        <w:t>δ</w:t>
      </w:r>
      <w:r w:rsidR="00995B0D" w:rsidRPr="00720FCA">
        <w:rPr>
          <w:rFonts w:ascii="Symbol" w:hAnsi="Symbol"/>
        </w:rPr>
        <w:t></w:t>
      </w:r>
      <w:r w:rsidR="00995B0D" w:rsidRPr="00720FCA">
        <w:rPr>
          <w:rFonts w:ascii="Symbol" w:hAnsi="Symbol"/>
        </w:rPr>
        <w:t></w:t>
      </w:r>
      <w:r w:rsidR="00995B0D" w:rsidRPr="00720FCA">
        <w:t>15</w:t>
      </w:r>
      <w:r w:rsidR="00995B0D" w:rsidRPr="00720FCA">
        <w:rPr>
          <w:rFonts w:eastAsia="SimSun" w:hint="eastAsia"/>
          <w:lang w:eastAsia="zh-CN"/>
        </w:rPr>
        <w:t>5.</w:t>
      </w:r>
      <w:r w:rsidR="00995B0D">
        <w:rPr>
          <w:rFonts w:eastAsia="SimSun" w:hint="eastAsia"/>
          <w:lang w:eastAsia="zh-CN"/>
        </w:rPr>
        <w:t>4</w:t>
      </w:r>
      <w:r w:rsidR="00995B0D" w:rsidRPr="00720FCA">
        <w:t>, 7</w:t>
      </w:r>
      <w:r w:rsidR="00995B0D" w:rsidRPr="00720FCA">
        <w:rPr>
          <w:rFonts w:eastAsia="SimSun" w:hint="eastAsia"/>
          <w:lang w:eastAsia="zh-CN"/>
        </w:rPr>
        <w:t>6.</w:t>
      </w:r>
      <w:r w:rsidR="00995B0D">
        <w:rPr>
          <w:rFonts w:eastAsia="SimSun" w:hint="eastAsia"/>
          <w:lang w:eastAsia="zh-CN"/>
        </w:rPr>
        <w:t>6</w:t>
      </w:r>
      <w:r w:rsidR="00995B0D" w:rsidRPr="00720FCA">
        <w:t xml:space="preserve">, </w:t>
      </w:r>
      <w:r w:rsidR="00995B0D">
        <w:rPr>
          <w:rFonts w:eastAsia="SimSun" w:hint="eastAsia"/>
          <w:lang w:eastAsia="zh-CN"/>
        </w:rPr>
        <w:t>65.8, 61.6</w:t>
      </w:r>
      <w:r w:rsidR="00995B0D">
        <w:rPr>
          <w:rFonts w:eastAsia="SimSun"/>
          <w:lang w:eastAsia="zh-CN"/>
        </w:rPr>
        <w:t>.</w:t>
      </w:r>
    </w:p>
    <w:p w:rsidR="00B04BE2" w:rsidRDefault="00B04BE2" w:rsidP="00F72699">
      <w:pPr>
        <w:pStyle w:val="P1"/>
        <w:rPr>
          <w:rFonts w:cs="TimesNewRomanWGL-Bold"/>
          <w:b/>
          <w:bCs/>
          <w:color w:val="000000" w:themeColor="text1"/>
        </w:rPr>
      </w:pPr>
      <w:r w:rsidRPr="00B04BE2">
        <w:rPr>
          <w:rFonts w:cs="TimesNewRomanWGL-Bold"/>
          <w:b/>
          <w:bCs/>
          <w:i/>
          <w:color w:val="000000" w:themeColor="text1"/>
        </w:rPr>
        <w:t>Cis</w:t>
      </w:r>
      <w:r>
        <w:rPr>
          <w:rFonts w:cs="TimesNewRomanWGL-Bold"/>
          <w:b/>
          <w:bCs/>
          <w:color w:val="000000" w:themeColor="text1"/>
        </w:rPr>
        <w:t>-Cyclohexene carbonate 2k:</w:t>
      </w:r>
      <w:r w:rsidRPr="00B04BE2">
        <w:rPr>
          <w:rFonts w:cs="TimesNewRomanWGL-Bold"/>
          <w:bCs/>
          <w:color w:val="FF0000"/>
        </w:rPr>
        <w:t xml:space="preserve"> </w:t>
      </w:r>
      <w:r w:rsidR="00995B0D">
        <w:t xml:space="preserve">Mp 35−37 </w:t>
      </w:r>
      <w:r w:rsidR="00995B0D" w:rsidRPr="00943CC7">
        <w:rPr>
          <w:rFonts w:cs="Arial"/>
          <w:color w:val="000000" w:themeColor="text1"/>
          <w:vertAlign w:val="superscript"/>
        </w:rPr>
        <w:t>°</w:t>
      </w:r>
      <w:r w:rsidR="00995B0D">
        <w:t>C;</w:t>
      </w:r>
      <w:r w:rsidR="00995B0D" w:rsidRPr="00FD7C00">
        <w:rPr>
          <w:rFonts w:ascii="Symbol" w:hAnsi="Symbol"/>
          <w:color w:val="000000" w:themeColor="text1"/>
        </w:rPr>
        <w:t></w:t>
      </w:r>
      <w:r w:rsidR="00995B0D">
        <w:rPr>
          <w:rFonts w:ascii="Symbol" w:hAnsi="Symbol"/>
          <w:color w:val="000000" w:themeColor="text1"/>
        </w:rPr>
        <w:t></w:t>
      </w:r>
      <w:r w:rsidR="00995B0D" w:rsidRPr="00943CC7">
        <w:rPr>
          <w:color w:val="000000" w:themeColor="text1"/>
          <w:vertAlign w:val="subscript"/>
        </w:rPr>
        <w:t>max</w:t>
      </w:r>
      <w:r w:rsidR="00995B0D">
        <w:rPr>
          <w:color w:val="000000" w:themeColor="text1"/>
        </w:rPr>
        <w:t>(ATR)</w:t>
      </w:r>
      <w:r w:rsidR="00995B0D" w:rsidRPr="00037196">
        <w:t xml:space="preserve"> </w:t>
      </w:r>
      <w:r w:rsidR="00995B0D">
        <w:t xml:space="preserve">2933, 2861 and </w:t>
      </w:r>
      <w:r w:rsidR="00995B0D" w:rsidRPr="00AE04DA">
        <w:t>1784</w:t>
      </w:r>
      <w:r w:rsidR="00995B0D" w:rsidRPr="00037196">
        <w:rPr>
          <w:color w:val="000000" w:themeColor="text1"/>
        </w:rPr>
        <w:t xml:space="preserve"> </w:t>
      </w:r>
      <w:r w:rsidR="00995B0D">
        <w:rPr>
          <w:color w:val="000000" w:themeColor="text1"/>
        </w:rPr>
        <w:t>cm</w:t>
      </w:r>
      <w:r w:rsidR="00995B0D" w:rsidRPr="00943CC7">
        <w:rPr>
          <w:color w:val="000000" w:themeColor="text1"/>
          <w:vertAlign w:val="superscript"/>
        </w:rPr>
        <w:t>-</w:t>
      </w:r>
      <w:r w:rsidR="00995B0D" w:rsidRPr="00A81EB6">
        <w:rPr>
          <w:color w:val="000000" w:themeColor="text1"/>
          <w:vertAlign w:val="superscript"/>
        </w:rPr>
        <w:t>1</w:t>
      </w:r>
      <w:r w:rsidR="00995B0D">
        <w:rPr>
          <w:color w:val="000000" w:themeColor="text1"/>
        </w:rPr>
        <w:t>;</w:t>
      </w:r>
      <w:r w:rsidR="00995B0D">
        <w:rPr>
          <w:rFonts w:eastAsia="SimSun"/>
          <w:lang w:eastAsia="zh-CN"/>
        </w:rPr>
        <w:t xml:space="preserve"> </w:t>
      </w:r>
      <w:r w:rsidR="00995B0D" w:rsidRPr="00EF262C">
        <w:rPr>
          <w:rFonts w:hint="eastAsia"/>
          <w:vertAlign w:val="superscript"/>
        </w:rPr>
        <w:t>1</w:t>
      </w:r>
      <w:r w:rsidR="00995B0D">
        <w:rPr>
          <w:rFonts w:hint="eastAsia"/>
        </w:rPr>
        <w:t>H NMR (400 MHz, CDCl</w:t>
      </w:r>
      <w:r w:rsidR="00995B0D" w:rsidRPr="00EF262C">
        <w:rPr>
          <w:rFonts w:hint="eastAsia"/>
          <w:vertAlign w:val="subscript"/>
        </w:rPr>
        <w:t>3</w:t>
      </w:r>
      <w:r w:rsidR="00995B0D">
        <w:rPr>
          <w:rFonts w:hint="eastAsia"/>
        </w:rPr>
        <w:t xml:space="preserve">) </w:t>
      </w:r>
      <w:r w:rsidR="00995B0D" w:rsidRPr="00C3609A">
        <w:rPr>
          <w:rFonts w:cs="TimesNewRomanWGL"/>
          <w:color w:val="000000" w:themeColor="text1"/>
        </w:rPr>
        <w:t>δ</w:t>
      </w:r>
      <w:r w:rsidR="00995B0D">
        <w:rPr>
          <w:rFonts w:ascii="Symbol" w:hAnsi="Symbol"/>
        </w:rPr>
        <w:t></w:t>
      </w:r>
      <w:r w:rsidR="00995B0D">
        <w:rPr>
          <w:rFonts w:ascii="Symbol" w:hAnsi="Symbol"/>
        </w:rPr>
        <w:t></w:t>
      </w:r>
      <w:r w:rsidR="00995B0D">
        <w:rPr>
          <w:rFonts w:eastAsia="SimSun" w:cs="Arial" w:hint="eastAsia"/>
          <w:lang w:eastAsia="zh-CN"/>
        </w:rPr>
        <w:t>4.70</w:t>
      </w:r>
      <w:r w:rsidR="00995B0D">
        <w:rPr>
          <w:rFonts w:eastAsia="SimSun" w:cs="Arial"/>
          <w:lang w:eastAsia="zh-CN"/>
        </w:rPr>
        <w:t>–</w:t>
      </w:r>
      <w:r w:rsidR="00995B0D">
        <w:rPr>
          <w:rFonts w:eastAsia="SimSun" w:cs="Arial" w:hint="eastAsia"/>
          <w:lang w:eastAsia="zh-CN"/>
        </w:rPr>
        <w:t>4.65</w:t>
      </w:r>
      <w:r w:rsidR="00995B0D">
        <w:rPr>
          <w:rFonts w:ascii="Symbol" w:hAnsi="Symbol"/>
        </w:rPr>
        <w:t></w:t>
      </w:r>
      <w:r w:rsidR="00995B0D">
        <w:rPr>
          <w:rFonts w:hint="eastAsia"/>
        </w:rPr>
        <w:t>(</w:t>
      </w:r>
      <w:r w:rsidR="00995B0D" w:rsidRPr="00EF262C">
        <w:t>m, 2H)</w:t>
      </w:r>
      <w:r w:rsidR="00995B0D">
        <w:rPr>
          <w:rFonts w:hint="eastAsia"/>
        </w:rPr>
        <w:t xml:space="preserve">, </w:t>
      </w:r>
      <w:r w:rsidR="00995B0D">
        <w:rPr>
          <w:rFonts w:eastAsia="SimSun" w:hint="eastAsia"/>
          <w:lang w:eastAsia="zh-CN"/>
        </w:rPr>
        <w:t>1.91</w:t>
      </w:r>
      <w:r w:rsidR="00995B0D">
        <w:rPr>
          <w:rFonts w:eastAsia="SimSun"/>
          <w:lang w:eastAsia="zh-CN"/>
        </w:rPr>
        <w:t>–</w:t>
      </w:r>
      <w:r w:rsidR="00995B0D">
        <w:rPr>
          <w:rFonts w:eastAsia="SimSun" w:hint="eastAsia"/>
          <w:lang w:eastAsia="zh-CN"/>
        </w:rPr>
        <w:t>1.87</w:t>
      </w:r>
      <w:r w:rsidR="00995B0D">
        <w:rPr>
          <w:rFonts w:hint="eastAsia"/>
        </w:rPr>
        <w:t xml:space="preserve"> (</w:t>
      </w:r>
      <w:r w:rsidR="00995B0D">
        <w:rPr>
          <w:rFonts w:eastAsia="SimSun" w:hint="eastAsia"/>
          <w:lang w:eastAsia="zh-CN"/>
        </w:rPr>
        <w:t>m</w:t>
      </w:r>
      <w:r w:rsidR="00995B0D">
        <w:rPr>
          <w:rFonts w:hint="eastAsia"/>
        </w:rPr>
        <w:t xml:space="preserve">, </w:t>
      </w:r>
      <w:r w:rsidR="00995B0D">
        <w:rPr>
          <w:rFonts w:eastAsia="SimSun" w:hint="eastAsia"/>
          <w:lang w:eastAsia="zh-CN"/>
        </w:rPr>
        <w:t>4</w:t>
      </w:r>
      <w:r w:rsidR="00995B0D">
        <w:rPr>
          <w:rFonts w:hint="eastAsia"/>
        </w:rPr>
        <w:t>H)</w:t>
      </w:r>
      <w:r w:rsidR="00995B0D">
        <w:rPr>
          <w:rFonts w:eastAsia="SimSun" w:hint="eastAsia"/>
          <w:lang w:eastAsia="zh-CN"/>
        </w:rPr>
        <w:t>, 1.6</w:t>
      </w:r>
      <w:r w:rsidR="00995B0D">
        <w:rPr>
          <w:rFonts w:eastAsia="SimSun"/>
          <w:lang w:eastAsia="zh-CN"/>
        </w:rPr>
        <w:t>6–</w:t>
      </w:r>
      <w:r w:rsidR="00995B0D">
        <w:rPr>
          <w:rFonts w:eastAsia="SimSun" w:hint="eastAsia"/>
          <w:lang w:eastAsia="zh-CN"/>
        </w:rPr>
        <w:t>1.57 (m, 2H), 1.46</w:t>
      </w:r>
      <w:r w:rsidR="00995B0D">
        <w:rPr>
          <w:rFonts w:eastAsia="SimSun"/>
          <w:lang w:eastAsia="zh-CN"/>
        </w:rPr>
        <w:t>–</w:t>
      </w:r>
      <w:r w:rsidR="00995B0D">
        <w:rPr>
          <w:rFonts w:eastAsia="SimSun" w:hint="eastAsia"/>
          <w:lang w:eastAsia="zh-CN"/>
        </w:rPr>
        <w:t>1.3</w:t>
      </w:r>
      <w:r w:rsidR="00995B0D">
        <w:rPr>
          <w:rFonts w:eastAsia="SimSun"/>
          <w:lang w:eastAsia="zh-CN"/>
        </w:rPr>
        <w:t>6</w:t>
      </w:r>
      <w:r w:rsidR="00995B0D">
        <w:rPr>
          <w:rFonts w:eastAsia="SimSun" w:hint="eastAsia"/>
          <w:lang w:eastAsia="zh-CN"/>
        </w:rPr>
        <w:t xml:space="preserve"> (m, 2H)</w:t>
      </w:r>
      <w:r w:rsidR="00995B0D">
        <w:rPr>
          <w:rFonts w:hint="eastAsia"/>
        </w:rPr>
        <w:t xml:space="preserve">; </w:t>
      </w:r>
      <w:r w:rsidR="00995B0D">
        <w:rPr>
          <w:rFonts w:hint="eastAsia"/>
          <w:vertAlign w:val="superscript"/>
        </w:rPr>
        <w:t>13</w:t>
      </w:r>
      <w:r w:rsidR="00995B0D">
        <w:rPr>
          <w:rFonts w:hint="eastAsia"/>
        </w:rPr>
        <w:t>C NMR (100 MHz,</w:t>
      </w:r>
      <w:r w:rsidR="00995B0D" w:rsidRPr="00EF262C">
        <w:rPr>
          <w:rFonts w:hint="eastAsia"/>
        </w:rPr>
        <w:t xml:space="preserve"> </w:t>
      </w:r>
      <w:r w:rsidR="00995B0D">
        <w:rPr>
          <w:rFonts w:hint="eastAsia"/>
        </w:rPr>
        <w:t>CDCl</w:t>
      </w:r>
      <w:r w:rsidR="00995B0D" w:rsidRPr="00EF262C">
        <w:rPr>
          <w:rFonts w:hint="eastAsia"/>
          <w:vertAlign w:val="subscript"/>
        </w:rPr>
        <w:t>3</w:t>
      </w:r>
      <w:r w:rsidR="00995B0D">
        <w:rPr>
          <w:rFonts w:hint="eastAsia"/>
        </w:rPr>
        <w:t xml:space="preserve">) </w:t>
      </w:r>
      <w:r w:rsidR="00995B0D" w:rsidRPr="00C3609A">
        <w:rPr>
          <w:rFonts w:cs="TimesNewRomanWGL"/>
          <w:color w:val="000000" w:themeColor="text1"/>
        </w:rPr>
        <w:t>δ</w:t>
      </w:r>
      <w:r w:rsidR="00995B0D">
        <w:rPr>
          <w:rFonts w:ascii="Symbol" w:hAnsi="Symbol"/>
        </w:rPr>
        <w:t></w:t>
      </w:r>
      <w:r w:rsidR="00995B0D">
        <w:rPr>
          <w:rFonts w:ascii="Symbol" w:hAnsi="Symbol"/>
        </w:rPr>
        <w:t></w:t>
      </w:r>
      <w:r w:rsidR="00995B0D">
        <w:rPr>
          <w:rFonts w:hint="eastAsia"/>
        </w:rPr>
        <w:t>15</w:t>
      </w:r>
      <w:r w:rsidR="00995B0D">
        <w:rPr>
          <w:rFonts w:eastAsia="SimSun" w:hint="eastAsia"/>
          <w:lang w:eastAsia="zh-CN"/>
        </w:rPr>
        <w:t>5.</w:t>
      </w:r>
      <w:r w:rsidR="00995B0D">
        <w:rPr>
          <w:rFonts w:eastAsia="SimSun"/>
          <w:lang w:eastAsia="zh-CN"/>
        </w:rPr>
        <w:t>4</w:t>
      </w:r>
      <w:r w:rsidR="00995B0D">
        <w:rPr>
          <w:rFonts w:hint="eastAsia"/>
        </w:rPr>
        <w:t xml:space="preserve">, </w:t>
      </w:r>
      <w:r w:rsidR="00995B0D">
        <w:rPr>
          <w:rFonts w:eastAsia="SimSun" w:hint="eastAsia"/>
          <w:lang w:eastAsia="zh-CN"/>
        </w:rPr>
        <w:t>75.7, 26.8, 19.2</w:t>
      </w:r>
      <w:r w:rsidR="00995B0D">
        <w:rPr>
          <w:rFonts w:eastAsia="SimSun"/>
          <w:lang w:eastAsia="zh-CN"/>
        </w:rPr>
        <w:t>.</w:t>
      </w:r>
    </w:p>
    <w:p w:rsidR="00B04BE2" w:rsidRPr="002C724A" w:rsidRDefault="00B04BE2" w:rsidP="00F72699">
      <w:pPr>
        <w:pStyle w:val="P1"/>
        <w:rPr>
          <w:color w:val="FF0000"/>
        </w:rPr>
      </w:pPr>
      <w:r>
        <w:rPr>
          <w:rFonts w:cs="TimesNewRomanWGL-Bold"/>
          <w:b/>
          <w:bCs/>
          <w:color w:val="000000" w:themeColor="text1"/>
        </w:rPr>
        <w:t>Cyclopentene carbonate 2l:</w:t>
      </w:r>
      <w:r w:rsidRPr="00B04BE2">
        <w:rPr>
          <w:rFonts w:cs="TimesNewRomanWGL-Bold"/>
          <w:bCs/>
          <w:color w:val="FF0000"/>
        </w:rPr>
        <w:t xml:space="preserve"> </w:t>
      </w:r>
      <w:r w:rsidR="00995B0D">
        <w:t xml:space="preserve">Mp 30−33 </w:t>
      </w:r>
      <w:r w:rsidR="00995B0D" w:rsidRPr="00943CC7">
        <w:rPr>
          <w:rFonts w:cs="Arial"/>
          <w:color w:val="000000" w:themeColor="text1"/>
          <w:vertAlign w:val="superscript"/>
        </w:rPr>
        <w:t>°</w:t>
      </w:r>
      <w:r w:rsidR="00995B0D">
        <w:t>C;</w:t>
      </w:r>
      <w:r w:rsidR="00995B0D" w:rsidRPr="00FD7C00">
        <w:rPr>
          <w:rFonts w:ascii="Symbol" w:hAnsi="Symbol"/>
          <w:color w:val="000000" w:themeColor="text1"/>
        </w:rPr>
        <w:t></w:t>
      </w:r>
      <w:r w:rsidR="00995B0D">
        <w:rPr>
          <w:rFonts w:ascii="Symbol" w:hAnsi="Symbol"/>
          <w:color w:val="000000" w:themeColor="text1"/>
        </w:rPr>
        <w:t></w:t>
      </w:r>
      <w:r w:rsidR="00995B0D" w:rsidRPr="00943CC7">
        <w:rPr>
          <w:color w:val="000000" w:themeColor="text1"/>
          <w:vertAlign w:val="subscript"/>
        </w:rPr>
        <w:t>max</w:t>
      </w:r>
      <w:r w:rsidR="00995B0D">
        <w:rPr>
          <w:color w:val="000000" w:themeColor="text1"/>
        </w:rPr>
        <w:t>(ATR)</w:t>
      </w:r>
      <w:r w:rsidR="00995B0D" w:rsidRPr="00037196">
        <w:t xml:space="preserve"> </w:t>
      </w:r>
      <w:r w:rsidR="00995B0D">
        <w:t>2967, 2871 and</w:t>
      </w:r>
      <w:r w:rsidR="00995B0D" w:rsidRPr="00317F00">
        <w:t xml:space="preserve"> 1789</w:t>
      </w:r>
      <w:r w:rsidR="00995B0D" w:rsidRPr="00037196">
        <w:rPr>
          <w:color w:val="000000" w:themeColor="text1"/>
        </w:rPr>
        <w:t xml:space="preserve"> </w:t>
      </w:r>
      <w:r w:rsidR="00995B0D">
        <w:rPr>
          <w:color w:val="000000" w:themeColor="text1"/>
        </w:rPr>
        <w:t>cm</w:t>
      </w:r>
      <w:r w:rsidR="00995B0D" w:rsidRPr="00943CC7">
        <w:rPr>
          <w:color w:val="000000" w:themeColor="text1"/>
          <w:vertAlign w:val="superscript"/>
        </w:rPr>
        <w:t>-</w:t>
      </w:r>
      <w:r w:rsidR="00995B0D" w:rsidRPr="00A81EB6">
        <w:rPr>
          <w:color w:val="000000" w:themeColor="text1"/>
          <w:vertAlign w:val="superscript"/>
        </w:rPr>
        <w:t>1</w:t>
      </w:r>
      <w:r w:rsidR="00995B0D">
        <w:rPr>
          <w:color w:val="000000" w:themeColor="text1"/>
        </w:rPr>
        <w:t>;</w:t>
      </w:r>
      <w:r w:rsidR="00995B0D">
        <w:rPr>
          <w:rFonts w:eastAsia="SimSun"/>
          <w:lang w:eastAsia="zh-CN"/>
        </w:rPr>
        <w:t xml:space="preserve"> </w:t>
      </w:r>
      <w:r w:rsidR="00995B0D" w:rsidRPr="00EF262C">
        <w:rPr>
          <w:rFonts w:hint="eastAsia"/>
          <w:vertAlign w:val="superscript"/>
        </w:rPr>
        <w:t>1</w:t>
      </w:r>
      <w:r w:rsidR="00995B0D">
        <w:rPr>
          <w:rFonts w:hint="eastAsia"/>
        </w:rPr>
        <w:t>H NMR (400 MHz, CDCl</w:t>
      </w:r>
      <w:r w:rsidR="00995B0D" w:rsidRPr="00EF262C">
        <w:rPr>
          <w:rFonts w:hint="eastAsia"/>
          <w:vertAlign w:val="subscript"/>
        </w:rPr>
        <w:t>3</w:t>
      </w:r>
      <w:r w:rsidR="00995B0D">
        <w:rPr>
          <w:rFonts w:hint="eastAsia"/>
        </w:rPr>
        <w:t xml:space="preserve">) </w:t>
      </w:r>
      <w:r w:rsidR="00995B0D" w:rsidRPr="00C3609A">
        <w:rPr>
          <w:rFonts w:cs="TimesNewRomanWGL"/>
          <w:color w:val="000000" w:themeColor="text1"/>
        </w:rPr>
        <w:t>δ</w:t>
      </w:r>
      <w:r w:rsidR="00995B0D">
        <w:rPr>
          <w:rFonts w:ascii="Symbol" w:hAnsi="Symbol"/>
        </w:rPr>
        <w:t></w:t>
      </w:r>
      <w:r w:rsidR="00995B0D">
        <w:rPr>
          <w:rFonts w:ascii="Symbol" w:hAnsi="Symbol"/>
        </w:rPr>
        <w:t></w:t>
      </w:r>
      <w:r w:rsidR="00995B0D">
        <w:rPr>
          <w:rFonts w:cs="Arial" w:hint="eastAsia"/>
          <w:lang w:eastAsia="zh-CN"/>
        </w:rPr>
        <w:t>5.11</w:t>
      </w:r>
      <w:r w:rsidR="00995B0D">
        <w:rPr>
          <w:rFonts w:cs="Arial"/>
          <w:lang w:eastAsia="zh-CN"/>
        </w:rPr>
        <w:softHyphen/>
        <w:t>–</w:t>
      </w:r>
      <w:r w:rsidR="00995B0D">
        <w:rPr>
          <w:rFonts w:cs="Arial" w:hint="eastAsia"/>
          <w:lang w:eastAsia="zh-CN"/>
        </w:rPr>
        <w:t>5.10</w:t>
      </w:r>
      <w:r w:rsidR="00995B0D">
        <w:rPr>
          <w:rFonts w:ascii="Symbol" w:hAnsi="Symbol"/>
        </w:rPr>
        <w:t></w:t>
      </w:r>
      <w:r w:rsidR="00995B0D">
        <w:rPr>
          <w:rFonts w:hint="eastAsia"/>
        </w:rPr>
        <w:t>(</w:t>
      </w:r>
      <w:r w:rsidR="00995B0D">
        <w:t>m, 2H</w:t>
      </w:r>
      <w:r w:rsidR="00995B0D" w:rsidRPr="00EF262C">
        <w:t>)</w:t>
      </w:r>
      <w:r w:rsidR="00995B0D">
        <w:rPr>
          <w:rFonts w:hint="eastAsia"/>
        </w:rPr>
        <w:t xml:space="preserve">, </w:t>
      </w:r>
      <w:r w:rsidR="00995B0D">
        <w:rPr>
          <w:rFonts w:hint="eastAsia"/>
          <w:lang w:eastAsia="zh-CN"/>
        </w:rPr>
        <w:t>2.1</w:t>
      </w:r>
      <w:r w:rsidR="00995B0D">
        <w:rPr>
          <w:lang w:eastAsia="zh-CN"/>
        </w:rPr>
        <w:t>9–</w:t>
      </w:r>
      <w:r w:rsidR="00995B0D">
        <w:rPr>
          <w:rFonts w:hint="eastAsia"/>
          <w:lang w:eastAsia="zh-CN"/>
        </w:rPr>
        <w:t>2.1</w:t>
      </w:r>
      <w:r w:rsidR="00995B0D">
        <w:rPr>
          <w:lang w:eastAsia="zh-CN"/>
        </w:rPr>
        <w:t>4</w:t>
      </w:r>
      <w:r w:rsidR="00995B0D">
        <w:rPr>
          <w:rFonts w:hint="eastAsia"/>
        </w:rPr>
        <w:t xml:space="preserve"> (</w:t>
      </w:r>
      <w:r w:rsidR="00995B0D">
        <w:rPr>
          <w:rFonts w:hint="eastAsia"/>
          <w:lang w:eastAsia="zh-CN"/>
        </w:rPr>
        <w:t>m</w:t>
      </w:r>
      <w:r w:rsidR="00995B0D">
        <w:rPr>
          <w:rFonts w:hint="eastAsia"/>
        </w:rPr>
        <w:t xml:space="preserve">, </w:t>
      </w:r>
      <w:r w:rsidR="00995B0D">
        <w:rPr>
          <w:rFonts w:hint="eastAsia"/>
          <w:lang w:eastAsia="zh-CN"/>
        </w:rPr>
        <w:t>2</w:t>
      </w:r>
      <w:r w:rsidR="00995B0D">
        <w:rPr>
          <w:rFonts w:hint="eastAsia"/>
        </w:rPr>
        <w:t>H)</w:t>
      </w:r>
      <w:r w:rsidR="00995B0D">
        <w:rPr>
          <w:rFonts w:hint="eastAsia"/>
          <w:lang w:eastAsia="zh-CN"/>
        </w:rPr>
        <w:t>, 1.83</w:t>
      </w:r>
      <w:r w:rsidR="00995B0D">
        <w:rPr>
          <w:lang w:eastAsia="zh-CN"/>
        </w:rPr>
        <w:t>–</w:t>
      </w:r>
      <w:r w:rsidR="00995B0D">
        <w:rPr>
          <w:rFonts w:hint="eastAsia"/>
          <w:lang w:eastAsia="zh-CN"/>
        </w:rPr>
        <w:t>1.6</w:t>
      </w:r>
      <w:r w:rsidR="00995B0D">
        <w:rPr>
          <w:lang w:eastAsia="zh-CN"/>
        </w:rPr>
        <w:t>3</w:t>
      </w:r>
      <w:r w:rsidR="00995B0D">
        <w:rPr>
          <w:rFonts w:hint="eastAsia"/>
          <w:lang w:eastAsia="zh-CN"/>
        </w:rPr>
        <w:t xml:space="preserve"> (m, 4H</w:t>
      </w:r>
      <w:r w:rsidR="00995B0D" w:rsidRPr="00317F00">
        <w:rPr>
          <w:rFonts w:hint="eastAsia"/>
          <w:lang w:eastAsia="zh-CN"/>
        </w:rPr>
        <w:t>)</w:t>
      </w:r>
      <w:r w:rsidR="00995B0D" w:rsidRPr="00317F00">
        <w:rPr>
          <w:rFonts w:hint="eastAsia"/>
        </w:rPr>
        <w:t xml:space="preserve">; </w:t>
      </w:r>
      <w:r w:rsidR="00995B0D" w:rsidRPr="00317F00">
        <w:rPr>
          <w:rFonts w:hint="eastAsia"/>
          <w:vertAlign w:val="superscript"/>
        </w:rPr>
        <w:t>13</w:t>
      </w:r>
      <w:r w:rsidR="00995B0D" w:rsidRPr="00317F00">
        <w:rPr>
          <w:rFonts w:hint="eastAsia"/>
        </w:rPr>
        <w:t>C NMR (100 MHz, CDCl</w:t>
      </w:r>
      <w:r w:rsidR="00995B0D" w:rsidRPr="00317F00">
        <w:rPr>
          <w:rFonts w:hint="eastAsia"/>
          <w:vertAlign w:val="subscript"/>
        </w:rPr>
        <w:t>3</w:t>
      </w:r>
      <w:r w:rsidR="00995B0D" w:rsidRPr="00317F00">
        <w:rPr>
          <w:rFonts w:hint="eastAsia"/>
        </w:rPr>
        <w:t xml:space="preserve">) </w:t>
      </w:r>
      <w:r w:rsidR="00995B0D" w:rsidRPr="00C3609A">
        <w:rPr>
          <w:rFonts w:cs="TimesNewRomanWGL"/>
          <w:color w:val="000000" w:themeColor="text1"/>
        </w:rPr>
        <w:t>δ</w:t>
      </w:r>
      <w:r w:rsidR="00995B0D" w:rsidRPr="00317F00">
        <w:rPr>
          <w:rFonts w:ascii="Symbol" w:hAnsi="Symbol"/>
        </w:rPr>
        <w:t></w:t>
      </w:r>
      <w:r w:rsidR="00995B0D" w:rsidRPr="00317F00">
        <w:rPr>
          <w:rFonts w:ascii="Symbol" w:hAnsi="Symbol"/>
        </w:rPr>
        <w:t></w:t>
      </w:r>
      <w:r w:rsidR="00995B0D" w:rsidRPr="00317F00">
        <w:rPr>
          <w:rFonts w:hint="eastAsia"/>
        </w:rPr>
        <w:t>15</w:t>
      </w:r>
      <w:r w:rsidR="00995B0D" w:rsidRPr="00317F00">
        <w:rPr>
          <w:rFonts w:hint="eastAsia"/>
          <w:lang w:eastAsia="zh-CN"/>
        </w:rPr>
        <w:t>5.4</w:t>
      </w:r>
      <w:r w:rsidR="00995B0D" w:rsidRPr="00317F00">
        <w:rPr>
          <w:rFonts w:hint="eastAsia"/>
        </w:rPr>
        <w:t xml:space="preserve">, </w:t>
      </w:r>
      <w:r w:rsidR="00995B0D">
        <w:rPr>
          <w:rFonts w:hint="eastAsia"/>
          <w:lang w:eastAsia="zh-CN"/>
        </w:rPr>
        <w:t>81.8</w:t>
      </w:r>
      <w:r w:rsidR="00995B0D">
        <w:rPr>
          <w:lang w:eastAsia="zh-CN"/>
        </w:rPr>
        <w:t xml:space="preserve">, </w:t>
      </w:r>
      <w:r w:rsidR="00995B0D">
        <w:rPr>
          <w:rFonts w:hint="eastAsia"/>
          <w:lang w:eastAsia="zh-CN"/>
        </w:rPr>
        <w:t>33.</w:t>
      </w:r>
      <w:r w:rsidR="00995B0D">
        <w:rPr>
          <w:lang w:eastAsia="zh-CN"/>
        </w:rPr>
        <w:t>1</w:t>
      </w:r>
      <w:r w:rsidR="00995B0D">
        <w:rPr>
          <w:rFonts w:hint="eastAsia"/>
          <w:lang w:eastAsia="zh-CN"/>
        </w:rPr>
        <w:t>, 21.5</w:t>
      </w:r>
      <w:r w:rsidR="00995B0D">
        <w:rPr>
          <w:lang w:eastAsia="zh-CN"/>
        </w:rPr>
        <w:t>.</w:t>
      </w:r>
    </w:p>
    <w:p w:rsidR="009951B0" w:rsidRPr="009951B0" w:rsidRDefault="009951B0" w:rsidP="009951B0">
      <w:pPr>
        <w:pStyle w:val="H1"/>
      </w:pPr>
      <w:r>
        <w:t>Conclusions</w:t>
      </w:r>
    </w:p>
    <w:p w:rsidR="00C83B78" w:rsidRDefault="009951B0" w:rsidP="00F72699">
      <w:pPr>
        <w:pStyle w:val="P1"/>
      </w:pPr>
      <w:r>
        <w:rPr>
          <w:rFonts w:cs="AdvMYR4"/>
        </w:rPr>
        <w:t>C</w:t>
      </w:r>
      <w:r w:rsidRPr="00DF611B">
        <w:rPr>
          <w:rFonts w:cs="AdvMYR4"/>
        </w:rPr>
        <w:t xml:space="preserve">atalytic systems </w:t>
      </w:r>
      <w:r>
        <w:rPr>
          <w:rFonts w:cs="AdvMYR4"/>
        </w:rPr>
        <w:t xml:space="preserve">consisting of </w:t>
      </w:r>
      <w:r w:rsidRPr="00DF611B">
        <w:rPr>
          <w:rFonts w:cs="AdvMYR4"/>
        </w:rPr>
        <w:t>commercially available carbocation</w:t>
      </w:r>
      <w:r>
        <w:rPr>
          <w:rFonts w:cs="AdvMYR4"/>
        </w:rPr>
        <w:t>s</w:t>
      </w:r>
      <w:r w:rsidRPr="00DF611B">
        <w:rPr>
          <w:rFonts w:cs="AdvMYR4"/>
        </w:rPr>
        <w:t xml:space="preserve"> and polyols were found to be active as</w:t>
      </w:r>
      <w:r>
        <w:rPr>
          <w:rFonts w:cs="AdvMYR4"/>
        </w:rPr>
        <w:t xml:space="preserve"> catalysts for cyclic carbonate</w:t>
      </w:r>
      <w:r w:rsidRPr="00DF611B">
        <w:rPr>
          <w:rFonts w:cs="AdvMYR4"/>
        </w:rPr>
        <w:t xml:space="preserve"> synthesis. Carbocations in these systems act </w:t>
      </w:r>
      <w:r w:rsidRPr="00EC176E">
        <w:rPr>
          <w:rFonts w:cs="AdvMYR4"/>
        </w:rPr>
        <w:t>as activators of polyol hydroxyl groups, increasing their Br</w:t>
      </w:r>
      <w:r w:rsidR="00B04BE2" w:rsidRPr="00EC176E">
        <w:rPr>
          <w:lang w:eastAsia="ru-RU"/>
        </w:rPr>
        <w:t>ø</w:t>
      </w:r>
      <w:r w:rsidRPr="00EC176E">
        <w:rPr>
          <w:rFonts w:cs="AdvMYR4"/>
        </w:rPr>
        <w:t xml:space="preserve">nsted acidity. </w:t>
      </w:r>
      <w:r w:rsidR="00166866" w:rsidRPr="00EC176E">
        <w:rPr>
          <w:rStyle w:val="algo-summary"/>
        </w:rPr>
        <w:t xml:space="preserve">Malachite green, brilliant green, and crystal violet </w:t>
      </w:r>
      <w:r w:rsidR="00A13894" w:rsidRPr="00EC176E">
        <w:rPr>
          <w:rStyle w:val="algo-summary"/>
        </w:rPr>
        <w:t>have been</w:t>
      </w:r>
      <w:r w:rsidR="00166866" w:rsidRPr="00EC176E">
        <w:rPr>
          <w:rStyle w:val="algo-summary"/>
        </w:rPr>
        <w:t xml:space="preserve"> used as antiseptic, antibacterial and fungicidal agents to treat both humans and animals.</w:t>
      </w:r>
      <w:r w:rsidR="00166866" w:rsidRPr="00EC176E">
        <w:rPr>
          <w:rStyle w:val="algo-summary"/>
          <w:vertAlign w:val="superscript"/>
        </w:rPr>
        <w:t>[27]</w:t>
      </w:r>
      <w:r w:rsidR="00166866" w:rsidRPr="00EC176E">
        <w:rPr>
          <w:rStyle w:val="algo-summary"/>
        </w:rPr>
        <w:t xml:space="preserve"> As such they can be considered as greener and safer catalysts than those based on complexes of toxic metals such as cobalt, chromium and aluminium. The catalytic activity of the dye based catalysts is comparable to that often reported for metal-based catalysts,</w:t>
      </w:r>
      <w:r w:rsidR="00166866" w:rsidRPr="00EC176E">
        <w:rPr>
          <w:rStyle w:val="algo-summary"/>
          <w:vertAlign w:val="superscript"/>
        </w:rPr>
        <w:t>[2,3]</w:t>
      </w:r>
      <w:r w:rsidR="00166866" w:rsidRPr="00EC176E">
        <w:rPr>
          <w:rStyle w:val="algo-summary"/>
        </w:rPr>
        <w:t xml:space="preserve"> though not with the very best metal based systems</w:t>
      </w:r>
      <w:r w:rsidR="00166866" w:rsidRPr="00EC176E">
        <w:rPr>
          <w:rStyle w:val="algo-summary"/>
          <w:vertAlign w:val="superscript"/>
        </w:rPr>
        <w:t>[20]</w:t>
      </w:r>
      <w:r w:rsidR="00166866" w:rsidRPr="00EC176E">
        <w:rPr>
          <w:rStyle w:val="algo-summary"/>
        </w:rPr>
        <w:t xml:space="preserve"> which have been highly developed over more than a decade.</w:t>
      </w:r>
    </w:p>
    <w:p w:rsidR="00E4350D" w:rsidRDefault="00773CF0" w:rsidP="00E4350D">
      <w:pPr>
        <w:pStyle w:val="HAcknowledgements"/>
        <w:rPr>
          <w:color w:val="FF0000"/>
        </w:rPr>
      </w:pPr>
      <w:r>
        <w:t>Acknowledgements</w:t>
      </w:r>
    </w:p>
    <w:p w:rsidR="00E4350D" w:rsidRDefault="009951B0" w:rsidP="00EB27E9">
      <w:pPr>
        <w:pStyle w:val="Acknowledgements"/>
      </w:pPr>
      <w:r w:rsidRPr="001D09DD">
        <w:rPr>
          <w:lang w:val="en-US"/>
        </w:rPr>
        <w:t xml:space="preserve">The authors gratefully </w:t>
      </w:r>
      <w:r>
        <w:rPr>
          <w:lang w:val="en-US"/>
        </w:rPr>
        <w:t>acknowledge</w:t>
      </w:r>
      <w:r w:rsidRPr="001D09DD">
        <w:rPr>
          <w:lang w:val="en-US"/>
        </w:rPr>
        <w:t xml:space="preserve"> the financial support from </w:t>
      </w:r>
      <w:r>
        <w:rPr>
          <w:lang w:val="en-US"/>
        </w:rPr>
        <w:t>a</w:t>
      </w:r>
      <w:r w:rsidRPr="001D09DD">
        <w:rPr>
          <w:lang w:val="en-US"/>
        </w:rPr>
        <w:t xml:space="preserve"> RFBR research grant № 15-03-05648</w:t>
      </w:r>
      <w:r>
        <w:rPr>
          <w:lang w:val="en-US"/>
        </w:rPr>
        <w:t xml:space="preserve">, a Russian Science Foundation grant </w:t>
      </w:r>
      <w:r w:rsidRPr="00345935">
        <w:rPr>
          <w:lang w:val="en-US"/>
        </w:rPr>
        <w:t>№</w:t>
      </w:r>
      <w:r>
        <w:rPr>
          <w:lang w:val="en-US"/>
        </w:rPr>
        <w:t xml:space="preserve"> 16-14-00112</w:t>
      </w:r>
      <w:r w:rsidRPr="001D09DD">
        <w:rPr>
          <w:lang w:val="en-US"/>
        </w:rPr>
        <w:t xml:space="preserve"> and a RAS Presidiu</w:t>
      </w:r>
      <w:r>
        <w:rPr>
          <w:lang w:val="en-US"/>
        </w:rPr>
        <w:t>m grant of basic research № P-8</w:t>
      </w:r>
      <w:r>
        <w:t xml:space="preserve"> and from</w:t>
      </w:r>
      <w:r w:rsidR="00773CF0" w:rsidRPr="009E7E6E">
        <w:t xml:space="preserve"> the European Union Seventh Framewok Programme FP7–NMP–2012 unde</w:t>
      </w:r>
      <w:r w:rsidR="00773CF0">
        <w:t>r grant agreement number 309497</w:t>
      </w:r>
      <w:r w:rsidR="004556E1">
        <w:t>.</w:t>
      </w:r>
    </w:p>
    <w:p w:rsidR="004556E1" w:rsidRDefault="00F45722" w:rsidP="00F45722">
      <w:pPr>
        <w:pStyle w:val="Keywords"/>
      </w:pPr>
      <w:r w:rsidRPr="009B7AB7">
        <w:rPr>
          <w:b/>
        </w:rPr>
        <w:t>Keywords:</w:t>
      </w:r>
      <w:r w:rsidRPr="009B7AB7">
        <w:t xml:space="preserve"> </w:t>
      </w:r>
      <w:r w:rsidR="00FE5DE9">
        <w:t>carbon dioxide</w:t>
      </w:r>
      <w:r w:rsidRPr="009B7AB7">
        <w:t xml:space="preserve"> </w:t>
      </w:r>
      <w:r>
        <w:t>•</w:t>
      </w:r>
      <w:r w:rsidRPr="009B7AB7">
        <w:t xml:space="preserve"> </w:t>
      </w:r>
      <w:r w:rsidR="00FE5DE9">
        <w:t>cyclic carbonate</w:t>
      </w:r>
      <w:r w:rsidRPr="009B7AB7">
        <w:t xml:space="preserve"> </w:t>
      </w:r>
      <w:r>
        <w:t>•</w:t>
      </w:r>
      <w:r w:rsidRPr="009B7AB7">
        <w:t xml:space="preserve"> </w:t>
      </w:r>
      <w:r w:rsidR="00CA116F">
        <w:t>carbocation</w:t>
      </w:r>
      <w:r w:rsidRPr="009B7AB7">
        <w:t xml:space="preserve"> </w:t>
      </w:r>
      <w:r>
        <w:t>•</w:t>
      </w:r>
      <w:r w:rsidRPr="009B7AB7">
        <w:t xml:space="preserve"> </w:t>
      </w:r>
      <w:r w:rsidR="00FE5DE9">
        <w:t>catalyst</w:t>
      </w:r>
      <w:r w:rsidRPr="009B7AB7">
        <w:t xml:space="preserve"> </w:t>
      </w:r>
      <w:r>
        <w:t>•</w:t>
      </w:r>
      <w:r w:rsidRPr="009B7AB7">
        <w:t xml:space="preserve"> </w:t>
      </w:r>
      <w:r w:rsidR="00CA116F">
        <w:t>phenol</w:t>
      </w:r>
    </w:p>
    <w:p w:rsidR="00CA116F" w:rsidRPr="00767D1A" w:rsidRDefault="00CA116F" w:rsidP="00CA116F">
      <w:pPr>
        <w:pStyle w:val="H1"/>
        <w:rPr>
          <w:color w:val="000000" w:themeColor="text1"/>
        </w:rPr>
      </w:pPr>
      <w:r w:rsidRPr="00767D1A">
        <w:rPr>
          <w:color w:val="000000" w:themeColor="text1"/>
        </w:rPr>
        <w:t>References</w:t>
      </w:r>
    </w:p>
    <w:p w:rsidR="00CA116F" w:rsidRPr="00767D1A" w:rsidRDefault="00CA116F" w:rsidP="007C6593">
      <w:pPr>
        <w:pStyle w:val="RSCR02References"/>
        <w:ind w:left="357" w:hanging="357"/>
        <w:rPr>
          <w:color w:val="000000" w:themeColor="text1"/>
        </w:rPr>
      </w:pPr>
      <w:r w:rsidRPr="00767D1A">
        <w:rPr>
          <w:color w:val="000000" w:themeColor="text1"/>
        </w:rPr>
        <w:t>a) E. A. Quadr</w:t>
      </w:r>
      <w:r w:rsidR="007C6593" w:rsidRPr="00767D1A">
        <w:rPr>
          <w:color w:val="000000" w:themeColor="text1"/>
        </w:rPr>
        <w:t>elli, G. Centi, J.-L. Duplan,</w:t>
      </w:r>
      <w:r w:rsidRPr="00767D1A">
        <w:rPr>
          <w:color w:val="000000" w:themeColor="text1"/>
        </w:rPr>
        <w:t xml:space="preserve"> S. Perathoner, </w:t>
      </w:r>
      <w:r w:rsidRPr="00767D1A">
        <w:rPr>
          <w:i/>
          <w:color w:val="000000" w:themeColor="text1"/>
        </w:rPr>
        <w:t>ChemSusChem</w:t>
      </w:r>
      <w:r w:rsidRPr="00767D1A">
        <w:rPr>
          <w:color w:val="000000" w:themeColor="text1"/>
        </w:rPr>
        <w:t xml:space="preserve"> </w:t>
      </w:r>
      <w:r w:rsidRPr="00767D1A">
        <w:rPr>
          <w:b/>
          <w:color w:val="000000" w:themeColor="text1"/>
        </w:rPr>
        <w:t>2011</w:t>
      </w:r>
      <w:r w:rsidRPr="00767D1A">
        <w:rPr>
          <w:color w:val="000000" w:themeColor="text1"/>
        </w:rPr>
        <w:t xml:space="preserve">, </w:t>
      </w:r>
      <w:r w:rsidRPr="00767D1A">
        <w:rPr>
          <w:i/>
          <w:color w:val="000000" w:themeColor="text1"/>
        </w:rPr>
        <w:t>4</w:t>
      </w:r>
      <w:r w:rsidRPr="00767D1A">
        <w:rPr>
          <w:color w:val="000000" w:themeColor="text1"/>
        </w:rPr>
        <w:t>, 1194–1215; b) M. Peters, B. K</w:t>
      </w:r>
      <w:r w:rsidRPr="00767D1A">
        <w:rPr>
          <w:rFonts w:cs="Times"/>
          <w:color w:val="000000" w:themeColor="text1"/>
        </w:rPr>
        <w:t>ö</w:t>
      </w:r>
      <w:r w:rsidRPr="00767D1A">
        <w:rPr>
          <w:color w:val="000000" w:themeColor="text1"/>
        </w:rPr>
        <w:t xml:space="preserve">hler, </w:t>
      </w:r>
      <w:r w:rsidRPr="00CA116F">
        <w:t>W. Kuckshinrichs, W. Leitner, P. Markewitz</w:t>
      </w:r>
      <w:r w:rsidR="007C6593">
        <w:t>,</w:t>
      </w:r>
      <w:r w:rsidRPr="00CA116F">
        <w:t xml:space="preserve"> T. E. </w:t>
      </w:r>
      <w:r w:rsidRPr="00767D1A">
        <w:rPr>
          <w:color w:val="000000" w:themeColor="text1"/>
        </w:rPr>
        <w:t>M</w:t>
      </w:r>
      <w:r w:rsidRPr="00767D1A">
        <w:rPr>
          <w:rFonts w:cs="Times"/>
          <w:color w:val="000000" w:themeColor="text1"/>
        </w:rPr>
        <w:t>ü</w:t>
      </w:r>
      <w:r w:rsidRPr="00767D1A">
        <w:rPr>
          <w:color w:val="000000" w:themeColor="text1"/>
        </w:rPr>
        <w:t xml:space="preserve">ller, </w:t>
      </w:r>
      <w:r w:rsidRPr="00767D1A">
        <w:rPr>
          <w:i/>
          <w:color w:val="000000" w:themeColor="text1"/>
        </w:rPr>
        <w:t>ChemSusChem</w:t>
      </w:r>
      <w:r w:rsidRPr="00767D1A">
        <w:rPr>
          <w:color w:val="000000" w:themeColor="text1"/>
        </w:rPr>
        <w:t xml:space="preserve"> </w:t>
      </w:r>
      <w:r w:rsidRPr="00767D1A">
        <w:rPr>
          <w:b/>
          <w:color w:val="000000" w:themeColor="text1"/>
        </w:rPr>
        <w:t>2011</w:t>
      </w:r>
      <w:r w:rsidRPr="00767D1A">
        <w:rPr>
          <w:color w:val="000000" w:themeColor="text1"/>
        </w:rPr>
        <w:t xml:space="preserve">, </w:t>
      </w:r>
      <w:r w:rsidRPr="00767D1A">
        <w:rPr>
          <w:i/>
          <w:color w:val="000000" w:themeColor="text1"/>
        </w:rPr>
        <w:t>4</w:t>
      </w:r>
      <w:r w:rsidRPr="00767D1A">
        <w:rPr>
          <w:color w:val="000000" w:themeColor="text1"/>
        </w:rPr>
        <w:t>, 1216–1240; c) P. Styring</w:t>
      </w:r>
      <w:r w:rsidR="00767D1A" w:rsidRPr="00767D1A">
        <w:rPr>
          <w:color w:val="000000" w:themeColor="text1"/>
        </w:rPr>
        <w:t xml:space="preserve">, </w:t>
      </w:r>
      <w:r w:rsidRPr="00767D1A">
        <w:rPr>
          <w:color w:val="000000" w:themeColor="text1"/>
        </w:rPr>
        <w:t xml:space="preserve">K. Armstrong, </w:t>
      </w:r>
      <w:r w:rsidRPr="00767D1A">
        <w:rPr>
          <w:i/>
          <w:color w:val="000000" w:themeColor="text1"/>
        </w:rPr>
        <w:t>Chem. Today</w:t>
      </w:r>
      <w:r w:rsidRPr="00767D1A">
        <w:rPr>
          <w:color w:val="000000" w:themeColor="text1"/>
        </w:rPr>
        <w:t xml:space="preserve"> </w:t>
      </w:r>
      <w:r w:rsidRPr="00767D1A">
        <w:rPr>
          <w:b/>
          <w:color w:val="000000" w:themeColor="text1"/>
        </w:rPr>
        <w:t>2012</w:t>
      </w:r>
      <w:r w:rsidRPr="00767D1A">
        <w:rPr>
          <w:color w:val="000000" w:themeColor="text1"/>
        </w:rPr>
        <w:t xml:space="preserve">, </w:t>
      </w:r>
      <w:r w:rsidRPr="00767D1A">
        <w:rPr>
          <w:i/>
          <w:color w:val="000000" w:themeColor="text1"/>
        </w:rPr>
        <w:t>29</w:t>
      </w:r>
      <w:r w:rsidRPr="00767D1A">
        <w:rPr>
          <w:color w:val="000000" w:themeColor="text1"/>
        </w:rPr>
        <w:t xml:space="preserve">, 28–31; d) I. Omae, </w:t>
      </w:r>
      <w:r w:rsidRPr="00767D1A">
        <w:rPr>
          <w:i/>
          <w:color w:val="000000" w:themeColor="text1"/>
        </w:rPr>
        <w:t>Coord. Chem. Rev.</w:t>
      </w:r>
      <w:r w:rsidRPr="00767D1A">
        <w:rPr>
          <w:color w:val="000000" w:themeColor="text1"/>
        </w:rPr>
        <w:t xml:space="preserve"> </w:t>
      </w:r>
      <w:r w:rsidRPr="00767D1A">
        <w:rPr>
          <w:b/>
          <w:color w:val="000000" w:themeColor="text1"/>
        </w:rPr>
        <w:t>2012</w:t>
      </w:r>
      <w:r w:rsidRPr="00767D1A">
        <w:rPr>
          <w:color w:val="000000" w:themeColor="text1"/>
        </w:rPr>
        <w:t xml:space="preserve">, </w:t>
      </w:r>
      <w:r w:rsidRPr="00767D1A">
        <w:rPr>
          <w:i/>
          <w:color w:val="000000" w:themeColor="text1"/>
        </w:rPr>
        <w:t>256</w:t>
      </w:r>
      <w:r w:rsidRPr="00767D1A">
        <w:rPr>
          <w:color w:val="000000" w:themeColor="text1"/>
        </w:rPr>
        <w:t>, 13</w:t>
      </w:r>
      <w:r w:rsidR="00767D1A" w:rsidRPr="00767D1A">
        <w:rPr>
          <w:color w:val="000000" w:themeColor="text1"/>
        </w:rPr>
        <w:t xml:space="preserve">84–1405; e) B. Hu, C. Guild, </w:t>
      </w:r>
      <w:r w:rsidRPr="00767D1A">
        <w:rPr>
          <w:color w:val="000000" w:themeColor="text1"/>
        </w:rPr>
        <w:t xml:space="preserve">S. L. Suib, </w:t>
      </w:r>
      <w:r w:rsidRPr="00767D1A">
        <w:rPr>
          <w:i/>
          <w:color w:val="000000" w:themeColor="text1"/>
        </w:rPr>
        <w:t>J. CO</w:t>
      </w:r>
      <w:r w:rsidRPr="00767D1A">
        <w:rPr>
          <w:i/>
          <w:color w:val="000000" w:themeColor="text1"/>
          <w:vertAlign w:val="subscript"/>
        </w:rPr>
        <w:t>2</w:t>
      </w:r>
      <w:r w:rsidRPr="00767D1A">
        <w:rPr>
          <w:i/>
          <w:color w:val="000000" w:themeColor="text1"/>
        </w:rPr>
        <w:t xml:space="preserve"> Utilization</w:t>
      </w:r>
      <w:r w:rsidRPr="00767D1A">
        <w:rPr>
          <w:color w:val="000000" w:themeColor="text1"/>
        </w:rPr>
        <w:t xml:space="preserve"> </w:t>
      </w:r>
      <w:r w:rsidRPr="00767D1A">
        <w:rPr>
          <w:b/>
          <w:color w:val="000000" w:themeColor="text1"/>
        </w:rPr>
        <w:t>2013</w:t>
      </w:r>
      <w:r w:rsidRPr="00767D1A">
        <w:rPr>
          <w:color w:val="000000" w:themeColor="text1"/>
        </w:rPr>
        <w:t xml:space="preserve">, </w:t>
      </w:r>
      <w:r w:rsidRPr="00767D1A">
        <w:rPr>
          <w:i/>
          <w:color w:val="000000" w:themeColor="text1"/>
        </w:rPr>
        <w:t>1</w:t>
      </w:r>
      <w:r w:rsidRPr="00767D1A">
        <w:rPr>
          <w:color w:val="000000" w:themeColor="text1"/>
        </w:rPr>
        <w:t>, 18–27; f</w:t>
      </w:r>
      <w:r w:rsidR="00767D1A" w:rsidRPr="00767D1A">
        <w:rPr>
          <w:color w:val="000000" w:themeColor="text1"/>
        </w:rPr>
        <w:t xml:space="preserve">) M. Aresta, A. Dibenedetto, </w:t>
      </w:r>
      <w:r w:rsidRPr="00767D1A">
        <w:rPr>
          <w:color w:val="000000" w:themeColor="text1"/>
        </w:rPr>
        <w:t xml:space="preserve">A. Angelini, </w:t>
      </w:r>
      <w:r w:rsidRPr="00767D1A">
        <w:rPr>
          <w:i/>
          <w:color w:val="000000" w:themeColor="text1"/>
        </w:rPr>
        <w:t>J. CO</w:t>
      </w:r>
      <w:r w:rsidRPr="00767D1A">
        <w:rPr>
          <w:i/>
          <w:color w:val="000000" w:themeColor="text1"/>
          <w:vertAlign w:val="subscript"/>
        </w:rPr>
        <w:t>2</w:t>
      </w:r>
      <w:r w:rsidRPr="00767D1A">
        <w:rPr>
          <w:i/>
          <w:color w:val="000000" w:themeColor="text1"/>
        </w:rPr>
        <w:t xml:space="preserve"> Utilization</w:t>
      </w:r>
      <w:r w:rsidRPr="00767D1A">
        <w:rPr>
          <w:color w:val="000000" w:themeColor="text1"/>
        </w:rPr>
        <w:t xml:space="preserve"> </w:t>
      </w:r>
      <w:r w:rsidRPr="00767D1A">
        <w:rPr>
          <w:b/>
          <w:color w:val="000000" w:themeColor="text1"/>
        </w:rPr>
        <w:t>2013</w:t>
      </w:r>
      <w:r w:rsidRPr="00767D1A">
        <w:rPr>
          <w:color w:val="000000" w:themeColor="text1"/>
        </w:rPr>
        <w:t xml:space="preserve">, </w:t>
      </w:r>
      <w:r w:rsidRPr="00767D1A">
        <w:rPr>
          <w:i/>
          <w:color w:val="000000" w:themeColor="text1"/>
        </w:rPr>
        <w:t>3–4</w:t>
      </w:r>
      <w:r w:rsidRPr="00767D1A">
        <w:rPr>
          <w:color w:val="000000" w:themeColor="text1"/>
        </w:rPr>
        <w:t xml:space="preserve">, 65–73; g) A. A. Olajire, </w:t>
      </w:r>
      <w:r w:rsidRPr="00767D1A">
        <w:rPr>
          <w:i/>
          <w:color w:val="000000" w:themeColor="text1"/>
        </w:rPr>
        <w:t>J. CO</w:t>
      </w:r>
      <w:r w:rsidRPr="00767D1A">
        <w:rPr>
          <w:i/>
          <w:color w:val="000000" w:themeColor="text1"/>
          <w:vertAlign w:val="subscript"/>
        </w:rPr>
        <w:t>2</w:t>
      </w:r>
      <w:r w:rsidRPr="00767D1A">
        <w:rPr>
          <w:i/>
          <w:color w:val="000000" w:themeColor="text1"/>
        </w:rPr>
        <w:t xml:space="preserve"> Utilization</w:t>
      </w:r>
      <w:r w:rsidRPr="00767D1A">
        <w:rPr>
          <w:color w:val="000000" w:themeColor="text1"/>
        </w:rPr>
        <w:t xml:space="preserve"> </w:t>
      </w:r>
      <w:r w:rsidRPr="00767D1A">
        <w:rPr>
          <w:b/>
          <w:color w:val="000000" w:themeColor="text1"/>
        </w:rPr>
        <w:t>2013</w:t>
      </w:r>
      <w:r w:rsidRPr="00767D1A">
        <w:rPr>
          <w:color w:val="000000" w:themeColor="text1"/>
        </w:rPr>
        <w:t xml:space="preserve">, </w:t>
      </w:r>
      <w:r w:rsidRPr="00767D1A">
        <w:rPr>
          <w:i/>
          <w:color w:val="000000" w:themeColor="text1"/>
        </w:rPr>
        <w:t>3–4</w:t>
      </w:r>
      <w:r w:rsidRPr="00767D1A">
        <w:rPr>
          <w:color w:val="000000" w:themeColor="text1"/>
        </w:rPr>
        <w:t xml:space="preserve">, 74–92; h) </w:t>
      </w:r>
      <w:r w:rsidRPr="00767D1A">
        <w:rPr>
          <w:color w:val="000000" w:themeColor="text1"/>
          <w:lang w:val="en-US" w:eastAsia="ru-RU"/>
        </w:rPr>
        <w:t>M. Aresta,</w:t>
      </w:r>
      <w:r w:rsidRPr="00767D1A">
        <w:rPr>
          <w:rFonts w:eastAsia="AdvOT8608a8d1+20"/>
          <w:color w:val="000000" w:themeColor="text1"/>
          <w:lang w:val="en-US" w:eastAsia="ru-RU"/>
        </w:rPr>
        <w:t xml:space="preserve"> </w:t>
      </w:r>
      <w:r w:rsidR="00767D1A" w:rsidRPr="00767D1A">
        <w:rPr>
          <w:color w:val="000000" w:themeColor="text1"/>
          <w:lang w:val="en-US" w:eastAsia="ru-RU"/>
        </w:rPr>
        <w:t xml:space="preserve">A. Dibenedetto, </w:t>
      </w:r>
      <w:r w:rsidRPr="00767D1A">
        <w:rPr>
          <w:color w:val="000000" w:themeColor="text1"/>
          <w:lang w:val="en-US" w:eastAsia="ru-RU"/>
        </w:rPr>
        <w:t xml:space="preserve">A. Angelini, </w:t>
      </w:r>
      <w:r w:rsidRPr="00767D1A">
        <w:rPr>
          <w:rStyle w:val="HTMLCite"/>
          <w:iCs w:val="0"/>
          <w:color w:val="000000" w:themeColor="text1"/>
          <w:lang w:val="en-US"/>
        </w:rPr>
        <w:t>Chem. Rev.</w:t>
      </w:r>
      <w:r w:rsidRPr="00767D1A">
        <w:rPr>
          <w:color w:val="000000" w:themeColor="text1"/>
          <w:lang w:val="en-US"/>
        </w:rPr>
        <w:t xml:space="preserve"> </w:t>
      </w:r>
      <w:r w:rsidRPr="00767D1A">
        <w:rPr>
          <w:rStyle w:val="citationyear"/>
          <w:b/>
          <w:color w:val="000000" w:themeColor="text1"/>
          <w:lang w:val="en-US"/>
        </w:rPr>
        <w:t>2014</w:t>
      </w:r>
      <w:r w:rsidRPr="00767D1A">
        <w:rPr>
          <w:color w:val="000000" w:themeColor="text1"/>
          <w:lang w:val="en-US"/>
        </w:rPr>
        <w:t xml:space="preserve">, </w:t>
      </w:r>
      <w:r w:rsidRPr="00767D1A">
        <w:rPr>
          <w:rStyle w:val="citationvolume"/>
          <w:i/>
          <w:color w:val="000000" w:themeColor="text1"/>
          <w:lang w:val="en-US"/>
        </w:rPr>
        <w:t>114</w:t>
      </w:r>
      <w:r w:rsidRPr="00767D1A">
        <w:rPr>
          <w:color w:val="000000" w:themeColor="text1"/>
          <w:lang w:val="en-US"/>
        </w:rPr>
        <w:t>, 1709–1742;</w:t>
      </w:r>
      <w:r w:rsidRPr="00767D1A">
        <w:rPr>
          <w:color w:val="000000" w:themeColor="text1"/>
        </w:rPr>
        <w:t xml:space="preserve"> i) A. O</w:t>
      </w:r>
      <w:r w:rsidR="00767D1A" w:rsidRPr="00767D1A">
        <w:rPr>
          <w:color w:val="000000" w:themeColor="text1"/>
        </w:rPr>
        <w:t xml:space="preserve">tto, T. Grube, S. Schiebahn, </w:t>
      </w:r>
      <w:r w:rsidRPr="00767D1A">
        <w:rPr>
          <w:color w:val="000000" w:themeColor="text1"/>
        </w:rPr>
        <w:t xml:space="preserve">D. Stolten, </w:t>
      </w:r>
      <w:r w:rsidRPr="00767D1A">
        <w:rPr>
          <w:i/>
          <w:color w:val="000000" w:themeColor="text1"/>
        </w:rPr>
        <w:t>Energy Environ. Sci.</w:t>
      </w:r>
      <w:r w:rsidRPr="00767D1A">
        <w:rPr>
          <w:color w:val="000000" w:themeColor="text1"/>
        </w:rPr>
        <w:t xml:space="preserve"> </w:t>
      </w:r>
      <w:r w:rsidRPr="00767D1A">
        <w:rPr>
          <w:b/>
          <w:color w:val="000000" w:themeColor="text1"/>
        </w:rPr>
        <w:t>2015</w:t>
      </w:r>
      <w:r w:rsidRPr="00767D1A">
        <w:rPr>
          <w:color w:val="000000" w:themeColor="text1"/>
        </w:rPr>
        <w:t xml:space="preserve">, </w:t>
      </w:r>
      <w:r w:rsidRPr="00767D1A">
        <w:rPr>
          <w:i/>
          <w:color w:val="000000" w:themeColor="text1"/>
        </w:rPr>
        <w:t>8</w:t>
      </w:r>
      <w:r w:rsidRPr="00767D1A">
        <w:rPr>
          <w:color w:val="000000" w:themeColor="text1"/>
        </w:rPr>
        <w:t>, 3283</w:t>
      </w:r>
      <w:r w:rsidR="00767D1A" w:rsidRPr="00767D1A">
        <w:rPr>
          <w:color w:val="000000" w:themeColor="text1"/>
        </w:rPr>
        <w:t>–3297; j) G. Fiorani, W. Guo,</w:t>
      </w:r>
      <w:r w:rsidRPr="00767D1A">
        <w:rPr>
          <w:color w:val="000000" w:themeColor="text1"/>
        </w:rPr>
        <w:t xml:space="preserve"> A. W. Kleij, </w:t>
      </w:r>
      <w:r w:rsidRPr="00767D1A">
        <w:rPr>
          <w:i/>
          <w:color w:val="000000" w:themeColor="text1"/>
        </w:rPr>
        <w:t>Green Chem.</w:t>
      </w:r>
      <w:r w:rsidRPr="00767D1A">
        <w:rPr>
          <w:color w:val="000000" w:themeColor="text1"/>
        </w:rPr>
        <w:t xml:space="preserve"> </w:t>
      </w:r>
      <w:r w:rsidRPr="00767D1A">
        <w:rPr>
          <w:b/>
          <w:color w:val="000000" w:themeColor="text1"/>
        </w:rPr>
        <w:t>2015</w:t>
      </w:r>
      <w:r w:rsidRPr="00767D1A">
        <w:rPr>
          <w:color w:val="000000" w:themeColor="text1"/>
        </w:rPr>
        <w:t xml:space="preserve">, </w:t>
      </w:r>
      <w:r w:rsidRPr="00767D1A">
        <w:rPr>
          <w:i/>
          <w:color w:val="000000" w:themeColor="text1"/>
        </w:rPr>
        <w:t>17</w:t>
      </w:r>
      <w:r w:rsidRPr="00767D1A">
        <w:rPr>
          <w:color w:val="000000" w:themeColor="text1"/>
        </w:rPr>
        <w:t xml:space="preserve">, 1375–1389; </w:t>
      </w:r>
      <w:r w:rsidRPr="00767D1A">
        <w:rPr>
          <w:color w:val="000000" w:themeColor="text1"/>
          <w:lang w:val="es-ES"/>
        </w:rPr>
        <w:t>k) A.</w:t>
      </w:r>
      <w:r w:rsidR="00767D1A" w:rsidRPr="00767D1A">
        <w:rPr>
          <w:color w:val="000000" w:themeColor="text1"/>
          <w:lang w:val="es-ES"/>
        </w:rPr>
        <w:t xml:space="preserve"> J. Martín, G. O. Larrazábal,</w:t>
      </w:r>
      <w:r w:rsidRPr="00767D1A">
        <w:rPr>
          <w:color w:val="000000" w:themeColor="text1"/>
          <w:lang w:val="es-ES"/>
        </w:rPr>
        <w:t xml:space="preserve"> J. Pérez-Ramírez, </w:t>
      </w:r>
      <w:r w:rsidRPr="00767D1A">
        <w:rPr>
          <w:i/>
          <w:color w:val="000000" w:themeColor="text1"/>
          <w:lang w:val="es-ES"/>
        </w:rPr>
        <w:t>Green Chem.</w:t>
      </w:r>
      <w:r w:rsidRPr="00767D1A">
        <w:rPr>
          <w:color w:val="000000" w:themeColor="text1"/>
          <w:lang w:val="es-ES"/>
        </w:rPr>
        <w:t xml:space="preserve"> </w:t>
      </w:r>
      <w:r w:rsidRPr="00767D1A">
        <w:rPr>
          <w:b/>
          <w:color w:val="000000" w:themeColor="text1"/>
          <w:lang w:val="es-ES"/>
        </w:rPr>
        <w:t>2015</w:t>
      </w:r>
      <w:r w:rsidRPr="00767D1A">
        <w:rPr>
          <w:color w:val="000000" w:themeColor="text1"/>
          <w:lang w:val="es-ES"/>
        </w:rPr>
        <w:t xml:space="preserve">, </w:t>
      </w:r>
      <w:r w:rsidRPr="00767D1A">
        <w:rPr>
          <w:i/>
          <w:color w:val="000000" w:themeColor="text1"/>
          <w:lang w:val="es-ES"/>
        </w:rPr>
        <w:t>17</w:t>
      </w:r>
      <w:r w:rsidRPr="00767D1A">
        <w:rPr>
          <w:color w:val="000000" w:themeColor="text1"/>
          <w:lang w:val="es-ES"/>
        </w:rPr>
        <w:t xml:space="preserve">, 5114–5130; </w:t>
      </w:r>
      <w:r w:rsidRPr="00767D1A">
        <w:rPr>
          <w:color w:val="000000" w:themeColor="text1"/>
        </w:rPr>
        <w:t xml:space="preserve">l) </w:t>
      </w:r>
      <w:r w:rsidR="00767D1A" w:rsidRPr="00767D1A">
        <w:rPr>
          <w:color w:val="000000" w:themeColor="text1"/>
        </w:rPr>
        <w:t xml:space="preserve">Q. Liu, L. Wu, R. Jackstell, </w:t>
      </w:r>
      <w:r w:rsidRPr="00767D1A">
        <w:rPr>
          <w:color w:val="000000" w:themeColor="text1"/>
        </w:rPr>
        <w:t xml:space="preserve">M. Beller, </w:t>
      </w:r>
      <w:r w:rsidRPr="00767D1A">
        <w:rPr>
          <w:i/>
          <w:color w:val="000000" w:themeColor="text1"/>
        </w:rPr>
        <w:t>Nat. Commun.</w:t>
      </w:r>
      <w:r w:rsidRPr="00767D1A">
        <w:rPr>
          <w:color w:val="000000" w:themeColor="text1"/>
        </w:rPr>
        <w:t xml:space="preserve"> </w:t>
      </w:r>
      <w:r w:rsidRPr="00767D1A">
        <w:rPr>
          <w:b/>
          <w:color w:val="000000" w:themeColor="text1"/>
        </w:rPr>
        <w:t>2015</w:t>
      </w:r>
      <w:r w:rsidRPr="00767D1A">
        <w:rPr>
          <w:color w:val="000000" w:themeColor="text1"/>
        </w:rPr>
        <w:t xml:space="preserve">, </w:t>
      </w:r>
      <w:r w:rsidRPr="00767D1A">
        <w:rPr>
          <w:i/>
          <w:iCs/>
          <w:color w:val="000000" w:themeColor="text1"/>
        </w:rPr>
        <w:t>6</w:t>
      </w:r>
      <w:r w:rsidRPr="00767D1A">
        <w:rPr>
          <w:color w:val="000000" w:themeColor="text1"/>
        </w:rPr>
        <w:t xml:space="preserve">, 5933; </w:t>
      </w:r>
      <w:r w:rsidR="00767D1A" w:rsidRPr="00767D1A">
        <w:rPr>
          <w:color w:val="000000" w:themeColor="text1"/>
        </w:rPr>
        <w:t xml:space="preserve">m) M. Poliakoff, W. Leitner, </w:t>
      </w:r>
      <w:r w:rsidRPr="00767D1A">
        <w:rPr>
          <w:color w:val="000000" w:themeColor="text1"/>
        </w:rPr>
        <w:t xml:space="preserve">E. S. Streng, </w:t>
      </w:r>
      <w:r w:rsidRPr="00767D1A">
        <w:rPr>
          <w:i/>
          <w:color w:val="000000" w:themeColor="text1"/>
        </w:rPr>
        <w:t>Faraday Discuss</w:t>
      </w:r>
      <w:r w:rsidRPr="00767D1A">
        <w:rPr>
          <w:color w:val="000000" w:themeColor="text1"/>
        </w:rPr>
        <w:t xml:space="preserve">., </w:t>
      </w:r>
      <w:r w:rsidRPr="00767D1A">
        <w:rPr>
          <w:b/>
          <w:color w:val="000000" w:themeColor="text1"/>
        </w:rPr>
        <w:t>2015</w:t>
      </w:r>
      <w:r w:rsidRPr="00767D1A">
        <w:rPr>
          <w:color w:val="000000" w:themeColor="text1"/>
        </w:rPr>
        <w:t xml:space="preserve">, </w:t>
      </w:r>
      <w:r w:rsidRPr="00767D1A">
        <w:rPr>
          <w:i/>
          <w:color w:val="000000" w:themeColor="text1"/>
        </w:rPr>
        <w:t>183</w:t>
      </w:r>
      <w:r w:rsidR="00767D1A" w:rsidRPr="00767D1A">
        <w:rPr>
          <w:color w:val="000000" w:themeColor="text1"/>
        </w:rPr>
        <w:t xml:space="preserve">, 9–17; n) B. Yu, </w:t>
      </w:r>
      <w:r w:rsidRPr="00767D1A">
        <w:rPr>
          <w:color w:val="000000" w:themeColor="text1"/>
        </w:rPr>
        <w:t xml:space="preserve">L.-N. He, </w:t>
      </w:r>
      <w:r w:rsidRPr="00767D1A">
        <w:rPr>
          <w:i/>
          <w:color w:val="000000" w:themeColor="text1"/>
        </w:rPr>
        <w:t>ChemSusChem</w:t>
      </w:r>
      <w:r w:rsidRPr="00767D1A">
        <w:rPr>
          <w:color w:val="000000" w:themeColor="text1"/>
        </w:rPr>
        <w:t xml:space="preserve"> </w:t>
      </w:r>
      <w:r w:rsidRPr="00767D1A">
        <w:rPr>
          <w:b/>
          <w:color w:val="000000" w:themeColor="text1"/>
        </w:rPr>
        <w:t>2015</w:t>
      </w:r>
      <w:r w:rsidRPr="00767D1A">
        <w:rPr>
          <w:color w:val="000000" w:themeColor="text1"/>
        </w:rPr>
        <w:t xml:space="preserve">, </w:t>
      </w:r>
      <w:r w:rsidRPr="00767D1A">
        <w:rPr>
          <w:i/>
          <w:color w:val="000000" w:themeColor="text1"/>
        </w:rPr>
        <w:t>8</w:t>
      </w:r>
      <w:r w:rsidRPr="00767D1A">
        <w:rPr>
          <w:color w:val="000000" w:themeColor="text1"/>
        </w:rPr>
        <w:t>, 52–62.</w:t>
      </w:r>
    </w:p>
    <w:p w:rsidR="00CA116F" w:rsidRPr="00767D1A" w:rsidRDefault="00767D1A" w:rsidP="007C6593">
      <w:pPr>
        <w:pStyle w:val="RSCR02References"/>
        <w:ind w:left="357" w:hanging="357"/>
        <w:rPr>
          <w:color w:val="000000" w:themeColor="text1"/>
        </w:rPr>
      </w:pPr>
      <w:r w:rsidRPr="00767D1A">
        <w:rPr>
          <w:color w:val="000000" w:themeColor="text1"/>
          <w:lang w:val="en-US" w:eastAsia="ru-RU"/>
        </w:rPr>
        <w:t xml:space="preserve">a) C. Martín, G. Fiorani, </w:t>
      </w:r>
      <w:r w:rsidR="00CA116F" w:rsidRPr="00767D1A">
        <w:rPr>
          <w:color w:val="000000" w:themeColor="text1"/>
          <w:lang w:val="en-US" w:eastAsia="ru-RU"/>
        </w:rPr>
        <w:t xml:space="preserve">A. W. Kleij, </w:t>
      </w:r>
      <w:r w:rsidR="00CA116F" w:rsidRPr="00767D1A">
        <w:rPr>
          <w:i/>
          <w:color w:val="000000" w:themeColor="text1"/>
          <w:lang w:val="en-US" w:eastAsia="ru-RU"/>
        </w:rPr>
        <w:t>ACS Catal</w:t>
      </w:r>
      <w:r w:rsidRPr="00767D1A">
        <w:rPr>
          <w:color w:val="000000" w:themeColor="text1"/>
          <w:lang w:val="en-US" w:eastAsia="ru-RU"/>
        </w:rPr>
        <w:t>.</w:t>
      </w:r>
      <w:r w:rsidR="00CA116F" w:rsidRPr="00767D1A">
        <w:rPr>
          <w:color w:val="000000" w:themeColor="text1"/>
          <w:lang w:val="en-US" w:eastAsia="ru-RU"/>
        </w:rPr>
        <w:t xml:space="preserve"> </w:t>
      </w:r>
      <w:r w:rsidR="00CA116F" w:rsidRPr="00767D1A">
        <w:rPr>
          <w:b/>
          <w:color w:val="000000" w:themeColor="text1"/>
          <w:lang w:val="en-US" w:eastAsia="ru-RU"/>
        </w:rPr>
        <w:t>2015</w:t>
      </w:r>
      <w:r w:rsidR="00CA116F" w:rsidRPr="00767D1A">
        <w:rPr>
          <w:color w:val="000000" w:themeColor="text1"/>
          <w:lang w:val="en-US" w:eastAsia="ru-RU"/>
        </w:rPr>
        <w:t xml:space="preserve">, </w:t>
      </w:r>
      <w:r w:rsidR="00CA116F" w:rsidRPr="00767D1A">
        <w:rPr>
          <w:i/>
          <w:color w:val="000000" w:themeColor="text1"/>
          <w:lang w:val="en-US" w:eastAsia="ru-RU"/>
        </w:rPr>
        <w:t>5</w:t>
      </w:r>
      <w:r w:rsidR="00CA116F" w:rsidRPr="00767D1A">
        <w:rPr>
          <w:color w:val="000000" w:themeColor="text1"/>
          <w:lang w:val="en-US" w:eastAsia="ru-RU"/>
        </w:rPr>
        <w:t xml:space="preserve">, 1353−1370; </w:t>
      </w:r>
      <w:r w:rsidR="00CA116F" w:rsidRPr="00767D1A">
        <w:rPr>
          <w:color w:val="000000" w:themeColor="text1"/>
        </w:rPr>
        <w:t>b) A. C., Kathalikkattil, R.</w:t>
      </w:r>
      <w:r w:rsidRPr="00767D1A">
        <w:rPr>
          <w:color w:val="000000" w:themeColor="text1"/>
        </w:rPr>
        <w:t xml:space="preserve"> Babu, J. Tharun, R. Roshan, </w:t>
      </w:r>
      <w:r w:rsidR="00CA116F" w:rsidRPr="00767D1A">
        <w:rPr>
          <w:color w:val="000000" w:themeColor="text1"/>
        </w:rPr>
        <w:t xml:space="preserve">D.-W. Park, </w:t>
      </w:r>
      <w:r w:rsidR="00CA116F" w:rsidRPr="00767D1A">
        <w:rPr>
          <w:i/>
          <w:color w:val="000000" w:themeColor="text1"/>
        </w:rPr>
        <w:t>Catal. Surv. Asia</w:t>
      </w:r>
      <w:r w:rsidR="00CA116F" w:rsidRPr="00767D1A">
        <w:rPr>
          <w:color w:val="000000" w:themeColor="text1"/>
        </w:rPr>
        <w:t xml:space="preserve"> </w:t>
      </w:r>
      <w:r w:rsidR="00CA116F" w:rsidRPr="00767D1A">
        <w:rPr>
          <w:b/>
          <w:color w:val="000000" w:themeColor="text1"/>
        </w:rPr>
        <w:t>2015</w:t>
      </w:r>
      <w:r w:rsidR="00CA116F" w:rsidRPr="00767D1A">
        <w:rPr>
          <w:color w:val="000000" w:themeColor="text1"/>
        </w:rPr>
        <w:t xml:space="preserve">, </w:t>
      </w:r>
      <w:r w:rsidR="00CA116F" w:rsidRPr="00767D1A">
        <w:rPr>
          <w:i/>
          <w:color w:val="000000" w:themeColor="text1"/>
        </w:rPr>
        <w:t>19</w:t>
      </w:r>
      <w:r w:rsidR="00CA116F" w:rsidRPr="00767D1A">
        <w:rPr>
          <w:color w:val="000000" w:themeColor="text1"/>
        </w:rPr>
        <w:t>, 223–235; c) V</w:t>
      </w:r>
      <w:r w:rsidRPr="00767D1A">
        <w:rPr>
          <w:color w:val="000000" w:themeColor="text1"/>
        </w:rPr>
        <w:t>. D’Elia, J. D. A. Pelletier,</w:t>
      </w:r>
      <w:r w:rsidR="00CA116F" w:rsidRPr="00767D1A">
        <w:rPr>
          <w:color w:val="000000" w:themeColor="text1"/>
        </w:rPr>
        <w:t xml:space="preserve"> J. -M. Basset, </w:t>
      </w:r>
      <w:r w:rsidR="00CA116F" w:rsidRPr="00767D1A">
        <w:rPr>
          <w:i/>
          <w:color w:val="000000" w:themeColor="text1"/>
        </w:rPr>
        <w:t>ChemCatChem</w:t>
      </w:r>
      <w:r w:rsidR="00CA116F" w:rsidRPr="00767D1A">
        <w:rPr>
          <w:color w:val="000000" w:themeColor="text1"/>
        </w:rPr>
        <w:t xml:space="preserve"> </w:t>
      </w:r>
      <w:r w:rsidR="00CA116F" w:rsidRPr="00767D1A">
        <w:rPr>
          <w:b/>
          <w:color w:val="000000" w:themeColor="text1"/>
        </w:rPr>
        <w:t>2015</w:t>
      </w:r>
      <w:r w:rsidR="00CA116F" w:rsidRPr="00767D1A">
        <w:rPr>
          <w:color w:val="000000" w:themeColor="text1"/>
        </w:rPr>
        <w:t xml:space="preserve">, </w:t>
      </w:r>
      <w:r w:rsidR="00CA116F" w:rsidRPr="00767D1A">
        <w:rPr>
          <w:i/>
          <w:color w:val="000000" w:themeColor="text1"/>
        </w:rPr>
        <w:t>7</w:t>
      </w:r>
      <w:r w:rsidR="00CA116F" w:rsidRPr="00767D1A">
        <w:rPr>
          <w:color w:val="000000" w:themeColor="text1"/>
        </w:rPr>
        <w:t>, 1906–1917; d) J. W. Comerford</w:t>
      </w:r>
      <w:r w:rsidRPr="00767D1A">
        <w:rPr>
          <w:color w:val="000000" w:themeColor="text1"/>
        </w:rPr>
        <w:t xml:space="preserve">, I. D. V. Ingram, M. North, </w:t>
      </w:r>
      <w:r w:rsidR="00CA116F" w:rsidRPr="00767D1A">
        <w:rPr>
          <w:color w:val="000000" w:themeColor="text1"/>
        </w:rPr>
        <w:t xml:space="preserve">X. Wu, </w:t>
      </w:r>
      <w:r w:rsidR="00CA116F" w:rsidRPr="00767D1A">
        <w:rPr>
          <w:i/>
          <w:color w:val="000000" w:themeColor="text1"/>
        </w:rPr>
        <w:t>Green Chem.</w:t>
      </w:r>
      <w:r w:rsidR="00CA116F" w:rsidRPr="00767D1A">
        <w:rPr>
          <w:color w:val="000000" w:themeColor="text1"/>
        </w:rPr>
        <w:t xml:space="preserve"> </w:t>
      </w:r>
      <w:r w:rsidR="00CA116F" w:rsidRPr="00767D1A">
        <w:rPr>
          <w:b/>
          <w:color w:val="000000" w:themeColor="text1"/>
        </w:rPr>
        <w:t>2015</w:t>
      </w:r>
      <w:r w:rsidR="00CA116F" w:rsidRPr="00767D1A">
        <w:rPr>
          <w:color w:val="000000" w:themeColor="text1"/>
        </w:rPr>
        <w:t xml:space="preserve">, </w:t>
      </w:r>
      <w:r w:rsidR="00CA116F" w:rsidRPr="00767D1A">
        <w:rPr>
          <w:i/>
          <w:color w:val="000000" w:themeColor="text1"/>
        </w:rPr>
        <w:t>17</w:t>
      </w:r>
      <w:r w:rsidR="00CA116F" w:rsidRPr="00767D1A">
        <w:rPr>
          <w:color w:val="000000" w:themeColor="text1"/>
        </w:rPr>
        <w:t>, 1966–1987.</w:t>
      </w:r>
    </w:p>
    <w:p w:rsidR="00CA116F" w:rsidRPr="00767D1A" w:rsidRDefault="00CA116F" w:rsidP="007C6593">
      <w:pPr>
        <w:pStyle w:val="RSCR02References"/>
        <w:ind w:left="357" w:hanging="357"/>
        <w:rPr>
          <w:color w:val="000000" w:themeColor="text1"/>
        </w:rPr>
      </w:pPr>
      <w:r w:rsidRPr="00767D1A">
        <w:rPr>
          <w:color w:val="000000" w:themeColor="text1"/>
        </w:rPr>
        <w:t>a) R. Mart</w:t>
      </w:r>
      <w:r w:rsidRPr="00767D1A">
        <w:rPr>
          <w:rFonts w:cs="Times"/>
          <w:color w:val="000000" w:themeColor="text1"/>
        </w:rPr>
        <w:t>í</w:t>
      </w:r>
      <w:r w:rsidR="00767D1A" w:rsidRPr="00767D1A">
        <w:rPr>
          <w:color w:val="000000" w:themeColor="text1"/>
        </w:rPr>
        <w:t xml:space="preserve">n, </w:t>
      </w:r>
      <w:r w:rsidRPr="00767D1A">
        <w:rPr>
          <w:color w:val="000000" w:themeColor="text1"/>
        </w:rPr>
        <w:t xml:space="preserve">A. W. Kleij, </w:t>
      </w:r>
      <w:r w:rsidRPr="00767D1A">
        <w:rPr>
          <w:i/>
          <w:color w:val="000000" w:themeColor="text1"/>
        </w:rPr>
        <w:t>ChemSusChem</w:t>
      </w:r>
      <w:r w:rsidRPr="00767D1A">
        <w:rPr>
          <w:color w:val="000000" w:themeColor="text1"/>
        </w:rPr>
        <w:t xml:space="preserve"> </w:t>
      </w:r>
      <w:r w:rsidRPr="00767D1A">
        <w:rPr>
          <w:b/>
          <w:color w:val="000000" w:themeColor="text1"/>
        </w:rPr>
        <w:t>2011</w:t>
      </w:r>
      <w:r w:rsidRPr="00767D1A">
        <w:rPr>
          <w:color w:val="000000" w:themeColor="text1"/>
        </w:rPr>
        <w:t xml:space="preserve">, </w:t>
      </w:r>
      <w:r w:rsidRPr="00767D1A">
        <w:rPr>
          <w:i/>
          <w:color w:val="000000" w:themeColor="text1"/>
        </w:rPr>
        <w:t>4</w:t>
      </w:r>
      <w:r w:rsidRPr="00767D1A">
        <w:rPr>
          <w:color w:val="000000" w:themeColor="text1"/>
        </w:rPr>
        <w:t xml:space="preserve">, 1259–1263; b) </w:t>
      </w:r>
      <w:r w:rsidR="00767D1A" w:rsidRPr="00767D1A">
        <w:rPr>
          <w:color w:val="000000" w:themeColor="text1"/>
          <w:lang w:val="en-US" w:eastAsia="ru-RU"/>
        </w:rPr>
        <w:t xml:space="preserve">X.-B. Lu, </w:t>
      </w:r>
      <w:r w:rsidRPr="00767D1A">
        <w:rPr>
          <w:color w:val="000000" w:themeColor="text1"/>
          <w:lang w:val="en-US" w:eastAsia="ru-RU"/>
        </w:rPr>
        <w:t xml:space="preserve">D. J. Darensbourg, </w:t>
      </w:r>
      <w:r w:rsidRPr="00767D1A">
        <w:rPr>
          <w:i/>
          <w:color w:val="000000" w:themeColor="text1"/>
          <w:lang w:val="en-US" w:eastAsia="ru-RU"/>
        </w:rPr>
        <w:t>Chem. Soc. Rev</w:t>
      </w:r>
      <w:r w:rsidR="00767D1A" w:rsidRPr="00767D1A">
        <w:rPr>
          <w:color w:val="000000" w:themeColor="text1"/>
          <w:lang w:val="en-US" w:eastAsia="ru-RU"/>
        </w:rPr>
        <w:t>.</w:t>
      </w:r>
      <w:r w:rsidRPr="00767D1A">
        <w:rPr>
          <w:color w:val="000000" w:themeColor="text1"/>
          <w:lang w:val="en-US" w:eastAsia="ru-RU"/>
        </w:rPr>
        <w:t xml:space="preserve"> </w:t>
      </w:r>
      <w:r w:rsidRPr="00767D1A">
        <w:rPr>
          <w:b/>
          <w:color w:val="000000" w:themeColor="text1"/>
          <w:lang w:val="en-US" w:eastAsia="ru-RU"/>
        </w:rPr>
        <w:t>2012</w:t>
      </w:r>
      <w:r w:rsidRPr="00767D1A">
        <w:rPr>
          <w:color w:val="000000" w:themeColor="text1"/>
          <w:lang w:val="en-US" w:eastAsia="ru-RU"/>
        </w:rPr>
        <w:t xml:space="preserve">, </w:t>
      </w:r>
      <w:r w:rsidRPr="00767D1A">
        <w:rPr>
          <w:bCs/>
          <w:i/>
          <w:color w:val="000000" w:themeColor="text1"/>
          <w:lang w:val="en-US" w:eastAsia="ru-RU"/>
        </w:rPr>
        <w:t>41</w:t>
      </w:r>
      <w:r w:rsidRPr="00767D1A">
        <w:rPr>
          <w:color w:val="000000" w:themeColor="text1"/>
          <w:lang w:val="en-US" w:eastAsia="ru-RU"/>
        </w:rPr>
        <w:t xml:space="preserve">, 1462–1484; </w:t>
      </w:r>
      <w:r w:rsidRPr="00767D1A">
        <w:rPr>
          <w:color w:val="000000" w:themeColor="text1"/>
        </w:rPr>
        <w:t xml:space="preserve">c) W. N. R. W. Isahak, Z. A. C. Ramli, M. W. M. Hisham, M. A. Yarmo, </w:t>
      </w:r>
      <w:r w:rsidRPr="00767D1A">
        <w:rPr>
          <w:i/>
          <w:iCs/>
          <w:color w:val="000000" w:themeColor="text1"/>
        </w:rPr>
        <w:t>Renew. Sustain. Energy Rev.</w:t>
      </w:r>
      <w:r w:rsidRPr="00767D1A">
        <w:rPr>
          <w:color w:val="000000" w:themeColor="text1"/>
        </w:rPr>
        <w:t xml:space="preserve"> </w:t>
      </w:r>
      <w:r w:rsidRPr="00767D1A">
        <w:rPr>
          <w:b/>
          <w:bCs/>
          <w:color w:val="000000" w:themeColor="text1"/>
        </w:rPr>
        <w:t>2015</w:t>
      </w:r>
      <w:r w:rsidRPr="00767D1A">
        <w:rPr>
          <w:color w:val="000000" w:themeColor="text1"/>
        </w:rPr>
        <w:t xml:space="preserve">, </w:t>
      </w:r>
      <w:r w:rsidRPr="00767D1A">
        <w:rPr>
          <w:i/>
          <w:iCs/>
          <w:color w:val="000000" w:themeColor="text1"/>
        </w:rPr>
        <w:t>47</w:t>
      </w:r>
      <w:r w:rsidRPr="00767D1A">
        <w:rPr>
          <w:color w:val="000000" w:themeColor="text1"/>
        </w:rPr>
        <w:t>, 93–106.</w:t>
      </w:r>
    </w:p>
    <w:p w:rsidR="00CA116F" w:rsidRPr="00767D1A" w:rsidRDefault="00CA116F" w:rsidP="007C6593">
      <w:pPr>
        <w:pStyle w:val="RSCR02References"/>
        <w:ind w:left="357" w:hanging="357"/>
        <w:rPr>
          <w:color w:val="000000" w:themeColor="text1"/>
        </w:rPr>
      </w:pPr>
      <w:r w:rsidRPr="00767D1A">
        <w:rPr>
          <w:color w:val="000000" w:themeColor="text1"/>
          <w:lang w:val="en-US"/>
        </w:rPr>
        <w:t>M. Cokoja, M.E. Wilhelm, M</w:t>
      </w:r>
      <w:r w:rsidR="00767D1A" w:rsidRPr="00767D1A">
        <w:rPr>
          <w:color w:val="000000" w:themeColor="text1"/>
          <w:lang w:val="en-US"/>
        </w:rPr>
        <w:t xml:space="preserve">.H. Anthofer, W.A. Herrmann, </w:t>
      </w:r>
      <w:r w:rsidRPr="00767D1A">
        <w:rPr>
          <w:color w:val="000000" w:themeColor="text1"/>
          <w:lang w:val="en-US"/>
        </w:rPr>
        <w:t xml:space="preserve">F.E. Kühn, </w:t>
      </w:r>
      <w:r w:rsidRPr="00767D1A">
        <w:rPr>
          <w:i/>
          <w:color w:val="000000" w:themeColor="text1"/>
          <w:lang w:val="en-US"/>
        </w:rPr>
        <w:t>ChemSusChem</w:t>
      </w:r>
      <w:r w:rsidRPr="00767D1A">
        <w:rPr>
          <w:color w:val="000000" w:themeColor="text1"/>
          <w:lang w:val="en-US"/>
        </w:rPr>
        <w:t xml:space="preserve"> </w:t>
      </w:r>
      <w:r w:rsidRPr="00767D1A">
        <w:rPr>
          <w:b/>
          <w:color w:val="000000" w:themeColor="text1"/>
          <w:lang w:val="en-US"/>
        </w:rPr>
        <w:t>2015</w:t>
      </w:r>
      <w:r w:rsidRPr="00767D1A">
        <w:rPr>
          <w:color w:val="000000" w:themeColor="text1"/>
          <w:lang w:val="en-US"/>
        </w:rPr>
        <w:t xml:space="preserve">, </w:t>
      </w:r>
      <w:r w:rsidRPr="00767D1A">
        <w:rPr>
          <w:i/>
          <w:color w:val="000000" w:themeColor="text1"/>
          <w:lang w:val="en-US"/>
        </w:rPr>
        <w:t>8</w:t>
      </w:r>
      <w:r w:rsidRPr="00767D1A">
        <w:rPr>
          <w:color w:val="000000" w:themeColor="text1"/>
          <w:lang w:val="en-US"/>
        </w:rPr>
        <w:t>, 2436–2454.</w:t>
      </w:r>
    </w:p>
    <w:p w:rsidR="00CA116F" w:rsidRPr="00767D1A" w:rsidRDefault="00767D1A" w:rsidP="007C6593">
      <w:pPr>
        <w:pStyle w:val="RSCR02References"/>
        <w:ind w:left="357" w:hanging="357"/>
        <w:rPr>
          <w:color w:val="000000" w:themeColor="text1"/>
        </w:rPr>
      </w:pPr>
      <w:r w:rsidRPr="00767D1A">
        <w:rPr>
          <w:rFonts w:cs="AdvMYR4"/>
          <w:color w:val="000000" w:themeColor="text1"/>
          <w:lang w:val="en-US"/>
        </w:rPr>
        <w:t xml:space="preserve">L. N. He, H. Yasuda, </w:t>
      </w:r>
      <w:r w:rsidR="00CA116F" w:rsidRPr="00767D1A">
        <w:rPr>
          <w:rFonts w:cs="AdvMYR4"/>
          <w:color w:val="000000" w:themeColor="text1"/>
          <w:lang w:val="en-US"/>
        </w:rPr>
        <w:t xml:space="preserve">I. Sakakura, </w:t>
      </w:r>
      <w:r w:rsidR="00CA116F" w:rsidRPr="00767D1A">
        <w:rPr>
          <w:rFonts w:cs="AdvMYR4I"/>
          <w:i/>
          <w:color w:val="000000" w:themeColor="text1"/>
          <w:lang w:val="en-US"/>
        </w:rPr>
        <w:t>Green Chem.</w:t>
      </w:r>
      <w:r w:rsidR="00CA116F" w:rsidRPr="00767D1A">
        <w:rPr>
          <w:rFonts w:cs="AdvMYR4I"/>
          <w:color w:val="000000" w:themeColor="text1"/>
          <w:lang w:val="en-US"/>
        </w:rPr>
        <w:t xml:space="preserve"> </w:t>
      </w:r>
      <w:r w:rsidR="00CA116F" w:rsidRPr="00767D1A">
        <w:rPr>
          <w:rFonts w:cs="AdvMYR6"/>
          <w:b/>
          <w:color w:val="000000" w:themeColor="text1"/>
          <w:lang w:val="en-US"/>
        </w:rPr>
        <w:t>2003</w:t>
      </w:r>
      <w:r w:rsidR="00CA116F" w:rsidRPr="00767D1A">
        <w:rPr>
          <w:rFonts w:cs="AdvMYR4"/>
          <w:color w:val="000000" w:themeColor="text1"/>
          <w:lang w:val="en-US"/>
        </w:rPr>
        <w:t xml:space="preserve">, </w:t>
      </w:r>
      <w:r w:rsidR="00CA116F" w:rsidRPr="00767D1A">
        <w:rPr>
          <w:rFonts w:cs="AdvMYR4I"/>
          <w:i/>
          <w:color w:val="000000" w:themeColor="text1"/>
          <w:lang w:val="en-US"/>
        </w:rPr>
        <w:t>5</w:t>
      </w:r>
      <w:r w:rsidR="00CA116F" w:rsidRPr="00767D1A">
        <w:rPr>
          <w:rFonts w:cs="AdvMYR4"/>
          <w:color w:val="000000" w:themeColor="text1"/>
          <w:lang w:val="en-US"/>
        </w:rPr>
        <w:t>, 92–94.</w:t>
      </w:r>
    </w:p>
    <w:p w:rsidR="00CA116F" w:rsidRPr="00767D1A" w:rsidRDefault="00CA116F" w:rsidP="007C6593">
      <w:pPr>
        <w:pStyle w:val="RSCR02References"/>
        <w:ind w:left="357" w:hanging="357"/>
        <w:rPr>
          <w:color w:val="000000" w:themeColor="text1"/>
        </w:rPr>
      </w:pPr>
      <w:r w:rsidRPr="00767D1A">
        <w:rPr>
          <w:rFonts w:cs="AdvMYR4"/>
          <w:color w:val="000000" w:themeColor="text1"/>
          <w:lang w:val="en-US"/>
        </w:rPr>
        <w:t>W. N</w:t>
      </w:r>
      <w:r w:rsidR="00767D1A" w:rsidRPr="00767D1A">
        <w:rPr>
          <w:rFonts w:cs="AdvMYR4"/>
          <w:color w:val="000000" w:themeColor="text1"/>
          <w:lang w:val="en-US"/>
        </w:rPr>
        <w:t>. Sit, S. M. Ng, K. Y. Kwong,</w:t>
      </w:r>
      <w:r w:rsidRPr="00767D1A">
        <w:rPr>
          <w:rFonts w:cs="AdvMYR4"/>
          <w:color w:val="000000" w:themeColor="text1"/>
          <w:lang w:val="en-US"/>
        </w:rPr>
        <w:t xml:space="preserve"> C. P. Lau, </w:t>
      </w:r>
      <w:r w:rsidRPr="00767D1A">
        <w:rPr>
          <w:rFonts w:cs="AdvMYR4I"/>
          <w:i/>
          <w:color w:val="000000" w:themeColor="text1"/>
          <w:lang w:val="en-US"/>
        </w:rPr>
        <w:t>J. Org. Chem.</w:t>
      </w:r>
      <w:r w:rsidRPr="00767D1A">
        <w:rPr>
          <w:rFonts w:cs="AdvMYR4I"/>
          <w:color w:val="000000" w:themeColor="text1"/>
          <w:lang w:val="en-US"/>
        </w:rPr>
        <w:t xml:space="preserve"> </w:t>
      </w:r>
      <w:r w:rsidRPr="00767D1A">
        <w:rPr>
          <w:rFonts w:cs="AdvMYR6"/>
          <w:b/>
          <w:color w:val="000000" w:themeColor="text1"/>
          <w:lang w:val="en-US"/>
        </w:rPr>
        <w:t>2005</w:t>
      </w:r>
      <w:r w:rsidRPr="00767D1A">
        <w:rPr>
          <w:rFonts w:cs="AdvMYR4"/>
          <w:color w:val="000000" w:themeColor="text1"/>
          <w:lang w:val="en-US"/>
        </w:rPr>
        <w:t xml:space="preserve">, </w:t>
      </w:r>
      <w:r w:rsidRPr="00767D1A">
        <w:rPr>
          <w:rFonts w:cs="AdvMYR4I"/>
          <w:i/>
          <w:color w:val="000000" w:themeColor="text1"/>
          <w:lang w:val="en-US"/>
        </w:rPr>
        <w:t>70</w:t>
      </w:r>
      <w:r w:rsidRPr="00767D1A">
        <w:rPr>
          <w:rFonts w:cs="AdvMYR4"/>
          <w:color w:val="000000" w:themeColor="text1"/>
          <w:lang w:val="en-US"/>
        </w:rPr>
        <w:t>, 8583–8586.</w:t>
      </w:r>
    </w:p>
    <w:p w:rsidR="00CA116F" w:rsidRPr="00767D1A" w:rsidRDefault="00CA116F" w:rsidP="007C6593">
      <w:pPr>
        <w:pStyle w:val="RSCR02References"/>
        <w:ind w:left="357" w:hanging="357"/>
        <w:rPr>
          <w:color w:val="000000" w:themeColor="text1"/>
        </w:rPr>
      </w:pPr>
      <w:r w:rsidRPr="00767D1A">
        <w:rPr>
          <w:rFonts w:cs="AdvMYR4"/>
          <w:color w:val="000000" w:themeColor="text1"/>
          <w:lang w:val="en-US"/>
        </w:rPr>
        <w:t>T. Takahashi, T. Wata</w:t>
      </w:r>
      <w:r w:rsidR="00767D1A" w:rsidRPr="00767D1A">
        <w:rPr>
          <w:rFonts w:cs="AdvMYR4"/>
          <w:color w:val="000000" w:themeColor="text1"/>
          <w:lang w:val="en-US"/>
        </w:rPr>
        <w:t>hiki, S. Kitazume, H. Yasuda,</w:t>
      </w:r>
      <w:r w:rsidRPr="00767D1A">
        <w:rPr>
          <w:rFonts w:cs="AdvMYR4"/>
          <w:color w:val="000000" w:themeColor="text1"/>
          <w:lang w:val="en-US"/>
        </w:rPr>
        <w:t xml:space="preserve"> T. Sakakura, </w:t>
      </w:r>
      <w:r w:rsidRPr="00767D1A">
        <w:rPr>
          <w:rFonts w:cs="AdvMYR4I"/>
          <w:i/>
          <w:color w:val="000000" w:themeColor="text1"/>
          <w:lang w:val="en-US"/>
        </w:rPr>
        <w:t>Chem. Commun.</w:t>
      </w:r>
      <w:r w:rsidRPr="00767D1A">
        <w:rPr>
          <w:rFonts w:cs="AdvMYR4I"/>
          <w:color w:val="000000" w:themeColor="text1"/>
          <w:lang w:val="en-US"/>
        </w:rPr>
        <w:t xml:space="preserve"> </w:t>
      </w:r>
      <w:r w:rsidRPr="00767D1A">
        <w:rPr>
          <w:rFonts w:cs="AdvMYR6"/>
          <w:b/>
          <w:color w:val="000000" w:themeColor="text1"/>
          <w:lang w:val="en-US"/>
        </w:rPr>
        <w:t>2006</w:t>
      </w:r>
      <w:r w:rsidRPr="00767D1A">
        <w:rPr>
          <w:rFonts w:cs="AdvMYR4"/>
          <w:color w:val="000000" w:themeColor="text1"/>
          <w:lang w:val="en-US"/>
        </w:rPr>
        <w:t>, 1664–1666.</w:t>
      </w:r>
    </w:p>
    <w:p w:rsidR="00CA116F" w:rsidRPr="00767D1A" w:rsidRDefault="00CA116F" w:rsidP="007C6593">
      <w:pPr>
        <w:pStyle w:val="RSCR02References"/>
        <w:ind w:left="357" w:hanging="357"/>
        <w:rPr>
          <w:color w:val="000000" w:themeColor="text1"/>
        </w:rPr>
      </w:pPr>
      <w:r w:rsidRPr="00767D1A">
        <w:rPr>
          <w:rFonts w:cs="AdvMYR4"/>
          <w:color w:val="000000" w:themeColor="text1"/>
          <w:lang w:val="en-US"/>
        </w:rPr>
        <w:t>T</w:t>
      </w:r>
      <w:r w:rsidR="00767D1A" w:rsidRPr="00767D1A">
        <w:rPr>
          <w:rFonts w:cs="AdvMYR4"/>
          <w:color w:val="000000" w:themeColor="text1"/>
          <w:lang w:val="en-US"/>
        </w:rPr>
        <w:t>. Chang, H.W. Jing, L.L. Jin,</w:t>
      </w:r>
      <w:r w:rsidRPr="00767D1A">
        <w:rPr>
          <w:rFonts w:cs="AdvMYR4"/>
          <w:color w:val="000000" w:themeColor="text1"/>
          <w:lang w:val="en-US"/>
        </w:rPr>
        <w:t xml:space="preserve"> W.Y. Qiu, </w:t>
      </w:r>
      <w:r w:rsidRPr="00767D1A">
        <w:rPr>
          <w:rFonts w:cs="AdvMYR4I"/>
          <w:i/>
          <w:color w:val="000000" w:themeColor="text1"/>
          <w:lang w:val="en-US"/>
        </w:rPr>
        <w:t>J. Mol. Catal. A</w:t>
      </w:r>
      <w:r w:rsidR="00767D1A" w:rsidRPr="00767D1A">
        <w:rPr>
          <w:rFonts w:cs="AdvMYR4I"/>
          <w:color w:val="000000" w:themeColor="text1"/>
          <w:lang w:val="en-US"/>
        </w:rPr>
        <w:t>.</w:t>
      </w:r>
      <w:r w:rsidRPr="00767D1A">
        <w:rPr>
          <w:rFonts w:cs="AdvMYR4I"/>
          <w:color w:val="000000" w:themeColor="text1"/>
          <w:lang w:val="en-US"/>
        </w:rPr>
        <w:t xml:space="preserve"> </w:t>
      </w:r>
      <w:r w:rsidRPr="00767D1A">
        <w:rPr>
          <w:rFonts w:cs="AdvMYR6"/>
          <w:b/>
          <w:color w:val="000000" w:themeColor="text1"/>
          <w:lang w:val="en-US"/>
        </w:rPr>
        <w:t>2007</w:t>
      </w:r>
      <w:r w:rsidRPr="00767D1A">
        <w:rPr>
          <w:rFonts w:cs="AdvMYR4"/>
          <w:color w:val="000000" w:themeColor="text1"/>
          <w:lang w:val="en-US"/>
        </w:rPr>
        <w:t xml:space="preserve">, </w:t>
      </w:r>
      <w:r w:rsidRPr="00767D1A">
        <w:rPr>
          <w:rFonts w:cs="AdvMYR4I"/>
          <w:i/>
          <w:color w:val="000000" w:themeColor="text1"/>
          <w:lang w:val="en-US"/>
        </w:rPr>
        <w:t>264</w:t>
      </w:r>
      <w:r w:rsidRPr="00767D1A">
        <w:rPr>
          <w:rFonts w:cs="AdvMYR4"/>
          <w:color w:val="000000" w:themeColor="text1"/>
          <w:lang w:val="en-US"/>
        </w:rPr>
        <w:t>, 241–247.</w:t>
      </w:r>
    </w:p>
    <w:p w:rsidR="00CA116F" w:rsidRPr="00767D1A" w:rsidRDefault="00767D1A" w:rsidP="007C6593">
      <w:pPr>
        <w:pStyle w:val="RSCR02References"/>
        <w:ind w:left="357" w:hanging="357"/>
        <w:rPr>
          <w:color w:val="000000" w:themeColor="text1"/>
        </w:rPr>
      </w:pPr>
      <w:r w:rsidRPr="00767D1A">
        <w:rPr>
          <w:color w:val="000000" w:themeColor="text1"/>
          <w:lang w:val="en-US"/>
        </w:rPr>
        <w:t>J. Sun, S. Zhang, W. Cheng,</w:t>
      </w:r>
      <w:r w:rsidR="00CA116F" w:rsidRPr="00767D1A">
        <w:rPr>
          <w:color w:val="000000" w:themeColor="text1"/>
          <w:lang w:val="en-US"/>
        </w:rPr>
        <w:t xml:space="preserve"> J. Renet, </w:t>
      </w:r>
      <w:r w:rsidR="00CA116F" w:rsidRPr="00767D1A">
        <w:rPr>
          <w:i/>
          <w:color w:val="000000" w:themeColor="text1"/>
          <w:lang w:val="en-US"/>
        </w:rPr>
        <w:t>Tetrahedron Lett</w:t>
      </w:r>
      <w:r w:rsidRPr="00767D1A">
        <w:rPr>
          <w:color w:val="000000" w:themeColor="text1"/>
          <w:lang w:val="en-US"/>
        </w:rPr>
        <w:t>.</w:t>
      </w:r>
      <w:r w:rsidR="00CA116F" w:rsidRPr="00767D1A">
        <w:rPr>
          <w:color w:val="000000" w:themeColor="text1"/>
          <w:lang w:val="en-US"/>
        </w:rPr>
        <w:t xml:space="preserve"> </w:t>
      </w:r>
      <w:r w:rsidR="00CA116F" w:rsidRPr="00767D1A">
        <w:rPr>
          <w:b/>
          <w:color w:val="000000" w:themeColor="text1"/>
          <w:lang w:val="en-US"/>
        </w:rPr>
        <w:t>2008</w:t>
      </w:r>
      <w:r w:rsidR="00CA116F" w:rsidRPr="00767D1A">
        <w:rPr>
          <w:color w:val="000000" w:themeColor="text1"/>
          <w:lang w:val="en-US"/>
        </w:rPr>
        <w:t xml:space="preserve">, </w:t>
      </w:r>
      <w:r w:rsidR="00CA116F" w:rsidRPr="00767D1A">
        <w:rPr>
          <w:i/>
          <w:color w:val="000000" w:themeColor="text1"/>
          <w:lang w:val="en-US"/>
        </w:rPr>
        <w:t>49</w:t>
      </w:r>
      <w:r w:rsidR="00CA116F" w:rsidRPr="00767D1A">
        <w:rPr>
          <w:color w:val="000000" w:themeColor="text1"/>
          <w:lang w:val="en-US"/>
        </w:rPr>
        <w:t>, 3588</w:t>
      </w:r>
      <w:r w:rsidR="00CA116F" w:rsidRPr="00767D1A">
        <w:rPr>
          <w:rFonts w:cs="AdvMYR4"/>
          <w:color w:val="000000" w:themeColor="text1"/>
          <w:lang w:val="en-US"/>
        </w:rPr>
        <w:t>–</w:t>
      </w:r>
      <w:r w:rsidR="00CA116F" w:rsidRPr="00767D1A">
        <w:rPr>
          <w:color w:val="000000" w:themeColor="text1"/>
          <w:lang w:val="en-US"/>
        </w:rPr>
        <w:t>3591.</w:t>
      </w:r>
    </w:p>
    <w:p w:rsidR="00CA116F" w:rsidRPr="00767D1A" w:rsidRDefault="00767D1A" w:rsidP="007C6593">
      <w:pPr>
        <w:pStyle w:val="RSCR02References"/>
        <w:ind w:left="357" w:hanging="357"/>
        <w:rPr>
          <w:color w:val="000000" w:themeColor="text1"/>
        </w:rPr>
      </w:pPr>
      <w:r w:rsidRPr="00767D1A">
        <w:rPr>
          <w:color w:val="000000" w:themeColor="text1"/>
          <w:lang w:val="en-US"/>
        </w:rPr>
        <w:t xml:space="preserve">J. Peng, </w:t>
      </w:r>
      <w:r w:rsidR="00CA116F" w:rsidRPr="00767D1A">
        <w:rPr>
          <w:color w:val="000000" w:themeColor="text1"/>
          <w:lang w:val="en-US"/>
        </w:rPr>
        <w:t xml:space="preserve">Y. Deng, </w:t>
      </w:r>
      <w:r w:rsidR="00CA116F" w:rsidRPr="00767D1A">
        <w:rPr>
          <w:i/>
          <w:color w:val="000000" w:themeColor="text1"/>
          <w:lang w:val="en-US"/>
        </w:rPr>
        <w:t>New J. Chem.</w:t>
      </w:r>
      <w:r w:rsidR="00CA116F" w:rsidRPr="00767D1A">
        <w:rPr>
          <w:color w:val="000000" w:themeColor="text1"/>
          <w:lang w:val="en-US"/>
        </w:rPr>
        <w:t xml:space="preserve"> </w:t>
      </w:r>
      <w:r w:rsidR="00CA116F" w:rsidRPr="00767D1A">
        <w:rPr>
          <w:b/>
          <w:color w:val="000000" w:themeColor="text1"/>
          <w:lang w:val="en-US"/>
        </w:rPr>
        <w:t>2001</w:t>
      </w:r>
      <w:r w:rsidR="00CA116F" w:rsidRPr="00767D1A">
        <w:rPr>
          <w:color w:val="000000" w:themeColor="text1"/>
          <w:lang w:val="en-US"/>
        </w:rPr>
        <w:t>,</w:t>
      </w:r>
      <w:r w:rsidR="00CA116F" w:rsidRPr="00767D1A">
        <w:rPr>
          <w:i/>
          <w:color w:val="000000" w:themeColor="text1"/>
          <w:lang w:val="en-US"/>
        </w:rPr>
        <w:t xml:space="preserve"> 25</w:t>
      </w:r>
      <w:r w:rsidR="00CA116F" w:rsidRPr="00767D1A">
        <w:rPr>
          <w:color w:val="000000" w:themeColor="text1"/>
          <w:lang w:val="en-US"/>
        </w:rPr>
        <w:t>, 639</w:t>
      </w:r>
      <w:r w:rsidR="00CA116F" w:rsidRPr="00767D1A">
        <w:rPr>
          <w:rFonts w:cs="AdvMYR4"/>
          <w:color w:val="000000" w:themeColor="text1"/>
          <w:lang w:val="en-US"/>
        </w:rPr>
        <w:t>–</w:t>
      </w:r>
      <w:r w:rsidR="00CA116F" w:rsidRPr="00767D1A">
        <w:rPr>
          <w:color w:val="000000" w:themeColor="text1"/>
          <w:lang w:val="en-US"/>
        </w:rPr>
        <w:t>641.</w:t>
      </w:r>
    </w:p>
    <w:p w:rsidR="00CA116F" w:rsidRPr="00767D1A" w:rsidRDefault="00CA116F" w:rsidP="007C6593">
      <w:pPr>
        <w:pStyle w:val="RSCR02References"/>
        <w:ind w:left="357" w:hanging="357"/>
        <w:rPr>
          <w:color w:val="000000" w:themeColor="text1"/>
        </w:rPr>
      </w:pPr>
      <w:r w:rsidRPr="00767D1A">
        <w:rPr>
          <w:color w:val="000000" w:themeColor="text1"/>
          <w:lang w:val="en-US"/>
        </w:rPr>
        <w:t>J. Sun, L. Han,</w:t>
      </w:r>
      <w:r w:rsidR="00767D1A" w:rsidRPr="00767D1A">
        <w:rPr>
          <w:color w:val="000000" w:themeColor="text1"/>
          <w:lang w:val="en-US"/>
        </w:rPr>
        <w:t xml:space="preserve"> W. Cheng, J. Wang, X. Zhang,</w:t>
      </w:r>
      <w:r w:rsidRPr="00767D1A">
        <w:rPr>
          <w:color w:val="000000" w:themeColor="text1"/>
          <w:lang w:val="en-US"/>
        </w:rPr>
        <w:t xml:space="preserve"> S. Zhang, </w:t>
      </w:r>
      <w:r w:rsidRPr="00767D1A">
        <w:rPr>
          <w:i/>
          <w:color w:val="000000" w:themeColor="text1"/>
          <w:lang w:val="en-US"/>
        </w:rPr>
        <w:t>ChemSusChem</w:t>
      </w:r>
      <w:r w:rsidRPr="00767D1A">
        <w:rPr>
          <w:color w:val="000000" w:themeColor="text1"/>
          <w:lang w:val="en-US"/>
        </w:rPr>
        <w:t xml:space="preserve"> </w:t>
      </w:r>
      <w:r w:rsidRPr="00767D1A">
        <w:rPr>
          <w:b/>
          <w:color w:val="000000" w:themeColor="text1"/>
          <w:lang w:val="en-US"/>
        </w:rPr>
        <w:t>2011</w:t>
      </w:r>
      <w:r w:rsidRPr="00767D1A">
        <w:rPr>
          <w:color w:val="000000" w:themeColor="text1"/>
          <w:lang w:val="en-US"/>
        </w:rPr>
        <w:t xml:space="preserve">, </w:t>
      </w:r>
      <w:r w:rsidRPr="00767D1A">
        <w:rPr>
          <w:i/>
          <w:color w:val="000000" w:themeColor="text1"/>
          <w:lang w:val="en-US"/>
        </w:rPr>
        <w:t>4</w:t>
      </w:r>
      <w:r w:rsidRPr="00767D1A">
        <w:rPr>
          <w:color w:val="000000" w:themeColor="text1"/>
          <w:lang w:val="en-US"/>
        </w:rPr>
        <w:t>, 502</w:t>
      </w:r>
      <w:r w:rsidRPr="00767D1A">
        <w:rPr>
          <w:rFonts w:cs="AdvMYR4"/>
          <w:color w:val="000000" w:themeColor="text1"/>
          <w:lang w:val="en-US"/>
        </w:rPr>
        <w:t>–</w:t>
      </w:r>
      <w:r w:rsidRPr="00767D1A">
        <w:rPr>
          <w:color w:val="000000" w:themeColor="text1"/>
          <w:lang w:val="en-US"/>
        </w:rPr>
        <w:t>507.</w:t>
      </w:r>
    </w:p>
    <w:p w:rsidR="00CA116F" w:rsidRPr="00767D1A" w:rsidRDefault="00CA116F" w:rsidP="007C6593">
      <w:pPr>
        <w:pStyle w:val="RSCR02References"/>
        <w:ind w:left="357" w:hanging="357"/>
        <w:rPr>
          <w:color w:val="000000" w:themeColor="text1"/>
        </w:rPr>
      </w:pPr>
      <w:r w:rsidRPr="00767D1A">
        <w:rPr>
          <w:color w:val="000000" w:themeColor="text1"/>
          <w:lang w:val="en-US"/>
        </w:rPr>
        <w:t>L. Xiao, D. Lv</w:t>
      </w:r>
      <w:r w:rsidR="00767D1A" w:rsidRPr="00767D1A">
        <w:rPr>
          <w:color w:val="000000" w:themeColor="text1"/>
          <w:lang w:val="en-US"/>
        </w:rPr>
        <w:t xml:space="preserve">, </w:t>
      </w:r>
      <w:r w:rsidRPr="00767D1A">
        <w:rPr>
          <w:color w:val="000000" w:themeColor="text1"/>
          <w:lang w:val="en-US"/>
        </w:rPr>
        <w:t xml:space="preserve">W. Wu, </w:t>
      </w:r>
      <w:r w:rsidRPr="00767D1A">
        <w:rPr>
          <w:i/>
          <w:color w:val="000000" w:themeColor="text1"/>
          <w:lang w:val="en-US"/>
        </w:rPr>
        <w:t>Catal. Lett</w:t>
      </w:r>
      <w:r w:rsidR="00767D1A" w:rsidRPr="00767D1A">
        <w:rPr>
          <w:color w:val="000000" w:themeColor="text1"/>
          <w:lang w:val="en-US"/>
        </w:rPr>
        <w:t>.</w:t>
      </w:r>
      <w:r w:rsidRPr="00767D1A">
        <w:rPr>
          <w:color w:val="000000" w:themeColor="text1"/>
          <w:lang w:val="en-US"/>
        </w:rPr>
        <w:t xml:space="preserve"> </w:t>
      </w:r>
      <w:r w:rsidRPr="00767D1A">
        <w:rPr>
          <w:b/>
          <w:color w:val="000000" w:themeColor="text1"/>
          <w:lang w:val="en-US"/>
        </w:rPr>
        <w:t>2011</w:t>
      </w:r>
      <w:r w:rsidRPr="00767D1A">
        <w:rPr>
          <w:color w:val="000000" w:themeColor="text1"/>
          <w:lang w:val="en-US"/>
        </w:rPr>
        <w:t>,</w:t>
      </w:r>
      <w:r w:rsidRPr="00767D1A">
        <w:rPr>
          <w:b/>
          <w:color w:val="000000" w:themeColor="text1"/>
          <w:lang w:val="en-US"/>
        </w:rPr>
        <w:t xml:space="preserve"> </w:t>
      </w:r>
      <w:r w:rsidRPr="00767D1A">
        <w:rPr>
          <w:i/>
          <w:color w:val="000000" w:themeColor="text1"/>
          <w:lang w:val="en-US"/>
        </w:rPr>
        <w:t>141</w:t>
      </w:r>
      <w:r w:rsidRPr="00767D1A">
        <w:rPr>
          <w:color w:val="000000" w:themeColor="text1"/>
          <w:lang w:val="en-US"/>
        </w:rPr>
        <w:t>, 1838</w:t>
      </w:r>
      <w:r w:rsidRPr="00767D1A">
        <w:rPr>
          <w:rFonts w:cs="AdvMYR4"/>
          <w:color w:val="000000" w:themeColor="text1"/>
          <w:lang w:val="en-US"/>
        </w:rPr>
        <w:t>–</w:t>
      </w:r>
      <w:r w:rsidRPr="00767D1A">
        <w:rPr>
          <w:color w:val="000000" w:themeColor="text1"/>
          <w:lang w:val="en-US"/>
        </w:rPr>
        <w:t>1844.</w:t>
      </w:r>
    </w:p>
    <w:p w:rsidR="00CA116F" w:rsidRPr="00767D1A" w:rsidRDefault="00CA116F" w:rsidP="007C6593">
      <w:pPr>
        <w:pStyle w:val="RSCR02References"/>
        <w:ind w:left="357" w:hanging="357"/>
        <w:rPr>
          <w:color w:val="000000" w:themeColor="text1"/>
        </w:rPr>
      </w:pPr>
      <w:r w:rsidRPr="00767D1A">
        <w:rPr>
          <w:color w:val="000000" w:themeColor="text1"/>
          <w:lang w:val="en-US"/>
        </w:rPr>
        <w:t>L. Han, S.-J. Choi, M.-S. Park, S.-M. Lee, Y</w:t>
      </w:r>
      <w:r w:rsidR="00767D1A" w:rsidRPr="00767D1A">
        <w:rPr>
          <w:color w:val="000000" w:themeColor="text1"/>
          <w:lang w:val="en-US"/>
        </w:rPr>
        <w:t xml:space="preserve">.-J. Kim, M.-I. Kim, B. Liu, </w:t>
      </w:r>
      <w:r w:rsidRPr="00767D1A">
        <w:rPr>
          <w:color w:val="000000" w:themeColor="text1"/>
          <w:lang w:val="en-US"/>
        </w:rPr>
        <w:t xml:space="preserve">D.-W. Park, </w:t>
      </w:r>
      <w:r w:rsidRPr="00767D1A">
        <w:rPr>
          <w:i/>
          <w:color w:val="000000" w:themeColor="text1"/>
          <w:lang w:val="en-US"/>
        </w:rPr>
        <w:t>React. Kinetics, Mechanisms and Catal.</w:t>
      </w:r>
      <w:r w:rsidRPr="00767D1A">
        <w:rPr>
          <w:color w:val="000000" w:themeColor="text1"/>
          <w:lang w:val="en-US"/>
        </w:rPr>
        <w:t xml:space="preserve"> </w:t>
      </w:r>
      <w:r w:rsidRPr="00767D1A">
        <w:rPr>
          <w:b/>
          <w:color w:val="000000" w:themeColor="text1"/>
          <w:lang w:val="en-US"/>
        </w:rPr>
        <w:t>2011</w:t>
      </w:r>
      <w:r w:rsidRPr="00767D1A">
        <w:rPr>
          <w:color w:val="000000" w:themeColor="text1"/>
          <w:lang w:val="en-US"/>
        </w:rPr>
        <w:t xml:space="preserve">, </w:t>
      </w:r>
      <w:r w:rsidRPr="00767D1A">
        <w:rPr>
          <w:i/>
          <w:color w:val="000000" w:themeColor="text1"/>
          <w:lang w:val="en-US"/>
        </w:rPr>
        <w:t>106</w:t>
      </w:r>
      <w:r w:rsidRPr="00767D1A">
        <w:rPr>
          <w:color w:val="000000" w:themeColor="text1"/>
          <w:lang w:val="en-US"/>
        </w:rPr>
        <w:t>, 25</w:t>
      </w:r>
      <w:r w:rsidRPr="00767D1A">
        <w:rPr>
          <w:rFonts w:cs="AdvMYR4"/>
          <w:color w:val="000000" w:themeColor="text1"/>
          <w:lang w:val="en-US"/>
        </w:rPr>
        <w:t>–</w:t>
      </w:r>
      <w:r w:rsidRPr="00767D1A">
        <w:rPr>
          <w:color w:val="000000" w:themeColor="text1"/>
          <w:lang w:val="en-US"/>
        </w:rPr>
        <w:t>35.</w:t>
      </w:r>
    </w:p>
    <w:p w:rsidR="00CA116F" w:rsidRPr="00767D1A" w:rsidRDefault="00CA116F" w:rsidP="007C6593">
      <w:pPr>
        <w:pStyle w:val="RSCR02References"/>
        <w:ind w:left="357" w:hanging="357"/>
        <w:rPr>
          <w:color w:val="000000" w:themeColor="text1"/>
        </w:rPr>
      </w:pPr>
      <w:r w:rsidRPr="00767D1A">
        <w:rPr>
          <w:color w:val="000000" w:themeColor="text1"/>
          <w:lang w:val="en-US"/>
        </w:rPr>
        <w:t>L.-F. X</w:t>
      </w:r>
      <w:r w:rsidR="00767D1A" w:rsidRPr="00767D1A">
        <w:rPr>
          <w:color w:val="000000" w:themeColor="text1"/>
          <w:lang w:val="en-US"/>
        </w:rPr>
        <w:t xml:space="preserve">iao, D.-W. Lv, D. Su, W. Wu, </w:t>
      </w:r>
      <w:r w:rsidRPr="00767D1A">
        <w:rPr>
          <w:color w:val="000000" w:themeColor="text1"/>
          <w:lang w:val="en-US"/>
        </w:rPr>
        <w:t xml:space="preserve">H.-F. Li, </w:t>
      </w:r>
      <w:r w:rsidRPr="00767D1A">
        <w:rPr>
          <w:i/>
          <w:color w:val="000000" w:themeColor="text1"/>
          <w:lang w:val="en-US"/>
        </w:rPr>
        <w:t>J. Cleaner Prod</w:t>
      </w:r>
      <w:r w:rsidR="00767D1A" w:rsidRPr="00767D1A">
        <w:rPr>
          <w:color w:val="000000" w:themeColor="text1"/>
          <w:lang w:val="en-US"/>
        </w:rPr>
        <w:t>.</w:t>
      </w:r>
      <w:r w:rsidRPr="00767D1A">
        <w:rPr>
          <w:color w:val="000000" w:themeColor="text1"/>
          <w:lang w:val="en-US"/>
        </w:rPr>
        <w:t xml:space="preserve"> </w:t>
      </w:r>
      <w:r w:rsidRPr="00767D1A">
        <w:rPr>
          <w:b/>
          <w:color w:val="000000" w:themeColor="text1"/>
          <w:lang w:val="en-US"/>
        </w:rPr>
        <w:t>2014</w:t>
      </w:r>
      <w:r w:rsidRPr="00767D1A">
        <w:rPr>
          <w:color w:val="000000" w:themeColor="text1"/>
          <w:lang w:val="en-US"/>
        </w:rPr>
        <w:t xml:space="preserve">, </w:t>
      </w:r>
      <w:r w:rsidRPr="00767D1A">
        <w:rPr>
          <w:i/>
          <w:color w:val="000000" w:themeColor="text1"/>
          <w:lang w:val="en-US"/>
        </w:rPr>
        <w:t>67</w:t>
      </w:r>
      <w:r w:rsidRPr="00767D1A">
        <w:rPr>
          <w:color w:val="000000" w:themeColor="text1"/>
          <w:lang w:val="en-US"/>
        </w:rPr>
        <w:t>, 285</w:t>
      </w:r>
      <w:r w:rsidRPr="00767D1A">
        <w:rPr>
          <w:rFonts w:cs="AdvMYR4"/>
          <w:color w:val="000000" w:themeColor="text1"/>
          <w:lang w:val="en-US"/>
        </w:rPr>
        <w:t>–</w:t>
      </w:r>
      <w:r w:rsidRPr="00767D1A">
        <w:rPr>
          <w:color w:val="000000" w:themeColor="text1"/>
          <w:lang w:val="en-US"/>
        </w:rPr>
        <w:t>290.</w:t>
      </w:r>
    </w:p>
    <w:p w:rsidR="00CA116F" w:rsidRPr="00767D1A" w:rsidRDefault="00CA116F" w:rsidP="007C6593">
      <w:pPr>
        <w:pStyle w:val="RSCR02References"/>
        <w:ind w:left="357" w:hanging="357"/>
        <w:rPr>
          <w:color w:val="000000" w:themeColor="text1"/>
        </w:rPr>
      </w:pPr>
      <w:r w:rsidRPr="00767D1A">
        <w:rPr>
          <w:rStyle w:val="redtxts4"/>
          <w:color w:val="000000" w:themeColor="text1"/>
          <w:lang w:val="en-US"/>
        </w:rPr>
        <w:t>J. Q. Wang, W.-G. Cheng, J.</w:t>
      </w:r>
      <w:r w:rsidR="00767D1A" w:rsidRPr="00767D1A">
        <w:rPr>
          <w:rStyle w:val="redtxts4"/>
          <w:color w:val="000000" w:themeColor="text1"/>
          <w:lang w:val="en-US"/>
        </w:rPr>
        <w:t xml:space="preserve"> Sun, T.-Y. Shi, X.-P. Zhang,</w:t>
      </w:r>
      <w:r w:rsidRPr="00767D1A">
        <w:rPr>
          <w:rStyle w:val="redtxts4"/>
          <w:color w:val="000000" w:themeColor="text1"/>
          <w:lang w:val="en-US"/>
        </w:rPr>
        <w:t xml:space="preserve"> S.-J. Zhan, </w:t>
      </w:r>
      <w:r w:rsidRPr="00767D1A">
        <w:rPr>
          <w:i/>
          <w:color w:val="000000" w:themeColor="text1"/>
          <w:lang w:val="en-US"/>
        </w:rPr>
        <w:t>RSC Adv.</w:t>
      </w:r>
      <w:r w:rsidRPr="00767D1A">
        <w:rPr>
          <w:color w:val="000000" w:themeColor="text1"/>
          <w:lang w:val="en-US"/>
        </w:rPr>
        <w:t xml:space="preserve"> </w:t>
      </w:r>
      <w:r w:rsidRPr="00767D1A">
        <w:rPr>
          <w:b/>
          <w:color w:val="000000" w:themeColor="text1"/>
          <w:lang w:val="en-US"/>
        </w:rPr>
        <w:t>2014</w:t>
      </w:r>
      <w:r w:rsidRPr="00767D1A">
        <w:rPr>
          <w:color w:val="000000" w:themeColor="text1"/>
          <w:lang w:val="en-US"/>
        </w:rPr>
        <w:t xml:space="preserve">, </w:t>
      </w:r>
      <w:r w:rsidRPr="00767D1A">
        <w:rPr>
          <w:i/>
          <w:color w:val="000000" w:themeColor="text1"/>
          <w:lang w:val="en-US"/>
        </w:rPr>
        <w:t>4</w:t>
      </w:r>
      <w:r w:rsidRPr="00767D1A">
        <w:rPr>
          <w:color w:val="000000" w:themeColor="text1"/>
          <w:lang w:val="en-US"/>
        </w:rPr>
        <w:t>, 2360</w:t>
      </w:r>
      <w:r w:rsidRPr="00767D1A">
        <w:rPr>
          <w:rFonts w:cs="AdvMYR4"/>
          <w:color w:val="000000" w:themeColor="text1"/>
          <w:lang w:val="en-US"/>
        </w:rPr>
        <w:t>–</w:t>
      </w:r>
      <w:r w:rsidRPr="00767D1A">
        <w:rPr>
          <w:color w:val="000000" w:themeColor="text1"/>
          <w:lang w:val="en-US"/>
        </w:rPr>
        <w:t>2367.</w:t>
      </w:r>
    </w:p>
    <w:p w:rsidR="00CA116F" w:rsidRPr="007D1707" w:rsidRDefault="00CA116F" w:rsidP="007C6593">
      <w:pPr>
        <w:pStyle w:val="RSCR02References"/>
        <w:ind w:left="357" w:hanging="357"/>
        <w:rPr>
          <w:color w:val="000000" w:themeColor="text1"/>
        </w:rPr>
      </w:pPr>
      <w:r w:rsidRPr="007D1707">
        <w:rPr>
          <w:color w:val="000000" w:themeColor="text1"/>
        </w:rPr>
        <w:t>B.-H. Xu, J.-Q. Wang, J. Sun, Y. Huan</w:t>
      </w:r>
      <w:r w:rsidR="007D1707" w:rsidRPr="007D1707">
        <w:rPr>
          <w:color w:val="000000" w:themeColor="text1"/>
        </w:rPr>
        <w:t xml:space="preserve">g, J.-P. Zhang, X.-P. Zhang, </w:t>
      </w:r>
      <w:r w:rsidRPr="007D1707">
        <w:rPr>
          <w:color w:val="000000" w:themeColor="text1"/>
        </w:rPr>
        <w:t xml:space="preserve">S.-J. Zhang, </w:t>
      </w:r>
      <w:r w:rsidRPr="007D1707">
        <w:rPr>
          <w:i/>
          <w:color w:val="000000" w:themeColor="text1"/>
        </w:rPr>
        <w:t>Green Chem.</w:t>
      </w:r>
      <w:r w:rsidRPr="007D1707">
        <w:rPr>
          <w:color w:val="000000" w:themeColor="text1"/>
        </w:rPr>
        <w:t xml:space="preserve"> </w:t>
      </w:r>
      <w:r w:rsidRPr="007D1707">
        <w:rPr>
          <w:b/>
          <w:color w:val="000000" w:themeColor="text1"/>
        </w:rPr>
        <w:t>2015</w:t>
      </w:r>
      <w:r w:rsidRPr="007D1707">
        <w:rPr>
          <w:color w:val="000000" w:themeColor="text1"/>
        </w:rPr>
        <w:t xml:space="preserve">, </w:t>
      </w:r>
      <w:r w:rsidRPr="007D1707">
        <w:rPr>
          <w:i/>
          <w:color w:val="000000" w:themeColor="text1"/>
        </w:rPr>
        <w:t>17</w:t>
      </w:r>
      <w:r w:rsidRPr="007D1707">
        <w:rPr>
          <w:color w:val="000000" w:themeColor="text1"/>
        </w:rPr>
        <w:t>, 108</w:t>
      </w:r>
      <w:r w:rsidRPr="007D1707">
        <w:rPr>
          <w:rFonts w:ascii="Symbol" w:hAnsi="Symbol"/>
          <w:color w:val="000000" w:themeColor="text1"/>
        </w:rPr>
        <w:t></w:t>
      </w:r>
      <w:r w:rsidRPr="007D1707">
        <w:rPr>
          <w:color w:val="000000" w:themeColor="text1"/>
        </w:rPr>
        <w:t>122.</w:t>
      </w:r>
    </w:p>
    <w:p w:rsidR="00CA116F" w:rsidRPr="007D1707" w:rsidRDefault="00CA116F" w:rsidP="007C6593">
      <w:pPr>
        <w:pStyle w:val="RSCR02References"/>
        <w:ind w:left="357" w:hanging="357"/>
        <w:rPr>
          <w:color w:val="000000" w:themeColor="text1"/>
        </w:rPr>
      </w:pPr>
      <w:r w:rsidRPr="007D1707">
        <w:rPr>
          <w:rFonts w:cs="AdvMYR4"/>
          <w:color w:val="000000" w:themeColor="text1"/>
          <w:lang w:val="en-US"/>
        </w:rPr>
        <w:t>S. Gennen, M. Alves, R. M</w:t>
      </w:r>
      <w:r w:rsidRPr="007D1707">
        <w:rPr>
          <w:color w:val="000000" w:themeColor="text1"/>
          <w:lang w:val="en-US"/>
        </w:rPr>
        <w:t>é</w:t>
      </w:r>
      <w:r w:rsidRPr="007D1707">
        <w:rPr>
          <w:rFonts w:cs="AdvMYR4"/>
          <w:color w:val="000000" w:themeColor="text1"/>
          <w:lang w:val="en-US"/>
        </w:rPr>
        <w:t>reau, T. Tassaing, B. Gilbert</w:t>
      </w:r>
      <w:r w:rsidR="007D1707" w:rsidRPr="007D1707">
        <w:rPr>
          <w:rFonts w:cs="AdvMYR4"/>
          <w:color w:val="000000" w:themeColor="text1"/>
          <w:lang w:val="en-US"/>
        </w:rPr>
        <w:t xml:space="preserve">, C. Detrembleur, C. Jerome, </w:t>
      </w:r>
      <w:r w:rsidRPr="007D1707">
        <w:rPr>
          <w:rFonts w:cs="AdvMYR4"/>
          <w:color w:val="000000" w:themeColor="text1"/>
          <w:lang w:val="en-US"/>
        </w:rPr>
        <w:t xml:space="preserve">B. Grignard, </w:t>
      </w:r>
      <w:r w:rsidRPr="007D1707">
        <w:rPr>
          <w:rFonts w:cs="AdvMYR4I"/>
          <w:i/>
          <w:color w:val="000000" w:themeColor="text1"/>
          <w:lang w:val="en-US"/>
        </w:rPr>
        <w:t>ChemSusChem</w:t>
      </w:r>
      <w:r w:rsidRPr="007D1707">
        <w:rPr>
          <w:rFonts w:cs="AdvMYR4I"/>
          <w:color w:val="000000" w:themeColor="text1"/>
          <w:lang w:val="en-US"/>
        </w:rPr>
        <w:t xml:space="preserve"> </w:t>
      </w:r>
      <w:r w:rsidRPr="007D1707">
        <w:rPr>
          <w:rFonts w:cs="AdvMYR6"/>
          <w:b/>
          <w:color w:val="000000" w:themeColor="text1"/>
          <w:lang w:val="en-US"/>
        </w:rPr>
        <w:t>2015</w:t>
      </w:r>
      <w:r w:rsidRPr="007D1707">
        <w:rPr>
          <w:rFonts w:cs="AdvMYR4"/>
          <w:color w:val="000000" w:themeColor="text1"/>
          <w:lang w:val="en-US"/>
        </w:rPr>
        <w:t>,</w:t>
      </w:r>
      <w:r w:rsidRPr="007D1707">
        <w:rPr>
          <w:rFonts w:cs="AdvMYR4"/>
          <w:i/>
          <w:color w:val="000000" w:themeColor="text1"/>
          <w:lang w:val="en-US"/>
        </w:rPr>
        <w:t xml:space="preserve"> </w:t>
      </w:r>
      <w:r w:rsidRPr="007D1707">
        <w:rPr>
          <w:rFonts w:cs="AdvMYR4I"/>
          <w:i/>
          <w:color w:val="000000" w:themeColor="text1"/>
          <w:lang w:val="en-US"/>
        </w:rPr>
        <w:t>8</w:t>
      </w:r>
      <w:r w:rsidRPr="007D1707">
        <w:rPr>
          <w:rFonts w:cs="AdvMYR4"/>
          <w:color w:val="000000" w:themeColor="text1"/>
          <w:lang w:val="en-US"/>
        </w:rPr>
        <w:t>, 1845–1849.</w:t>
      </w:r>
    </w:p>
    <w:p w:rsidR="00CA116F" w:rsidRPr="00B53334" w:rsidRDefault="00CA116F" w:rsidP="007C6593">
      <w:pPr>
        <w:pStyle w:val="RSCR02References"/>
        <w:ind w:left="357" w:hanging="357"/>
        <w:rPr>
          <w:color w:val="000000" w:themeColor="text1"/>
        </w:rPr>
      </w:pPr>
      <w:r w:rsidRPr="007D1707">
        <w:rPr>
          <w:rFonts w:cs="AdvMYR4"/>
          <w:color w:val="000000" w:themeColor="text1"/>
          <w:lang w:val="en-US"/>
        </w:rPr>
        <w:t>C. J. W</w:t>
      </w:r>
      <w:r w:rsidR="007D1707" w:rsidRPr="007D1707">
        <w:rPr>
          <w:rFonts w:cs="AdvMYR4"/>
          <w:color w:val="000000" w:themeColor="text1"/>
          <w:lang w:val="en-US"/>
        </w:rPr>
        <w:t>hiteoak, A. Nova, F. Maseras,</w:t>
      </w:r>
      <w:r w:rsidRPr="007D1707">
        <w:rPr>
          <w:rFonts w:cs="AdvMYR4"/>
          <w:color w:val="000000" w:themeColor="text1"/>
          <w:lang w:val="en-US"/>
        </w:rPr>
        <w:t xml:space="preserve"> A. W. Kleij, </w:t>
      </w:r>
      <w:r w:rsidRPr="00B53334">
        <w:rPr>
          <w:rFonts w:cs="AdvMYR4I"/>
          <w:i/>
          <w:color w:val="000000" w:themeColor="text1"/>
          <w:lang w:val="en-US"/>
        </w:rPr>
        <w:t>ChemSusChem</w:t>
      </w:r>
      <w:r w:rsidRPr="00B53334">
        <w:rPr>
          <w:rFonts w:cs="AdvMYR4I"/>
          <w:color w:val="000000" w:themeColor="text1"/>
          <w:lang w:val="en-US"/>
        </w:rPr>
        <w:t xml:space="preserve"> </w:t>
      </w:r>
      <w:r w:rsidRPr="00B53334">
        <w:rPr>
          <w:rFonts w:cs="AdvMYR6"/>
          <w:b/>
          <w:color w:val="000000" w:themeColor="text1"/>
          <w:lang w:val="en-US"/>
        </w:rPr>
        <w:t>2012</w:t>
      </w:r>
      <w:r w:rsidRPr="00B53334">
        <w:rPr>
          <w:rFonts w:cs="AdvMYR4"/>
          <w:color w:val="000000" w:themeColor="text1"/>
          <w:lang w:val="en-US"/>
        </w:rPr>
        <w:t xml:space="preserve">, </w:t>
      </w:r>
      <w:r w:rsidRPr="00B53334">
        <w:rPr>
          <w:rFonts w:cs="AdvMYR4I"/>
          <w:i/>
          <w:color w:val="000000" w:themeColor="text1"/>
          <w:lang w:val="en-US"/>
        </w:rPr>
        <w:t>5</w:t>
      </w:r>
      <w:r w:rsidRPr="00B53334">
        <w:rPr>
          <w:rFonts w:cs="AdvMYR4"/>
          <w:color w:val="000000" w:themeColor="text1"/>
          <w:lang w:val="en-US"/>
        </w:rPr>
        <w:t>, 2032–2038.</w:t>
      </w:r>
    </w:p>
    <w:p w:rsidR="00CA116F" w:rsidRPr="00B53334" w:rsidRDefault="00CA116F" w:rsidP="007C6593">
      <w:pPr>
        <w:pStyle w:val="RSCR02References"/>
        <w:ind w:left="357" w:hanging="357"/>
        <w:rPr>
          <w:color w:val="000000" w:themeColor="text1"/>
        </w:rPr>
      </w:pPr>
      <w:r w:rsidRPr="00B53334">
        <w:rPr>
          <w:rFonts w:cs="AdvMYR4"/>
          <w:color w:val="000000" w:themeColor="text1"/>
          <w:lang w:val="en-US"/>
        </w:rPr>
        <w:t>Y. A. Rulev, Z. Gugkaeva, V. I. Maleev</w:t>
      </w:r>
      <w:r w:rsidR="00B53334" w:rsidRPr="00B53334">
        <w:rPr>
          <w:rFonts w:cs="AdvMYR4"/>
          <w:color w:val="000000" w:themeColor="text1"/>
          <w:lang w:val="en-US"/>
        </w:rPr>
        <w:t>, M. North,</w:t>
      </w:r>
      <w:r w:rsidRPr="00B53334">
        <w:rPr>
          <w:rFonts w:cs="AdvMYR4"/>
          <w:color w:val="000000" w:themeColor="text1"/>
          <w:lang w:val="en-US"/>
        </w:rPr>
        <w:t xml:space="preserve"> Y. N. Belokon, </w:t>
      </w:r>
      <w:r w:rsidR="00B53334" w:rsidRPr="00B53334">
        <w:rPr>
          <w:rFonts w:cs="AdvMYR4I"/>
          <w:i/>
          <w:color w:val="000000" w:themeColor="text1"/>
          <w:lang w:val="en-US"/>
        </w:rPr>
        <w:t>Beilstein J. Org. Chem.</w:t>
      </w:r>
      <w:r w:rsidRPr="00B53334">
        <w:rPr>
          <w:rFonts w:cs="AdvMYR4I"/>
          <w:i/>
          <w:color w:val="000000" w:themeColor="text1"/>
          <w:lang w:val="en-US"/>
        </w:rPr>
        <w:t xml:space="preserve"> </w:t>
      </w:r>
      <w:r w:rsidRPr="00B53334">
        <w:rPr>
          <w:rFonts w:cs="AdvMYR6"/>
          <w:b/>
          <w:color w:val="000000" w:themeColor="text1"/>
          <w:lang w:val="en-US"/>
        </w:rPr>
        <w:t>2015</w:t>
      </w:r>
      <w:r w:rsidRPr="00B53334">
        <w:rPr>
          <w:rFonts w:cs="AdvMYR4"/>
          <w:color w:val="000000" w:themeColor="text1"/>
          <w:lang w:val="en-US"/>
        </w:rPr>
        <w:t xml:space="preserve">, </w:t>
      </w:r>
      <w:r w:rsidRPr="00B53334">
        <w:rPr>
          <w:rFonts w:cs="AdvMYR4I"/>
          <w:i/>
          <w:color w:val="000000" w:themeColor="text1"/>
          <w:lang w:val="en-US"/>
        </w:rPr>
        <w:t>11</w:t>
      </w:r>
      <w:r w:rsidRPr="00B53334">
        <w:rPr>
          <w:rFonts w:cs="AdvMYR4"/>
          <w:color w:val="000000" w:themeColor="text1"/>
          <w:lang w:val="en-US"/>
        </w:rPr>
        <w:t>, 1614–1623.</w:t>
      </w:r>
    </w:p>
    <w:p w:rsidR="00CA116F" w:rsidRPr="00B53334" w:rsidRDefault="00B53334" w:rsidP="007C6593">
      <w:pPr>
        <w:pStyle w:val="RSCR02References"/>
        <w:ind w:left="357" w:hanging="357"/>
        <w:rPr>
          <w:color w:val="000000" w:themeColor="text1"/>
        </w:rPr>
      </w:pPr>
      <w:r w:rsidRPr="00B53334">
        <w:rPr>
          <w:color w:val="000000" w:themeColor="text1"/>
          <w:lang w:val="en-US"/>
        </w:rPr>
        <w:t xml:space="preserve">a) M. North, R. Pasquale, </w:t>
      </w:r>
      <w:r w:rsidR="00CA116F" w:rsidRPr="00B53334">
        <w:rPr>
          <w:color w:val="000000" w:themeColor="text1"/>
          <w:lang w:val="en-US"/>
        </w:rPr>
        <w:t xml:space="preserve">C. Young, </w:t>
      </w:r>
      <w:r w:rsidR="00CA116F" w:rsidRPr="00B53334">
        <w:rPr>
          <w:i/>
          <w:color w:val="000000" w:themeColor="text1"/>
          <w:lang w:val="en-US"/>
        </w:rPr>
        <w:t>Green Chem.</w:t>
      </w:r>
      <w:r w:rsidR="00CA116F" w:rsidRPr="00B53334">
        <w:rPr>
          <w:color w:val="000000" w:themeColor="text1"/>
          <w:lang w:val="en-US"/>
        </w:rPr>
        <w:t xml:space="preserve"> </w:t>
      </w:r>
      <w:r w:rsidR="00CA116F" w:rsidRPr="00B53334">
        <w:rPr>
          <w:b/>
          <w:color w:val="000000" w:themeColor="text1"/>
          <w:lang w:val="en-US"/>
        </w:rPr>
        <w:t>2010</w:t>
      </w:r>
      <w:r w:rsidR="00CA116F" w:rsidRPr="00B53334">
        <w:rPr>
          <w:color w:val="000000" w:themeColor="text1"/>
          <w:lang w:val="en-US"/>
        </w:rPr>
        <w:t xml:space="preserve">, </w:t>
      </w:r>
      <w:r w:rsidR="00CA116F" w:rsidRPr="00B53334">
        <w:rPr>
          <w:i/>
          <w:color w:val="000000" w:themeColor="text1"/>
          <w:lang w:val="en-US"/>
        </w:rPr>
        <w:t>12</w:t>
      </w:r>
      <w:r w:rsidR="00CA116F" w:rsidRPr="00B53334">
        <w:rPr>
          <w:color w:val="000000" w:themeColor="text1"/>
          <w:lang w:val="en-US"/>
        </w:rPr>
        <w:t xml:space="preserve">, 1514–1539; b) M. </w:t>
      </w:r>
      <w:r w:rsidR="00CA116F" w:rsidRPr="00B53334">
        <w:rPr>
          <w:color w:val="000000" w:themeColor="text1"/>
        </w:rPr>
        <w:t xml:space="preserve">North, </w:t>
      </w:r>
      <w:r w:rsidR="00CA116F" w:rsidRPr="00B53334">
        <w:rPr>
          <w:i/>
          <w:color w:val="000000" w:themeColor="text1"/>
        </w:rPr>
        <w:t>Arkovic</w:t>
      </w:r>
      <w:r w:rsidR="00CA116F" w:rsidRPr="00B53334">
        <w:rPr>
          <w:color w:val="000000" w:themeColor="text1"/>
        </w:rPr>
        <w:t xml:space="preserve"> </w:t>
      </w:r>
      <w:r w:rsidR="00CA116F" w:rsidRPr="00B53334">
        <w:rPr>
          <w:b/>
          <w:color w:val="000000" w:themeColor="text1"/>
        </w:rPr>
        <w:t>2012</w:t>
      </w:r>
      <w:r w:rsidR="00CA116F" w:rsidRPr="00B53334">
        <w:rPr>
          <w:color w:val="000000" w:themeColor="text1"/>
        </w:rPr>
        <w:t>, part (i), 610–628.</w:t>
      </w:r>
    </w:p>
    <w:p w:rsidR="00CA116F" w:rsidRPr="00B53334" w:rsidRDefault="00CA116F" w:rsidP="007C6593">
      <w:pPr>
        <w:pStyle w:val="RSCR02References"/>
        <w:ind w:left="357" w:hanging="357"/>
        <w:rPr>
          <w:color w:val="000000" w:themeColor="text1"/>
        </w:rPr>
      </w:pPr>
      <w:r w:rsidRPr="00B53334">
        <w:rPr>
          <w:rFonts w:cs="AdvMYR4"/>
          <w:color w:val="000000" w:themeColor="text1"/>
          <w:lang w:val="en-US"/>
        </w:rPr>
        <w:t>Y. A. Rulev, V. A. Larionov, A. V. Lokutova, M. A. Moskalenko, O. L. Lepen</w:t>
      </w:r>
      <w:r w:rsidR="00B53334" w:rsidRPr="00B53334">
        <w:rPr>
          <w:rFonts w:cs="AdvMYR4"/>
          <w:color w:val="000000" w:themeColor="text1"/>
          <w:lang w:val="en-US"/>
        </w:rPr>
        <w:t>dina, V. I. Maleev, M. North,</w:t>
      </w:r>
      <w:r w:rsidRPr="00B53334">
        <w:rPr>
          <w:rFonts w:cs="AdvMYR4"/>
          <w:color w:val="000000" w:themeColor="text1"/>
          <w:lang w:val="en-US"/>
        </w:rPr>
        <w:t xml:space="preserve"> Y. N. Belokon, </w:t>
      </w:r>
      <w:r w:rsidRPr="00B53334">
        <w:rPr>
          <w:rFonts w:cs="AdvMYR4I"/>
          <w:i/>
          <w:color w:val="000000" w:themeColor="text1"/>
          <w:lang w:val="en-US"/>
        </w:rPr>
        <w:t>ChemSusChem</w:t>
      </w:r>
      <w:r w:rsidRPr="00B53334">
        <w:rPr>
          <w:rFonts w:cs="AdvMYR4I"/>
          <w:color w:val="000000" w:themeColor="text1"/>
          <w:lang w:val="en-US"/>
        </w:rPr>
        <w:t xml:space="preserve"> </w:t>
      </w:r>
      <w:r w:rsidRPr="00B53334">
        <w:rPr>
          <w:rFonts w:cs="AdvMYR6"/>
          <w:b/>
          <w:color w:val="000000" w:themeColor="text1"/>
          <w:lang w:val="en-US"/>
        </w:rPr>
        <w:t>2016</w:t>
      </w:r>
      <w:r w:rsidRPr="00B53334">
        <w:rPr>
          <w:rFonts w:cs="AdvMYR4"/>
          <w:color w:val="000000" w:themeColor="text1"/>
          <w:lang w:val="en-US"/>
        </w:rPr>
        <w:t xml:space="preserve">, </w:t>
      </w:r>
      <w:r w:rsidRPr="00B53334">
        <w:rPr>
          <w:rFonts w:cs="AdvMYR4I"/>
          <w:i/>
          <w:color w:val="000000" w:themeColor="text1"/>
          <w:lang w:val="en-US"/>
        </w:rPr>
        <w:t>9</w:t>
      </w:r>
      <w:r w:rsidRPr="00B53334">
        <w:rPr>
          <w:rFonts w:cs="AdvMYR4"/>
          <w:color w:val="000000" w:themeColor="text1"/>
          <w:lang w:val="en-US"/>
        </w:rPr>
        <w:t>, 216–222.</w:t>
      </w:r>
    </w:p>
    <w:p w:rsidR="00CA116F" w:rsidRPr="00B53334" w:rsidRDefault="00B53334" w:rsidP="007C6593">
      <w:pPr>
        <w:pStyle w:val="RSCR02References"/>
        <w:ind w:left="357" w:hanging="357"/>
        <w:rPr>
          <w:color w:val="000000" w:themeColor="text1"/>
        </w:rPr>
      </w:pPr>
      <w:r w:rsidRPr="00B53334">
        <w:rPr>
          <w:color w:val="000000" w:themeColor="text1"/>
          <w:lang w:val="en-US"/>
        </w:rPr>
        <w:t>V. R. Naidu, S. Ni,</w:t>
      </w:r>
      <w:r w:rsidR="00CA116F" w:rsidRPr="00B53334">
        <w:rPr>
          <w:color w:val="000000" w:themeColor="text1"/>
          <w:lang w:val="en-US"/>
        </w:rPr>
        <w:t xml:space="preserve"> J. Franzén, </w:t>
      </w:r>
      <w:r w:rsidR="00CA116F" w:rsidRPr="00B53334">
        <w:rPr>
          <w:i/>
          <w:color w:val="000000" w:themeColor="text1"/>
          <w:lang w:val="en-US"/>
        </w:rPr>
        <w:t>ChemCatChem</w:t>
      </w:r>
      <w:r w:rsidR="00CA116F" w:rsidRPr="00B53334">
        <w:rPr>
          <w:color w:val="000000" w:themeColor="text1"/>
          <w:lang w:val="en-US"/>
        </w:rPr>
        <w:t xml:space="preserve"> </w:t>
      </w:r>
      <w:r w:rsidR="00CA116F" w:rsidRPr="00B53334">
        <w:rPr>
          <w:b/>
          <w:color w:val="000000" w:themeColor="text1"/>
          <w:lang w:val="en-US"/>
        </w:rPr>
        <w:t>2015</w:t>
      </w:r>
      <w:r w:rsidR="00CA116F" w:rsidRPr="00B53334">
        <w:rPr>
          <w:color w:val="000000" w:themeColor="text1"/>
          <w:lang w:val="en-US"/>
        </w:rPr>
        <w:t xml:space="preserve">, </w:t>
      </w:r>
      <w:r w:rsidR="00CA116F" w:rsidRPr="00B53334">
        <w:rPr>
          <w:i/>
          <w:color w:val="000000" w:themeColor="text1"/>
          <w:lang w:val="en-US"/>
        </w:rPr>
        <w:t>7</w:t>
      </w:r>
      <w:r w:rsidR="00CA116F" w:rsidRPr="00B53334">
        <w:rPr>
          <w:color w:val="000000" w:themeColor="text1"/>
          <w:lang w:val="en-US"/>
        </w:rPr>
        <w:t>, 1896–1905.</w:t>
      </w:r>
    </w:p>
    <w:p w:rsidR="00CA116F" w:rsidRPr="00B53334" w:rsidRDefault="00B53334" w:rsidP="007C6593">
      <w:pPr>
        <w:pStyle w:val="RSCR02References"/>
        <w:ind w:left="357" w:hanging="357"/>
        <w:rPr>
          <w:color w:val="000000" w:themeColor="text1"/>
        </w:rPr>
      </w:pPr>
      <w:r w:rsidRPr="00B53334">
        <w:rPr>
          <w:color w:val="000000" w:themeColor="text1"/>
          <w:lang w:val="en-US"/>
        </w:rPr>
        <w:t>J. Bah, V.R. Naidu, J. Teske,</w:t>
      </w:r>
      <w:r w:rsidR="00CA116F" w:rsidRPr="00B53334">
        <w:rPr>
          <w:color w:val="000000" w:themeColor="text1"/>
          <w:lang w:val="en-US"/>
        </w:rPr>
        <w:t xml:space="preserve"> J. Franzén, </w:t>
      </w:r>
      <w:r w:rsidR="00CA116F" w:rsidRPr="00B53334">
        <w:rPr>
          <w:i/>
          <w:color w:val="000000" w:themeColor="text1"/>
          <w:lang w:val="en-US"/>
        </w:rPr>
        <w:t>Adv. Synth. Catal.</w:t>
      </w:r>
      <w:r w:rsidR="00CA116F" w:rsidRPr="00B53334">
        <w:rPr>
          <w:color w:val="000000" w:themeColor="text1"/>
          <w:lang w:val="en-US"/>
        </w:rPr>
        <w:t xml:space="preserve"> </w:t>
      </w:r>
      <w:r w:rsidR="00CA116F" w:rsidRPr="00B53334">
        <w:rPr>
          <w:b/>
          <w:color w:val="000000" w:themeColor="text1"/>
          <w:lang w:val="en-US"/>
        </w:rPr>
        <w:t>2015</w:t>
      </w:r>
      <w:r w:rsidR="00CA116F" w:rsidRPr="00B53334">
        <w:rPr>
          <w:color w:val="000000" w:themeColor="text1"/>
          <w:lang w:val="en-US"/>
        </w:rPr>
        <w:t xml:space="preserve">, </w:t>
      </w:r>
      <w:r w:rsidR="00CA116F" w:rsidRPr="00B53334">
        <w:rPr>
          <w:i/>
          <w:color w:val="000000" w:themeColor="text1"/>
          <w:lang w:val="en-US"/>
        </w:rPr>
        <w:t>357</w:t>
      </w:r>
      <w:r w:rsidR="00CA116F" w:rsidRPr="00B53334">
        <w:rPr>
          <w:color w:val="000000" w:themeColor="text1"/>
          <w:lang w:val="en-US"/>
        </w:rPr>
        <w:t>, 148–158.</w:t>
      </w:r>
    </w:p>
    <w:p w:rsidR="00CA116F" w:rsidRPr="00B53334" w:rsidRDefault="00B53334" w:rsidP="007C6593">
      <w:pPr>
        <w:pStyle w:val="RSCR02References"/>
        <w:ind w:left="357" w:hanging="357"/>
        <w:rPr>
          <w:color w:val="000000" w:themeColor="text1"/>
        </w:rPr>
      </w:pPr>
      <w:r w:rsidRPr="00B53334">
        <w:rPr>
          <w:color w:val="000000" w:themeColor="text1"/>
          <w:lang w:val="en-US"/>
        </w:rPr>
        <w:t>M. Horn,</w:t>
      </w:r>
      <w:r w:rsidR="00CA116F" w:rsidRPr="00B53334">
        <w:rPr>
          <w:color w:val="000000" w:themeColor="text1"/>
          <w:lang w:val="en-US"/>
        </w:rPr>
        <w:t xml:space="preserve"> H. Mayr, </w:t>
      </w:r>
      <w:r w:rsidR="00CA116F" w:rsidRPr="00B53334">
        <w:rPr>
          <w:i/>
          <w:color w:val="000000" w:themeColor="text1"/>
          <w:lang w:val="en-US"/>
        </w:rPr>
        <w:t>Eur. J. Org. Chem.</w:t>
      </w:r>
      <w:r w:rsidR="00CA116F" w:rsidRPr="00B53334">
        <w:rPr>
          <w:color w:val="000000" w:themeColor="text1"/>
          <w:lang w:val="en-US"/>
        </w:rPr>
        <w:t xml:space="preserve"> </w:t>
      </w:r>
      <w:r w:rsidR="00CA116F" w:rsidRPr="00B53334">
        <w:rPr>
          <w:b/>
          <w:color w:val="000000" w:themeColor="text1"/>
          <w:lang w:val="en-US"/>
        </w:rPr>
        <w:t>2011</w:t>
      </w:r>
      <w:r w:rsidR="00CA116F" w:rsidRPr="00B53334">
        <w:rPr>
          <w:color w:val="000000" w:themeColor="text1"/>
          <w:lang w:val="en-US"/>
        </w:rPr>
        <w:t>, 6470–6475.</w:t>
      </w:r>
    </w:p>
    <w:p w:rsidR="00CA116F" w:rsidRPr="00D866A3" w:rsidRDefault="00B53334" w:rsidP="007C6593">
      <w:pPr>
        <w:pStyle w:val="RSCR02References"/>
        <w:ind w:left="357" w:hanging="357"/>
        <w:rPr>
          <w:color w:val="000000" w:themeColor="text1"/>
        </w:rPr>
      </w:pPr>
      <w:r w:rsidRPr="00B53334">
        <w:rPr>
          <w:color w:val="000000" w:themeColor="text1"/>
          <w:lang w:val="en-US"/>
        </w:rPr>
        <w:t>M. Horn, C. Metz,</w:t>
      </w:r>
      <w:r w:rsidR="00CA116F" w:rsidRPr="00B53334">
        <w:rPr>
          <w:color w:val="000000" w:themeColor="text1"/>
          <w:lang w:val="en-US"/>
        </w:rPr>
        <w:t xml:space="preserve"> H. Mayr, </w:t>
      </w:r>
      <w:r w:rsidR="00CA116F" w:rsidRPr="00B53334">
        <w:rPr>
          <w:i/>
          <w:color w:val="000000" w:themeColor="text1"/>
          <w:lang w:val="en-US"/>
        </w:rPr>
        <w:t>Eur. J. Org. Chem</w:t>
      </w:r>
      <w:r w:rsidRPr="00B53334">
        <w:rPr>
          <w:color w:val="000000" w:themeColor="text1"/>
          <w:lang w:val="en-US"/>
        </w:rPr>
        <w:t>.</w:t>
      </w:r>
      <w:r w:rsidR="00CA116F" w:rsidRPr="00B53334">
        <w:rPr>
          <w:color w:val="000000" w:themeColor="text1"/>
          <w:lang w:val="en-US"/>
        </w:rPr>
        <w:t xml:space="preserve"> </w:t>
      </w:r>
      <w:r w:rsidR="00CA116F" w:rsidRPr="00B53334">
        <w:rPr>
          <w:b/>
          <w:color w:val="000000" w:themeColor="text1"/>
          <w:lang w:val="en-US"/>
        </w:rPr>
        <w:t>2011</w:t>
      </w:r>
      <w:r w:rsidR="00CA116F" w:rsidRPr="00B53334">
        <w:rPr>
          <w:color w:val="000000" w:themeColor="text1"/>
          <w:lang w:val="en-US"/>
        </w:rPr>
        <w:t>, 6476–6485.</w:t>
      </w:r>
    </w:p>
    <w:p w:rsidR="00CA116F" w:rsidRPr="00166866" w:rsidRDefault="002C724A" w:rsidP="00CA116F">
      <w:pPr>
        <w:pStyle w:val="RSCR02References"/>
        <w:ind w:left="357" w:hanging="357"/>
        <w:rPr>
          <w:color w:val="000000" w:themeColor="text1"/>
        </w:rPr>
      </w:pPr>
      <w:r>
        <w:rPr>
          <w:color w:val="000000" w:themeColor="text1"/>
          <w:lang w:val="es-ES_tradnl"/>
        </w:rPr>
        <w:t xml:space="preserve">J. </w:t>
      </w:r>
      <w:r>
        <w:rPr>
          <w:color w:val="000000" w:themeColor="text1"/>
          <w:lang w:val="es-ES"/>
        </w:rPr>
        <w:t>Martinez, J. A. Castro-Osma, A. Earlam, C. Alonso-Moreno, A. Otero, A. Lara-Sanchez, M. North, A. Rodríguez-Diéguez,</w:t>
      </w:r>
      <w:r w:rsidRPr="003529C2">
        <w:rPr>
          <w:color w:val="000000" w:themeColor="text1"/>
          <w:lang w:val="es-ES"/>
        </w:rPr>
        <w:t xml:space="preserve"> </w:t>
      </w:r>
      <w:r w:rsidRPr="003529C2">
        <w:rPr>
          <w:i/>
          <w:color w:val="000000" w:themeColor="text1"/>
          <w:lang w:val="es-ES"/>
        </w:rPr>
        <w:t>Chem. Eur. J.</w:t>
      </w:r>
      <w:r w:rsidRPr="003529C2">
        <w:rPr>
          <w:color w:val="000000" w:themeColor="text1"/>
          <w:lang w:val="es-ES"/>
        </w:rPr>
        <w:t xml:space="preserve"> </w:t>
      </w:r>
      <w:r w:rsidRPr="003529C2">
        <w:rPr>
          <w:b/>
          <w:color w:val="000000" w:themeColor="text1"/>
          <w:lang w:val="es-ES"/>
        </w:rPr>
        <w:t>2015</w:t>
      </w:r>
      <w:r w:rsidRPr="003529C2">
        <w:rPr>
          <w:color w:val="000000" w:themeColor="text1"/>
          <w:lang w:val="es-ES"/>
        </w:rPr>
        <w:t xml:space="preserve">, </w:t>
      </w:r>
      <w:r w:rsidRPr="003529C2">
        <w:rPr>
          <w:i/>
          <w:color w:val="000000" w:themeColor="text1"/>
          <w:lang w:val="es-ES"/>
        </w:rPr>
        <w:t>21</w:t>
      </w:r>
      <w:r w:rsidRPr="003529C2">
        <w:rPr>
          <w:color w:val="000000" w:themeColor="text1"/>
          <w:lang w:val="es-ES"/>
        </w:rPr>
        <w:t>, 9850–9862.</w:t>
      </w:r>
    </w:p>
    <w:p w:rsidR="00166866" w:rsidRPr="00EC176E" w:rsidRDefault="00A13894" w:rsidP="00CA116F">
      <w:pPr>
        <w:pStyle w:val="RSCR02References"/>
        <w:ind w:left="357" w:hanging="357"/>
        <w:rPr>
          <w:color w:val="000000" w:themeColor="text1"/>
          <w:lang w:val="es-ES"/>
        </w:rPr>
      </w:pPr>
      <w:r w:rsidRPr="00EC176E">
        <w:rPr>
          <w:color w:val="000000" w:themeColor="text1"/>
          <w:lang w:val="es-ES"/>
        </w:rPr>
        <w:t xml:space="preserve">a) </w:t>
      </w:r>
      <w:r w:rsidRPr="00EC176E">
        <w:rPr>
          <w:iCs/>
          <w:color w:val="000000" w:themeColor="text1"/>
          <w:lang w:val="es-ES"/>
        </w:rPr>
        <w:t xml:space="preserve">R. Docampo, S. N. Moreno, </w:t>
      </w:r>
      <w:r w:rsidRPr="00EC176E">
        <w:rPr>
          <w:i/>
          <w:iCs/>
          <w:color w:val="000000" w:themeColor="text1"/>
          <w:lang w:val="es-ES"/>
        </w:rPr>
        <w:t>Drug Metab. Rev.</w:t>
      </w:r>
      <w:r w:rsidRPr="00EC176E">
        <w:rPr>
          <w:iCs/>
          <w:color w:val="000000" w:themeColor="text1"/>
          <w:lang w:val="es-ES"/>
        </w:rPr>
        <w:t xml:space="preserve"> </w:t>
      </w:r>
      <w:r w:rsidRPr="00EC176E">
        <w:rPr>
          <w:b/>
          <w:iCs/>
          <w:color w:val="000000" w:themeColor="text1"/>
          <w:lang w:val="es-ES"/>
        </w:rPr>
        <w:t>1990</w:t>
      </w:r>
      <w:r w:rsidRPr="00EC176E">
        <w:rPr>
          <w:iCs/>
          <w:color w:val="000000" w:themeColor="text1"/>
          <w:lang w:val="es-ES"/>
        </w:rPr>
        <w:t xml:space="preserve">, </w:t>
      </w:r>
      <w:r w:rsidRPr="00EC176E">
        <w:rPr>
          <w:i/>
          <w:iCs/>
          <w:color w:val="000000" w:themeColor="text1"/>
          <w:lang w:val="es-ES"/>
        </w:rPr>
        <w:t>22</w:t>
      </w:r>
      <w:r w:rsidRPr="00EC176E">
        <w:rPr>
          <w:iCs/>
          <w:color w:val="000000" w:themeColor="text1"/>
          <w:lang w:val="es-ES"/>
        </w:rPr>
        <w:t xml:space="preserve">, 161–178; </w:t>
      </w:r>
      <w:r w:rsidRPr="00EC176E">
        <w:rPr>
          <w:color w:val="000000" w:themeColor="text1"/>
          <w:lang w:val="es-ES"/>
        </w:rPr>
        <w:t xml:space="preserve">b) M. Balabanova, L. Popova, R. Tchipeva, </w:t>
      </w:r>
      <w:r w:rsidRPr="00EC176E">
        <w:rPr>
          <w:i/>
          <w:color w:val="000000" w:themeColor="text1"/>
          <w:lang w:val="es-ES"/>
        </w:rPr>
        <w:t>Disease-a-Month</w:t>
      </w:r>
      <w:r w:rsidRPr="00EC176E">
        <w:rPr>
          <w:color w:val="000000" w:themeColor="text1"/>
          <w:lang w:val="es-ES"/>
        </w:rPr>
        <w:t xml:space="preserve"> </w:t>
      </w:r>
      <w:r w:rsidRPr="00EC176E">
        <w:rPr>
          <w:b/>
          <w:color w:val="000000" w:themeColor="text1"/>
          <w:lang w:val="es-ES"/>
        </w:rPr>
        <w:t>2004</w:t>
      </w:r>
      <w:r w:rsidRPr="00EC176E">
        <w:rPr>
          <w:color w:val="000000" w:themeColor="text1"/>
          <w:lang w:val="es-ES"/>
        </w:rPr>
        <w:t xml:space="preserve">, </w:t>
      </w:r>
      <w:r w:rsidRPr="00EC176E">
        <w:rPr>
          <w:i/>
          <w:color w:val="000000" w:themeColor="text1"/>
          <w:lang w:val="es-ES"/>
        </w:rPr>
        <w:t>50</w:t>
      </w:r>
      <w:r w:rsidRPr="00EC176E">
        <w:rPr>
          <w:color w:val="000000" w:themeColor="text1"/>
          <w:lang w:val="es-ES"/>
        </w:rPr>
        <w:t xml:space="preserve">, 270–279; c) A. M. </w:t>
      </w:r>
      <w:r w:rsidRPr="00EC176E">
        <w:rPr>
          <w:iCs/>
          <w:color w:val="000000" w:themeColor="text1"/>
          <w:lang w:val="es-ES"/>
        </w:rPr>
        <w:t xml:space="preserve">Maley, L. Jack, </w:t>
      </w:r>
      <w:r w:rsidRPr="00EC176E">
        <w:rPr>
          <w:i/>
          <w:iCs/>
          <w:color w:val="000000" w:themeColor="text1"/>
          <w:lang w:val="es-ES"/>
        </w:rPr>
        <w:t>Exp. Dermatology</w:t>
      </w:r>
      <w:r w:rsidRPr="00EC176E">
        <w:rPr>
          <w:iCs/>
          <w:color w:val="000000" w:themeColor="text1"/>
          <w:lang w:val="es-ES"/>
        </w:rPr>
        <w:t xml:space="preserve"> </w:t>
      </w:r>
      <w:r w:rsidRPr="00EC176E">
        <w:rPr>
          <w:b/>
          <w:iCs/>
          <w:color w:val="000000" w:themeColor="text1"/>
          <w:lang w:val="es-ES"/>
        </w:rPr>
        <w:t>2013</w:t>
      </w:r>
      <w:r w:rsidRPr="00EC176E">
        <w:rPr>
          <w:iCs/>
          <w:color w:val="000000" w:themeColor="text1"/>
          <w:lang w:val="es-ES"/>
        </w:rPr>
        <w:t xml:space="preserve">, </w:t>
      </w:r>
      <w:r w:rsidRPr="00EC176E">
        <w:rPr>
          <w:i/>
          <w:iCs/>
          <w:color w:val="000000" w:themeColor="text1"/>
          <w:lang w:val="es-ES"/>
        </w:rPr>
        <w:t>22</w:t>
      </w:r>
      <w:r w:rsidRPr="00EC176E">
        <w:rPr>
          <w:iCs/>
          <w:color w:val="000000" w:themeColor="text1"/>
          <w:lang w:val="es-ES"/>
        </w:rPr>
        <w:t>, 775–780.</w:t>
      </w:r>
    </w:p>
    <w:p w:rsidR="00773C4B" w:rsidRDefault="00773C4B" w:rsidP="00C00CCD">
      <w:pPr>
        <w:spacing w:line="20" w:lineRule="exact"/>
        <w:rPr>
          <w:bCs/>
          <w:lang w:val="en-GB"/>
        </w:rPr>
      </w:pPr>
    </w:p>
    <w:p w:rsidR="00773C4B" w:rsidRDefault="00773C4B" w:rsidP="00C00CCD">
      <w:pPr>
        <w:spacing w:line="20" w:lineRule="exact"/>
        <w:rPr>
          <w:bCs/>
          <w:lang w:val="en-GB"/>
        </w:rPr>
        <w:sectPr w:rsidR="00773C4B" w:rsidSect="0095126A">
          <w:endnotePr>
            <w:numFmt w:val="decimal"/>
          </w:endnotePr>
          <w:type w:val="continuous"/>
          <w:pgSz w:w="11906" w:h="16838" w:code="9"/>
          <w:pgMar w:top="1134" w:right="936" w:bottom="1134" w:left="936" w:header="1021" w:footer="0" w:gutter="0"/>
          <w:cols w:num="2" w:space="284"/>
          <w:docGrid w:linePitch="360"/>
        </w:sectPr>
      </w:pPr>
    </w:p>
    <w:p w:rsidR="00773C4B" w:rsidRDefault="00773C4B" w:rsidP="00773C4B">
      <w:pPr>
        <w:rPr>
          <w:bCs/>
          <w:lang w:val="en-GB"/>
        </w:rPr>
      </w:pPr>
    </w:p>
    <w:p w:rsidR="007E773A" w:rsidRDefault="007E773A" w:rsidP="007E773A">
      <w:pPr>
        <w:rPr>
          <w:b/>
          <w:lang w:val="en-GB"/>
        </w:rPr>
      </w:pPr>
      <w:r w:rsidRPr="00621868">
        <w:rPr>
          <w:b/>
          <w:lang w:val="en-GB"/>
        </w:rPr>
        <w:t>Entry for the Table of Contents</w:t>
      </w:r>
      <w:r>
        <w:rPr>
          <w:lang w:val="en-GB"/>
        </w:rPr>
        <w:t xml:space="preserve"> (Please choose one layout)</w:t>
      </w:r>
    </w:p>
    <w:p w:rsidR="007E773A" w:rsidRPr="00621868" w:rsidRDefault="007E773A" w:rsidP="007E773A">
      <w:pPr>
        <w:rPr>
          <w:b/>
          <w:lang w:val="en-GB"/>
        </w:rPr>
      </w:pPr>
    </w:p>
    <w:p w:rsidR="007E773A" w:rsidRPr="00621868" w:rsidRDefault="007E773A" w:rsidP="007E773A">
      <w:pPr>
        <w:spacing w:after="240"/>
        <w:rPr>
          <w:lang w:val="en-GB"/>
        </w:rPr>
      </w:pPr>
      <w:r w:rsidRPr="00621868">
        <w:rPr>
          <w:lang w:val="en-GB"/>
        </w:rPr>
        <w:t>Layout 1:</w:t>
      </w:r>
    </w:p>
    <w:p w:rsidR="007E773A" w:rsidRDefault="007E773A" w:rsidP="007E773A">
      <w:pPr>
        <w:rPr>
          <w:lang w:val="en-GB"/>
        </w:rPr>
      </w:pPr>
    </w:p>
    <w:tbl>
      <w:tblPr>
        <w:tblW w:w="10093" w:type="dxa"/>
        <w:tblLook w:val="01E0" w:firstRow="1" w:lastRow="1" w:firstColumn="1" w:lastColumn="1" w:noHBand="0" w:noVBand="0"/>
      </w:tblPr>
      <w:tblGrid>
        <w:gridCol w:w="2872"/>
        <w:gridCol w:w="275"/>
        <w:gridCol w:w="3666"/>
        <w:gridCol w:w="275"/>
        <w:gridCol w:w="3005"/>
      </w:tblGrid>
      <w:tr w:rsidR="007E773A" w:rsidTr="00323B68">
        <w:trPr>
          <w:trHeight w:hRule="exact" w:val="340"/>
        </w:trPr>
        <w:tc>
          <w:tcPr>
            <w:tcW w:w="10093" w:type="dxa"/>
            <w:gridSpan w:val="5"/>
            <w:tcBorders>
              <w:bottom w:val="single" w:sz="36" w:space="0" w:color="BFBFBF"/>
            </w:tcBorders>
            <w:shd w:val="clear" w:color="auto" w:fill="auto"/>
          </w:tcPr>
          <w:p w:rsidR="007E773A" w:rsidRDefault="004E0B8B" w:rsidP="00720CC1">
            <w:pPr>
              <w:pStyle w:val="ColumnTitleTOC"/>
            </w:pPr>
            <w:r>
              <w:t>COMMUNICATION</w:t>
            </w:r>
          </w:p>
        </w:tc>
      </w:tr>
      <w:tr w:rsidR="007E773A" w:rsidTr="00323B68">
        <w:trPr>
          <w:trHeight w:val="340"/>
        </w:trPr>
        <w:tc>
          <w:tcPr>
            <w:tcW w:w="3118" w:type="dxa"/>
            <w:vMerge w:val="restart"/>
            <w:tcBorders>
              <w:top w:val="single" w:sz="36" w:space="0" w:color="BFBFBF"/>
            </w:tcBorders>
            <w:shd w:val="clear" w:color="auto" w:fill="auto"/>
          </w:tcPr>
          <w:p w:rsidR="007E773A" w:rsidRDefault="005166F0" w:rsidP="00720CC1">
            <w:pPr>
              <w:pStyle w:val="TableOfContentText"/>
            </w:pPr>
            <w:r>
              <w:t>The combination of triarylmethane dyes and BINOL for an organocatalytic system for the synthesis of cyclic carbonates from epoxides and carbon dioxide.</w:t>
            </w:r>
          </w:p>
        </w:tc>
        <w:tc>
          <w:tcPr>
            <w:tcW w:w="284" w:type="dxa"/>
            <w:tcBorders>
              <w:top w:val="single" w:sz="36" w:space="0" w:color="BFBFBF"/>
            </w:tcBorders>
            <w:shd w:val="clear" w:color="auto" w:fill="auto"/>
          </w:tcPr>
          <w:p w:rsidR="007E773A" w:rsidRDefault="007E773A" w:rsidP="00720CC1">
            <w:pPr>
              <w:rPr>
                <w:lang w:val="en-GB"/>
              </w:rPr>
            </w:pPr>
          </w:p>
        </w:tc>
        <w:tc>
          <w:tcPr>
            <w:tcW w:w="3118" w:type="dxa"/>
            <w:vMerge w:val="restart"/>
            <w:tcBorders>
              <w:top w:val="single" w:sz="36" w:space="0" w:color="BFBFBF"/>
            </w:tcBorders>
            <w:shd w:val="clear" w:color="auto" w:fill="auto"/>
          </w:tcPr>
          <w:p w:rsidR="007E773A" w:rsidRDefault="00300936" w:rsidP="00720CC1">
            <w:pPr>
              <w:rPr>
                <w:lang w:val="en-GB"/>
              </w:rPr>
            </w:pPr>
            <w:r>
              <w:object w:dxaOrig="4054" w:dyaOrig="3641">
                <v:shape id="_x0000_i1035" type="#_x0000_t75" style="width:172.5pt;height:154.5pt" o:ole="">
                  <v:imagedata r:id="rId39" o:title=""/>
                </v:shape>
                <o:OLEObject Type="Embed" ProgID="ChemDraw.Document.6.0" ShapeID="_x0000_i1035" DrawAspect="Content" ObjectID="_1544967560" r:id="rId40"/>
              </w:object>
            </w:r>
          </w:p>
        </w:tc>
        <w:tc>
          <w:tcPr>
            <w:tcW w:w="284" w:type="dxa"/>
            <w:tcBorders>
              <w:top w:val="single" w:sz="36" w:space="0" w:color="BFBFBF"/>
            </w:tcBorders>
            <w:shd w:val="clear" w:color="auto" w:fill="auto"/>
          </w:tcPr>
          <w:p w:rsidR="007E773A" w:rsidRDefault="007E773A" w:rsidP="00720CC1">
            <w:pPr>
              <w:rPr>
                <w:lang w:val="en-GB"/>
              </w:rPr>
            </w:pPr>
          </w:p>
        </w:tc>
        <w:tc>
          <w:tcPr>
            <w:tcW w:w="3289" w:type="dxa"/>
            <w:vMerge w:val="restart"/>
            <w:tcBorders>
              <w:top w:val="single" w:sz="36" w:space="0" w:color="BFBFBF"/>
            </w:tcBorders>
            <w:shd w:val="clear" w:color="auto" w:fill="auto"/>
          </w:tcPr>
          <w:p w:rsidR="007E773A" w:rsidRDefault="005166F0" w:rsidP="00720CC1">
            <w:pPr>
              <w:pStyle w:val="AuthorsTOC"/>
            </w:pPr>
            <w:r w:rsidRPr="000E6D92">
              <w:rPr>
                <w:rFonts w:cs="AdvMYR4"/>
                <w:lang w:val="en-US"/>
              </w:rPr>
              <w:t>Yuri A. Rulev,</w:t>
            </w:r>
            <w:r>
              <w:rPr>
                <w:rFonts w:cs="AdvMYR4"/>
                <w:lang w:val="en-US"/>
              </w:rPr>
              <w:t xml:space="preserve"> </w:t>
            </w:r>
            <w:r w:rsidRPr="000E6D92">
              <w:rPr>
                <w:rFonts w:cs="ArialMT-Regular"/>
                <w:lang w:val="en-US"/>
              </w:rPr>
              <w:t>Zalina</w:t>
            </w:r>
            <w:r>
              <w:rPr>
                <w:rFonts w:cs="ArialMT-Regular"/>
                <w:lang w:val="en-US"/>
              </w:rPr>
              <w:t xml:space="preserve"> T. </w:t>
            </w:r>
            <w:r w:rsidRPr="000E6D92">
              <w:rPr>
                <w:rFonts w:cs="ArialMT-Regular"/>
                <w:lang w:val="en-US"/>
              </w:rPr>
              <w:t>Gugkaeva</w:t>
            </w:r>
            <w:r>
              <w:rPr>
                <w:rFonts w:cs="ArialMT-Regular"/>
                <w:lang w:val="en-US"/>
              </w:rPr>
              <w:t>,</w:t>
            </w:r>
            <w:r w:rsidRPr="000E6D92">
              <w:rPr>
                <w:rFonts w:cs="AdvMYR4"/>
                <w:lang w:val="en-US"/>
              </w:rPr>
              <w:t xml:space="preserve"> Anastasia V. Lokutova,</w:t>
            </w:r>
            <w:r>
              <w:rPr>
                <w:rFonts w:cs="AdvMYR4"/>
                <w:vertAlign w:val="superscript"/>
                <w:lang w:val="en-US"/>
              </w:rPr>
              <w:t xml:space="preserve"> </w:t>
            </w:r>
            <w:r w:rsidRPr="000E6D92">
              <w:rPr>
                <w:rFonts w:cs="AdvMYR4"/>
                <w:lang w:val="en-US"/>
              </w:rPr>
              <w:t xml:space="preserve">Victor I. Maleev, </w:t>
            </w:r>
            <w:r>
              <w:rPr>
                <w:rFonts w:cs="AdvMYR4"/>
                <w:lang w:val="en-US"/>
              </w:rPr>
              <w:t xml:space="preserve">Alexander S. Peregudov, </w:t>
            </w:r>
            <w:r>
              <w:t>Xiao Wu</w:t>
            </w:r>
            <w:r w:rsidRPr="00F007F5">
              <w:t>,</w:t>
            </w:r>
            <w:r>
              <w:t xml:space="preserve"> </w:t>
            </w:r>
            <w:r>
              <w:rPr>
                <w:rFonts w:cs="AdvMYR4"/>
                <w:lang w:val="en-US"/>
              </w:rPr>
              <w:t>Michael North</w:t>
            </w:r>
            <w:r w:rsidRPr="000E6D92">
              <w:rPr>
                <w:rFonts w:cs="AdvMYR4"/>
                <w:lang w:val="en-US"/>
              </w:rPr>
              <w:t>*</w:t>
            </w:r>
            <w:r>
              <w:rPr>
                <w:rFonts w:cs="AdvMYR4"/>
                <w:vertAlign w:val="superscript"/>
                <w:lang w:val="en-US"/>
              </w:rPr>
              <w:t>[</w:t>
            </w:r>
            <w:r w:rsidRPr="000E6D92">
              <w:rPr>
                <w:rFonts w:cs="AdvMYR4"/>
                <w:lang w:val="en-US"/>
              </w:rPr>
              <w:t xml:space="preserve"> and Yuri N. Belokon</w:t>
            </w:r>
            <w:r>
              <w:rPr>
                <w:rFonts w:cs="AdvMYR4"/>
                <w:lang w:val="en-US"/>
              </w:rPr>
              <w:t>*</w:t>
            </w:r>
          </w:p>
          <w:p w:rsidR="007E773A" w:rsidRPr="004B0B74" w:rsidRDefault="007E773A" w:rsidP="00720CC1">
            <w:pPr>
              <w:pStyle w:val="PageNumbers"/>
              <w:rPr>
                <w:lang w:val="en-GB"/>
              </w:rPr>
            </w:pPr>
            <w:r w:rsidRPr="004B0B74">
              <w:rPr>
                <w:lang w:val="en-GB"/>
              </w:rPr>
              <w:t>Page No. – Page No.</w:t>
            </w:r>
          </w:p>
          <w:p w:rsidR="007E773A" w:rsidRDefault="005166F0" w:rsidP="00720CC1">
            <w:pPr>
              <w:pStyle w:val="TitleTOC"/>
              <w:framePr w:hSpace="141" w:wrap="around" w:vAnchor="page" w:hAnchor="margin" w:y="1504"/>
            </w:pPr>
            <w:r w:rsidRPr="00227448">
              <w:t>Carbocation-</w:t>
            </w:r>
            <w:r>
              <w:t>p</w:t>
            </w:r>
            <w:r w:rsidRPr="00227448">
              <w:t xml:space="preserve">olyol </w:t>
            </w:r>
            <w:r>
              <w:t>s</w:t>
            </w:r>
            <w:r w:rsidRPr="00227448">
              <w:t xml:space="preserve">ystems as </w:t>
            </w:r>
            <w:r>
              <w:t>e</w:t>
            </w:r>
            <w:r w:rsidRPr="00227448">
              <w:t xml:space="preserve">fficient </w:t>
            </w:r>
            <w:r>
              <w:t>o</w:t>
            </w:r>
            <w:r w:rsidRPr="00227448">
              <w:t xml:space="preserve">rganic </w:t>
            </w:r>
            <w:r>
              <w:t>c</w:t>
            </w:r>
            <w:r w:rsidRPr="00227448">
              <w:t xml:space="preserve">atalysts for the </w:t>
            </w:r>
            <w:r>
              <w:t>p</w:t>
            </w:r>
            <w:r w:rsidRPr="00227448">
              <w:t xml:space="preserve">reparation of </w:t>
            </w:r>
            <w:r>
              <w:t>c</w:t>
            </w:r>
            <w:r w:rsidRPr="00227448">
              <w:t xml:space="preserve">yclic </w:t>
            </w:r>
            <w:r>
              <w:t>o</w:t>
            </w:r>
            <w:r w:rsidRPr="00227448">
              <w:t xml:space="preserve">rganic </w:t>
            </w:r>
            <w:r>
              <w:t>c</w:t>
            </w:r>
            <w:r w:rsidRPr="00227448">
              <w:t>arbonates</w:t>
            </w:r>
          </w:p>
          <w:p w:rsidR="007E773A" w:rsidRPr="00AE01EC" w:rsidRDefault="007E773A" w:rsidP="00720CC1">
            <w:pPr>
              <w:framePr w:hSpace="141" w:wrap="around" w:vAnchor="page" w:hAnchor="margin" w:y="1504"/>
              <w:rPr>
                <w:lang w:val="en-GB"/>
              </w:rPr>
            </w:pPr>
          </w:p>
        </w:tc>
      </w:tr>
      <w:tr w:rsidR="007E773A" w:rsidTr="00720CC1">
        <w:trPr>
          <w:trHeight w:hRule="exact" w:val="2796"/>
        </w:trPr>
        <w:tc>
          <w:tcPr>
            <w:tcW w:w="3118" w:type="dxa"/>
            <w:vMerge/>
            <w:shd w:val="clear" w:color="auto" w:fill="auto"/>
          </w:tcPr>
          <w:p w:rsidR="007E773A" w:rsidRDefault="007E773A" w:rsidP="00720CC1">
            <w:pPr>
              <w:rPr>
                <w:lang w:val="en-GB"/>
              </w:rPr>
            </w:pPr>
          </w:p>
        </w:tc>
        <w:tc>
          <w:tcPr>
            <w:tcW w:w="284" w:type="dxa"/>
            <w:shd w:val="clear" w:color="auto" w:fill="auto"/>
          </w:tcPr>
          <w:p w:rsidR="007E773A" w:rsidRDefault="007E773A" w:rsidP="00720CC1">
            <w:pPr>
              <w:rPr>
                <w:lang w:val="en-GB"/>
              </w:rPr>
            </w:pPr>
          </w:p>
        </w:tc>
        <w:tc>
          <w:tcPr>
            <w:tcW w:w="3118" w:type="dxa"/>
            <w:vMerge/>
            <w:shd w:val="clear" w:color="auto" w:fill="auto"/>
          </w:tcPr>
          <w:p w:rsidR="007E773A" w:rsidRDefault="007E773A" w:rsidP="00720CC1">
            <w:pPr>
              <w:rPr>
                <w:lang w:val="en-GB"/>
              </w:rPr>
            </w:pPr>
          </w:p>
        </w:tc>
        <w:tc>
          <w:tcPr>
            <w:tcW w:w="284" w:type="dxa"/>
            <w:shd w:val="clear" w:color="auto" w:fill="auto"/>
          </w:tcPr>
          <w:p w:rsidR="007E773A" w:rsidRDefault="007E773A" w:rsidP="00720CC1">
            <w:pPr>
              <w:rPr>
                <w:lang w:val="en-GB"/>
              </w:rPr>
            </w:pPr>
          </w:p>
        </w:tc>
        <w:tc>
          <w:tcPr>
            <w:tcW w:w="3289" w:type="dxa"/>
            <w:vMerge/>
            <w:shd w:val="clear" w:color="auto" w:fill="auto"/>
          </w:tcPr>
          <w:p w:rsidR="007E773A" w:rsidRDefault="007E773A" w:rsidP="00720CC1">
            <w:pPr>
              <w:rPr>
                <w:lang w:val="en-GB"/>
              </w:rPr>
            </w:pPr>
          </w:p>
        </w:tc>
      </w:tr>
    </w:tbl>
    <w:p w:rsidR="007E773A" w:rsidRDefault="007E773A" w:rsidP="007E773A">
      <w:pPr>
        <w:rPr>
          <w:lang w:val="en-GB"/>
        </w:rPr>
      </w:pPr>
    </w:p>
    <w:p w:rsidR="00773C4B" w:rsidRPr="008F525A" w:rsidRDefault="00773C4B" w:rsidP="00773C4B">
      <w:pPr>
        <w:rPr>
          <w:bCs/>
          <w:lang w:val="en-GB"/>
        </w:rPr>
      </w:pPr>
    </w:p>
    <w:sectPr w:rsidR="00773C4B" w:rsidRPr="008F525A" w:rsidSect="0095126A">
      <w:endnotePr>
        <w:numFmt w:val="decimal"/>
      </w:endnotePr>
      <w:pgSz w:w="11906" w:h="16838" w:code="9"/>
      <w:pgMar w:top="1134" w:right="936" w:bottom="1134" w:left="936" w:header="1021" w:footer="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2C" w:rsidRPr="00C00CCD" w:rsidRDefault="00B0692C" w:rsidP="00C00CCD">
      <w:pPr>
        <w:pStyle w:val="Footer"/>
        <w:spacing w:line="20" w:lineRule="exact"/>
      </w:pPr>
    </w:p>
  </w:endnote>
  <w:endnote w:type="continuationSeparator" w:id="0">
    <w:p w:rsidR="00B0692C" w:rsidRPr="00C00CCD" w:rsidRDefault="00B0692C" w:rsidP="00C00CCD">
      <w:pPr>
        <w:pStyle w:val="Footer"/>
      </w:pPr>
    </w:p>
  </w:endnote>
  <w:endnote w:type="continuationNotice" w:id="1">
    <w:p w:rsidR="00B0692C" w:rsidRDefault="00B06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vMYR4">
    <w:altName w:val="Times New Roman"/>
    <w:panose1 w:val="00000000000000000000"/>
    <w:charset w:val="CC"/>
    <w:family w:val="auto"/>
    <w:notTrueType/>
    <w:pitch w:val="default"/>
    <w:sig w:usb0="00000201" w:usb1="00000000" w:usb2="00000000" w:usb3="00000000" w:csb0="00000004" w:csb1="00000000"/>
  </w:font>
  <w:font w:name="ArialMT-Regular">
    <w:altName w:val="Arial"/>
    <w:panose1 w:val="00000000000000000000"/>
    <w:charset w:val="00"/>
    <w:family w:val="swiss"/>
    <w:notTrueType/>
    <w:pitch w:val="default"/>
    <w:sig w:usb0="00000003" w:usb1="00000000" w:usb2="00000000" w:usb3="00000000" w:csb0="00000001" w:csb1="00000000"/>
  </w:font>
  <w:font w:name="AdvMYR4I">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dvMYR6">
    <w:panose1 w:val="00000000000000000000"/>
    <w:charset w:val="CC"/>
    <w:family w:val="auto"/>
    <w:notTrueType/>
    <w:pitch w:val="default"/>
    <w:sig w:usb0="00000201" w:usb1="00000000" w:usb2="00000000" w:usb3="00000000" w:csb0="00000004" w:csb1="00000000"/>
  </w:font>
  <w:font w:name="TimesNewRomanWGL">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WGL-Bold">
    <w:altName w:val="Arial"/>
    <w:panose1 w:val="00000000000000000000"/>
    <w:charset w:val="00"/>
    <w:family w:val="swiss"/>
    <w:notTrueType/>
    <w:pitch w:val="default"/>
    <w:sig w:usb0="00000003" w:usb1="00000000" w:usb2="00000000" w:usb3="00000000" w:csb0="00000001" w:csb1="00000000"/>
  </w:font>
  <w:font w:name="TimesNewRomanWGL-Italic">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AdvOT8608a8d1+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66" w:rsidRDefault="00166866" w:rsidP="0095126A">
    <w:pPr>
      <w:pStyle w:val="Footer"/>
      <w:pBdr>
        <w:top w:val="single" w:sz="18" w:space="1" w:color="C0C0C0"/>
      </w:pBdr>
    </w:pPr>
  </w:p>
  <w:p w:rsidR="00166866" w:rsidRDefault="00166866" w:rsidP="0095126A">
    <w:pPr>
      <w:pStyle w:val="Footer"/>
    </w:pPr>
  </w:p>
  <w:p w:rsidR="00166866" w:rsidRDefault="00166866" w:rsidP="0095126A">
    <w:pPr>
      <w:pStyle w:val="Footer"/>
    </w:pPr>
  </w:p>
  <w:p w:rsidR="00166866" w:rsidRPr="00205632" w:rsidRDefault="00166866" w:rsidP="0095126A">
    <w:pPr>
      <w:pStyle w:val="Footer"/>
    </w:pPr>
  </w:p>
  <w:p w:rsidR="00166866" w:rsidRPr="0095126A" w:rsidRDefault="00166866" w:rsidP="0095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2C" w:rsidRDefault="00B0692C">
      <w:r>
        <w:separator/>
      </w:r>
    </w:p>
  </w:footnote>
  <w:footnote w:type="continuationSeparator" w:id="0">
    <w:p w:rsidR="00B0692C" w:rsidRDefault="00B06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66" w:rsidRPr="00C8278A" w:rsidRDefault="00A73A1D" w:rsidP="00FB4551">
    <w:pPr>
      <w:pStyle w:val="Header"/>
      <w:pBdr>
        <w:bottom w:val="single" w:sz="36" w:space="1" w:color="C0C0C0"/>
      </w:pBdr>
      <w:rPr>
        <w:rFonts w:ascii="Arial Narrow" w:hAnsi="Arial Narrow" w:cs="Arial"/>
        <w:b/>
        <w:bCs/>
        <w:color w:val="C0C0C0"/>
        <w:sz w:val="36"/>
        <w:szCs w:val="36"/>
      </w:rPr>
    </w:pPr>
    <w:r>
      <w:rPr>
        <w:rFonts w:ascii="Arial Narrow" w:hAnsi="Arial Narrow" w:cs="Arial"/>
        <w:b/>
        <w:bCs/>
        <w:noProof/>
        <w:color w:val="C0C0C0"/>
        <w:sz w:val="40"/>
        <w:szCs w:val="3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4" o:spid="_x0000_s2055" type="#_x0000_t75" style="position:absolute;margin-left:0;margin-top:0;width:688.65pt;height:937.8pt;z-index:-251658240;mso-position-horizontal:center;mso-position-horizontal-relative:margin;mso-position-vertical:center;mso-position-vertical-relative:margin" o:allowincell="f">
          <v:imagedata r:id="rId1" o:title="Wiley-VCH_gedreht" gain="19661f" blacklevel="22938f"/>
          <w10:wrap anchorx="margin" anchory="margin"/>
        </v:shape>
      </w:pict>
    </w:r>
    <w:r w:rsidR="00166866">
      <w:rPr>
        <w:rFonts w:ascii="Arial Narrow" w:hAnsi="Arial Narrow" w:cs="Arial"/>
        <w:b/>
        <w:bCs/>
        <w:noProof/>
        <w:color w:val="C0C0C0"/>
        <w:sz w:val="40"/>
        <w:szCs w:val="36"/>
        <w:lang w:val="en-GB" w:eastAsia="en-GB"/>
      </w:rPr>
      <w:drawing>
        <wp:inline distT="0" distB="0" distL="0" distR="0" wp14:anchorId="160FE2FE" wp14:editId="7A83E89C">
          <wp:extent cx="1439545" cy="4165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416560"/>
                  </a:xfrm>
                  <a:prstGeom prst="rect">
                    <a:avLst/>
                  </a:prstGeom>
                  <a:noFill/>
                  <a:ln>
                    <a:noFill/>
                  </a:ln>
                </pic:spPr>
              </pic:pic>
            </a:graphicData>
          </a:graphic>
        </wp:inline>
      </w:drawing>
    </w:r>
    <w:r w:rsidR="00166866">
      <w:rPr>
        <w:rFonts w:ascii="Arial Narrow" w:hAnsi="Arial Narrow" w:cs="Arial"/>
        <w:b/>
        <w:bCs/>
        <w:color w:val="C0C0C0"/>
        <w:sz w:val="40"/>
        <w:szCs w:val="36"/>
      </w:rPr>
      <w:tab/>
    </w:r>
    <w:r w:rsidR="00166866">
      <w:rPr>
        <w:rFonts w:ascii="Arial Narrow" w:hAnsi="Arial Narrow" w:cs="Arial"/>
        <w:b/>
        <w:bCs/>
        <w:color w:val="C0C0C0"/>
        <w:sz w:val="40"/>
        <w:szCs w:val="36"/>
      </w:rPr>
      <w:tab/>
      <w:t xml:space="preserve">                            </w:t>
    </w:r>
    <w:r w:rsidR="00166866" w:rsidRPr="00FB4551">
      <w:rPr>
        <w:rFonts w:ascii="Arial" w:hAnsi="Arial" w:cs="Arial"/>
        <w:b/>
        <w:bCs/>
        <w:color w:val="C0C0C0"/>
      </w:rPr>
      <w:t>www.chemsuschem.org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66" w:rsidRPr="00863DFC" w:rsidRDefault="00A73A1D" w:rsidP="00863DFC">
    <w:pPr>
      <w:pStyle w:val="Header"/>
      <w:pBdr>
        <w:bottom w:val="single" w:sz="18" w:space="1" w:color="C0C0C0"/>
      </w:pBdr>
    </w:pPr>
    <w:r>
      <w:rPr>
        <w:rFonts w:ascii="Arial Narrow" w:hAnsi="Arial Narrow" w:cs="Arial"/>
        <w:b/>
        <w:bCs/>
        <w:noProof/>
        <w:color w:val="C0C0C0"/>
        <w:sz w:val="32"/>
        <w:szCs w:val="3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5" o:spid="_x0000_s2056" type="#_x0000_t75" style="position:absolute;margin-left:0;margin-top:0;width:688.65pt;height:937.8pt;z-index:-251657216;mso-position-horizontal:center;mso-position-horizontal-relative:margin;mso-position-vertical:center;mso-position-vertical-relative:margin" o:allowincell="f">
          <v:imagedata r:id="rId1" o:title="Wiley-VCH_gedreht" gain="19661f" blacklevel="22938f"/>
          <w10:wrap anchorx="margin" anchory="margin"/>
        </v:shape>
      </w:pict>
    </w:r>
    <w:r w:rsidR="00166866">
      <w:rPr>
        <w:rFonts w:ascii="Arial Narrow" w:hAnsi="Arial Narrow" w:cs="Arial"/>
        <w:b/>
        <w:bCs/>
        <w:noProof/>
        <w:color w:val="C0C0C0"/>
        <w:sz w:val="32"/>
        <w:szCs w:val="36"/>
        <w:lang w:val="en-GB" w:eastAsia="en-GB"/>
      </w:rPr>
      <w:drawing>
        <wp:anchor distT="0" distB="0" distL="114300" distR="114300" simplePos="0" relativeHeight="251656192" behindDoc="0" locked="0" layoutInCell="1" allowOverlap="1" wp14:anchorId="317FADAC" wp14:editId="0A3662D9">
          <wp:simplePos x="0" y="0"/>
          <wp:positionH relativeFrom="column">
            <wp:posOffset>5344160</wp:posOffset>
          </wp:positionH>
          <wp:positionV relativeFrom="paragraph">
            <wp:posOffset>-40005</wp:posOffset>
          </wp:positionV>
          <wp:extent cx="1079500" cy="273050"/>
          <wp:effectExtent l="0" t="0" r="6350" b="0"/>
          <wp:wrapTopAndBottom/>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866">
      <w:rPr>
        <w:rFonts w:ascii="Arial Narrow" w:hAnsi="Arial Narrow" w:cs="Arial"/>
        <w:b/>
        <w:bCs/>
        <w:color w:val="C0C0C0"/>
        <w:sz w:val="32"/>
        <w:szCs w:val="36"/>
      </w:rPr>
      <w:t>FULL PAPER</w:t>
    </w:r>
    <w:r w:rsidR="00166866" w:rsidRPr="00971FC5">
      <w:rPr>
        <w:rFonts w:ascii="Arial Narrow" w:hAnsi="Arial Narrow" w:cs="Arial"/>
        <w:sz w:val="32"/>
        <w:szCs w:val="36"/>
      </w:rPr>
      <w:tab/>
    </w:r>
    <w:r w:rsidR="00166866" w:rsidRPr="00971FC5">
      <w:rPr>
        <w:rFonts w:ascii="Arial Narrow" w:hAnsi="Arial Narrow" w:cs="Arial"/>
        <w:sz w:val="32"/>
        <w:szCs w:val="36"/>
      </w:rPr>
      <w:tab/>
    </w:r>
    <w:r w:rsidR="00166866">
      <w:rPr>
        <w:rFonts w:ascii="Arial Narrow" w:hAnsi="Arial Narrow" w:cs="Arial"/>
        <w:sz w:val="32"/>
        <w:szCs w:val="3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66" w:rsidRDefault="00A73A1D">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3" o:spid="_x0000_s2054" type="#_x0000_t75" style="position:absolute;margin-left:0;margin-top:0;width:688.65pt;height:937.8pt;z-index:-251659264;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4793E"/>
    <w:multiLevelType w:val="hybridMultilevel"/>
    <w:tmpl w:val="79DC79AA"/>
    <w:lvl w:ilvl="0" w:tplc="D1AC31D4">
      <w:start w:val="1"/>
      <w:numFmt w:val="decimal"/>
      <w:pStyle w:val="RSCR02References"/>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5"/>
  <w:hyphenationZone w:val="425"/>
  <w:drawingGridHorizontalSpacing w:val="120"/>
  <w:displayHorizontalDrawingGridEvery w:val="2"/>
  <w:noPunctuationKerning/>
  <w:characterSpacingControl w:val="doNotCompress"/>
  <w:hdrShapeDefaults>
    <o:shapedefaults v:ext="edit" spidmax="2057">
      <o:colormru v:ext="edit" colors="#eaeaea"/>
    </o:shapedefaults>
    <o:shapelayout v:ext="edit">
      <o:idmap v:ext="edit" data="2"/>
    </o:shapelayout>
  </w:hdrShapeDefault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9C"/>
    <w:rsid w:val="0000214A"/>
    <w:rsid w:val="00002DBC"/>
    <w:rsid w:val="00003927"/>
    <w:rsid w:val="0000457A"/>
    <w:rsid w:val="00010410"/>
    <w:rsid w:val="00011D51"/>
    <w:rsid w:val="00013DD7"/>
    <w:rsid w:val="00014981"/>
    <w:rsid w:val="000208F6"/>
    <w:rsid w:val="00022DB4"/>
    <w:rsid w:val="00033C26"/>
    <w:rsid w:val="00033D1A"/>
    <w:rsid w:val="00033F43"/>
    <w:rsid w:val="00036490"/>
    <w:rsid w:val="0004091A"/>
    <w:rsid w:val="00042BF0"/>
    <w:rsid w:val="00045AB9"/>
    <w:rsid w:val="0005096E"/>
    <w:rsid w:val="0005140E"/>
    <w:rsid w:val="00055485"/>
    <w:rsid w:val="0006281D"/>
    <w:rsid w:val="00063E0F"/>
    <w:rsid w:val="0006489B"/>
    <w:rsid w:val="000650AB"/>
    <w:rsid w:val="0006694D"/>
    <w:rsid w:val="000669E3"/>
    <w:rsid w:val="00066B8E"/>
    <w:rsid w:val="00070B55"/>
    <w:rsid w:val="00070E0D"/>
    <w:rsid w:val="0007315F"/>
    <w:rsid w:val="00073DE9"/>
    <w:rsid w:val="00077560"/>
    <w:rsid w:val="000806F8"/>
    <w:rsid w:val="0008077D"/>
    <w:rsid w:val="00085C41"/>
    <w:rsid w:val="0009539C"/>
    <w:rsid w:val="00095C2F"/>
    <w:rsid w:val="000A37F3"/>
    <w:rsid w:val="000A77DC"/>
    <w:rsid w:val="000B6DF3"/>
    <w:rsid w:val="000C197C"/>
    <w:rsid w:val="000C1DBD"/>
    <w:rsid w:val="000C5085"/>
    <w:rsid w:val="000C53F1"/>
    <w:rsid w:val="000C6168"/>
    <w:rsid w:val="000D70F8"/>
    <w:rsid w:val="000D75B7"/>
    <w:rsid w:val="000D7701"/>
    <w:rsid w:val="000E0815"/>
    <w:rsid w:val="000E0CEA"/>
    <w:rsid w:val="000E0EC4"/>
    <w:rsid w:val="000E1C81"/>
    <w:rsid w:val="000E517A"/>
    <w:rsid w:val="000E5FDC"/>
    <w:rsid w:val="000E76B8"/>
    <w:rsid w:val="000F038A"/>
    <w:rsid w:val="000F29A4"/>
    <w:rsid w:val="000F2C63"/>
    <w:rsid w:val="000F2EA1"/>
    <w:rsid w:val="000F5BD1"/>
    <w:rsid w:val="000F7847"/>
    <w:rsid w:val="001037A1"/>
    <w:rsid w:val="00103EF7"/>
    <w:rsid w:val="00104119"/>
    <w:rsid w:val="00104AE9"/>
    <w:rsid w:val="0010543E"/>
    <w:rsid w:val="00105F97"/>
    <w:rsid w:val="00107E8C"/>
    <w:rsid w:val="001158DE"/>
    <w:rsid w:val="00120F2E"/>
    <w:rsid w:val="001237B3"/>
    <w:rsid w:val="0012381E"/>
    <w:rsid w:val="001322FF"/>
    <w:rsid w:val="0013316F"/>
    <w:rsid w:val="001344F7"/>
    <w:rsid w:val="001348CD"/>
    <w:rsid w:val="0014043E"/>
    <w:rsid w:val="00141356"/>
    <w:rsid w:val="00143551"/>
    <w:rsid w:val="0014374D"/>
    <w:rsid w:val="00143B89"/>
    <w:rsid w:val="0014445C"/>
    <w:rsid w:val="001475BF"/>
    <w:rsid w:val="00152E6D"/>
    <w:rsid w:val="00155FB7"/>
    <w:rsid w:val="0015631F"/>
    <w:rsid w:val="00157C67"/>
    <w:rsid w:val="0016203E"/>
    <w:rsid w:val="001620BA"/>
    <w:rsid w:val="001639AE"/>
    <w:rsid w:val="001654DF"/>
    <w:rsid w:val="00166866"/>
    <w:rsid w:val="00166BEB"/>
    <w:rsid w:val="00166D41"/>
    <w:rsid w:val="001678B6"/>
    <w:rsid w:val="0017048F"/>
    <w:rsid w:val="00170D5C"/>
    <w:rsid w:val="00172B86"/>
    <w:rsid w:val="00172F48"/>
    <w:rsid w:val="001732A4"/>
    <w:rsid w:val="001800AA"/>
    <w:rsid w:val="0018165B"/>
    <w:rsid w:val="00181774"/>
    <w:rsid w:val="00184380"/>
    <w:rsid w:val="00186601"/>
    <w:rsid w:val="001878D0"/>
    <w:rsid w:val="0019014F"/>
    <w:rsid w:val="00194818"/>
    <w:rsid w:val="00194A21"/>
    <w:rsid w:val="00196DEB"/>
    <w:rsid w:val="00197F42"/>
    <w:rsid w:val="001A0D55"/>
    <w:rsid w:val="001A1C42"/>
    <w:rsid w:val="001A2FE3"/>
    <w:rsid w:val="001A3120"/>
    <w:rsid w:val="001A39AE"/>
    <w:rsid w:val="001A438D"/>
    <w:rsid w:val="001B0DFC"/>
    <w:rsid w:val="001B286E"/>
    <w:rsid w:val="001B47F3"/>
    <w:rsid w:val="001B4AC3"/>
    <w:rsid w:val="001B4B22"/>
    <w:rsid w:val="001B73B9"/>
    <w:rsid w:val="001B7620"/>
    <w:rsid w:val="001C1039"/>
    <w:rsid w:val="001C21E3"/>
    <w:rsid w:val="001C26A7"/>
    <w:rsid w:val="001D1155"/>
    <w:rsid w:val="001D13EA"/>
    <w:rsid w:val="001D216B"/>
    <w:rsid w:val="001D29CA"/>
    <w:rsid w:val="001D54CA"/>
    <w:rsid w:val="001D73C5"/>
    <w:rsid w:val="001D7ECC"/>
    <w:rsid w:val="001E164A"/>
    <w:rsid w:val="001E2F1C"/>
    <w:rsid w:val="001E3A6D"/>
    <w:rsid w:val="001F16EF"/>
    <w:rsid w:val="001F1A2D"/>
    <w:rsid w:val="001F252B"/>
    <w:rsid w:val="001F3ACC"/>
    <w:rsid w:val="001F4235"/>
    <w:rsid w:val="001F45C3"/>
    <w:rsid w:val="001F4EE4"/>
    <w:rsid w:val="001F7325"/>
    <w:rsid w:val="0020306E"/>
    <w:rsid w:val="002124FA"/>
    <w:rsid w:val="002130FD"/>
    <w:rsid w:val="00213D0E"/>
    <w:rsid w:val="002221BA"/>
    <w:rsid w:val="00222AA3"/>
    <w:rsid w:val="00222D97"/>
    <w:rsid w:val="0022537E"/>
    <w:rsid w:val="0022582C"/>
    <w:rsid w:val="00232C14"/>
    <w:rsid w:val="002362C7"/>
    <w:rsid w:val="00241D85"/>
    <w:rsid w:val="00242E54"/>
    <w:rsid w:val="002433F0"/>
    <w:rsid w:val="00243927"/>
    <w:rsid w:val="00260EDA"/>
    <w:rsid w:val="00261387"/>
    <w:rsid w:val="00261882"/>
    <w:rsid w:val="00265DCA"/>
    <w:rsid w:val="00267F8A"/>
    <w:rsid w:val="002702BC"/>
    <w:rsid w:val="0027068B"/>
    <w:rsid w:val="00287256"/>
    <w:rsid w:val="00287B32"/>
    <w:rsid w:val="00291C93"/>
    <w:rsid w:val="0029449F"/>
    <w:rsid w:val="002A36FA"/>
    <w:rsid w:val="002A561E"/>
    <w:rsid w:val="002A5E9C"/>
    <w:rsid w:val="002A69D1"/>
    <w:rsid w:val="002B16E2"/>
    <w:rsid w:val="002B22BA"/>
    <w:rsid w:val="002B25E2"/>
    <w:rsid w:val="002B453B"/>
    <w:rsid w:val="002B56C9"/>
    <w:rsid w:val="002B6871"/>
    <w:rsid w:val="002B7CA9"/>
    <w:rsid w:val="002C36E0"/>
    <w:rsid w:val="002C428B"/>
    <w:rsid w:val="002C724A"/>
    <w:rsid w:val="002D0B17"/>
    <w:rsid w:val="002D24CB"/>
    <w:rsid w:val="002D42FF"/>
    <w:rsid w:val="002D5148"/>
    <w:rsid w:val="002E066F"/>
    <w:rsid w:val="002E2CA8"/>
    <w:rsid w:val="002E3FFF"/>
    <w:rsid w:val="002F0269"/>
    <w:rsid w:val="002F1479"/>
    <w:rsid w:val="002F17FB"/>
    <w:rsid w:val="002F56D6"/>
    <w:rsid w:val="002F6A4C"/>
    <w:rsid w:val="002F73A5"/>
    <w:rsid w:val="003006A7"/>
    <w:rsid w:val="00300936"/>
    <w:rsid w:val="00301167"/>
    <w:rsid w:val="00301D1E"/>
    <w:rsid w:val="003029DB"/>
    <w:rsid w:val="00303FBE"/>
    <w:rsid w:val="003040CB"/>
    <w:rsid w:val="0030671A"/>
    <w:rsid w:val="003079D2"/>
    <w:rsid w:val="00307C5A"/>
    <w:rsid w:val="003116F4"/>
    <w:rsid w:val="00312ED2"/>
    <w:rsid w:val="0032022A"/>
    <w:rsid w:val="0032048F"/>
    <w:rsid w:val="003219A5"/>
    <w:rsid w:val="00322D02"/>
    <w:rsid w:val="00322E1F"/>
    <w:rsid w:val="00323B68"/>
    <w:rsid w:val="00323FC3"/>
    <w:rsid w:val="00324724"/>
    <w:rsid w:val="00325147"/>
    <w:rsid w:val="003254D1"/>
    <w:rsid w:val="00325516"/>
    <w:rsid w:val="003275FF"/>
    <w:rsid w:val="0033054D"/>
    <w:rsid w:val="00331B5E"/>
    <w:rsid w:val="00333FAD"/>
    <w:rsid w:val="0033586B"/>
    <w:rsid w:val="00336A5A"/>
    <w:rsid w:val="003403BB"/>
    <w:rsid w:val="00340A08"/>
    <w:rsid w:val="003447D7"/>
    <w:rsid w:val="0034496B"/>
    <w:rsid w:val="00354B57"/>
    <w:rsid w:val="00364753"/>
    <w:rsid w:val="00364A2A"/>
    <w:rsid w:val="003657B6"/>
    <w:rsid w:val="00366676"/>
    <w:rsid w:val="003674A7"/>
    <w:rsid w:val="00375415"/>
    <w:rsid w:val="00376792"/>
    <w:rsid w:val="00376F37"/>
    <w:rsid w:val="0038506F"/>
    <w:rsid w:val="00390DD7"/>
    <w:rsid w:val="00396BE2"/>
    <w:rsid w:val="003A5198"/>
    <w:rsid w:val="003A6168"/>
    <w:rsid w:val="003A682E"/>
    <w:rsid w:val="003B04BA"/>
    <w:rsid w:val="003B0FC4"/>
    <w:rsid w:val="003B6C60"/>
    <w:rsid w:val="003B70C8"/>
    <w:rsid w:val="003C134A"/>
    <w:rsid w:val="003C1CCA"/>
    <w:rsid w:val="003C2972"/>
    <w:rsid w:val="003C2C9C"/>
    <w:rsid w:val="003C6E1A"/>
    <w:rsid w:val="003D0F51"/>
    <w:rsid w:val="003D1C1A"/>
    <w:rsid w:val="003D3F9A"/>
    <w:rsid w:val="003D51C5"/>
    <w:rsid w:val="003E54CD"/>
    <w:rsid w:val="003E7319"/>
    <w:rsid w:val="003F1223"/>
    <w:rsid w:val="003F2556"/>
    <w:rsid w:val="003F50D4"/>
    <w:rsid w:val="003F66CF"/>
    <w:rsid w:val="0040080D"/>
    <w:rsid w:val="0040270E"/>
    <w:rsid w:val="00403876"/>
    <w:rsid w:val="004062B1"/>
    <w:rsid w:val="004070B6"/>
    <w:rsid w:val="004072DD"/>
    <w:rsid w:val="00411AA6"/>
    <w:rsid w:val="00414412"/>
    <w:rsid w:val="00415971"/>
    <w:rsid w:val="00416762"/>
    <w:rsid w:val="00416B05"/>
    <w:rsid w:val="00417251"/>
    <w:rsid w:val="00422AFE"/>
    <w:rsid w:val="00423593"/>
    <w:rsid w:val="00424978"/>
    <w:rsid w:val="0042545B"/>
    <w:rsid w:val="00426626"/>
    <w:rsid w:val="00427CBD"/>
    <w:rsid w:val="00431151"/>
    <w:rsid w:val="00432307"/>
    <w:rsid w:val="004344FB"/>
    <w:rsid w:val="00435D6F"/>
    <w:rsid w:val="00436338"/>
    <w:rsid w:val="00437B5A"/>
    <w:rsid w:val="00444E3C"/>
    <w:rsid w:val="00445D5C"/>
    <w:rsid w:val="004465F9"/>
    <w:rsid w:val="004466B0"/>
    <w:rsid w:val="00454A2D"/>
    <w:rsid w:val="004556E1"/>
    <w:rsid w:val="004609E1"/>
    <w:rsid w:val="00460C28"/>
    <w:rsid w:val="00461BD2"/>
    <w:rsid w:val="00462A09"/>
    <w:rsid w:val="004644E1"/>
    <w:rsid w:val="0046574E"/>
    <w:rsid w:val="004657E8"/>
    <w:rsid w:val="00467E99"/>
    <w:rsid w:val="00470790"/>
    <w:rsid w:val="00473029"/>
    <w:rsid w:val="00473EE4"/>
    <w:rsid w:val="00477658"/>
    <w:rsid w:val="00477B4C"/>
    <w:rsid w:val="00477B99"/>
    <w:rsid w:val="004823EF"/>
    <w:rsid w:val="004841CA"/>
    <w:rsid w:val="00485C84"/>
    <w:rsid w:val="00486215"/>
    <w:rsid w:val="0048630D"/>
    <w:rsid w:val="004876FC"/>
    <w:rsid w:val="004921CF"/>
    <w:rsid w:val="004930F0"/>
    <w:rsid w:val="004952D8"/>
    <w:rsid w:val="004A0BA8"/>
    <w:rsid w:val="004A489D"/>
    <w:rsid w:val="004A4A2E"/>
    <w:rsid w:val="004A4CD0"/>
    <w:rsid w:val="004A73A8"/>
    <w:rsid w:val="004A75D5"/>
    <w:rsid w:val="004A771F"/>
    <w:rsid w:val="004A78AE"/>
    <w:rsid w:val="004B004E"/>
    <w:rsid w:val="004B0589"/>
    <w:rsid w:val="004B0A00"/>
    <w:rsid w:val="004B0B74"/>
    <w:rsid w:val="004B1783"/>
    <w:rsid w:val="004B65AE"/>
    <w:rsid w:val="004B7661"/>
    <w:rsid w:val="004C1836"/>
    <w:rsid w:val="004C22E6"/>
    <w:rsid w:val="004C2834"/>
    <w:rsid w:val="004C2FAC"/>
    <w:rsid w:val="004C3CC9"/>
    <w:rsid w:val="004C471F"/>
    <w:rsid w:val="004C5F41"/>
    <w:rsid w:val="004C6D04"/>
    <w:rsid w:val="004D090A"/>
    <w:rsid w:val="004D13DA"/>
    <w:rsid w:val="004D31C6"/>
    <w:rsid w:val="004D4293"/>
    <w:rsid w:val="004D5ABB"/>
    <w:rsid w:val="004D6DB8"/>
    <w:rsid w:val="004E0B8B"/>
    <w:rsid w:val="004E1082"/>
    <w:rsid w:val="004E3010"/>
    <w:rsid w:val="004E3F83"/>
    <w:rsid w:val="004E4A53"/>
    <w:rsid w:val="004E4DFF"/>
    <w:rsid w:val="004E5278"/>
    <w:rsid w:val="004E74F4"/>
    <w:rsid w:val="004F0129"/>
    <w:rsid w:val="004F257F"/>
    <w:rsid w:val="004F35CD"/>
    <w:rsid w:val="004F7F41"/>
    <w:rsid w:val="00501639"/>
    <w:rsid w:val="00501EFF"/>
    <w:rsid w:val="0050277D"/>
    <w:rsid w:val="005035EB"/>
    <w:rsid w:val="0050689B"/>
    <w:rsid w:val="005068AA"/>
    <w:rsid w:val="00506EDB"/>
    <w:rsid w:val="00511093"/>
    <w:rsid w:val="00512A8E"/>
    <w:rsid w:val="005166F0"/>
    <w:rsid w:val="00520422"/>
    <w:rsid w:val="0052085F"/>
    <w:rsid w:val="0052404D"/>
    <w:rsid w:val="00530284"/>
    <w:rsid w:val="005321B0"/>
    <w:rsid w:val="0053418A"/>
    <w:rsid w:val="005349D6"/>
    <w:rsid w:val="00536BC1"/>
    <w:rsid w:val="00537F36"/>
    <w:rsid w:val="00541205"/>
    <w:rsid w:val="00541D78"/>
    <w:rsid w:val="005433DE"/>
    <w:rsid w:val="0054420E"/>
    <w:rsid w:val="005472E5"/>
    <w:rsid w:val="0055057E"/>
    <w:rsid w:val="00550B0C"/>
    <w:rsid w:val="0055113D"/>
    <w:rsid w:val="005551F3"/>
    <w:rsid w:val="00556A65"/>
    <w:rsid w:val="00561C0E"/>
    <w:rsid w:val="00566166"/>
    <w:rsid w:val="005662EA"/>
    <w:rsid w:val="00567B5A"/>
    <w:rsid w:val="00567C18"/>
    <w:rsid w:val="0057009B"/>
    <w:rsid w:val="005735B3"/>
    <w:rsid w:val="005801F0"/>
    <w:rsid w:val="005826CC"/>
    <w:rsid w:val="005839B9"/>
    <w:rsid w:val="00586DF8"/>
    <w:rsid w:val="00591262"/>
    <w:rsid w:val="00591AB8"/>
    <w:rsid w:val="00592E52"/>
    <w:rsid w:val="00597954"/>
    <w:rsid w:val="005B10C2"/>
    <w:rsid w:val="005B15A7"/>
    <w:rsid w:val="005B3509"/>
    <w:rsid w:val="005B430B"/>
    <w:rsid w:val="005B43B7"/>
    <w:rsid w:val="005B5D4F"/>
    <w:rsid w:val="005B6716"/>
    <w:rsid w:val="005B6C80"/>
    <w:rsid w:val="005B71FC"/>
    <w:rsid w:val="005C08BF"/>
    <w:rsid w:val="005C4CEE"/>
    <w:rsid w:val="005C4F38"/>
    <w:rsid w:val="005C5196"/>
    <w:rsid w:val="005D1EBB"/>
    <w:rsid w:val="005D309C"/>
    <w:rsid w:val="005D43FD"/>
    <w:rsid w:val="005D65E6"/>
    <w:rsid w:val="005F048A"/>
    <w:rsid w:val="005F19CB"/>
    <w:rsid w:val="005F5348"/>
    <w:rsid w:val="005F74E7"/>
    <w:rsid w:val="006011C8"/>
    <w:rsid w:val="006024FD"/>
    <w:rsid w:val="00602A38"/>
    <w:rsid w:val="0060310C"/>
    <w:rsid w:val="00605FAC"/>
    <w:rsid w:val="006134A3"/>
    <w:rsid w:val="006150DB"/>
    <w:rsid w:val="006200AB"/>
    <w:rsid w:val="00620450"/>
    <w:rsid w:val="006206F7"/>
    <w:rsid w:val="00620753"/>
    <w:rsid w:val="00620911"/>
    <w:rsid w:val="00620C61"/>
    <w:rsid w:val="00622835"/>
    <w:rsid w:val="00627F57"/>
    <w:rsid w:val="00636481"/>
    <w:rsid w:val="00644209"/>
    <w:rsid w:val="00647525"/>
    <w:rsid w:val="006479FE"/>
    <w:rsid w:val="00651DA3"/>
    <w:rsid w:val="00654E17"/>
    <w:rsid w:val="00656634"/>
    <w:rsid w:val="0066216C"/>
    <w:rsid w:val="00665E34"/>
    <w:rsid w:val="006675EA"/>
    <w:rsid w:val="00671E1E"/>
    <w:rsid w:val="006722A0"/>
    <w:rsid w:val="006724B9"/>
    <w:rsid w:val="00672587"/>
    <w:rsid w:val="0067512C"/>
    <w:rsid w:val="00677AB5"/>
    <w:rsid w:val="00677D6F"/>
    <w:rsid w:val="006812E2"/>
    <w:rsid w:val="00681A96"/>
    <w:rsid w:val="00685DA5"/>
    <w:rsid w:val="0068673B"/>
    <w:rsid w:val="00694EC1"/>
    <w:rsid w:val="006956E5"/>
    <w:rsid w:val="0069644B"/>
    <w:rsid w:val="006976AD"/>
    <w:rsid w:val="00697E3B"/>
    <w:rsid w:val="006A108F"/>
    <w:rsid w:val="006A2254"/>
    <w:rsid w:val="006A4A0D"/>
    <w:rsid w:val="006A6116"/>
    <w:rsid w:val="006A7E4F"/>
    <w:rsid w:val="006B04A7"/>
    <w:rsid w:val="006B369F"/>
    <w:rsid w:val="006B4DC6"/>
    <w:rsid w:val="006B4E8D"/>
    <w:rsid w:val="006B59A4"/>
    <w:rsid w:val="006B5DE9"/>
    <w:rsid w:val="006B6806"/>
    <w:rsid w:val="006B72C2"/>
    <w:rsid w:val="006B7C3F"/>
    <w:rsid w:val="006C1123"/>
    <w:rsid w:val="006C2DBE"/>
    <w:rsid w:val="006C45ED"/>
    <w:rsid w:val="006C5C46"/>
    <w:rsid w:val="006C5F03"/>
    <w:rsid w:val="006C643D"/>
    <w:rsid w:val="006C6BFE"/>
    <w:rsid w:val="006C6D39"/>
    <w:rsid w:val="006C7F18"/>
    <w:rsid w:val="006D02C0"/>
    <w:rsid w:val="006D184F"/>
    <w:rsid w:val="006D2D7B"/>
    <w:rsid w:val="006D3595"/>
    <w:rsid w:val="006D4F77"/>
    <w:rsid w:val="006D6793"/>
    <w:rsid w:val="006E041E"/>
    <w:rsid w:val="006E5BEA"/>
    <w:rsid w:val="006F0EB7"/>
    <w:rsid w:val="006F6671"/>
    <w:rsid w:val="00700F72"/>
    <w:rsid w:val="007013DE"/>
    <w:rsid w:val="00701830"/>
    <w:rsid w:val="00702F63"/>
    <w:rsid w:val="00710812"/>
    <w:rsid w:val="00711E9D"/>
    <w:rsid w:val="007130CE"/>
    <w:rsid w:val="00713548"/>
    <w:rsid w:val="00713B1C"/>
    <w:rsid w:val="00714DB9"/>
    <w:rsid w:val="00714DC9"/>
    <w:rsid w:val="0071700B"/>
    <w:rsid w:val="00717BD5"/>
    <w:rsid w:val="00720CC1"/>
    <w:rsid w:val="00720FED"/>
    <w:rsid w:val="007249D7"/>
    <w:rsid w:val="007252DA"/>
    <w:rsid w:val="00732798"/>
    <w:rsid w:val="00737264"/>
    <w:rsid w:val="007406C2"/>
    <w:rsid w:val="007407AE"/>
    <w:rsid w:val="00740CE1"/>
    <w:rsid w:val="0074126C"/>
    <w:rsid w:val="00741B47"/>
    <w:rsid w:val="00745DE7"/>
    <w:rsid w:val="00746C0D"/>
    <w:rsid w:val="00750326"/>
    <w:rsid w:val="00751EA9"/>
    <w:rsid w:val="0075278E"/>
    <w:rsid w:val="00754F5F"/>
    <w:rsid w:val="00757401"/>
    <w:rsid w:val="00757673"/>
    <w:rsid w:val="007576FA"/>
    <w:rsid w:val="00757C71"/>
    <w:rsid w:val="00763D77"/>
    <w:rsid w:val="00763EDE"/>
    <w:rsid w:val="00764F01"/>
    <w:rsid w:val="00765C4D"/>
    <w:rsid w:val="007663E0"/>
    <w:rsid w:val="00767B66"/>
    <w:rsid w:val="00767D1A"/>
    <w:rsid w:val="00771E1F"/>
    <w:rsid w:val="00773904"/>
    <w:rsid w:val="00773C4B"/>
    <w:rsid w:val="00773CF0"/>
    <w:rsid w:val="00773D16"/>
    <w:rsid w:val="007740A8"/>
    <w:rsid w:val="00775C8A"/>
    <w:rsid w:val="00775F73"/>
    <w:rsid w:val="007776E8"/>
    <w:rsid w:val="007815C4"/>
    <w:rsid w:val="00783FBE"/>
    <w:rsid w:val="0078628B"/>
    <w:rsid w:val="0078784C"/>
    <w:rsid w:val="00791F41"/>
    <w:rsid w:val="00792E5D"/>
    <w:rsid w:val="007958BF"/>
    <w:rsid w:val="007A0D98"/>
    <w:rsid w:val="007A6D99"/>
    <w:rsid w:val="007A7E01"/>
    <w:rsid w:val="007B05F5"/>
    <w:rsid w:val="007B6A97"/>
    <w:rsid w:val="007C05F7"/>
    <w:rsid w:val="007C0ABB"/>
    <w:rsid w:val="007C2805"/>
    <w:rsid w:val="007C3D60"/>
    <w:rsid w:val="007C5712"/>
    <w:rsid w:val="007C6593"/>
    <w:rsid w:val="007C672F"/>
    <w:rsid w:val="007D0337"/>
    <w:rsid w:val="007D0701"/>
    <w:rsid w:val="007D1707"/>
    <w:rsid w:val="007D2ED9"/>
    <w:rsid w:val="007D3D25"/>
    <w:rsid w:val="007E2CB8"/>
    <w:rsid w:val="007E3A49"/>
    <w:rsid w:val="007E52D5"/>
    <w:rsid w:val="007E6725"/>
    <w:rsid w:val="007E7187"/>
    <w:rsid w:val="007E773A"/>
    <w:rsid w:val="007F00BA"/>
    <w:rsid w:val="007F202F"/>
    <w:rsid w:val="007F20D9"/>
    <w:rsid w:val="007F20E7"/>
    <w:rsid w:val="007F46F6"/>
    <w:rsid w:val="007F664A"/>
    <w:rsid w:val="007F66E6"/>
    <w:rsid w:val="007F68CC"/>
    <w:rsid w:val="00804822"/>
    <w:rsid w:val="00813005"/>
    <w:rsid w:val="00813FEF"/>
    <w:rsid w:val="00816397"/>
    <w:rsid w:val="00817ACD"/>
    <w:rsid w:val="00823310"/>
    <w:rsid w:val="008249B7"/>
    <w:rsid w:val="00826879"/>
    <w:rsid w:val="008272FD"/>
    <w:rsid w:val="00827A4E"/>
    <w:rsid w:val="00832891"/>
    <w:rsid w:val="008339A8"/>
    <w:rsid w:val="00836959"/>
    <w:rsid w:val="00847D4E"/>
    <w:rsid w:val="008512EA"/>
    <w:rsid w:val="00851D03"/>
    <w:rsid w:val="008536CE"/>
    <w:rsid w:val="00854A3E"/>
    <w:rsid w:val="00854C3B"/>
    <w:rsid w:val="00855988"/>
    <w:rsid w:val="00856D80"/>
    <w:rsid w:val="008603DE"/>
    <w:rsid w:val="00860C40"/>
    <w:rsid w:val="00862A5B"/>
    <w:rsid w:val="00862D4C"/>
    <w:rsid w:val="00863DFC"/>
    <w:rsid w:val="0086441B"/>
    <w:rsid w:val="00865C7C"/>
    <w:rsid w:val="00870558"/>
    <w:rsid w:val="00873E64"/>
    <w:rsid w:val="00875FFC"/>
    <w:rsid w:val="008773A8"/>
    <w:rsid w:val="00880861"/>
    <w:rsid w:val="00884733"/>
    <w:rsid w:val="00886901"/>
    <w:rsid w:val="0089069D"/>
    <w:rsid w:val="00890FFB"/>
    <w:rsid w:val="00891524"/>
    <w:rsid w:val="008935DC"/>
    <w:rsid w:val="00896252"/>
    <w:rsid w:val="0089651C"/>
    <w:rsid w:val="00896608"/>
    <w:rsid w:val="008A19DB"/>
    <w:rsid w:val="008A75A2"/>
    <w:rsid w:val="008C0905"/>
    <w:rsid w:val="008C26A3"/>
    <w:rsid w:val="008C4A56"/>
    <w:rsid w:val="008C77DE"/>
    <w:rsid w:val="008D05CC"/>
    <w:rsid w:val="008D0D68"/>
    <w:rsid w:val="008D306F"/>
    <w:rsid w:val="008D3292"/>
    <w:rsid w:val="008D3912"/>
    <w:rsid w:val="008E1877"/>
    <w:rsid w:val="008E44B2"/>
    <w:rsid w:val="008E4C32"/>
    <w:rsid w:val="008F195C"/>
    <w:rsid w:val="008F3789"/>
    <w:rsid w:val="008F525A"/>
    <w:rsid w:val="008F5663"/>
    <w:rsid w:val="008F6D3F"/>
    <w:rsid w:val="008F71A1"/>
    <w:rsid w:val="008F7FE1"/>
    <w:rsid w:val="00900B9E"/>
    <w:rsid w:val="00901A45"/>
    <w:rsid w:val="00902AF3"/>
    <w:rsid w:val="00915FA4"/>
    <w:rsid w:val="009179FB"/>
    <w:rsid w:val="009203FD"/>
    <w:rsid w:val="0092483C"/>
    <w:rsid w:val="009264DF"/>
    <w:rsid w:val="009317ED"/>
    <w:rsid w:val="0093355D"/>
    <w:rsid w:val="009343A0"/>
    <w:rsid w:val="00935D92"/>
    <w:rsid w:val="009361EB"/>
    <w:rsid w:val="00941003"/>
    <w:rsid w:val="009425B3"/>
    <w:rsid w:val="00943CC7"/>
    <w:rsid w:val="00945BF2"/>
    <w:rsid w:val="0094711E"/>
    <w:rsid w:val="0094724E"/>
    <w:rsid w:val="0095126A"/>
    <w:rsid w:val="00952951"/>
    <w:rsid w:val="00953A07"/>
    <w:rsid w:val="00954442"/>
    <w:rsid w:val="0095546E"/>
    <w:rsid w:val="00955B6D"/>
    <w:rsid w:val="009570F0"/>
    <w:rsid w:val="00957398"/>
    <w:rsid w:val="0096219B"/>
    <w:rsid w:val="00963289"/>
    <w:rsid w:val="00963607"/>
    <w:rsid w:val="009658DA"/>
    <w:rsid w:val="0096675F"/>
    <w:rsid w:val="00966884"/>
    <w:rsid w:val="00971D8C"/>
    <w:rsid w:val="00972425"/>
    <w:rsid w:val="009733F5"/>
    <w:rsid w:val="0097560B"/>
    <w:rsid w:val="009767DE"/>
    <w:rsid w:val="0098401D"/>
    <w:rsid w:val="009849E5"/>
    <w:rsid w:val="00985D3C"/>
    <w:rsid w:val="0098683C"/>
    <w:rsid w:val="0098753E"/>
    <w:rsid w:val="009923A9"/>
    <w:rsid w:val="009951B0"/>
    <w:rsid w:val="00995B0D"/>
    <w:rsid w:val="00996071"/>
    <w:rsid w:val="009964CD"/>
    <w:rsid w:val="00997637"/>
    <w:rsid w:val="009A27D2"/>
    <w:rsid w:val="009A53C8"/>
    <w:rsid w:val="009A6414"/>
    <w:rsid w:val="009B3D65"/>
    <w:rsid w:val="009B426B"/>
    <w:rsid w:val="009B5513"/>
    <w:rsid w:val="009B626F"/>
    <w:rsid w:val="009B7251"/>
    <w:rsid w:val="009C0ABF"/>
    <w:rsid w:val="009C43E7"/>
    <w:rsid w:val="009D14CA"/>
    <w:rsid w:val="009D5757"/>
    <w:rsid w:val="009D7DB0"/>
    <w:rsid w:val="009E1D78"/>
    <w:rsid w:val="009E20AB"/>
    <w:rsid w:val="009E295D"/>
    <w:rsid w:val="009E5B17"/>
    <w:rsid w:val="009E78B5"/>
    <w:rsid w:val="009E7925"/>
    <w:rsid w:val="009E798E"/>
    <w:rsid w:val="009F1127"/>
    <w:rsid w:val="009F4D3D"/>
    <w:rsid w:val="009F6FBF"/>
    <w:rsid w:val="009F70DC"/>
    <w:rsid w:val="00A001C3"/>
    <w:rsid w:val="00A02C15"/>
    <w:rsid w:val="00A0349A"/>
    <w:rsid w:val="00A04427"/>
    <w:rsid w:val="00A04827"/>
    <w:rsid w:val="00A04B91"/>
    <w:rsid w:val="00A04D83"/>
    <w:rsid w:val="00A054B0"/>
    <w:rsid w:val="00A069E1"/>
    <w:rsid w:val="00A1019C"/>
    <w:rsid w:val="00A11648"/>
    <w:rsid w:val="00A13894"/>
    <w:rsid w:val="00A13A02"/>
    <w:rsid w:val="00A178FA"/>
    <w:rsid w:val="00A2029A"/>
    <w:rsid w:val="00A24878"/>
    <w:rsid w:val="00A25ED4"/>
    <w:rsid w:val="00A26E89"/>
    <w:rsid w:val="00A30DC0"/>
    <w:rsid w:val="00A31E16"/>
    <w:rsid w:val="00A32D0C"/>
    <w:rsid w:val="00A33868"/>
    <w:rsid w:val="00A3587B"/>
    <w:rsid w:val="00A37F5E"/>
    <w:rsid w:val="00A41956"/>
    <w:rsid w:val="00A42756"/>
    <w:rsid w:val="00A43EB3"/>
    <w:rsid w:val="00A44DD4"/>
    <w:rsid w:val="00A47DD9"/>
    <w:rsid w:val="00A50FB9"/>
    <w:rsid w:val="00A51F4E"/>
    <w:rsid w:val="00A522DC"/>
    <w:rsid w:val="00A5397B"/>
    <w:rsid w:val="00A54DA6"/>
    <w:rsid w:val="00A57431"/>
    <w:rsid w:val="00A57D58"/>
    <w:rsid w:val="00A60786"/>
    <w:rsid w:val="00A6116D"/>
    <w:rsid w:val="00A65F2C"/>
    <w:rsid w:val="00A71DC3"/>
    <w:rsid w:val="00A72188"/>
    <w:rsid w:val="00A734EF"/>
    <w:rsid w:val="00A737D3"/>
    <w:rsid w:val="00A73873"/>
    <w:rsid w:val="00A73A1D"/>
    <w:rsid w:val="00A8041F"/>
    <w:rsid w:val="00A8062A"/>
    <w:rsid w:val="00A807A5"/>
    <w:rsid w:val="00A842F8"/>
    <w:rsid w:val="00A8458D"/>
    <w:rsid w:val="00A87B0A"/>
    <w:rsid w:val="00A93198"/>
    <w:rsid w:val="00A95C3B"/>
    <w:rsid w:val="00A9668D"/>
    <w:rsid w:val="00A97137"/>
    <w:rsid w:val="00AA1BF0"/>
    <w:rsid w:val="00AA4441"/>
    <w:rsid w:val="00AA4538"/>
    <w:rsid w:val="00AA5045"/>
    <w:rsid w:val="00AA73FE"/>
    <w:rsid w:val="00AA7D8F"/>
    <w:rsid w:val="00AB14AF"/>
    <w:rsid w:val="00AC390C"/>
    <w:rsid w:val="00AC51F3"/>
    <w:rsid w:val="00AC532F"/>
    <w:rsid w:val="00AC710B"/>
    <w:rsid w:val="00AC768E"/>
    <w:rsid w:val="00AC7B67"/>
    <w:rsid w:val="00AD0B89"/>
    <w:rsid w:val="00AD47D4"/>
    <w:rsid w:val="00AD62D8"/>
    <w:rsid w:val="00AD78DA"/>
    <w:rsid w:val="00AE1546"/>
    <w:rsid w:val="00AE33D9"/>
    <w:rsid w:val="00AE57A1"/>
    <w:rsid w:val="00AE7A63"/>
    <w:rsid w:val="00AF267E"/>
    <w:rsid w:val="00AF63C3"/>
    <w:rsid w:val="00AF7CE1"/>
    <w:rsid w:val="00B00E7C"/>
    <w:rsid w:val="00B011E3"/>
    <w:rsid w:val="00B0301F"/>
    <w:rsid w:val="00B0351C"/>
    <w:rsid w:val="00B03934"/>
    <w:rsid w:val="00B048B1"/>
    <w:rsid w:val="00B04BE2"/>
    <w:rsid w:val="00B0692C"/>
    <w:rsid w:val="00B11686"/>
    <w:rsid w:val="00B11C95"/>
    <w:rsid w:val="00B12C6B"/>
    <w:rsid w:val="00B13276"/>
    <w:rsid w:val="00B139D9"/>
    <w:rsid w:val="00B14EAD"/>
    <w:rsid w:val="00B22DD8"/>
    <w:rsid w:val="00B26826"/>
    <w:rsid w:val="00B31D15"/>
    <w:rsid w:val="00B31D8E"/>
    <w:rsid w:val="00B32E81"/>
    <w:rsid w:val="00B34146"/>
    <w:rsid w:val="00B351C5"/>
    <w:rsid w:val="00B437D7"/>
    <w:rsid w:val="00B43C10"/>
    <w:rsid w:val="00B46744"/>
    <w:rsid w:val="00B477DB"/>
    <w:rsid w:val="00B50307"/>
    <w:rsid w:val="00B5050B"/>
    <w:rsid w:val="00B50EBF"/>
    <w:rsid w:val="00B5104A"/>
    <w:rsid w:val="00B53334"/>
    <w:rsid w:val="00B53ED3"/>
    <w:rsid w:val="00B54E3D"/>
    <w:rsid w:val="00B55214"/>
    <w:rsid w:val="00B55FAF"/>
    <w:rsid w:val="00B5619E"/>
    <w:rsid w:val="00B64AEB"/>
    <w:rsid w:val="00B64D08"/>
    <w:rsid w:val="00B65AE7"/>
    <w:rsid w:val="00B70A39"/>
    <w:rsid w:val="00B70AB2"/>
    <w:rsid w:val="00B72EEE"/>
    <w:rsid w:val="00B76F72"/>
    <w:rsid w:val="00B809B1"/>
    <w:rsid w:val="00B824F1"/>
    <w:rsid w:val="00B87183"/>
    <w:rsid w:val="00B9267D"/>
    <w:rsid w:val="00B92AD4"/>
    <w:rsid w:val="00BA1684"/>
    <w:rsid w:val="00BB1819"/>
    <w:rsid w:val="00BB288E"/>
    <w:rsid w:val="00BB42DF"/>
    <w:rsid w:val="00BB4EBA"/>
    <w:rsid w:val="00BB5DA9"/>
    <w:rsid w:val="00BC014F"/>
    <w:rsid w:val="00BC0164"/>
    <w:rsid w:val="00BC28D4"/>
    <w:rsid w:val="00BC5B54"/>
    <w:rsid w:val="00BC78A2"/>
    <w:rsid w:val="00BD142D"/>
    <w:rsid w:val="00BD4DA8"/>
    <w:rsid w:val="00BD505D"/>
    <w:rsid w:val="00BD61A7"/>
    <w:rsid w:val="00BD6D56"/>
    <w:rsid w:val="00BE09CA"/>
    <w:rsid w:val="00BE114C"/>
    <w:rsid w:val="00BE75C3"/>
    <w:rsid w:val="00BE7761"/>
    <w:rsid w:val="00BF03A9"/>
    <w:rsid w:val="00BF0F57"/>
    <w:rsid w:val="00BF14BC"/>
    <w:rsid w:val="00C00948"/>
    <w:rsid w:val="00C00B45"/>
    <w:rsid w:val="00C00CCD"/>
    <w:rsid w:val="00C047F9"/>
    <w:rsid w:val="00C06CDB"/>
    <w:rsid w:val="00C06D0F"/>
    <w:rsid w:val="00C070FB"/>
    <w:rsid w:val="00C13799"/>
    <w:rsid w:val="00C205CB"/>
    <w:rsid w:val="00C2460C"/>
    <w:rsid w:val="00C2552A"/>
    <w:rsid w:val="00C308BE"/>
    <w:rsid w:val="00C31F5F"/>
    <w:rsid w:val="00C32053"/>
    <w:rsid w:val="00C40FD8"/>
    <w:rsid w:val="00C41730"/>
    <w:rsid w:val="00C41733"/>
    <w:rsid w:val="00C43D44"/>
    <w:rsid w:val="00C462C4"/>
    <w:rsid w:val="00C55A65"/>
    <w:rsid w:val="00C60C71"/>
    <w:rsid w:val="00C632B3"/>
    <w:rsid w:val="00C63B7C"/>
    <w:rsid w:val="00C70D48"/>
    <w:rsid w:val="00C71038"/>
    <w:rsid w:val="00C77158"/>
    <w:rsid w:val="00C77DFE"/>
    <w:rsid w:val="00C80D4B"/>
    <w:rsid w:val="00C8278A"/>
    <w:rsid w:val="00C83B78"/>
    <w:rsid w:val="00C8558C"/>
    <w:rsid w:val="00C85ABE"/>
    <w:rsid w:val="00C90A57"/>
    <w:rsid w:val="00C91F07"/>
    <w:rsid w:val="00C92120"/>
    <w:rsid w:val="00C942FC"/>
    <w:rsid w:val="00C966DA"/>
    <w:rsid w:val="00C976B2"/>
    <w:rsid w:val="00CA116F"/>
    <w:rsid w:val="00CA1213"/>
    <w:rsid w:val="00CA16E3"/>
    <w:rsid w:val="00CA2102"/>
    <w:rsid w:val="00CA2E29"/>
    <w:rsid w:val="00CA3607"/>
    <w:rsid w:val="00CA72F1"/>
    <w:rsid w:val="00CB2DCB"/>
    <w:rsid w:val="00CB4591"/>
    <w:rsid w:val="00CB6F85"/>
    <w:rsid w:val="00CC0473"/>
    <w:rsid w:val="00CC1E8D"/>
    <w:rsid w:val="00CC3970"/>
    <w:rsid w:val="00CC3ED1"/>
    <w:rsid w:val="00CC4988"/>
    <w:rsid w:val="00CD2E28"/>
    <w:rsid w:val="00CD3513"/>
    <w:rsid w:val="00CD66D5"/>
    <w:rsid w:val="00CE0A40"/>
    <w:rsid w:val="00CE1852"/>
    <w:rsid w:val="00CE2946"/>
    <w:rsid w:val="00CE4329"/>
    <w:rsid w:val="00CF1014"/>
    <w:rsid w:val="00CF3FDF"/>
    <w:rsid w:val="00CF7619"/>
    <w:rsid w:val="00D00EA0"/>
    <w:rsid w:val="00D01999"/>
    <w:rsid w:val="00D01A50"/>
    <w:rsid w:val="00D05D33"/>
    <w:rsid w:val="00D160F3"/>
    <w:rsid w:val="00D17B72"/>
    <w:rsid w:val="00D17E86"/>
    <w:rsid w:val="00D201E6"/>
    <w:rsid w:val="00D20FFB"/>
    <w:rsid w:val="00D23118"/>
    <w:rsid w:val="00D2517E"/>
    <w:rsid w:val="00D2571F"/>
    <w:rsid w:val="00D25CD7"/>
    <w:rsid w:val="00D3261D"/>
    <w:rsid w:val="00D33A08"/>
    <w:rsid w:val="00D35F06"/>
    <w:rsid w:val="00D36226"/>
    <w:rsid w:val="00D43886"/>
    <w:rsid w:val="00D455D4"/>
    <w:rsid w:val="00D45E62"/>
    <w:rsid w:val="00D46DC4"/>
    <w:rsid w:val="00D5062B"/>
    <w:rsid w:val="00D53541"/>
    <w:rsid w:val="00D55E39"/>
    <w:rsid w:val="00D60633"/>
    <w:rsid w:val="00D620FF"/>
    <w:rsid w:val="00D63E1C"/>
    <w:rsid w:val="00D65A90"/>
    <w:rsid w:val="00D65BF3"/>
    <w:rsid w:val="00D73D35"/>
    <w:rsid w:val="00D74C34"/>
    <w:rsid w:val="00D7679A"/>
    <w:rsid w:val="00D76A3B"/>
    <w:rsid w:val="00D80821"/>
    <w:rsid w:val="00D82BF1"/>
    <w:rsid w:val="00D83505"/>
    <w:rsid w:val="00D866A3"/>
    <w:rsid w:val="00D872B1"/>
    <w:rsid w:val="00D91D07"/>
    <w:rsid w:val="00DA2230"/>
    <w:rsid w:val="00DA6E5C"/>
    <w:rsid w:val="00DC1CC0"/>
    <w:rsid w:val="00DC273F"/>
    <w:rsid w:val="00DC3085"/>
    <w:rsid w:val="00DC38B8"/>
    <w:rsid w:val="00DC4475"/>
    <w:rsid w:val="00DC58C0"/>
    <w:rsid w:val="00DD3A2B"/>
    <w:rsid w:val="00DD61DE"/>
    <w:rsid w:val="00DE11A5"/>
    <w:rsid w:val="00DE25A0"/>
    <w:rsid w:val="00DE4E91"/>
    <w:rsid w:val="00DE5EC5"/>
    <w:rsid w:val="00DF0B35"/>
    <w:rsid w:val="00DF39D2"/>
    <w:rsid w:val="00DF56A7"/>
    <w:rsid w:val="00DF6BBB"/>
    <w:rsid w:val="00DF7125"/>
    <w:rsid w:val="00E017F3"/>
    <w:rsid w:val="00E01912"/>
    <w:rsid w:val="00E02163"/>
    <w:rsid w:val="00E04749"/>
    <w:rsid w:val="00E07A22"/>
    <w:rsid w:val="00E16674"/>
    <w:rsid w:val="00E21911"/>
    <w:rsid w:val="00E2417A"/>
    <w:rsid w:val="00E25B4B"/>
    <w:rsid w:val="00E26437"/>
    <w:rsid w:val="00E30E17"/>
    <w:rsid w:val="00E34D0D"/>
    <w:rsid w:val="00E37F4B"/>
    <w:rsid w:val="00E411A9"/>
    <w:rsid w:val="00E4350D"/>
    <w:rsid w:val="00E4387D"/>
    <w:rsid w:val="00E43A22"/>
    <w:rsid w:val="00E5325E"/>
    <w:rsid w:val="00E54CEB"/>
    <w:rsid w:val="00E557D7"/>
    <w:rsid w:val="00E55E85"/>
    <w:rsid w:val="00E560EA"/>
    <w:rsid w:val="00E62588"/>
    <w:rsid w:val="00E6313E"/>
    <w:rsid w:val="00E7396A"/>
    <w:rsid w:val="00E73FD6"/>
    <w:rsid w:val="00E74EFA"/>
    <w:rsid w:val="00E76CD4"/>
    <w:rsid w:val="00E86CF4"/>
    <w:rsid w:val="00E90586"/>
    <w:rsid w:val="00E9183E"/>
    <w:rsid w:val="00E91C1D"/>
    <w:rsid w:val="00E936B6"/>
    <w:rsid w:val="00E93AC0"/>
    <w:rsid w:val="00E94476"/>
    <w:rsid w:val="00E948E4"/>
    <w:rsid w:val="00E960BA"/>
    <w:rsid w:val="00E96C90"/>
    <w:rsid w:val="00E9768D"/>
    <w:rsid w:val="00EA067A"/>
    <w:rsid w:val="00EA1A26"/>
    <w:rsid w:val="00EA2F92"/>
    <w:rsid w:val="00EA5A23"/>
    <w:rsid w:val="00EA7141"/>
    <w:rsid w:val="00EB27E9"/>
    <w:rsid w:val="00EB5774"/>
    <w:rsid w:val="00EB6169"/>
    <w:rsid w:val="00EB64CF"/>
    <w:rsid w:val="00EB74A3"/>
    <w:rsid w:val="00EC0650"/>
    <w:rsid w:val="00EC176E"/>
    <w:rsid w:val="00EC1F3E"/>
    <w:rsid w:val="00EC65CA"/>
    <w:rsid w:val="00ED2C01"/>
    <w:rsid w:val="00ED7B9C"/>
    <w:rsid w:val="00EE3131"/>
    <w:rsid w:val="00EE6D9A"/>
    <w:rsid w:val="00EE7426"/>
    <w:rsid w:val="00EF0027"/>
    <w:rsid w:val="00EF0F49"/>
    <w:rsid w:val="00EF26EB"/>
    <w:rsid w:val="00EF291C"/>
    <w:rsid w:val="00EF584E"/>
    <w:rsid w:val="00F00013"/>
    <w:rsid w:val="00F007F5"/>
    <w:rsid w:val="00F01D4C"/>
    <w:rsid w:val="00F02583"/>
    <w:rsid w:val="00F04C12"/>
    <w:rsid w:val="00F052B6"/>
    <w:rsid w:val="00F07B3C"/>
    <w:rsid w:val="00F115D4"/>
    <w:rsid w:val="00F14219"/>
    <w:rsid w:val="00F14A3D"/>
    <w:rsid w:val="00F1565A"/>
    <w:rsid w:val="00F156C3"/>
    <w:rsid w:val="00F25E14"/>
    <w:rsid w:val="00F271F7"/>
    <w:rsid w:val="00F36B32"/>
    <w:rsid w:val="00F444F7"/>
    <w:rsid w:val="00F45722"/>
    <w:rsid w:val="00F462EB"/>
    <w:rsid w:val="00F50082"/>
    <w:rsid w:val="00F519C6"/>
    <w:rsid w:val="00F51B2D"/>
    <w:rsid w:val="00F54B9B"/>
    <w:rsid w:val="00F55497"/>
    <w:rsid w:val="00F56075"/>
    <w:rsid w:val="00F57A5E"/>
    <w:rsid w:val="00F607AE"/>
    <w:rsid w:val="00F62599"/>
    <w:rsid w:val="00F62C3C"/>
    <w:rsid w:val="00F63B47"/>
    <w:rsid w:val="00F64602"/>
    <w:rsid w:val="00F65701"/>
    <w:rsid w:val="00F7230C"/>
    <w:rsid w:val="00F72699"/>
    <w:rsid w:val="00F74C22"/>
    <w:rsid w:val="00F77638"/>
    <w:rsid w:val="00F80B2F"/>
    <w:rsid w:val="00F81D1A"/>
    <w:rsid w:val="00F84389"/>
    <w:rsid w:val="00F851EC"/>
    <w:rsid w:val="00F854CA"/>
    <w:rsid w:val="00F855A7"/>
    <w:rsid w:val="00F86B1F"/>
    <w:rsid w:val="00F87AF0"/>
    <w:rsid w:val="00F91DB2"/>
    <w:rsid w:val="00F93BBB"/>
    <w:rsid w:val="00F94259"/>
    <w:rsid w:val="00F969DA"/>
    <w:rsid w:val="00F96F1F"/>
    <w:rsid w:val="00FA0025"/>
    <w:rsid w:val="00FA0E7F"/>
    <w:rsid w:val="00FA24B0"/>
    <w:rsid w:val="00FA4314"/>
    <w:rsid w:val="00FA45BB"/>
    <w:rsid w:val="00FA5099"/>
    <w:rsid w:val="00FA72FD"/>
    <w:rsid w:val="00FB04B7"/>
    <w:rsid w:val="00FB4551"/>
    <w:rsid w:val="00FB698B"/>
    <w:rsid w:val="00FC2F44"/>
    <w:rsid w:val="00FC4150"/>
    <w:rsid w:val="00FC62BC"/>
    <w:rsid w:val="00FC63D2"/>
    <w:rsid w:val="00FD0162"/>
    <w:rsid w:val="00FD1481"/>
    <w:rsid w:val="00FD30D6"/>
    <w:rsid w:val="00FD6378"/>
    <w:rsid w:val="00FE2612"/>
    <w:rsid w:val="00FE2DE8"/>
    <w:rsid w:val="00FE5DE9"/>
    <w:rsid w:val="00FF018B"/>
    <w:rsid w:val="00FF0708"/>
    <w:rsid w:val="00FF0CF2"/>
    <w:rsid w:val="00FF170B"/>
    <w:rsid w:val="00FF3038"/>
    <w:rsid w:val="00FF432E"/>
    <w:rsid w:val="00FF47AC"/>
    <w:rsid w:val="00FF7048"/>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7">
      <o:colormru v:ext="edit" colors="#eaeaea"/>
    </o:shapedefaults>
    <o:shapelayout v:ext="edit">
      <o:idmap v:ext="edit" data="1"/>
    </o:shapelayout>
  </w:shapeDefaults>
  <w:decimalSymbol w:val="."/>
  <w:listSeparator w:val=","/>
  <w15:docId w15:val="{73CAD625-DEE6-402E-ABE4-3B13DE2E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411AA6"/>
    <w:pPr>
      <w:spacing w:before="120" w:line="480" w:lineRule="exact"/>
    </w:pPr>
    <w:rPr>
      <w:rFonts w:ascii="Arial" w:hAnsi="Arial"/>
      <w:b/>
      <w:sz w:val="32"/>
      <w:szCs w:val="28"/>
    </w:rPr>
  </w:style>
  <w:style w:type="paragraph" w:customStyle="1" w:styleId="Authors">
    <w:name w:val="Authors"/>
    <w:basedOn w:val="Normal"/>
    <w:qFormat/>
    <w:rsid w:val="00656634"/>
    <w:pPr>
      <w:spacing w:before="120" w:after="120" w:line="320" w:lineRule="exact"/>
    </w:pPr>
    <w:rPr>
      <w:rFonts w:ascii="Arial" w:hAnsi="Arial"/>
      <w:sz w:val="22"/>
      <w:lang w:val="en-GB"/>
    </w:rPr>
  </w:style>
  <w:style w:type="paragraph" w:customStyle="1" w:styleId="Dedication">
    <w:name w:val="Dedication"/>
    <w:basedOn w:val="Normal"/>
    <w:qFormat/>
    <w:rsid w:val="00D80821"/>
    <w:pPr>
      <w:spacing w:before="230" w:after="360" w:line="230" w:lineRule="exact"/>
    </w:pPr>
    <w:rPr>
      <w:rFonts w:ascii="Arial" w:hAnsi="Arial"/>
      <w:sz w:val="17"/>
    </w:rPr>
  </w:style>
  <w:style w:type="paragraph" w:customStyle="1" w:styleId="P1withoutIndendation">
    <w:name w:val="P1_without_Indendation"/>
    <w:basedOn w:val="Normal"/>
    <w:qFormat/>
    <w:rsid w:val="008D3292"/>
    <w:pPr>
      <w:spacing w:line="225" w:lineRule="exact"/>
      <w:jc w:val="both"/>
    </w:pPr>
    <w:rPr>
      <w:rFonts w:ascii="Arial" w:hAnsi="Arial"/>
      <w:sz w:val="17"/>
    </w:rPr>
  </w:style>
  <w:style w:type="paragraph" w:customStyle="1" w:styleId="History">
    <w:name w:val="History"/>
    <w:basedOn w:val="Normal"/>
    <w:rsid w:val="00713548"/>
    <w:pPr>
      <w:spacing w:before="230" w:after="460" w:line="180" w:lineRule="exact"/>
    </w:pPr>
    <w:rPr>
      <w:rFonts w:ascii="Arial" w:hAnsi="Arial"/>
      <w:sz w:val="14"/>
      <w:szCs w:val="16"/>
    </w:rPr>
  </w:style>
  <w:style w:type="paragraph" w:customStyle="1" w:styleId="Adress">
    <w:name w:val="Adress"/>
    <w:basedOn w:val="Normal"/>
    <w:qFormat/>
    <w:rsid w:val="0095126A"/>
    <w:pPr>
      <w:spacing w:line="180" w:lineRule="exact"/>
      <w:ind w:left="425" w:hanging="425"/>
    </w:pPr>
    <w:rPr>
      <w:rFonts w:ascii="Arial" w:hAnsi="Arial"/>
      <w:sz w:val="14"/>
      <w:szCs w:val="20"/>
    </w:rPr>
  </w:style>
  <w:style w:type="paragraph" w:customStyle="1" w:styleId="Footnote">
    <w:name w:val="Footnote"/>
    <w:basedOn w:val="Adress"/>
    <w:rsid w:val="00E9183E"/>
    <w:pPr>
      <w:spacing w:before="120"/>
    </w:pPr>
    <w:rPr>
      <w:szCs w:val="14"/>
      <w:lang w:val="en-GB"/>
    </w:rPr>
  </w:style>
  <w:style w:type="paragraph" w:customStyle="1" w:styleId="References">
    <w:name w:val="References"/>
    <w:basedOn w:val="Normal"/>
    <w:qFormat/>
    <w:rsid w:val="00EB27E9"/>
    <w:pPr>
      <w:spacing w:line="200" w:lineRule="exact"/>
      <w:ind w:left="425" w:hanging="425"/>
      <w:jc w:val="both"/>
    </w:pPr>
    <w:rPr>
      <w:rFonts w:ascii="Arial" w:hAnsi="Arial"/>
      <w:sz w:val="14"/>
      <w:szCs w:val="14"/>
      <w:lang w:val="en-GB"/>
    </w:rPr>
  </w:style>
  <w:style w:type="paragraph" w:customStyle="1" w:styleId="ColumnTitle">
    <w:name w:val="ColumnTitle"/>
    <w:basedOn w:val="Normal"/>
    <w:rsid w:val="005B15A7"/>
    <w:pPr>
      <w:pBdr>
        <w:bottom w:val="single" w:sz="36" w:space="1" w:color="DDDDDD"/>
      </w:pBdr>
      <w:spacing w:after="320"/>
      <w:jc w:val="right"/>
    </w:pPr>
    <w:rPr>
      <w:rFonts w:ascii="Arial" w:hAnsi="Arial" w:cs="Arial"/>
      <w:b/>
      <w:color w:val="C0C0C0"/>
      <w:sz w:val="36"/>
      <w:szCs w:val="36"/>
      <w:lang w:val="en-GB"/>
    </w:rPr>
  </w:style>
  <w:style w:type="paragraph" w:customStyle="1" w:styleId="ExperimentalSection">
    <w:name w:val="ExperimentalSection"/>
    <w:basedOn w:val="Normal"/>
    <w:qFormat/>
    <w:rsid w:val="00985D3C"/>
    <w:pPr>
      <w:spacing w:after="240" w:line="200" w:lineRule="exact"/>
      <w:jc w:val="both"/>
    </w:pPr>
    <w:rPr>
      <w:rFonts w:ascii="Arial" w:hAnsi="Arial"/>
      <w:sz w:val="15"/>
      <w:szCs w:val="14"/>
      <w:lang w:val="en-GB"/>
    </w:rPr>
  </w:style>
  <w:style w:type="paragraph" w:customStyle="1" w:styleId="HExperimentalSection">
    <w:name w:val="HExperimental_Section"/>
    <w:basedOn w:val="Normal"/>
    <w:autoRedefine/>
    <w:qFormat/>
    <w:rsid w:val="00955B6D"/>
    <w:pPr>
      <w:spacing w:before="460" w:after="230" w:line="230" w:lineRule="atLeast"/>
    </w:pPr>
    <w:rPr>
      <w:rFonts w:ascii="Arial" w:hAnsi="Arial"/>
      <w:b/>
      <w:sz w:val="22"/>
      <w:szCs w:val="20"/>
    </w:rPr>
  </w:style>
  <w:style w:type="paragraph" w:customStyle="1" w:styleId="SchemeCaption">
    <w:name w:val="SchemeCaption"/>
    <w:basedOn w:val="Normal"/>
    <w:rsid w:val="00BD505D"/>
    <w:pPr>
      <w:spacing w:before="230" w:after="460" w:line="180" w:lineRule="exact"/>
      <w:jc w:val="both"/>
    </w:pPr>
    <w:rPr>
      <w:rFonts w:ascii="Arial" w:hAnsi="Arial"/>
      <w:sz w:val="14"/>
      <w:szCs w:val="14"/>
      <w:lang w:val="en-GB"/>
    </w:rPr>
  </w:style>
  <w:style w:type="paragraph" w:customStyle="1" w:styleId="FigureCaption">
    <w:name w:val="FigureCaption"/>
    <w:basedOn w:val="Normal"/>
    <w:rsid w:val="00BD505D"/>
    <w:pPr>
      <w:spacing w:before="230" w:after="460" w:line="180" w:lineRule="exact"/>
      <w:jc w:val="both"/>
    </w:pPr>
    <w:rPr>
      <w:rFonts w:ascii="Arial" w:hAnsi="Arial"/>
      <w:sz w:val="14"/>
      <w:szCs w:val="14"/>
      <w:lang w:val="en-GB"/>
    </w:rPr>
  </w:style>
  <w:style w:type="paragraph" w:customStyle="1" w:styleId="TableCaption">
    <w:name w:val="TableCaption"/>
    <w:basedOn w:val="Normal"/>
    <w:qFormat/>
    <w:rsid w:val="0095126A"/>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qFormat/>
    <w:rsid w:val="009E20AB"/>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880861"/>
  </w:style>
  <w:style w:type="paragraph" w:customStyle="1" w:styleId="TableFoot">
    <w:name w:val="TableFoot"/>
    <w:basedOn w:val="TableBody"/>
    <w:rsid w:val="007E3A49"/>
    <w:pPr>
      <w:spacing w:before="60" w:after="60"/>
    </w:pPr>
  </w:style>
  <w:style w:type="paragraph" w:customStyle="1" w:styleId="Keywords">
    <w:name w:val="Keywords"/>
    <w:basedOn w:val="Normal"/>
    <w:qFormat/>
    <w:rsid w:val="00985D3C"/>
    <w:pPr>
      <w:spacing w:before="240" w:after="240" w:line="250" w:lineRule="exact"/>
    </w:pPr>
    <w:rPr>
      <w:rFonts w:ascii="Arial" w:hAnsi="Arial"/>
      <w:sz w:val="17"/>
      <w:szCs w:val="20"/>
      <w:lang w:val="en-GB"/>
    </w:rPr>
  </w:style>
  <w:style w:type="paragraph" w:customStyle="1" w:styleId="ManuscriptID">
    <w:name w:val="ManuscriptID"/>
    <w:basedOn w:val="Normal"/>
    <w:qFormat/>
    <w:rsid w:val="00EB27E9"/>
    <w:pPr>
      <w:spacing w:before="220" w:line="230" w:lineRule="exact"/>
    </w:pPr>
    <w:rPr>
      <w:rFonts w:ascii="Arial" w:hAnsi="Arial"/>
      <w:b/>
      <w:sz w:val="17"/>
      <w:szCs w:val="15"/>
      <w:lang w:val="en-GB"/>
    </w:rPr>
  </w:style>
  <w:style w:type="paragraph" w:customStyle="1" w:styleId="AuthorsTOC">
    <w:name w:val="Authors_TOC"/>
    <w:basedOn w:val="Authors"/>
    <w:rsid w:val="00CC3970"/>
    <w:pPr>
      <w:spacing w:after="0" w:line="225" w:lineRule="atLeast"/>
    </w:pPr>
    <w:rPr>
      <w:i/>
      <w:sz w:val="17"/>
      <w:szCs w:val="20"/>
    </w:rPr>
  </w:style>
  <w:style w:type="paragraph" w:customStyle="1" w:styleId="TitleTOC">
    <w:name w:val="Title_TOC"/>
    <w:basedOn w:val="AuthorsTOC"/>
    <w:rsid w:val="00C942FC"/>
    <w:rPr>
      <w:b/>
      <w:i w:val="0"/>
    </w:rPr>
  </w:style>
  <w:style w:type="paragraph" w:customStyle="1" w:styleId="TableOfContentText">
    <w:name w:val="TableOfContentText"/>
    <w:basedOn w:val="AuthorsTOC"/>
    <w:rsid w:val="003040CB"/>
    <w:rPr>
      <w:i w:val="0"/>
      <w:color w:val="000000"/>
    </w:rPr>
  </w:style>
  <w:style w:type="paragraph" w:customStyle="1" w:styleId="P1withIndendation">
    <w:name w:val="P1_with_Indendation"/>
    <w:basedOn w:val="TableCaption"/>
    <w:qFormat/>
    <w:rsid w:val="00EB27E9"/>
    <w:pPr>
      <w:pBdr>
        <w:top w:val="none" w:sz="0" w:space="0" w:color="auto"/>
        <w:left w:val="none" w:sz="0" w:space="0" w:color="auto"/>
        <w:bottom w:val="none" w:sz="0" w:space="0" w:color="auto"/>
        <w:right w:val="none" w:sz="0" w:space="0" w:color="auto"/>
      </w:pBdr>
      <w:spacing w:line="225" w:lineRule="exact"/>
      <w:ind w:firstLine="284"/>
    </w:pPr>
    <w:rPr>
      <w:sz w:val="17"/>
    </w:rPr>
  </w:style>
  <w:style w:type="paragraph" w:customStyle="1" w:styleId="HAcknowledgements">
    <w:name w:val="HAcknowledgements"/>
    <w:basedOn w:val="Normal"/>
    <w:qFormat/>
    <w:rsid w:val="007A0D98"/>
    <w:pPr>
      <w:spacing w:before="480" w:after="230" w:line="230" w:lineRule="atLeast"/>
    </w:pPr>
    <w:rPr>
      <w:rFonts w:ascii="Arial" w:hAnsi="Arial"/>
      <w:b/>
      <w:sz w:val="22"/>
      <w:lang w:val="en-GB"/>
    </w:rPr>
  </w:style>
  <w:style w:type="paragraph" w:customStyle="1" w:styleId="Acknowledgements">
    <w:name w:val="Acknowledgements"/>
    <w:basedOn w:val="P1withoutIndendation"/>
    <w:qFormat/>
    <w:rsid w:val="007A0D98"/>
    <w:pPr>
      <w:spacing w:after="240" w:line="230" w:lineRule="atLeast"/>
    </w:pPr>
  </w:style>
  <w:style w:type="paragraph" w:customStyle="1" w:styleId="ColumnTitleTOC">
    <w:name w:val="ColumnTitle_TOC"/>
    <w:basedOn w:val="ColumnTitle"/>
    <w:rsid w:val="00F115D4"/>
    <w:pPr>
      <w:pBdr>
        <w:bottom w:val="single" w:sz="36" w:space="3" w:color="008080"/>
      </w:pBdr>
      <w:spacing w:after="0"/>
      <w:jc w:val="left"/>
    </w:pPr>
    <w:rPr>
      <w:b w:val="0"/>
      <w:color w:val="000000"/>
      <w:sz w:val="28"/>
      <w:szCs w:val="28"/>
    </w:rPr>
  </w:style>
  <w:style w:type="paragraph" w:customStyle="1" w:styleId="SubjectHeadingTOC">
    <w:name w:val="SubjectHeading_TOC"/>
    <w:basedOn w:val="Normal"/>
    <w:rsid w:val="000650AB"/>
    <w:pPr>
      <w:spacing w:before="60" w:after="60" w:line="230" w:lineRule="exact"/>
    </w:pPr>
    <w:rPr>
      <w:rFonts w:ascii="Arial" w:hAnsi="Arial"/>
      <w:b/>
      <w:i/>
      <w:color w:val="FFFFFF"/>
      <w:sz w:val="21"/>
      <w:szCs w:val="18"/>
      <w:lang w:val="en-GB"/>
    </w:rPr>
  </w:style>
  <w:style w:type="paragraph" w:customStyle="1" w:styleId="GAAuthors">
    <w:name w:val="GAAuthors"/>
    <w:basedOn w:val="Normal"/>
    <w:rsid w:val="000650AB"/>
    <w:pPr>
      <w:spacing w:before="360" w:after="60" w:line="220" w:lineRule="exact"/>
    </w:pPr>
    <w:rPr>
      <w:b/>
      <w:sz w:val="18"/>
      <w:szCs w:val="20"/>
      <w:lang w:val="en-GB"/>
    </w:rPr>
  </w:style>
  <w:style w:type="paragraph" w:customStyle="1" w:styleId="GACatchPhrase">
    <w:name w:val="GACatchPhrase"/>
    <w:basedOn w:val="Normal"/>
    <w:rsid w:val="000650AB"/>
    <w:pPr>
      <w:spacing w:before="40"/>
      <w:jc w:val="right"/>
    </w:pPr>
    <w:rPr>
      <w:rFonts w:cs="Arial"/>
      <w:b/>
      <w:color w:val="008080"/>
      <w:sz w:val="18"/>
      <w:szCs w:val="16"/>
      <w:lang w:val="en-GB"/>
    </w:rPr>
  </w:style>
  <w:style w:type="paragraph" w:customStyle="1" w:styleId="GAText">
    <w:name w:val="GAText"/>
    <w:basedOn w:val="Normal"/>
    <w:rsid w:val="000650AB"/>
    <w:pPr>
      <w:spacing w:before="120" w:line="220" w:lineRule="exact"/>
    </w:pPr>
    <w:rPr>
      <w:color w:val="000000"/>
      <w:sz w:val="18"/>
    </w:rPr>
  </w:style>
  <w:style w:type="paragraph" w:customStyle="1" w:styleId="GATitel">
    <w:name w:val="GATitel"/>
    <w:basedOn w:val="GAAuthors"/>
    <w:rsid w:val="000650AB"/>
    <w:pPr>
      <w:spacing w:before="240"/>
    </w:pPr>
    <w:rPr>
      <w:b w:val="0"/>
    </w:rPr>
  </w:style>
  <w:style w:type="paragraph" w:customStyle="1" w:styleId="GAKeywords">
    <w:name w:val="GAKeywords"/>
    <w:basedOn w:val="Keywords"/>
    <w:rsid w:val="000650AB"/>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4B0B74"/>
    <w:pPr>
      <w:spacing w:before="230"/>
    </w:pPr>
    <w:rPr>
      <w:rFonts w:ascii="Arial" w:hAnsi="Arial"/>
      <w:b/>
      <w:i/>
      <w:sz w:val="17"/>
    </w:rPr>
  </w:style>
  <w:style w:type="paragraph" w:styleId="Header">
    <w:name w:val="header"/>
    <w:basedOn w:val="Normal"/>
    <w:link w:val="HeaderChar"/>
    <w:uiPriority w:val="99"/>
    <w:unhideWhenUsed/>
    <w:rsid w:val="001E2F1C"/>
    <w:pPr>
      <w:tabs>
        <w:tab w:val="center" w:pos="4703"/>
        <w:tab w:val="right" w:pos="9406"/>
      </w:tabs>
    </w:pPr>
  </w:style>
  <w:style w:type="character" w:customStyle="1" w:styleId="HeaderChar">
    <w:name w:val="Header Char"/>
    <w:link w:val="Header"/>
    <w:uiPriority w:val="99"/>
    <w:rsid w:val="001E2F1C"/>
    <w:rPr>
      <w:sz w:val="24"/>
      <w:szCs w:val="24"/>
      <w:lang w:val="de-DE" w:eastAsia="ja-JP" w:bidi="ar-SA"/>
    </w:rPr>
  </w:style>
  <w:style w:type="paragraph" w:styleId="Footer">
    <w:name w:val="footer"/>
    <w:basedOn w:val="Normal"/>
    <w:link w:val="FooterChar"/>
    <w:uiPriority w:val="99"/>
    <w:unhideWhenUsed/>
    <w:rsid w:val="001E2F1C"/>
    <w:pPr>
      <w:tabs>
        <w:tab w:val="center" w:pos="4703"/>
        <w:tab w:val="right" w:pos="9406"/>
      </w:tabs>
    </w:pPr>
  </w:style>
  <w:style w:type="character" w:customStyle="1" w:styleId="FooterChar">
    <w:name w:val="Footer Char"/>
    <w:link w:val="Footer"/>
    <w:uiPriority w:val="99"/>
    <w:rsid w:val="001E2F1C"/>
    <w:rPr>
      <w:sz w:val="24"/>
      <w:szCs w:val="24"/>
      <w:lang w:val="de-DE" w:eastAsia="ja-JP" w:bidi="ar-SA"/>
    </w:rPr>
  </w:style>
  <w:style w:type="paragraph" w:styleId="BalloonText">
    <w:name w:val="Balloon Text"/>
    <w:basedOn w:val="Normal"/>
    <w:link w:val="BalloonTextChar"/>
    <w:uiPriority w:val="99"/>
    <w:semiHidden/>
    <w:unhideWhenUsed/>
    <w:rsid w:val="00EE7426"/>
    <w:rPr>
      <w:rFonts w:ascii="Tahoma" w:hAnsi="Tahoma" w:cs="Tahoma"/>
      <w:sz w:val="16"/>
      <w:szCs w:val="16"/>
    </w:rPr>
  </w:style>
  <w:style w:type="character" w:customStyle="1" w:styleId="BalloonTextChar">
    <w:name w:val="Balloon Text Char"/>
    <w:link w:val="BalloonText"/>
    <w:uiPriority w:val="99"/>
    <w:semiHidden/>
    <w:rsid w:val="00EE7426"/>
    <w:rPr>
      <w:rFonts w:ascii="Tahoma" w:hAnsi="Tahoma" w:cs="Tahoma"/>
      <w:sz w:val="16"/>
      <w:szCs w:val="16"/>
      <w:lang w:val="de-DE" w:eastAsia="ja-JP" w:bidi="ar-SA"/>
    </w:rPr>
  </w:style>
  <w:style w:type="paragraph" w:customStyle="1" w:styleId="FormatvorlageHistoryObenEinfacheeinfarbigeLinie05PtZeilenbr">
    <w:name w:val="Formatvorlage History + Oben: (Einfache einfarbige Linie  05 Pt. Zeilenbr..."/>
    <w:basedOn w:val="History"/>
    <w:qFormat/>
    <w:rsid w:val="00955B6D"/>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EB27E9"/>
    <w:pPr>
      <w:spacing w:before="720"/>
    </w:pPr>
    <w:rPr>
      <w:szCs w:val="20"/>
    </w:rPr>
  </w:style>
  <w:style w:type="paragraph" w:customStyle="1" w:styleId="TableSpacer">
    <w:name w:val="TableSpacer"/>
    <w:basedOn w:val="Normal"/>
    <w:qFormat/>
    <w:rsid w:val="00C8278A"/>
    <w:pPr>
      <w:spacing w:before="360"/>
    </w:pPr>
    <w:rPr>
      <w:rFonts w:ascii="Arial" w:hAnsi="Arial"/>
      <w:noProof/>
      <w:sz w:val="14"/>
    </w:rPr>
  </w:style>
  <w:style w:type="paragraph" w:customStyle="1" w:styleId="Abstract">
    <w:name w:val="Abstract"/>
    <w:basedOn w:val="Normal"/>
    <w:qFormat/>
    <w:rsid w:val="00D80821"/>
    <w:pPr>
      <w:spacing w:after="600" w:line="225" w:lineRule="exact"/>
      <w:jc w:val="both"/>
    </w:pPr>
    <w:rPr>
      <w:rFonts w:ascii="Arial" w:hAnsi="Arial"/>
      <w:sz w:val="16"/>
      <w:szCs w:val="20"/>
      <w:lang w:val="en-GB"/>
    </w:rPr>
  </w:style>
  <w:style w:type="paragraph" w:customStyle="1" w:styleId="H1">
    <w:name w:val="H1"/>
    <w:basedOn w:val="Normal"/>
    <w:qFormat/>
    <w:rsid w:val="00C00B45"/>
    <w:pPr>
      <w:spacing w:before="480" w:after="230" w:line="225" w:lineRule="exact"/>
    </w:pPr>
    <w:rPr>
      <w:rFonts w:ascii="Arial" w:hAnsi="Arial"/>
      <w:b/>
      <w:sz w:val="22"/>
      <w:lang w:val="en-GB"/>
    </w:rPr>
  </w:style>
  <w:style w:type="paragraph" w:customStyle="1" w:styleId="P1">
    <w:name w:val="P1"/>
    <w:basedOn w:val="P1withoutIndendation"/>
    <w:qFormat/>
    <w:rsid w:val="00D80821"/>
    <w:rPr>
      <w:lang w:val="en-US"/>
    </w:rPr>
  </w:style>
  <w:style w:type="paragraph" w:styleId="EndnoteText">
    <w:name w:val="endnote text"/>
    <w:basedOn w:val="Normal"/>
    <w:link w:val="EndnoteTextChar"/>
    <w:uiPriority w:val="99"/>
    <w:semiHidden/>
    <w:unhideWhenUsed/>
    <w:rsid w:val="000C197C"/>
    <w:rPr>
      <w:sz w:val="20"/>
      <w:szCs w:val="20"/>
    </w:rPr>
  </w:style>
  <w:style w:type="character" w:customStyle="1" w:styleId="EndnoteTextChar">
    <w:name w:val="Endnote Text Char"/>
    <w:basedOn w:val="DefaultParagraphFont"/>
    <w:link w:val="EndnoteText"/>
    <w:uiPriority w:val="99"/>
    <w:semiHidden/>
    <w:rsid w:val="000C197C"/>
    <w:rPr>
      <w:lang w:val="de-DE" w:eastAsia="ja-JP"/>
    </w:rPr>
  </w:style>
  <w:style w:type="character" w:styleId="EndnoteReference">
    <w:name w:val="endnote reference"/>
    <w:basedOn w:val="DefaultParagraphFont"/>
    <w:uiPriority w:val="99"/>
    <w:semiHidden/>
    <w:unhideWhenUsed/>
    <w:rsid w:val="000C197C"/>
    <w:rPr>
      <w:vertAlign w:val="superscript"/>
    </w:rPr>
  </w:style>
  <w:style w:type="character" w:styleId="HTMLCite">
    <w:name w:val="HTML Cite"/>
    <w:basedOn w:val="DefaultParagraphFont"/>
    <w:uiPriority w:val="99"/>
    <w:unhideWhenUsed/>
    <w:rsid w:val="00F93BBB"/>
    <w:rPr>
      <w:i/>
      <w:iCs/>
    </w:rPr>
  </w:style>
  <w:style w:type="character" w:customStyle="1" w:styleId="citationyear">
    <w:name w:val="citation_year"/>
    <w:basedOn w:val="DefaultParagraphFont"/>
    <w:uiPriority w:val="99"/>
    <w:rsid w:val="00F93BBB"/>
  </w:style>
  <w:style w:type="character" w:customStyle="1" w:styleId="citationvolume">
    <w:name w:val="citation_volume"/>
    <w:basedOn w:val="DefaultParagraphFont"/>
    <w:uiPriority w:val="99"/>
    <w:rsid w:val="00F93BBB"/>
  </w:style>
  <w:style w:type="paragraph" w:customStyle="1" w:styleId="RSCB04AHeadingSection">
    <w:name w:val="RSC B04 A Heading (Section)"/>
    <w:basedOn w:val="Normal"/>
    <w:link w:val="RSCB04AHeadingSectionChar"/>
    <w:qFormat/>
    <w:rsid w:val="001B4AC3"/>
    <w:pPr>
      <w:spacing w:before="400" w:after="80"/>
    </w:pPr>
    <w:rPr>
      <w:rFonts w:asciiTheme="minorHAnsi" w:eastAsiaTheme="minorHAnsi" w:hAnsiTheme="minorHAnsi" w:cstheme="minorBidi"/>
      <w:b/>
      <w:szCs w:val="22"/>
      <w:lang w:val="en-GB" w:eastAsia="en-US"/>
    </w:rPr>
  </w:style>
  <w:style w:type="character" w:customStyle="1" w:styleId="RSCB04AHeadingSectionChar">
    <w:name w:val="RSC B04 A Heading (Section) Char"/>
    <w:basedOn w:val="DefaultParagraphFont"/>
    <w:link w:val="RSCB04AHeadingSection"/>
    <w:rsid w:val="001B4AC3"/>
    <w:rPr>
      <w:rFonts w:asciiTheme="minorHAnsi" w:eastAsiaTheme="minorHAnsi" w:hAnsiTheme="minorHAnsi" w:cstheme="minorBidi"/>
      <w:b/>
      <w:sz w:val="24"/>
      <w:szCs w:val="22"/>
      <w:lang w:eastAsia="en-US"/>
    </w:rPr>
  </w:style>
  <w:style w:type="character" w:styleId="Hyperlink">
    <w:name w:val="Hyperlink"/>
    <w:basedOn w:val="DefaultParagraphFont"/>
    <w:uiPriority w:val="99"/>
    <w:unhideWhenUsed/>
    <w:rsid w:val="001B4AC3"/>
    <w:rPr>
      <w:color w:val="0000FF" w:themeColor="hyperlink"/>
      <w:u w:val="single"/>
    </w:rPr>
  </w:style>
  <w:style w:type="character" w:customStyle="1" w:styleId="algo-summary">
    <w:name w:val="algo-summary"/>
    <w:uiPriority w:val="99"/>
    <w:rsid w:val="00F72699"/>
  </w:style>
  <w:style w:type="character" w:customStyle="1" w:styleId="shorttext">
    <w:name w:val="short_text"/>
    <w:uiPriority w:val="99"/>
    <w:rsid w:val="00C83B78"/>
  </w:style>
  <w:style w:type="paragraph" w:customStyle="1" w:styleId="RSCT03TableBody">
    <w:name w:val="RSC T03 Table Body"/>
    <w:basedOn w:val="Normal"/>
    <w:link w:val="RSCT03TableBodyChar"/>
    <w:qFormat/>
    <w:rsid w:val="00C83B78"/>
    <w:pPr>
      <w:keepNext/>
      <w:keepLines/>
      <w:spacing w:line="220" w:lineRule="exact"/>
      <w:jc w:val="center"/>
    </w:pPr>
    <w:rPr>
      <w:rFonts w:asciiTheme="minorHAnsi" w:eastAsia="Times New Roman" w:hAnsiTheme="minorHAnsi"/>
      <w:sz w:val="16"/>
      <w:szCs w:val="16"/>
      <w:lang w:val="en-GB" w:eastAsia="en-GB"/>
    </w:rPr>
  </w:style>
  <w:style w:type="character" w:customStyle="1" w:styleId="RSCT03TableBodyChar">
    <w:name w:val="RSC T03 Table Body Char"/>
    <w:basedOn w:val="DefaultParagraphFont"/>
    <w:link w:val="RSCT03TableBody"/>
    <w:rsid w:val="00C83B78"/>
    <w:rPr>
      <w:rFonts w:asciiTheme="minorHAnsi" w:eastAsia="Times New Roman" w:hAnsiTheme="minorHAnsi"/>
      <w:sz w:val="16"/>
      <w:szCs w:val="16"/>
    </w:rPr>
  </w:style>
  <w:style w:type="character" w:styleId="CommentReference">
    <w:name w:val="annotation reference"/>
    <w:basedOn w:val="DefaultParagraphFont"/>
    <w:uiPriority w:val="99"/>
    <w:semiHidden/>
    <w:unhideWhenUsed/>
    <w:rsid w:val="00C83B78"/>
    <w:rPr>
      <w:sz w:val="16"/>
      <w:szCs w:val="16"/>
    </w:rPr>
  </w:style>
  <w:style w:type="paragraph" w:customStyle="1" w:styleId="RSCB02ArticleText">
    <w:name w:val="RSC B02 Article Text"/>
    <w:basedOn w:val="Normal"/>
    <w:link w:val="RSCB02ArticleTextChar"/>
    <w:qFormat/>
    <w:rsid w:val="009951B0"/>
    <w:pPr>
      <w:spacing w:line="240" w:lineRule="exact"/>
      <w:jc w:val="both"/>
    </w:pPr>
    <w:rPr>
      <w:rFonts w:asciiTheme="minorHAnsi" w:eastAsiaTheme="minorHAnsi" w:hAnsiTheme="minorHAnsi"/>
      <w:w w:val="108"/>
      <w:sz w:val="18"/>
      <w:szCs w:val="18"/>
      <w:lang w:val="en-GB" w:eastAsia="en-US"/>
    </w:rPr>
  </w:style>
  <w:style w:type="character" w:customStyle="1" w:styleId="RSCB02ArticleTextChar">
    <w:name w:val="RSC B02 Article Text Char"/>
    <w:basedOn w:val="DefaultParagraphFont"/>
    <w:link w:val="RSCB02ArticleText"/>
    <w:rsid w:val="009951B0"/>
    <w:rPr>
      <w:rFonts w:asciiTheme="minorHAnsi" w:eastAsiaTheme="minorHAnsi" w:hAnsiTheme="minorHAnsi"/>
      <w:w w:val="108"/>
      <w:sz w:val="18"/>
      <w:szCs w:val="18"/>
      <w:lang w:eastAsia="en-US"/>
    </w:rPr>
  </w:style>
  <w:style w:type="paragraph" w:customStyle="1" w:styleId="RSCB06BHeadingSub-Section">
    <w:name w:val="RSC B06 B Heading (Sub-Section)"/>
    <w:link w:val="RSCB06BHeadingSub-SectionChar"/>
    <w:qFormat/>
    <w:rsid w:val="009951B0"/>
    <w:pPr>
      <w:spacing w:after="80" w:line="240" w:lineRule="exact"/>
    </w:pPr>
    <w:rPr>
      <w:rFonts w:asciiTheme="minorHAnsi" w:eastAsiaTheme="minorHAnsi" w:hAnsiTheme="minorHAnsi" w:cstheme="minorBidi"/>
      <w:b/>
      <w:sz w:val="18"/>
      <w:szCs w:val="22"/>
      <w:lang w:eastAsia="en-US"/>
    </w:rPr>
  </w:style>
  <w:style w:type="character" w:customStyle="1" w:styleId="RSCB06BHeadingSub-SectionChar">
    <w:name w:val="RSC B06 B Heading (Sub-Section) Char"/>
    <w:basedOn w:val="DefaultParagraphFont"/>
    <w:link w:val="RSCB06BHeadingSub-Section"/>
    <w:rsid w:val="009951B0"/>
    <w:rPr>
      <w:rFonts w:asciiTheme="minorHAnsi" w:eastAsiaTheme="minorHAnsi" w:hAnsiTheme="minorHAnsi" w:cstheme="minorBidi"/>
      <w:b/>
      <w:sz w:val="18"/>
      <w:szCs w:val="22"/>
      <w:lang w:eastAsia="en-US"/>
    </w:rPr>
  </w:style>
  <w:style w:type="paragraph" w:customStyle="1" w:styleId="RSCB08CHeadingIn-line">
    <w:name w:val="RSC B08 C Heading (In-line)"/>
    <w:link w:val="RSCB08CHeadingIn-lineChar"/>
    <w:qFormat/>
    <w:rsid w:val="009951B0"/>
    <w:pPr>
      <w:spacing w:line="276" w:lineRule="auto"/>
    </w:pPr>
    <w:rPr>
      <w:rFonts w:asciiTheme="minorHAnsi" w:eastAsiaTheme="minorHAnsi" w:hAnsiTheme="minorHAnsi" w:cstheme="minorBidi"/>
      <w:b/>
      <w:sz w:val="18"/>
      <w:szCs w:val="22"/>
      <w:lang w:eastAsia="en-US"/>
    </w:rPr>
  </w:style>
  <w:style w:type="character" w:customStyle="1" w:styleId="RSCB08CHeadingIn-lineChar">
    <w:name w:val="RSC B08 C Heading (In-line) Char"/>
    <w:basedOn w:val="DefaultParagraphFont"/>
    <w:link w:val="RSCB08CHeadingIn-line"/>
    <w:rsid w:val="009951B0"/>
    <w:rPr>
      <w:rFonts w:asciiTheme="minorHAnsi" w:eastAsiaTheme="minorHAnsi" w:hAnsiTheme="minorHAnsi" w:cstheme="minorBidi"/>
      <w:b/>
      <w:sz w:val="18"/>
      <w:szCs w:val="22"/>
      <w:lang w:eastAsia="en-US"/>
    </w:rPr>
  </w:style>
  <w:style w:type="paragraph" w:customStyle="1" w:styleId="RSCI01FigureSchemeChartwithbottombar">
    <w:name w:val="RSC I01 Figure/Scheme/Chart with bottom bar"/>
    <w:basedOn w:val="Normal"/>
    <w:link w:val="RSCI01FigureSchemeChartwithbottombarChar"/>
    <w:qFormat/>
    <w:rsid w:val="00CA116F"/>
    <w:pPr>
      <w:pBdr>
        <w:bottom w:val="single" w:sz="12" w:space="5" w:color="999999"/>
      </w:pBdr>
      <w:spacing w:before="40" w:after="120" w:line="120" w:lineRule="exact"/>
      <w:jc w:val="both"/>
    </w:pPr>
    <w:rPr>
      <w:rFonts w:asciiTheme="minorHAnsi" w:eastAsiaTheme="minorHAnsi" w:hAnsiTheme="minorHAnsi" w:cstheme="minorHAnsi"/>
      <w:w w:val="108"/>
      <w:sz w:val="14"/>
      <w:szCs w:val="14"/>
      <w:lang w:val="en-GB" w:eastAsia="en-US"/>
    </w:rPr>
  </w:style>
  <w:style w:type="paragraph" w:customStyle="1" w:styleId="RSCR02References">
    <w:name w:val="RSC R02 References"/>
    <w:basedOn w:val="RSCB02ArticleText"/>
    <w:link w:val="RSCR02ReferencesChar"/>
    <w:qFormat/>
    <w:rsid w:val="00CA116F"/>
    <w:pPr>
      <w:numPr>
        <w:numId w:val="1"/>
      </w:numPr>
      <w:spacing w:line="200" w:lineRule="exact"/>
    </w:pPr>
    <w:rPr>
      <w:w w:val="105"/>
    </w:rPr>
  </w:style>
  <w:style w:type="character" w:customStyle="1" w:styleId="RSCR02ReferencesChar">
    <w:name w:val="RSC R02 References Char"/>
    <w:basedOn w:val="DefaultParagraphFont"/>
    <w:link w:val="RSCR02References"/>
    <w:rsid w:val="00CA116F"/>
    <w:rPr>
      <w:rFonts w:asciiTheme="minorHAnsi" w:eastAsiaTheme="minorHAnsi" w:hAnsiTheme="minorHAnsi"/>
      <w:w w:val="105"/>
      <w:sz w:val="18"/>
      <w:szCs w:val="18"/>
      <w:lang w:eastAsia="en-US"/>
    </w:rPr>
  </w:style>
  <w:style w:type="character" w:customStyle="1" w:styleId="RSCI01FigureSchemeChartwithbottombarChar">
    <w:name w:val="RSC I01 Figure/Scheme/Chart with bottom bar Char"/>
    <w:basedOn w:val="DefaultParagraphFont"/>
    <w:link w:val="RSCI01FigureSchemeChartwithbottombar"/>
    <w:rsid w:val="00CA116F"/>
    <w:rPr>
      <w:rFonts w:asciiTheme="minorHAnsi" w:eastAsiaTheme="minorHAnsi" w:hAnsiTheme="minorHAnsi" w:cstheme="minorHAnsi"/>
      <w:w w:val="108"/>
      <w:sz w:val="14"/>
      <w:szCs w:val="14"/>
      <w:lang w:eastAsia="en-US"/>
    </w:rPr>
  </w:style>
  <w:style w:type="character" w:customStyle="1" w:styleId="redtxts4">
    <w:name w:val="red_txt_s4"/>
    <w:uiPriority w:val="99"/>
    <w:rsid w:val="00CA116F"/>
  </w:style>
  <w:style w:type="character" w:customStyle="1" w:styleId="reference-text">
    <w:name w:val="reference-text"/>
    <w:basedOn w:val="DefaultParagraphFont"/>
    <w:rsid w:val="00A1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bel@ineos.ac.ru" TargetMode="Externa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oleObject" Target="embeddings/oleObject5.bin"/><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image" Target="media/image9.emf"/><Relationship Id="rId33" Type="http://schemas.openxmlformats.org/officeDocument/2006/relationships/image" Target="media/image14.emf"/><Relationship Id="rId38"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north@york.ac.uk" TargetMode="External"/><Relationship Id="rId24" Type="http://schemas.openxmlformats.org/officeDocument/2006/relationships/oleObject" Target="embeddings/oleObject4.bin"/><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emf"/><Relationship Id="rId28" Type="http://schemas.openxmlformats.org/officeDocument/2006/relationships/oleObject" Target="embeddings/oleObject6.bin"/><Relationship Id="rId36" Type="http://schemas.openxmlformats.org/officeDocument/2006/relationships/oleObject" Target="embeddings/oleObject9.bin"/><Relationship Id="rId10" Type="http://schemas.openxmlformats.org/officeDocument/2006/relationships/hyperlink" Target="mailto:yubel@ineos.ac.ru"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hyperlink" Target="mailto:michael.north@york.ac.uk" TargetMode="Externa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image" Target="media/image15.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o\AppData\Local\Temp\Temp1_wvch_full_paper_dot.zip\full_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67CB4-07FD-4679-96A6-1FA28E88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full_paper.dot</Template>
  <TotalTime>1</TotalTime>
  <Pages>14</Pages>
  <Words>4880</Words>
  <Characters>27817</Characters>
  <Application>Microsoft Office Word</Application>
  <DocSecurity>4</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32632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Xiao</dc:creator>
  <cp:lastModifiedBy>Lucy Cook</cp:lastModifiedBy>
  <cp:revision>2</cp:revision>
  <cp:lastPrinted>2012-11-08T14:19:00Z</cp:lastPrinted>
  <dcterms:created xsi:type="dcterms:W3CDTF">2017-01-03T16:53:00Z</dcterms:created>
  <dcterms:modified xsi:type="dcterms:W3CDTF">2017-01-03T16:53:00Z</dcterms:modified>
</cp:coreProperties>
</file>