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4"/>
      </w:pPr>
      <w:bookmarkStart w:id="3" w:name="_GoBack"/>
      <w:bookmarkEnd w:id="3"/>
      <w:r>
        <w:t>Review</w:t>
      </w:r>
    </w:p>
    <w:p>
      <w:pPr>
        <w:pStyle w:val="36"/>
      </w:pPr>
      <w:r>
        <w:rPr>
          <w:lang w:val="en-GB"/>
        </w:rPr>
        <w:t xml:space="preserve">Insect gallers and their plant hosts: </w:t>
      </w:r>
      <w:r>
        <w:rPr>
          <w:highlight w:val="red"/>
          <w:lang w:val="en-GB"/>
        </w:rPr>
        <w:t>from ’omics data to systems biology</w:t>
      </w:r>
    </w:p>
    <w:p>
      <w:pPr>
        <w:pStyle w:val="37"/>
      </w:pPr>
      <w:r>
        <w:t xml:space="preserve">Caryn N Oates </w:t>
      </w:r>
      <w:r>
        <w:rPr>
          <w:vertAlign w:val="superscript"/>
        </w:rPr>
        <w:t>1</w:t>
      </w:r>
      <w:r>
        <w:t xml:space="preserve">, Katherine J Denby </w:t>
      </w:r>
      <w:r>
        <w:rPr>
          <w:vertAlign w:val="superscript"/>
        </w:rPr>
        <w:t>2</w:t>
      </w:r>
      <w:r>
        <w:t xml:space="preserve">, Alexander A Myburg </w:t>
      </w:r>
      <w:r>
        <w:rPr>
          <w:vertAlign w:val="superscript"/>
        </w:rPr>
        <w:t>1</w:t>
      </w:r>
      <w:r>
        <w:t xml:space="preserve">, Bernard Slippers </w:t>
      </w:r>
      <w:r>
        <w:rPr>
          <w:vertAlign w:val="superscript"/>
        </w:rPr>
        <w:t>1</w:t>
      </w:r>
      <w:r>
        <w:t xml:space="preserve"> and Sanushka Naidoo </w:t>
      </w:r>
      <w:r>
        <w:rPr>
          <w:vertAlign w:val="superscript"/>
        </w:rPr>
        <w:t>1</w:t>
      </w:r>
      <w:r>
        <w:t>*</w:t>
      </w:r>
    </w:p>
    <w:p>
      <w:pPr>
        <w:pStyle w:val="61"/>
        <w:rPr>
          <w:lang w:val="fr-CH"/>
        </w:rPr>
      </w:pPr>
      <w:r>
        <w:rPr>
          <w:vertAlign w:val="superscript"/>
          <w:lang w:val="fr-CH"/>
        </w:rPr>
        <w:t>1</w:t>
      </w:r>
      <w:r>
        <w:rPr>
          <w:lang w:val="fr-CH"/>
        </w:rPr>
        <w:tab/>
      </w:r>
      <w:r>
        <w:rPr>
          <w:lang w:val="en-GB"/>
        </w:rPr>
        <w:t>Department of Genetics, Forestry and Agricultural Biotechnology Institute (FABI), Genomics Research Institute (GRI), University of Pretoria, Private Bag x20, Pretoria, 0028, South Africa</w:t>
      </w:r>
      <w:r>
        <w:rPr>
          <w:lang w:val="fr-CH"/>
        </w:rPr>
        <w:t xml:space="preserve">; caryn.oates@fabi.up.ac.za, Zander.Myburg@up.ac.za, Bernard.Slippers@up.ac.za, </w:t>
      </w:r>
      <w:r>
        <w:t>Sanushka.Naidoo@up.ac.za</w:t>
      </w:r>
    </w:p>
    <w:p>
      <w:pPr>
        <w:pStyle w:val="61"/>
        <w:rPr>
          <w:lang w:val="fr-CH"/>
        </w:rPr>
      </w:pPr>
      <w:r>
        <w:rPr>
          <w:vertAlign w:val="superscript"/>
          <w:lang w:val="fr-CH"/>
        </w:rPr>
        <w:t>2</w:t>
      </w:r>
      <w:r>
        <w:rPr>
          <w:lang w:val="fr-CH"/>
        </w:rPr>
        <w:tab/>
      </w:r>
      <w:r>
        <w:rPr>
          <w:lang w:val="en-GB"/>
        </w:rPr>
        <w:t>Department of Biology, University of York, Wentworth Way, York, YO10 5DD, United Kingdom</w:t>
      </w:r>
      <w:r>
        <w:rPr>
          <w:lang w:val="fr-CH"/>
        </w:rPr>
        <w:t xml:space="preserve">; </w:t>
      </w:r>
      <w:r>
        <w:rPr>
          <w:bCs/>
        </w:rPr>
        <w:t>katherine.denby@york.ac.uk</w:t>
      </w:r>
    </w:p>
    <w:p>
      <w:pPr>
        <w:pStyle w:val="61"/>
      </w:pPr>
      <w:r>
        <w:rPr>
          <w:b/>
        </w:rPr>
        <w:t>*</w:t>
      </w:r>
      <w:r>
        <w:tab/>
      </w:r>
      <w:r>
        <w:t>Correspondence: Sanushka.Naidoo@up.ac.za; Tel.: +27-12-420-4974</w:t>
      </w:r>
    </w:p>
    <w:p>
      <w:pPr>
        <w:pStyle w:val="38"/>
      </w:pPr>
      <w:r>
        <w:t>Academic Editor: name</w:t>
      </w:r>
    </w:p>
    <w:p>
      <w:pPr>
        <w:pStyle w:val="38"/>
        <w:spacing w:before="0"/>
      </w:pPr>
      <w:r>
        <w:t>Received: date; Accepted: date; Published: date</w:t>
      </w:r>
    </w:p>
    <w:p>
      <w:pPr>
        <w:pStyle w:val="42"/>
        <w:rPr>
          <w:color w:val="auto"/>
        </w:rPr>
      </w:pPr>
      <w:r>
        <w:rPr>
          <w:b/>
        </w:rPr>
        <w:t xml:space="preserve">Abstract: </w:t>
      </w:r>
      <w:r>
        <w:rPr>
          <w:lang w:val="en-GB"/>
        </w:rPr>
        <w:t xml:space="preserve">Gall-inducing insects are capable of exerting a high level of control over their hosts’ cellular machinery to the extent that the plant’s development, metabolism, chemistry and physiology are all altered in favour of the insect. Many gallers are devastating pests in global agriculture and the limited understanding of their relationship with their hosts prevents the development of robust management strategies. Omics technologies are proving to be important tools in elucidating the mechanisms involved in the interaction as they facilitate analysis of plant hosts </w:t>
      </w:r>
      <w:r>
        <w:rPr>
          <w:highlight w:val="red"/>
          <w:lang w:val="en-GB"/>
        </w:rPr>
        <w:t>and insect effectors</w:t>
      </w:r>
      <w:r>
        <w:rPr>
          <w:lang w:val="en-GB"/>
        </w:rPr>
        <w:t xml:space="preserve"> for which little or no prior knowledge exists. In this review, we examine the mechanisms behind insect gall development using evidence from omics-level approaches. The secretion of effector proteins and induced phytohormonal imbalances are highlighted as likely mechanisms involved in gall development. However, understanding how these components function within the system is far from complete and a number of questions need to be answered before this information can be used in the development of strategies to engineer or breed plants with enhanced resistance.</w:t>
      </w:r>
    </w:p>
    <w:p>
      <w:pPr>
        <w:pStyle w:val="43"/>
      </w:pPr>
      <w:r>
        <w:rPr>
          <w:b/>
        </w:rPr>
        <w:t xml:space="preserve">Keywords: </w:t>
      </w:r>
      <w:r>
        <w:t xml:space="preserve">galling insect; omics data; effector; phytohormone; gall induction </w:t>
      </w:r>
    </w:p>
    <w:p>
      <w:pPr>
        <w:pStyle w:val="45"/>
        <w:pBdr>
          <w:bottom w:val="single" w:color="auto" w:sz="4" w:space="1"/>
        </w:pBdr>
        <w:spacing w:after="480"/>
      </w:pPr>
    </w:p>
    <w:p>
      <w:pPr>
        <w:pStyle w:val="150"/>
      </w:pPr>
      <w:r>
        <w:rPr>
          <w:lang w:eastAsia="zh-CN"/>
        </w:rPr>
        <w:t xml:space="preserve">1. </w:t>
      </w:r>
      <w:r>
        <w:t>Introduction</w:t>
      </w:r>
    </w:p>
    <w:p>
      <w:pPr>
        <w:pStyle w:val="35"/>
        <w:rPr>
          <w:lang w:val="en-GB"/>
        </w:rPr>
      </w:pPr>
      <w:bookmarkStart w:id="0" w:name="OLE_LINK1"/>
      <w:bookmarkStart w:id="1" w:name="OLE_LINK2"/>
      <w:r>
        <w:rPr>
          <w:lang w:val="en-GB"/>
        </w:rPr>
        <w:t xml:space="preserve">The ability to induce galls is a specialised feeding behaviour that requires a close host-pest adaptation </w:t>
      </w:r>
      <w:r>
        <w:rPr>
          <w:lang w:val="en-GB"/>
        </w:rPr>
        <w:fldChar w:fldCharType="begin" w:fldLock="1"/>
      </w:r>
      <w:r>
        <w:rPr>
          <w:lang w:val="en-GB"/>
        </w:rPr>
        <w:instrText xml:space="preserve">ADDIN CSL_CITATION { "citationItems" : [ { "id" : "ITEM-1", "itemData" : { "DOI" : "10.1016/S0169-5347(03)00247-7", "ISSN" : "01695347", "author" : [ { "dropping-particle" : "", "family" : "Stone", "given" : "Graham N.", "non-dropping-particle" : "", "parse-names" : false, "suffix" : "" }, { "dropping-particle" : "", "family" : "Sch\u00f6nrogge", "given" : "Karsten", "non-dropping-particle" : "", "parse-names" : false, "suffix" : "" } ], "container-title" : "Trends in Ecology &amp; Evolution", "id" : "ITEM-1", "issue" : "10", "issued" : { "date-parts" : [ [ "2003", "10" ] ] }, "note" : "Discusses three primary hypotheses about the adaptive significance of insect gall morphology. Nutrition, Microenvironment and Enemies hypotheses.\n\n\nMany examples.", "page" : "512-522", "title" : "The adaptive significance of insect gall morphology", "type" : "article-journal", "volume" : "18" }, "uris" : [ "http://www.mendeley.com/documents/?uuid=e5d10388-e525-4f41-9532-cae87e53c754" ] } ], "mendeley" : { "formattedCitation" : "[1]", "plainTextFormattedCitation" : "[1]", "previouslyFormattedCitation" : "[1]" }, "properties" : { "noteIndex" : 0 }, "schema" : "https://github.com/citation-style-language/schema/raw/master/csl-citation.json" }</w:instrText>
      </w:r>
      <w:r>
        <w:rPr>
          <w:lang w:val="en-GB"/>
        </w:rPr>
        <w:fldChar w:fldCharType="separate"/>
      </w:r>
      <w:r>
        <w:rPr>
          <w:lang w:val="en-GB"/>
        </w:rPr>
        <w:t>[1]</w:t>
      </w:r>
      <w:r>
        <w:fldChar w:fldCharType="end"/>
      </w:r>
      <w:r>
        <w:rPr>
          <w:lang w:val="en-GB"/>
        </w:rPr>
        <w:t xml:space="preserve">. Insect galls are abnormal plant growths that are induced and maintained by the pest and are characterised by active redifferentiation and growth of plant tissues </w:t>
      </w:r>
      <w:r>
        <w:rPr>
          <w:lang w:val="en-GB"/>
        </w:rPr>
        <w:fldChar w:fldCharType="begin" w:fldLock="1"/>
      </w:r>
      <w:r>
        <w:rPr>
          <w:lang w:val="en-GB"/>
        </w:rPr>
        <w:instrText xml:space="preserve">ADDIN CSL_CITATION { "citationItems" : [ { "id" : "ITEM-1", "itemData" : { "DOI" : "10.1016/S0169-5347(03)00247-7", "ISSN" : "01695347", "author" : [ { "dropping-particle" : "", "family" : "Stone", "given" : "Graham N.", "non-dropping-particle" : "", "parse-names" : false, "suffix" : "" }, { "dropping-particle" : "", "family" : "Sch\u00f6nrogge", "given" : "Karsten", "non-dropping-particle" : "", "parse-names" : false, "suffix" : "" } ], "container-title" : "Trends in Ecology &amp; Evolution", "id" : "ITEM-1", "issue" : "10", "issued" : { "date-parts" : [ [ "2003", "10" ] ] }, "note" : "Discusses three primary hypotheses about the adaptive significance of insect gall morphology. Nutrition, Microenvironment and Enemies hypotheses.\n\n\nMany examples.", "page" : "512-522", "title" : "The adaptive significance of insect gall morphology", "type" : "article-journal", "volume" : "18" }, "uris" : [ "http://www.mendeley.com/documents/?uuid=e5d10388-e525-4f41-9532-cae87e53c754" ] } ], "mendeley" : { "formattedCitation" : "[1]", "plainTextFormattedCitation" : "[1]", "previouslyFormattedCitation" : "[1]" }, "properties" : { "noteIndex" : 0 }, "schema" : "https://github.com/citation-style-language/schema/raw/master/csl-citation.json" }</w:instrText>
      </w:r>
      <w:r>
        <w:rPr>
          <w:lang w:val="en-GB"/>
        </w:rPr>
        <w:fldChar w:fldCharType="separate"/>
      </w:r>
      <w:r>
        <w:rPr>
          <w:lang w:val="en-GB"/>
        </w:rPr>
        <w:t>[1]</w:t>
      </w:r>
      <w:r>
        <w:fldChar w:fldCharType="end"/>
      </w:r>
      <w:r>
        <w:rPr>
          <w:lang w:val="en-GB"/>
        </w:rPr>
        <w:t xml:space="preserve">. The insect is capable of redirecting normal plant metabolism and physiology towards gall production </w:t>
      </w:r>
      <w:r>
        <w:rPr>
          <w:lang w:val="en-GB"/>
        </w:rPr>
        <w:fldChar w:fldCharType="begin" w:fldLock="1"/>
      </w:r>
      <w:r>
        <w:rPr>
          <w:lang w:val="en-GB"/>
        </w:rPr>
        <w:instrText xml:space="preserve">ADDIN CSL_CITATION { "citationItems" : [ { "id" : "ITEM-1", "itemData" : { "DOI" : "10.1007/s11829-009-9082-7", "ISBN" : "1872-8855", "ISSN" : "18728855", "abstract" : "Galls are abnormal plant growth induced by various parasitic organisms, mainly insects. They serve as \u2018\u2018incubators\u2019\u2019 for the developing insects in which they gain nutrition and protection from both abiotic factors and nat- ural enemies. Galls are typically armed with high levels of defensive secondary metabolites. Conspicuousness by color, size and shape is a common gall trait. Many galls are colorful (red, yellow etc.) and therefore can be clearly distinguished from the surrounding host plant organs. Here we outlined a new hypothesis, suggesting that chemically protected galls which are also conspicuous are aposematic. We discuss predictions, alternative hypotheses and exper- imental tests of this hypothesis.", "author" : [ { "dropping-particle" : "", "family" : "Inbar", "given" : "M.", "non-dropping-particle" : "", "parse-names" : false, "suffix" : "" }, { "dropping-particle" : "", "family" : "Izhaki", "given" : "I.", "non-dropping-particle" : "", "parse-names" : false, "suffix" : "" }, { "dropping-particle" : "", "family" : "Koplovich", "given" : "a.", "non-dropping-particle" : "", "parse-names" : false, "suffix" : "" }, { "dropping-particle" : "", "family" : "Lupo", "given" : "I.", "non-dropping-particle" : "", "parse-names" : false, "suffix" : "" }, { "dropping-particle" : "", "family" : "Silanikove", "given" : "N.", "non-dropping-particle" : "", "parse-names" : false, "suffix" : "" }, { "dropping-particle" : "", "family" : "Glasser", "given" : "T.", "non-dropping-particle" : "", "parse-names" : false, "suffix" : "" }, { "dropping-particle" : "", "family" : "Gerchman", "given" : "Y.", "non-dropping-particle" : "", "parse-names" : false, "suffix" : "" }, { "dropping-particle" : "", "family" : "Perevolotsky", "given" : "a.", "non-dropping-particle" : "", "parse-names" : false, "suffix" : "" }, { "dropping-particle" : "", "family" : "Lev-Yadun", "given" : "S.", "non-dropping-particle" : "", "parse-names" : false, "suffix" : "" } ], "container-title" : "Arthropod-Plant Interactions", "id" : "ITEM-1", "issue" : "1", "issued" : { "date-parts" : [ [ "2010" ] ] }, "page" : "1-6", "title" : "Why do many galls have conspicuous colors? A new hypothesis", "type" : "article-journal", "volume" : "4" }, "uris" : [ "http://www.mendeley.com/documents/?uuid=8286b822-75f1-4b15-bf63-989121d5eb48" ] }, { "id" : "ITEM-2", "itemData" : { "DOI" : "10.1016/j.sajb.2009.10.011", "ISBN" : "0254-6299", "ISSN" : "02546299", "abstract" : "The tree Copaifera langsdorffii is a superhost for galling herbivores. This plant species has great morphogenetic potential, and responds differently to the stimuli of more than 20 gall-inducing insects. Among these, an undescribed species of Cecidomyiidae induces a midrib gall in which a radial cecidogenetic field is generated and the leaflet tissues redifferentiate. Our objectives were to assess the amplitude of this cecidogenetic field, in which the leaflet tissues were influenced by the feeding action of the cecidomyiid; how the final gall shape was generated; and if tissue redifferentiation conferred any adaptive value on the galling herbivore. Leaflet morphogenesis followed the pattern described in the literature for simple leaves, resulting in a mesophytic arrangement. Tissue redifferentiation due to gall formation revealed that in a midrib gall, abaxial epidermal cells divided to enlarge the gall; spongy parenchyma cells originated the storage tissue, secretory structures, and vascular bundles; palisade parenchyma cells became homogeneous; and adaxial epidermis originated the nutritive tissue. Cell elongation, a necessary step towards cell redifferentiation, is triggered by an increase in water transport to the gall site and vacuole pressure due to neoformed xylem bundles. The generation of the final shape of the midrib gall involved repetitive histological steps in response to the amplitude of the cecidogenetic field. The largest impact of the cecidomyiid feeding action occurred in gall tissues redifferentiated from protoderm and adaxial ground meristem, which provided advantages to the gall maker of the C. langsdorffii midrib gall in terms of nutritional value, microenvironment, and protection against natural enemies. ?? 2009 Elsevier B.V. All rights reserved.", "author" : [ { "dropping-particle" : "", "family" : "Oliveira", "given" : "D. C.", "non-dropping-particle" : "", "parse-names" : false, "suffix" : "" }, { "dropping-particle" : "", "family" : "Isaias", "given" : "R. M S", "non-dropping-particle" : "", "parse-names" : false, "suffix" : "" } ], "container-title" : "South African Journal of Botany", "id" : "ITEM-2", "issue" : "2", "issued" : { "date-parts" : [ [ "2010" ] ] }, "page" : "239-248", "publisher" : "Elsevier B.V.", "title" : "Redifferentiation of leaflet tissues during midrib gall development in Copaifera langsdorffii (Fabaceae)", "type" : "article-journal", "volume" : "76" }, "uris" : [ "http://www.mendeley.com/documents/?uuid=e93dff0e-fb8f-476b-945e-65bb77fcdad0" ] }, { "id" : "ITEM-3", "itemData" : { "DOI" : "10.1111/j.1469-8137.2008.02392.x", "ISBN" : "0028-646X", "ISSN" : "0028646X", "PMID" : "18331430", "abstract" : "Parasitic species can dramatically alter host traits. Some of these parasite-induced changes can be considered adaptive manipulations that benefit the parasites. Gall-inducing insects are parasites well known for their ability to alter host-plant morphology and physiology, including the distribution of plant defensive compounds. Here it was investigated whether gall-inducing species alter indirect plant defenses, involving the release of volatile compounds that are attractive to foraging natural enemies. Using field and factorial laboratory experiments, volatile production by goldenrod (Solidago altissima) plants was examined in response to attack by two gall-inducing species, the tephritid fly Eurosta solidaginis and the gelechiid moth Gnorimoschema gallaesolidaginis, as well as the meadow spittlebug, Philaenus spumarius, and the generalist caterpillar Heliothis virescens. Heliothis virescens elicited strong indirect defensive responses from S. altissima, but the gall-inducing species and spittlebugs did not. More significantly, infestation by E. solidaginis appeared to suppress volatile responses to subsequent attack by the generalist caterpillar. The extensive control that E. solidaginis apparently exerts over host-plant defense responses may reduce the predation risk for the gall inducer and the subsequent herbivore, and could influence community-level dynamics, including the distribution of herbivorous insect species associated with S. altissima parasitized by E. solidaginis.", "author" : [ { "dropping-particle" : "", "family" : "Tooker", "given" : "John F.", "non-dropping-particle" : "", "parse-names" : false, "suffix" : "" }, { "dropping-particle" : "", "family" : "Rohr", "given" : "Jason R.", "non-dropping-particle" : "", "parse-names" : false, "suffix" : "" }, { "dropping-particle" : "", "family" : "Abrahamson", "given" : "Warren G.", "non-dropping-particle" : "", "parse-names" : false, "suffix" : "" }, { "dropping-particle" : "", "family" : "Moraes", "given" : "Consuelo M.", "non-dropping-particle" : "De", "parse-names" : false, "suffix" : "" } ], "container-title" : "New Phytologist", "id" : "ITEM-3", "issue" : "3", "issued" : { "date-parts" : [ [ "2008" ] ] }, "page" : "657-671", "title" : "Gall insects can avoid and alter indirect plant defenses", "type" : "article-journal", "volume" : "178" }, "uris" : [ "http://www.mendeley.com/documents/?uuid=924639c5-106c-4166-b37e-514fe03540ff" ] } ], "mendeley" : { "formattedCitation" : "[2\u20134]", "plainTextFormattedCitation" : "[2\u20134]", "previouslyFormattedCitation" : "[2\u20134]" }, "properties" : { "noteIndex" : 0 }, "schema" : "https://github.com/citation-style-language/schema/raw/master/csl-citation.json" }</w:instrText>
      </w:r>
      <w:r>
        <w:rPr>
          <w:lang w:val="en-GB"/>
        </w:rPr>
        <w:fldChar w:fldCharType="separate"/>
      </w:r>
      <w:r>
        <w:rPr>
          <w:lang w:val="en-GB"/>
        </w:rPr>
        <w:t>[2–4]</w:t>
      </w:r>
      <w:r>
        <w:rPr>
          <w:lang w:val="en-GB"/>
        </w:rPr>
        <w:fldChar w:fldCharType="end"/>
      </w:r>
      <w:r>
        <w:rPr>
          <w:lang w:val="en-GB"/>
        </w:rPr>
        <w:t xml:space="preserve">. How the insect is able to achieve such an extraordinary level of control over its host is perhaps the most intriguing question surrounding plant-galling insect interactions and has yet to be conclusively demonstrated for any species. </w:t>
      </w:r>
    </w:p>
    <w:p>
      <w:pPr>
        <w:pStyle w:val="35"/>
        <w:rPr>
          <w:lang w:val="en-GB"/>
        </w:rPr>
      </w:pPr>
      <w:r>
        <w:rPr>
          <w:lang w:val="en-GB"/>
        </w:rPr>
        <w:t>Gall-inducing arthropods and nematodes comprise some of the most devastating pests of global agriculture. These include interactions between phylloxera (</w:t>
      </w:r>
      <w:r>
        <w:rPr>
          <w:i/>
          <w:lang w:val="en-GB"/>
        </w:rPr>
        <w:t>Daktulosphaira vitifolia</w:t>
      </w:r>
      <w:r>
        <w:rPr>
          <w:lang w:val="en-GB"/>
        </w:rPr>
        <w:t>) and grape (</w:t>
      </w:r>
      <w:r>
        <w:rPr>
          <w:i/>
          <w:lang w:val="en-GB"/>
        </w:rPr>
        <w:t>Vitis vinifera</w:t>
      </w:r>
      <w:r>
        <w:rPr>
          <w:lang w:val="en-GB"/>
        </w:rPr>
        <w:t>), the Hessian fly (</w:t>
      </w:r>
      <w:r>
        <w:rPr>
          <w:i/>
          <w:lang w:val="en-GB"/>
        </w:rPr>
        <w:t>Mayetiola destructor</w:t>
      </w:r>
      <w:r>
        <w:rPr>
          <w:lang w:val="en-GB"/>
        </w:rPr>
        <w:t>) and wheat (</w:t>
      </w:r>
      <w:r>
        <w:rPr>
          <w:i/>
          <w:lang w:val="en-GB"/>
        </w:rPr>
        <w:t>Tritcum aestivum</w:t>
      </w:r>
      <w:r>
        <w:rPr>
          <w:lang w:val="en-GB"/>
        </w:rPr>
        <w:t>), the Asian rice gall midge (</w:t>
      </w:r>
      <w:r>
        <w:rPr>
          <w:i/>
          <w:lang w:val="en-GB"/>
        </w:rPr>
        <w:t>Orseolia oryzae</w:t>
      </w:r>
      <w:r>
        <w:rPr>
          <w:lang w:val="en-GB"/>
        </w:rPr>
        <w:t>) and rice (</w:t>
      </w:r>
      <w:r>
        <w:rPr>
          <w:i/>
          <w:lang w:val="en-GB"/>
        </w:rPr>
        <w:t>Oryza sativa</w:t>
      </w:r>
      <w:r>
        <w:rPr>
          <w:lang w:val="en-GB"/>
        </w:rPr>
        <w:t>), the blue gum chalcid wasp (</w:t>
      </w:r>
      <w:r>
        <w:rPr>
          <w:i/>
          <w:lang w:val="en-GB"/>
        </w:rPr>
        <w:t>Leptocybe invasa</w:t>
      </w:r>
      <w:r>
        <w:rPr>
          <w:lang w:val="en-GB"/>
        </w:rPr>
        <w:t xml:space="preserve">) and </w:t>
      </w:r>
      <w:r>
        <w:rPr>
          <w:i/>
          <w:lang w:val="en-GB"/>
        </w:rPr>
        <w:t xml:space="preserve">Eucalyptus </w:t>
      </w:r>
      <w:r>
        <w:rPr>
          <w:lang w:val="en-GB"/>
        </w:rPr>
        <w:t>spp. as well as root-knot nematodes (</w:t>
      </w:r>
      <w:r>
        <w:rPr>
          <w:i/>
          <w:lang w:val="en-GB"/>
        </w:rPr>
        <w:t xml:space="preserve">Meloidogyne </w:t>
      </w:r>
      <w:r>
        <w:rPr>
          <w:lang w:val="en-GB"/>
        </w:rPr>
        <w:t xml:space="preserve">spp.) and a wide range of hosts amongst numerous other examples. The development of resistant plant genotypes through breeding or genetic modification is a commonly used approach to control these pests; however, resistance is often rapidly overcome by more virulent insect biotypes </w:t>
      </w:r>
      <w:r>
        <w:rPr>
          <w:lang w:val="en-GB"/>
        </w:rPr>
        <w:fldChar w:fldCharType="begin" w:fldLock="1"/>
      </w:r>
      <w:r>
        <w:rPr>
          <w:lang w:val="en-GB"/>
        </w:rPr>
        <w:instrText xml:space="preserve">ADDIN CSL_CITATION { "citationItems" : [ { "id" : "ITEM-1", "itemData" : { "DOI" : "10.1146/annurev-phyto-080614-120040", "author" : [ { "dropping-particle" : "", "family" : "Zhan", "given" : "Jiasui", "non-dropping-particle" : "", "parse-names" : false, "suffix" : "" }, { "dropping-particle" : "", "family" : "Thrall", "given" : "Peter H", "non-dropping-particle" : "", "parse-names" : false, "suffix" : "" }, { "dropping-particle" : "", "family" : "Papa", "given" : "Julien", "non-dropping-particle" : "", "parse-names" : false, "suffix" : "" }, { "dropping-particle" : "", "family" : "Xie", "given" : "Lianhui", "non-dropping-particle" : "", "parse-names" : false, "suffix" : "" }, { "dropping-particle" : "", "family" : "Burdon", "given" : "Jeremy J", "non-dropping-particle" : "", "parse-names" : false, "suffix" : "" } ], "container-title" : "Annual review of phytopathology", "id" : "ITEM-1", "issued" : { "date-parts" : [ [ "2015" ] ] }, "page" : "19-43", "title" : "Playing on a Pathogen \u2019 s Weakness : Using Evolution to Guide Sustainable Plant Disease Control Strategies", "type" : "article-journal", "volume" : "53" }, "uris" : [ "http://www.mendeley.com/documents/?uuid=f70b9478-d9b8-4e8e-bfd5-38c300b39b3c" ] } ], "mendeley" : { "formattedCitation" : "[5]", "plainTextFormattedCitation" : "[5]", "previouslyFormattedCitation" : "[5]" }, "properties" : { "noteIndex" : 0 }, "schema" : "https://github.com/citation-style-language/schema/raw/master/csl-citation.json" }</w:instrText>
      </w:r>
      <w:r>
        <w:rPr>
          <w:lang w:val="en-GB"/>
        </w:rPr>
        <w:fldChar w:fldCharType="separate"/>
      </w:r>
      <w:r>
        <w:rPr>
          <w:lang w:val="en-GB"/>
        </w:rPr>
        <w:t>[5]</w:t>
      </w:r>
      <w:r>
        <w:rPr>
          <w:lang w:val="en-GB"/>
        </w:rPr>
        <w:fldChar w:fldCharType="end"/>
      </w:r>
      <w:r>
        <w:rPr>
          <w:lang w:val="en-GB"/>
        </w:rPr>
        <w:t>. The lack of information regarding the molecular mechanisms behind plant-galling insect interactions is an impediment to the development of novel, robust management strategies.</w:t>
      </w:r>
    </w:p>
    <w:p>
      <w:pPr>
        <w:pStyle w:val="35"/>
        <w:rPr>
          <w:lang w:val="en-GB"/>
        </w:rPr>
      </w:pPr>
      <w:r>
        <w:rPr>
          <w:lang w:val="en-GB"/>
        </w:rPr>
        <w:t xml:space="preserve">In recent years, omics approaches have been applied to various host-pest interactions </w:t>
      </w:r>
      <w:r>
        <w:rPr>
          <w:lang w:val="en-GB"/>
        </w:rPr>
        <w:fldChar w:fldCharType="begin" w:fldLock="1"/>
      </w:r>
      <w:r>
        <w:rPr>
          <w:lang w:val="en-GB"/>
        </w:rPr>
        <w:instrText xml:space="preserve">ADDIN CSL_CITATION { "citationItems" : [ { "id" : "ITEM-1", "itemData" : { "DOI" : "10.1093/jxb/eru489", "author" : [ { "dropping-particle" : "", "family" : "Barah", "given" : "Pankaj", "non-dropping-particle" : "", "parse-names" : false, "suffix" : "" }, { "dropping-particle" : "", "family" : "Bones", "given" : "Atle M", "non-dropping-particle" : "", "parse-names" : false, "suffix" : "" } ], "container-title" : "Journal of experimental botany", "id" : "ITEM-1", "issue" : "2", "issued" : { "date-parts" : [ [ "2015" ] ] }, "page" : "479-493", "title" : "Multidimensional approaches for studying plant defence against insects : from ecology to omics and synthetic biology", "type" : "article-journal", "volume" : "66" }, "uris" : [ "http://www.mendeley.com/documents/?uuid=06565a90-ff69-45af-b8d2-14a842f46322" ] } ], "mendeley" : { "formattedCitation" : "[6]", "plainTextFormattedCitation" : "[6]", "previouslyFormattedCitation" : "[6]" }, "properties" : { "noteIndex" : 0 }, "schema" : "https://github.com/citation-style-language/schema/raw/master/csl-citation.json" }</w:instrText>
      </w:r>
      <w:r>
        <w:rPr>
          <w:lang w:val="en-GB"/>
        </w:rPr>
        <w:fldChar w:fldCharType="separate"/>
      </w:r>
      <w:r>
        <w:rPr>
          <w:lang w:val="en-GB"/>
        </w:rPr>
        <w:t>[6]</w:t>
      </w:r>
      <w:r>
        <w:fldChar w:fldCharType="end"/>
      </w:r>
      <w:r>
        <w:rPr>
          <w:lang w:val="en-GB"/>
        </w:rPr>
        <w:t xml:space="preserve">. Next generation omics approaches facilitate analysis of non-model organisms owing to the rapid generation of large amounts of </w:t>
      </w:r>
      <w:r>
        <w:rPr>
          <w:i/>
          <w:lang w:val="en-GB"/>
        </w:rPr>
        <w:t xml:space="preserve">de novo </w:t>
      </w:r>
      <w:r>
        <w:rPr>
          <w:lang w:val="en-GB"/>
        </w:rPr>
        <w:t xml:space="preserve">systems biology data making them attractive options for studying poorly characterised interactions </w:t>
      </w:r>
      <w:r>
        <w:rPr>
          <w:lang w:val="en-GB"/>
        </w:rPr>
        <w:fldChar w:fldCharType="begin" w:fldLock="1"/>
      </w:r>
      <w:r>
        <w:rPr>
          <w:lang w:val="en-GB"/>
        </w:rPr>
        <w:instrText xml:space="preserve">ADDIN CSL_CITATION { "citationItems" : [ { "id" : "ITEM-1", "itemData" : { "DOI" : "10.1146/annurev-phyto-102313-050103", "ISSN" : "0066-4286", "PMID" : "24821185", "abstract" : "Deciphering the networks that underpin complex biological processes using experimental data remains a significant, but promising, challenge, a task made all the harder by the added complexity of host-pathogen interactions. The aim of this article is to review the progress in understanding plant immunity made so far by applying network modeling algorithms and to show how this computational/mathematical strategy is facilitating a systems view of plant defense. We review the different types of network modeling that have been used, the data required, and the type of insight that such modeling can provide. We discuss the current challenges in modeling the regulatory networks that underlie plant defense and the future developments that may help address these challenges. Expected final online publication date for the Annual Review of Phytopathology Volume 52 is August 04, 2014. Please see http://www.annualreviews.org/catalog/pubdates.aspx for revised estimates.", "author" : [ { "dropping-particle" : "", "family" : "Windram", "given" : "Oliver", "non-dropping-particle" : "", "parse-names" : false, "suffix" : "" }, { "dropping-particle" : "", "family" : "Penfold", "given" : "Christopher a", "non-dropping-particle" : "", "parse-names" : false, "suffix" : "" }, { "dropping-particle" : "", "family" : "Denby", "given" : "Katherine J", "non-dropping-particle" : "", "parse-names" : false, "suffix" : "" } ], "container-title" : "Annual review of phytopathology", "id" : "ITEM-1", "issue" : "April", "issued" : { "date-parts" : [ [ "2014", "5", "5" ] ] }, "page" : "1-20", "title" : "Network Modeling to Understand Plant Immunity.", "type" : "article-journal" }, "uris" : [ "http://www.mendeley.com/documents/?uuid=773d252f-6e59-44db-965b-6c890293d6eb" ] } ], "mendeley" : { "formattedCitation" : "[7]", "plainTextFormattedCitation" : "[7]", "previouslyFormattedCitation" : "[7]" }, "properties" : { "noteIndex" : 0 }, "schema" : "https://github.com/citation-style-language/schema/raw/master/csl-citation.json" }</w:instrText>
      </w:r>
      <w:r>
        <w:rPr>
          <w:lang w:val="en-GB"/>
        </w:rPr>
        <w:fldChar w:fldCharType="separate"/>
      </w:r>
      <w:r>
        <w:rPr>
          <w:lang w:val="en-GB"/>
        </w:rPr>
        <w:t>[7]</w:t>
      </w:r>
      <w:r>
        <w:fldChar w:fldCharType="end"/>
      </w:r>
      <w:r>
        <w:rPr>
          <w:lang w:val="en-GB"/>
        </w:rPr>
        <w:t>. In this review, we discuss the current understanding of morphological and molecular mechanisms underlying gall formation and host defences based on evidence from omics data. We examine the concept of systems biology tailored to plant-galling insect interactions. Lastly we identify specific questions, to help elucidate the complex interaction, using a systems approach.</w:t>
      </w:r>
    </w:p>
    <w:p>
      <w:pPr>
        <w:pStyle w:val="150"/>
        <w:rPr>
          <w:lang w:val="en-GB"/>
        </w:rPr>
      </w:pPr>
      <w:r>
        <w:rPr>
          <w:lang w:val="en-GB"/>
        </w:rPr>
        <w:t>2. The Galling Trait</w:t>
      </w:r>
    </w:p>
    <w:p>
      <w:pPr>
        <w:pStyle w:val="35"/>
        <w:rPr>
          <w:lang w:val="en-GB"/>
        </w:rPr>
      </w:pPr>
      <w:r>
        <w:rPr>
          <w:lang w:val="en-GB"/>
        </w:rPr>
        <w:t xml:space="preserve">The ability to induce galls is an ancient life-history trait with fossil records supporting the ecological expansion of foliar galling during the Early Permian era, around 299-252 million years ago </w:t>
      </w:r>
      <w:r>
        <w:rPr>
          <w:lang w:val="en-GB"/>
        </w:rPr>
        <w:fldChar w:fldCharType="begin" w:fldLock="1"/>
      </w:r>
      <w:r>
        <w:rPr>
          <w:lang w:val="en-GB"/>
        </w:rPr>
        <w:instrText xml:space="preserve">ADDIN CSL_CITATION { "citationItems" : [ { "id" : "ITEM-1", "itemData" : { "DOI" : "10.1007/s00114-015-1266-7", "ISSN" : "0028-1042", "author" : [ { "dropping-particle" : "", "family" : "Schachat", "given" : "Sandra R.", "non-dropping-particle" : "", "parse-names" : false, "suffix" : "" }, { "dropping-particle" : "", "family" : "Labandeira", "given" : "Conrad C.", "non-dropping-particle" : "", "parse-names" : false, "suffix" : "" } ], "container-title" : "The Science of Nature", "id" : "ITEM-1", "issue" : "3-4", "issued" : { "date-parts" : [ [ "2015" ] ] }, "page" : "14", "title" : "Evolution of a complex behavior: the origin and initial diversification of foliar galling by Permian insects", "type" : "article-journal", "volume" : "102" }, "uris" : [ "http://www.mendeley.com/documents/?uuid=35c11e4f-86c6-42e8-aba0-5d73bb764083" ] } ], "mendeley" : { "formattedCitation" : "[8]", "plainTextFormattedCitation" : "[8]", "previouslyFormattedCitation" : "[8]" }, "properties" : { "noteIndex" : 0 }, "schema" : "https://github.com/citation-style-language/schema/raw/master/csl-citation.json" }</w:instrText>
      </w:r>
      <w:r>
        <w:rPr>
          <w:lang w:val="en-GB"/>
        </w:rPr>
        <w:fldChar w:fldCharType="separate"/>
      </w:r>
      <w:r>
        <w:rPr>
          <w:lang w:val="en-GB"/>
        </w:rPr>
        <w:t>[8]</w:t>
      </w:r>
      <w:r>
        <w:fldChar w:fldCharType="end"/>
      </w:r>
      <w:r>
        <w:rPr>
          <w:lang w:val="en-GB"/>
        </w:rPr>
        <w:t xml:space="preserve">. It has evolved multiple times in insect lineages </w:t>
      </w:r>
      <w:r>
        <w:rPr>
          <w:lang w:val="en-GB"/>
        </w:rPr>
        <w:fldChar w:fldCharType="begin" w:fldLock="1"/>
      </w:r>
      <w:r>
        <w:rPr>
          <w:lang w:val="en-GB"/>
        </w:rPr>
        <w:instrText xml:space="preserve">ADDIN CSL_CITATION { "citationItems" : [ { "id" : "ITEM-1", "itemData" : { "DOI" : "10.1371/journal.pone.0123301", "ISSN" : "1932-6203", "author" : [ { "dropping-particle" : "", "family" : "Ronquist", "given" : "Fredrik", "non-dropping-particle" : "", "parse-names" : false, "suffix" : "" }, { "dropping-particle" : "", "family" : "Nieves-Aldrey", "given" : "Jos\u00e9-Luis", "non-dropping-particle" : "", "parse-names" : false, "suffix" : "" }, { "dropping-particle" : "", "family" : "Buffington", "given" : "Matthew L.", "non-dropping-particle" : "", "parse-names" : false, "suffix" : "" }, { "dropping-particle" : "", "family" : "Liu", "given" : "Zhiwei", "non-dropping-particle" : "", "parse-names" : false, "suffix" : "" }, { "dropping-particle" : "", "family" : "Liljeblad", "given" : "Johan", "non-dropping-particle" : "", "parse-names" : false, "suffix" : "" }, { "dropping-particle" : "", "family" : "Nylander", "given" : "Johan a. a.", "non-dropping-particle" : "", "parse-names" : false, "suffix" : "" } ], "container-title" : "Plos One", "id" : "ITEM-1", "issue" : "5", "issued" : { "date-parts" : [ [ "2015" ] ] }, "page" : "e0123301", "title" : "Phylogeny, Evolution and Classification of Gall Wasps: The Plot Thickens", "type" : "article-journal", "volume" : "10" }, "uris" : [ "http://www.mendeley.com/documents/?uuid=6395129f-9ed6-45c0-a78d-c2b30a037c17" ] } ], "mendeley" : { "formattedCitation" : "[9]", "plainTextFormattedCitation" : "[9]", "previouslyFormattedCitation" : "[9]" }, "properties" : { "noteIndex" : 0 }, "schema" : "https://github.com/citation-style-language/schema/raw/master/csl-citation.json" }</w:instrText>
      </w:r>
      <w:r>
        <w:rPr>
          <w:lang w:val="en-GB"/>
        </w:rPr>
        <w:fldChar w:fldCharType="separate"/>
      </w:r>
      <w:r>
        <w:rPr>
          <w:lang w:val="en-GB"/>
        </w:rPr>
        <w:t>[9]</w:t>
      </w:r>
      <w:r>
        <w:fldChar w:fldCharType="end"/>
      </w:r>
      <w:r>
        <w:rPr>
          <w:lang w:val="en-GB"/>
        </w:rPr>
        <w:t xml:space="preserve"> and an estimated 13,000 extant species are known to induce galls </w:t>
      </w:r>
      <w:r>
        <w:rPr>
          <w:lang w:val="en-GB"/>
        </w:rPr>
        <w:fldChar w:fldCharType="begin" w:fldLock="1"/>
      </w:r>
      <w:r>
        <w:rPr>
          <w:lang w:val="en-GB"/>
        </w:rPr>
        <w:instrText xml:space="preserve">ADDIN CSL_CITATION { "citationItems" : [ { "id" : "ITEM-1", "itemData" : { "DOI" : "10.1016/S0169-5347(03)00247-7", "ISSN" : "01695347", "author" : [ { "dropping-particle" : "", "family" : "Stone", "given" : "Graham N.", "non-dropping-particle" : "", "parse-names" : false, "suffix" : "" }, { "dropping-particle" : "", "family" : "Sch\u00f6nrogge", "given" : "Karsten", "non-dropping-particle" : "", "parse-names" : false, "suffix" : "" } ], "container-title" : "Trends in Ecology &amp; Evolution", "id" : "ITEM-1", "issue" : "10", "issued" : { "date-parts" : [ [ "2003", "10" ] ] }, "note" : "Discusses three primary hypotheses about the adaptive significance of insect gall morphology. Nutrition, Microenvironment and Enemies hypotheses.\n\n\nMany examples.", "page" : "512-522", "title" : "The adaptive significance of insect gall morphology", "type" : "article-journal", "volume" : "18" }, "uris" : [ "http://www.mendeley.com/documents/?uuid=e5d10388-e525-4f41-9532-cae87e53c754" ] } ], "mendeley" : { "formattedCitation" : "[1]", "plainTextFormattedCitation" : "[1]", "previouslyFormattedCitation" : "[1]" }, "properties" : { "noteIndex" : 0 }, "schema" : "https://github.com/citation-style-language/schema/raw/master/csl-citation.json" }</w:instrText>
      </w:r>
      <w:r>
        <w:rPr>
          <w:lang w:val="en-GB"/>
        </w:rPr>
        <w:fldChar w:fldCharType="separate"/>
      </w:r>
      <w:r>
        <w:rPr>
          <w:lang w:val="en-GB"/>
        </w:rPr>
        <w:t>[1]</w:t>
      </w:r>
      <w:r>
        <w:fldChar w:fldCharType="end"/>
      </w:r>
      <w:r>
        <w:rPr>
          <w:lang w:val="en-GB"/>
        </w:rPr>
        <w:t xml:space="preserve">. How this characteristic arose, particularly in the sense of the extensive ability to control their hosts’ cellular functioning, remains a subject of debate. </w:t>
      </w:r>
      <w:r>
        <w:rPr>
          <w:highlight w:val="red"/>
          <w:lang w:val="en-GB"/>
        </w:rPr>
        <w:t xml:space="preserve">One interesting hypothesis proposes that galling insects acquired genes through horizontal gene transfer from symbiotic microorganisms </w:t>
      </w:r>
      <w:r>
        <w:rPr>
          <w:highlight w:val="red"/>
          <w:lang w:val="en-GB"/>
        </w:rPr>
        <w:fldChar w:fldCharType="begin" w:fldLock="1"/>
      </w:r>
      <w:r>
        <w:rPr>
          <w:highlight w:val="red"/>
          <w:lang w:val="en-GB"/>
        </w:rPr>
        <w:instrText xml:space="preserve">ADDIN CSL_CITATION { "citationItems" : [ { "id" : "ITEM-1", "itemData" : { "DOI" : "10.1007/s10886-014-0466-5", "ISBN" : "0098-0331", "ISSN" : "15731561", "PMID" : "24944001", "abstract" : "Recently, a renewed interest in cytokinins (CKs) has allowed the characterization of these phytohormones as key regulatory molecules in plant biotic interactions. They have been proved to be instrumental in microbe- and insect-mediated plant phenotypes that can be either beneficial or detrimental for the host-plant. In parallel, insect endosymbiotic bacteria have emerged as key players in plant-insect interactions mediating directly or indirectly fundamental aspects of insect nutrition, such as insect feeding efficiency or the ability to manipulate plant physiology to overcome food nutritional imbalances. However, mechanisms that regulate CK production and the role played by insects and their endosymbionts remain largely unknown. Against this backdrop, studies on plant-associated bacteria have revealed fascinating and complex molecular mechanisms that lead to the production of bacterial CKs and the modulation of plant-borne CKs which ultimately result in profound metabolic and morphological plant modifications. This review highlights major strategies used by plant-associated bacteria that impact the CK homeostasis of their host-plant, to raise parallels with strategies used by phytophagous insects and to discuss the possible role played by endosymbiotic bacteria in these CK-mediated plant phenotypes. We hypothesize that insects employ a CK-mix production strategy that manipulates the phytohormonal balance of their host-plant and overtakes plant gene expression causing a metabolic and morphological habitat modification. In addition, insect endosymbiotic bacteria may prove to be instrumental in these manipulations through the production of bacterial CKs, including specific forms that challenge the CK-degrading capacity of the plant (thus ensuring persistent effects) and the CK-mediated plant defenses.", "author" : [ { "dropping-particle" : "", "family" : "Giron", "given" : "David", "non-dropping-particle" : "", "parse-names" : false, "suffix" : "" }, { "dropping-particle" : "", "family" : "Glevarec", "given" : "Ga\u00eblle", "non-dropping-particle" : "", "parse-names" : false, "suffix" : "" } ], "container-title" : "Journal of Chemical Ecology", "id" : "ITEM-1", "issue" : "7", "issued" : { "date-parts" : [ [ "2014" ] ] }, "page" : "826-835", "title" : "Cytokinin-Induced Phenotypes in Plant-Insect Interactions: Learning from the Bacterial World", "type" : "article-journal", "volume" : "40" }, "uris" : [ "http://www.mendeley.com/documents/?uuid=678b59d4-aac7-4593-8bbf-cc4280eaf8e4" ] }, { "id" : "ITEM-2", "itemData" : { "author" : [ { "dropping-particle" : "", "family" : "Sp\u00edchal", "given" : "Luk\u00e1\u0161", "non-dropping-particle" : "", "parse-names" : false, "suffix" : "" } ], "container-title" : "Functional Plant Biology", "id" : "ITEM-2", "issued" : { "date-parts" : [ [ "2012" ] ] }, "page" : "267-284", "title" : "Cytokinins \u2013 recent news and views of evolutionally old molecules", "type" : "article-journal", "volume" : "39" }, "uris" : [ "http://www.mendeley.com/documents/?uuid=d28f6974-ae7d-4476-9650-cad7d9544841" ] }, { "id" : "ITEM-3", "itemData" : { "DOI" : "10.1098/rspb.2010.0214", "author" : [ { "dropping-particle" : "", "family" : "Kaiser", "given" : "Wilfried", "non-dropping-particle" : "", "parse-names" : false, "suffix" : "" }, { "dropping-particle" : "", "family" : "Huguet", "given" : "Elisabeth", "non-dropping-particle" : "", "parse-names" : false, "suffix" : "" }, { "dropping-particle" : "", "family" : "Giron", "given" : "David", "non-dropping-particle" : "", "parse-names" : false, "suffix" : "" } ], "container-title" : "Proceedings of the Royal Society", "id" : "ITEM-3", "issued" : { "date-parts" : [ [ "2010" ] ] }, "title" : "Plant green-island phenotype induced by leaf-miners is mediated by bacterial symbionts", "type" : "article-journal" }, "uris" : [ "http://www.mendeley.com/documents/?uuid=3258c7f7-d6a3-438a-a2bc-39b5dfd243c8" ] }, { "id" : "ITEM-4", "itemData" : { "DOI" : "10.1098/rsbl.2007.0051", "author" : [ { "dropping-particle" : "", "family" : "Giron", "given" : "David", "non-dropping-particle" : "", "parse-names" : false, "suffix" : "" }, { "dropping-particle" : "", "family" : "Kaiser", "given" : "Wilfried", "non-dropping-particle" : "", "parse-names" : false, "suffix" : "" }, { "dropping-particle" : "", "family" : "Imbault", "given" : "Nadine", "non-dropping-particle" : "", "parse-names" : false, "suffix" : "" } ], "container-title" : "Biology Letters", "id" : "ITEM-4", "issue" : "April", "issued" : { "date-parts" : [ [ "2007" ] ] }, "page" : "340-343", "title" : "Cytokinin-mediated leaf manipulation by a leafminer caterpillar", "type" : "article-journal", "volume" : "3" }, "uris" : [ "http://www.mendeley.com/documents/?uuid=d654a448-4b79-4d52-b0f7-a968fed5db93" ] } ], "mendeley" : { "formattedCitation" : "[10\u201313]", "plainTextFormattedCitation" : "[10\u201313]", "previouslyFormattedCitation" : "[10\u201313]" }, "properties" : { "noteIndex" : 0 }, "schema" : "https://github.com/citation-style-language/schema/raw/master/csl-citation.json" }</w:instrText>
      </w:r>
      <w:r>
        <w:rPr>
          <w:highlight w:val="red"/>
          <w:lang w:val="en-GB"/>
        </w:rPr>
        <w:fldChar w:fldCharType="separate"/>
      </w:r>
      <w:r>
        <w:rPr>
          <w:highlight w:val="red"/>
          <w:lang w:val="en-GB"/>
        </w:rPr>
        <w:t>[10–13]</w:t>
      </w:r>
      <w:r>
        <w:rPr>
          <w:highlight w:val="red"/>
          <w:lang w:val="en-GB"/>
        </w:rPr>
        <w:fldChar w:fldCharType="end"/>
      </w:r>
      <w:r>
        <w:rPr>
          <w:highlight w:val="red"/>
          <w:lang w:val="en-GB"/>
        </w:rPr>
        <w:t>.</w:t>
      </w:r>
      <w:r>
        <w:rPr>
          <w:lang w:val="en-GB"/>
        </w:rPr>
        <w:t xml:space="preserve"> Many galling insects are known to have microbial associates that may be involved in gall development or facilitate herbivory, such as Ambrosia gall midges that are commonly associated with fungal symbionts </w:t>
      </w:r>
      <w:r>
        <w:rPr>
          <w:lang w:val="en-GB"/>
        </w:rPr>
        <w:fldChar w:fldCharType="begin" w:fldLock="1"/>
      </w:r>
      <w:r>
        <w:rPr>
          <w:lang w:val="en-GB"/>
        </w:rPr>
        <w:instrText xml:space="preserve">ADDIN CSL_CITATION { "citationItems" : [ { "id" : "ITEM-1", "itemData" : { "DOI" : "10.1186/s12870-015-0446-0", "ISSN" : "1471-2229 (Electronic)", "PMID" : "25849781", "abstract" : "BACKGROUND: The source and sink relationships between insect-induced galls and host plant leaves are interesting. In this research, we collected cup-like galls induced by Bruggmanniella sp. (Diptera: Cecidomyiidae) on host leaves of Litsea acuminata and assessed them to investigate source-sink relationships between galls and host leaves. We characterized several of their photosynthetic characteristics including chlorophyll fluorescence (Fv/Fm), stomatal conductance, and photosynthetic capacity, biochemical components such as total soluble sugar, starches, free amino acids, and soluble proteins. The structural analyses were performed under confocal, light, and scanning electron microscopies. RESULTS: Compared with host leaves, galls exhibited slightly lower chlorophyll fluorescence; however, stomatal conductance and photosynthetic capacity were not detected at all. Galls accumulated higher total soluble sugars and free amino acids but less soluble proteins than host leaves. No stomata was observed on exterior or interior gall surfaces under light or scanning electron microscopy, but their inner surfaces were covered with fungal hyphae. Confocal imagery showed a gradient of chloroplasts distribution between gall outer and inner surfaces. CONCLUSIONS: Our results strongly suggest that leaf-derived cecidomyiid galls are a type of chlorophyll-deficient non-leaf green tissue and consists on a novel sink in L. acuminate.", "author" : [ { "dropping-particle" : "", "family" : "Huang", "given" : "Meng-Yuan", "non-dropping-particle" : "", "parse-names" : false, "suffix" : "" }, { "dropping-particle" : "", "family" : "Huang", "given" : "Wen-Dar", "non-dropping-particle" : "", "parse-names" : false, "suffix" : "" }, { "dropping-particle" : "", "family" : "Chou", "given" : "Hsueh-Mei", "non-dropping-particle" : "", "parse-names" : false, "suffix" : "" }, { "dropping-particle" : "", "family" : "Chen", "given" : "Chang-Chang", "non-dropping-particle" : "", "parse-names" : false, "suffix" : "" }, { "dropping-particle" : "", "family" : "Chen", "given" : "Pei-Ju", "non-dropping-particle" : "", "parse-names" : false, "suffix" : "" }, { "dropping-particle" : "", "family" : "Chang", "given" : "Yung-Ta", "non-dropping-particle" : "", "parse-names" : false, "suffix" : "" }, { "dropping-particle" : "", "family" : "Yang", "given" : "Chi-Ming", "non-dropping-particle" : "", "parse-names" : false, "suffix" : "" } ], "container-title" : "BMC plant biology", "id" : "ITEM-1", "issued" : { "date-parts" : [ [ "2015" ] ] }, "page" : "61", "title" : "Structural, biochemical, and physiological characterization of photosynthesis in  leaf-derived cup-shaped galls on Litsea acuminata.", "type" : "article-journal", "volume" : "15" }, "uris" : [ "http://www.mendeley.com/documents/?uuid=c4095dc9-75a2-4b8a-8767-27379128f40c" ] }, { "id" : "ITEM-2", "itemData" : { "DOI" : "10.1111/mec.12421", "author" : [ { "dropping-particle" : "", "family" : "Hansen", "given" : "Allison K.", "non-dropping-particle" : "", "parse-names" : false, "suffix" : "" }, { "dropping-particle" : "", "family" : "Moran", "given" : "Nancy A.", "non-dropping-particle" : "", "parse-names" : false, "suffix" : "" } ], "container-title" : "Molecular Ecology", "id" : "ITEM-2", "issued" : { "date-parts" : [ [ "2014" ] ] }, "page" : "1473-1496", "title" : "The impact of microbial symbionts on host plant utilization by herbivorous insects", "type" : "article-journal", "volume" : "23" }, "uris" : [ "http://www.mendeley.com/documents/?uuid=f114c6b7-24a0-48f5-be3e-90d30988f4e6" ] } ], "mendeley" : { "formattedCitation" : "[14,15]", "plainTextFormattedCitation" : "[14,15]", "previouslyFormattedCitation" : "[14,15]" }, "properties" : { "noteIndex" : 0 }, "schema" : "https://github.com/citation-style-language/schema/raw/master/csl-citation.json" }</w:instrText>
      </w:r>
      <w:r>
        <w:rPr>
          <w:lang w:val="en-GB"/>
        </w:rPr>
        <w:fldChar w:fldCharType="separate"/>
      </w:r>
      <w:r>
        <w:rPr>
          <w:lang w:val="en-GB"/>
        </w:rPr>
        <w:t>[14,15]</w:t>
      </w:r>
      <w:r>
        <w:fldChar w:fldCharType="end"/>
      </w:r>
      <w:r>
        <w:rPr>
          <w:lang w:val="en-GB"/>
        </w:rPr>
        <w:t xml:space="preserve">. Furthermore, many microbial symbionts are able to synthesise phytohormones, chemicals known to be key elements in the plant-galling insect interaction </w:t>
      </w:r>
      <w:r>
        <w:rPr>
          <w:lang w:val="en-GB"/>
        </w:rPr>
        <w:fldChar w:fldCharType="begin" w:fldLock="1"/>
      </w:r>
      <w:r>
        <w:rPr>
          <w:lang w:val="en-GB"/>
        </w:rPr>
        <w:instrText xml:space="preserve">ADDIN CSL_CITATION { "citationItems" : [ { "id" : "ITEM-1", "itemData" : { "author" : [ { "dropping-particle" : "", "family" : "Sp\u00edchal", "given" : "Luk\u00e1\u0161", "non-dropping-particle" : "", "parse-names" : false, "suffix" : "" } ], "container-title" : "Functional Plant Biology", "id" : "ITEM-1", "issued" : { "date-parts" : [ [ "2012" ] ] }, "page" : "267-284", "title" : "Cytokinins \u2013 recent news and views of evolutionally old molecules", "type" : "article-journal", "volume" : "39" }, "uris" : [ "http://www.mendeley.com/documents/?uuid=d28f6974-ae7d-4476-9650-cad7d9544841" ] } ], "mendeley" : { "formattedCitation" : "[11]", "plainTextFormattedCitation" : "[11]", "previouslyFormattedCitation" : "[11]" }, "properties" : { "noteIndex" : 0 }, "schema" : "https://github.com/citation-style-language/schema/raw/master/csl-citation.json" }</w:instrText>
      </w:r>
      <w:r>
        <w:rPr>
          <w:lang w:val="en-GB"/>
        </w:rPr>
        <w:fldChar w:fldCharType="separate"/>
      </w:r>
      <w:r>
        <w:rPr>
          <w:lang w:val="en-GB"/>
        </w:rPr>
        <w:t>[11]</w:t>
      </w:r>
      <w:r>
        <w:rPr>
          <w:lang w:val="en-GB"/>
        </w:rPr>
        <w:fldChar w:fldCharType="end"/>
      </w:r>
      <w:r>
        <w:rPr>
          <w:lang w:val="en-GB"/>
        </w:rPr>
        <w:t>. Because the trait evolved multiple times, it is likely that the evolutionary process differs amongst lineages. Regardless of how it arose, it is clearly a successful life-history trait.</w:t>
      </w:r>
    </w:p>
    <w:p>
      <w:pPr>
        <w:pStyle w:val="151"/>
        <w:rPr>
          <w:lang w:val="en-GB"/>
        </w:rPr>
      </w:pPr>
      <w:r>
        <w:rPr>
          <w:lang w:val="en-GB"/>
        </w:rPr>
        <w:t>2.1. Adaptive Significance of the Galling Trait</w:t>
      </w:r>
    </w:p>
    <w:p>
      <w:pPr>
        <w:pStyle w:val="35"/>
        <w:rPr>
          <w:lang w:val="en-GB"/>
        </w:rPr>
      </w:pPr>
      <w:r>
        <w:rPr>
          <w:lang w:val="en-GB"/>
        </w:rPr>
        <w:t xml:space="preserve">Enhanced nutrition is considered to be </w:t>
      </w:r>
      <w:r>
        <w:rPr>
          <w:highlight w:val="red"/>
          <w:lang w:val="en-GB"/>
        </w:rPr>
        <w:t>an important</w:t>
      </w:r>
      <w:r>
        <w:rPr>
          <w:lang w:val="en-GB"/>
        </w:rPr>
        <w:t xml:space="preserve"> driving force behind the evolution of galling </w:t>
      </w:r>
      <w:r>
        <w:rPr>
          <w:highlight w:val="red"/>
          <w:lang w:val="en-GB"/>
        </w:rPr>
        <w:fldChar w:fldCharType="begin" w:fldLock="1"/>
      </w:r>
      <w:r>
        <w:rPr>
          <w:highlight w:val="red"/>
          <w:lang w:val="en-GB"/>
        </w:rPr>
        <w:instrText xml:space="preserve">ADDIN CSL_CITATION { "citationItems" : [ { "id" : "ITEM-1", "itemData" : { "author" : [ { "dropping-particle" : "", "family" : "Giron", "given" : "David", "non-dropping-particle" : "", "parse-names" : false, "suffix" : "" }, { "dropping-particle" : "", "family" : "Huguet", "given" : "Elisabeth", "non-dropping-particle" : "", "parse-names" : false, "suffix" : "" }, { "dropping-particle" : "", "family" : "Stone", "given" : "Graham N", "non-dropping-particle" : "", "parse-names" : false, "suffix" : "" }, { "dropping-particle" : "", "family" : "Body", "given" : "M\u00e9lanie", "non-dropping-particle" : "", "parse-names" : false, "suffix" : "" } ], "id" : "ITEM-1", "issued" : { "date-parts" : [ [ "2016" ] ] }, "page" : "70-89", "title" : "Insect-induced effects on plants and possible effectors used by galling and leaf-mining insects to manipulate their host-plant", "type" : "article-journal", "volume" : "84" }, "uris" : [ "http://www.mendeley.com/documents/?uuid=8d41ed37-82fe-4726-8afd-de09cdd44010" ] }, { "id" : "ITEM-2", "itemData" : { "DOI" : "10.1016/S0169-5347(03)00247-7", "ISSN" : "01695347", "author" : [ { "dropping-particle" : "", "family" : "Stone", "given" : "Graham N.", "non-dropping-particle" : "", "parse-names" : false, "suffix" : "" }, { "dropping-particle" : "", "family" : "Sch\u00f6nrogge", "given" : "Karsten", "non-dropping-particle" : "", "parse-names" : false, "suffix" : "" } ], "container-title" : "Trends in Ecology &amp; Evolution", "id" : "ITEM-2", "issue" : "10", "issued" : { "date-parts" : [ [ "2003", "10" ] ] }, "note" : "Discusses three primary hypotheses about the adaptive significance of insect gall morphology. Nutrition, Microenvironment and Enemies hypotheses.\n\n\nMany examples.", "page" : "512-522", "title" : "The adaptive significance of insect gall morphology", "type" : "article-journal", "volume" : "18" }, "uris" : [ "http://www.mendeley.com/documents/?uuid=e5d10388-e525-4f41-9532-cae87e53c754" ] } ], "mendeley" : { "formattedCitation" : "[1,16]", "plainTextFormattedCitation" : "[1,16]", "previouslyFormattedCitation" : "[1,16]" }, "properties" : { "noteIndex" : 0 }, "schema" : "https://github.com/citation-style-language/schema/raw/master/csl-citation.json" }</w:instrText>
      </w:r>
      <w:r>
        <w:rPr>
          <w:highlight w:val="red"/>
          <w:lang w:val="en-GB"/>
        </w:rPr>
        <w:fldChar w:fldCharType="separate"/>
      </w:r>
      <w:r>
        <w:rPr>
          <w:highlight w:val="red"/>
          <w:lang w:val="en-GB"/>
        </w:rPr>
        <w:t>[1,16]</w:t>
      </w:r>
      <w:r>
        <w:rPr>
          <w:highlight w:val="red"/>
        </w:rPr>
        <w:fldChar w:fldCharType="end"/>
      </w:r>
      <w:r>
        <w:rPr>
          <w:highlight w:val="red"/>
          <w:lang w:val="en-GB"/>
        </w:rPr>
        <w:t>.</w:t>
      </w:r>
      <w:r>
        <w:rPr>
          <w:lang w:val="en-GB"/>
        </w:rPr>
        <w:t xml:space="preserve"> There is a large diversity amongst gall types ranging from open pits or folds to structures which completely encase the insect, but all containing a nutritive tissue that is formed by redifferentiation of plant tissues </w:t>
      </w:r>
      <w:r>
        <w:rPr>
          <w:lang w:val="en-GB"/>
        </w:rPr>
        <w:fldChar w:fldCharType="begin" w:fldLock="1"/>
      </w:r>
      <w:r>
        <w:rPr>
          <w:lang w:val="en-GB"/>
        </w:rPr>
        <w:instrText xml:space="preserve">ADDIN CSL_CITATION { "citationItems" : [ { "id" : "ITEM-1", "itemData" : { "author" : [ { "dropping-particle" : "", "family" : "Giron", "given" : "David", "non-dropping-particle" : "", "parse-names" : false, "suffix" : "" }, { "dropping-particle" : "", "family" : "Huguet", "given" : "Elisabeth", "non-dropping-particle" : "", "parse-names" : false, "suffix" : "" }, { "dropping-particle" : "", "family" : "Stone", "given" : "Graham N", "non-dropping-particle" : "", "parse-names" : false, "suffix" : "" }, { "dropping-particle" : "", "family" : "Body", "given" : "M\u00e9lanie", "non-dropping-particle" : "", "parse-names" : false, "suffix" : "" } ], "id" : "ITEM-1", "issued" : { "date-parts" : [ [ "2016" ] ] }, "page" : "70-89", "title" : "Insect-induced effects on plants and possible effectors used by galling and leaf-mining insects to manipulate their host-plant", "type" : "article-journal", "volume" : "84" }, "uris" : [ "http://www.mendeley.com/documents/?uuid=8d41ed37-82fe-4726-8afd-de09cdd44010" ] }, { "id" : "ITEM-2", "itemData" : { "DOI" : "10.1016/S0169-5347(03)00247-7", "ISSN" : "01695347", "author" : [ { "dropping-particle" : "", "family" : "Stone", "given" : "Graham N.", "non-dropping-particle" : "", "parse-names" : false, "suffix" : "" }, { "dropping-particle" : "", "family" : "Sch\u00f6nrogge", "given" : "Karsten", "non-dropping-particle" : "", "parse-names" : false, "suffix" : "" } ], "container-title" : "Trends in Ecology &amp; Evolution", "id" : "ITEM-2", "issue" : "10", "issued" : { "date-parts" : [ [ "2003", "10" ] ] }, "note" : "Discusses three primary hypotheses about the adaptive significance of insect gall morphology. Nutrition, Microenvironment and Enemies hypotheses.\n\n\nMany examples.", "page" : "512-522", "title" : "The adaptive significance of insect gall morphology", "type" : "article-journal", "volume" : "18" }, "uris" : [ "http://www.mendeley.com/documents/?uuid=e5d10388-e525-4f41-9532-cae87e53c754" ] } ], "mendeley" : { "formattedCitation" : "[1,16]", "plainTextFormattedCitation" : "[1,16]", "previouslyFormattedCitation" : "[1,16]" }, "properties" : { "noteIndex" : 0 }, "schema" : "https://github.com/citation-style-language/schema/raw/master/csl-citation.json" }</w:instrText>
      </w:r>
      <w:r>
        <w:rPr>
          <w:lang w:val="en-GB"/>
        </w:rPr>
        <w:fldChar w:fldCharType="separate"/>
      </w:r>
      <w:r>
        <w:rPr>
          <w:lang w:val="en-GB"/>
        </w:rPr>
        <w:t>[1,16]</w:t>
      </w:r>
      <w:r>
        <w:fldChar w:fldCharType="end"/>
      </w:r>
      <w:r>
        <w:rPr>
          <w:lang w:val="en-GB"/>
        </w:rPr>
        <w:t xml:space="preserve">. The composition and structure of this zone varies among species, but do present a number of general features </w:t>
      </w:r>
      <w:r>
        <w:rPr>
          <w:lang w:val="en-GB"/>
        </w:rPr>
        <w:fldChar w:fldCharType="begin" w:fldLock="1"/>
      </w:r>
      <w:r>
        <w:rPr>
          <w:lang w:val="en-GB"/>
        </w:rPr>
        <w:instrText xml:space="preserve">ADDIN CSL_CITATION { "citationItems" : [ { "id" : "ITEM-1", "itemData" : { "author" : [ { "dropping-particle" : "", "family" : "Giron", "given" : "David", "non-dropping-particle" : "", "parse-names" : false, "suffix" : "" }, { "dropping-particle" : "", "family" : "Huguet", "given" : "Elisabeth", "non-dropping-particle" : "", "parse-names" : false, "suffix" : "" }, { "dropping-particle" : "", "family" : "Stone", "given" : "Graham N", "non-dropping-particle" : "", "parse-names" : false, "suffix" : "" }, { "dropping-particle" : "", "family" : "Body", "given" : "M\u00e9lanie", "non-dropping-particle" : "", "parse-names" : false, "suffix" : "" } ], "id" : "ITEM-1", "issued" : { "date-parts" : [ [ "2016" ] ] }, "page" : "70-89", "title" : "Insect-induced effects on plants and possible effectors used by galling and leaf-mining insects to manipulate their host-plant", "type" : "article-journal", "volume" : "84" }, "uris" : [ "http://www.mendeley.com/documents/?uuid=8d41ed37-82fe-4726-8afd-de09cdd44010" ] } ], "mendeley" : { "formattedCitation" : "[16]", "plainTextFormattedCitation" : "[16]", "previouslyFormattedCitation" : "[16]" }, "properties" : { "noteIndex" : 0 }, "schema" : "https://github.com/citation-style-language/schema/raw/master/csl-citation.json" }</w:instrText>
      </w:r>
      <w:r>
        <w:rPr>
          <w:lang w:val="en-GB"/>
        </w:rPr>
        <w:fldChar w:fldCharType="separate"/>
      </w:r>
      <w:r>
        <w:rPr>
          <w:lang w:val="en-GB"/>
        </w:rPr>
        <w:t>[16]</w:t>
      </w:r>
      <w:r>
        <w:fldChar w:fldCharType="end"/>
      </w:r>
      <w:r>
        <w:rPr>
          <w:lang w:val="en-GB"/>
        </w:rPr>
        <w:t xml:space="preserve">. The nutritive tissue is organelle-rich, frequently including visible nucleoli, enlarged or fragmented vacuoles, dense cytoplasm and high numbers of Golgi apparatus, endoplasmic reticulum and ribosomes which are traits indicative of the high metabolic status of these cells </w:t>
      </w:r>
      <w:r>
        <w:rPr>
          <w:lang w:val="en-GB"/>
        </w:rPr>
        <w:fldChar w:fldCharType="begin" w:fldLock="1"/>
      </w:r>
      <w:r>
        <w:rPr>
          <w:lang w:val="en-GB"/>
        </w:rPr>
        <w:instrText xml:space="preserve">ADDIN CSL_CITATION { "citationItems" : [ { "id" : "ITEM-1", "itemData" : { "DOI" : "10.1007/s00468-014-1014-1", "ISSN" : "09311890", "abstract" : "TreesStructure and Function \u00a9 Springer-Verlag Berlin Heidelberg 2014. 10.1007 / s00468 - 014 - 1014 - 1 . Original Paper. Resistant poplar genotypes inhibit pseudogall formation by the wooly poplar aphid, Phloeomyzus passerinii Sign. ... \\n", "author" : [ { "dropping-particle" : "", "family" : "Dardeau", "given" : "F.", "non-dropping-particle" : "", "parse-names" : false, "suffix" : "" }, { "dropping-particle" : "", "family" : "Deprost", "given" : "E.", "non-dropping-particle" : "", "parse-names" : false, "suffix" : "" }, { "dropping-particle" : "", "family" : "Laurans", "given" : "F.", "non-dropping-particle" : "", "parse-names" : false, "suffix" : "" }, { "dropping-particle" : "", "family" : "Lain\u00e9", "given" : "V.", "non-dropping-particle" : "", "parse-names" : false, "suffix" : "" }, { "dropping-particle" : "", "family" : "Lieutier", "given" : "F.", "non-dropping-particle" : "", "parse-names" : false, "suffix" : "" }, { "dropping-particle" : "", "family" : "Sall\u00e9", "given" : "A.", "non-dropping-particle" : "", "parse-names" : false, "suffix" : "" } ], "container-title" : "Trees", "id" : "ITEM-1", "issue" : "4", "issued" : { "date-parts" : [ [ "2014" ] ] }, "page" : "1007-1019", "title" : "Resistant poplar genotypes inhibit pseudogall formation by the wooly poplar aphid, phloeomyzus passerinii sign", "type" : "article-journal", "volume" : "28" }, "uris" : [ "http://www.mendeley.com/documents/?uuid=d2e4354c-52ca-4093-b989-2b946584baab" ] }, { "id" : "ITEM-2", "itemData" : { "DOI" : "10.1369/0022155414538265", "ISBN" : "0022155414", "ISSN" : "1551-5044", "PMID" : "24828626", "abstract" : "Histochemical analyses in plants are commonly performed on hand-made sections of fresh materials. The disadvantages of embedding in historesin, paraffin or paraplast\u00ae are the alterations to cellular contents, the high costs and few evident results, depending on the test. Polyethylene-glycol (PEG), as a low cost, hydrophilic medium that maintains most of the cellular features similar to fresh conditions, may be useful for obtaining good histochemical results in thinner and homogeneous sections. The current study aimed to compare the efficiency of PEG as an embedding medium for histochemical analyses of primary and secondary metabolites accumulation. Using hand-made sections of fresh samples (T1) as a comparison, we tested the influence of the use of Karnovsky's solution as a fixative (T2) versus embedding in PEG (T3). The samples herein analyzed comprise leaves, stems, seeds and insect galls of different plant species. Neither the Karnovsky's fixative nor the embedding in PEG altered the histochemical results for starch, lipids, terpenoids, proteins and reducing sugars in T1, T2, and T3. However, PEG binds to phenols, such as tannins, flavonoids and lignins, thereby presenting false negatives in T3.", "author" : [ { "dropping-particle" : "", "family" : "Ferreira", "given" : "Bruno G", "non-dropping-particle" : "", "parse-names" : false, "suffix" : "" }, { "dropping-particle" : "", "family" : "Teixeira", "given" : "Cristiane T", "non-dropping-particle" : "", "parse-names" : false, "suffix" : "" }, { "dropping-particle" : "", "family" : "Isaias", "given" : "Rosy M S", "non-dropping-particle" : "", "parse-names" : false, "suffix" : "" } ], "container-title" : "The journal of histochemistry and cytochemistry : official journal of the Histochemistry Society", "id" : "ITEM-2", "issue" : "8", "issued" : { "date-parts" : [ [ "2014", "5", "14" ] ] }, "page" : "577-583", "title" : "Efficiency of the Polyethylene-Glycol (PEG) Embedding Medium for Plant Histochemistry.", "type" : "article-journal", "volume" : "62" }, "uris" : [ "http://www.mendeley.com/documents/?uuid=2904f6f2-6714-4a39-bfe7-338ad97f30e9" ] }, { "id" : "ITEM-3", "itemData" : { "author" : [ { "dropping-particle" : "", "family" : "Ferreira", "given" : "Bruno G", "non-dropping-particle" : "", "parse-names" : false, "suffix" : "" }, { "dropping-particle" : "", "family" : "Isaias", "given" : "Rosy M S", "non-dropping-particle" : "", "parse-names" : false, "suffix" : "" } ], "container-title" : "Botany", "id" : "ITEM-3", "issue" : "91", "issued" : { "date-parts" : [ [ "2013" ] ] }, "note" : "Hyperplasy: the enlargement of an organ or tissue caused by an increase in the reproduction rate of its cells.\n\n\nHypertrophy: the enlargement of an organ or tissue from the increase in the size of its cells.\n\n\nCecidogenetic???", "page" : "752-760", "title" : "Developmental stem anatomy and tissue redifferentiation induced by a galling Lepidoptera on Marcetia taxifolia", "type" : "article-journal", "volume" : "760" }, "uris" : [ "http://www.mendeley.com/documents/?uuid=251d8324-c27d-4573-b043-3513ea8f0172" ] }, { "id" : "ITEM-4", "itemData" : { "DOI" : "10.1007/s00709-013-0519-6", "ISSN" : "1615-6102", "PMID" : "23779213", "abstract" : "Insect galls may present nutritive tissues with distinct cytological features related to the order of the gall inducer. Galling Lepidoptera larvae chew plant cells and induce the redifferentiation of parenchymatic cells into nutritive ones. The nutritive cells in the galls induced by a microlepidoptera on the leaves of Tibouchina pulchra (Cham.) Cogn. (Melastomataceae) are organelle-rich, with developed Golgi apparatus, endoplasmic reticulum, ribosomes, polyribosomes, mitochondria, plastids, and one great central or several fragmented vacuoles. The nonobservance of the nuclei in the nutritive cells deserves special attention, and confers a similarity between the nutritive cells and the vascular conductive ones. The great amount of rough endoplasmic reticulum, ribosomes, polyribosomes, and mitochondria is indicative of the high metabolic status of these cells. They are vascular cambium-like, with high protein synthesis and lipid storage. The proteins are essential to enzymatic metabolism, and secondarily, to larvae nutrition, similarly to the lipid droplets which confer energetic profile to these nutritive cells. The living enucleated cells receive mRNA from their neighbor ones, which may support the high metabolic profile of endoplasmic reticulum and ribosomes observed in galls. Thus, the nutritive cells are stimulated by the galling larvae activity, generating a new cell type, whose redifferentiation includes a mix of intrinsic and common plant pathways.", "author" : [ { "dropping-particle" : "", "family" : "Vecchi", "given" : "Claudia", "non-dropping-particle" : "", "parse-names" : false, "suffix" : "" }, { "dropping-particle" : "", "family" : "Menezes", "given" : "Nanuza Luiza", "non-dropping-particle" : "", "parse-names" : false, "suffix" : "" }, { "dropping-particle" : "", "family" : "Oliveira", "given" : "Denis Coelho", "non-dropping-particle" : "", "parse-names" : false, "suffix" : "" }, { "dropping-particle" : "", "family" : "Ferreira", "given" : "Bruno Garcia", "non-dropping-particle" : "", "parse-names" : false, "suffix" : "" }, { "dropping-particle" : "", "family" : "Isaias", "given" : "Rosy Mary Santos", "non-dropping-particle" : "", "parse-names" : false, "suffix" : "" } ], "container-title" : "Protoplasma", "id" : "ITEM-4", "issue" : "6", "issued" : { "date-parts" : [ [ "2013", "12" ] ] }, "page" : "1363-8", "title" : "The redifferentiation of nutritive cells in galls induced by Lepidoptera on Tibouchina pulchra (Cham.) Cogn. reveals predefined patterns of plant development.", "type" : "article-journal", "volume" : "250" }, "uris" : [ "http://www.mendeley.com/documents/?uuid=1af5773c-634e-4e93-8bf8-4762d536b38e" ] } ], "mendeley" : { "formattedCitation" : "[17\u201320]", "plainTextFormattedCitation" : "[17\u201320]", "previouslyFormattedCitation" : "[17\u201320]" }, "properties" : { "noteIndex" : 0 }, "schema" : "https://github.com/citation-style-language/schema/raw/master/csl-citation.json" }</w:instrText>
      </w:r>
      <w:r>
        <w:rPr>
          <w:lang w:val="en-GB"/>
        </w:rPr>
        <w:fldChar w:fldCharType="separate"/>
      </w:r>
      <w:r>
        <w:rPr>
          <w:lang w:val="en-GB"/>
        </w:rPr>
        <w:t>[17–20]</w:t>
      </w:r>
      <w:r>
        <w:fldChar w:fldCharType="end"/>
      </w:r>
      <w:r>
        <w:rPr>
          <w:lang w:val="en-GB"/>
        </w:rPr>
        <w:t xml:space="preserve">. Secondly, this tissue comprises high concentrations of lipids, proteins and carbohydrates which supports its function as an enhanced source of nutrition to the developing insect </w:t>
      </w:r>
      <w:r>
        <w:rPr>
          <w:lang w:val="en-GB"/>
        </w:rPr>
        <w:fldChar w:fldCharType="begin" w:fldLock="1"/>
      </w:r>
      <w:r>
        <w:rPr>
          <w:lang w:val="en-GB"/>
        </w:rPr>
        <w:instrText xml:space="preserve">ADDIN CSL_CITATION { "citationItems" : [ { "id" : "ITEM-1", "itemData" : { "DOI" : "10.1007/s00709-015-0937-8", "ISSN" : "0033183X", "author" : [ { "dropping-particle" : "", "family" : "Richardson", "given" : "Ryan A.", "non-dropping-particle" : "", "parse-names" : false, "suffix" : "" }, { "dropping-particle" : "", "family" : "Body", "given" : "M\u00e9lanie", "non-dropping-particle" : "", "parse-names" : false, "suffix" : "" }, { "dropping-particle" : "", "family" : "Warmund", "given" : "Michele R.", "non-dropping-particle" : "", "parse-names" : false, "suffix" : "" }, { "dropping-particle" : "", "family" : "Schultz", "given" : "Jack C.", "non-dropping-particle" : "", "parse-names" : false, "suffix" : "" }, { "dropping-particle" : "", "family" : "Appel", "given" : "Heidi M.", "non-dropping-particle" : "", "parse-names" : false, "suffix" : "" } ], "container-title" : "Protoplasma", "id" : "ITEM-1", "issued" : { "date-parts" : [ [ "2016" ] ] }, "page" : "1-14", "publisher" : "Protoplasma", "title" : "Morphometric analysis of young petiole galls on the narrow-leaf cottonwood, Populus angustifolia, by the sugarbeet root aphid, Pemphigus betae", "type" : "article-journal" }, "uris" : [ "http://www.mendeley.com/documents/?uuid=5de5f0bb-53c1-4bb5-8bea-9825108d97f4" ] }, { "id" : "ITEM-2", "itemData" : { "DOI" : "10.1007/s00709-015-0759-8", "ISSN" : "0033-183X", "author" : [ { "dropping-particle" : "", "family" : "Ferreira", "given" : "Bruno G.", "non-dropping-particle" : "", "parse-names" : false, "suffix" : "" }, { "dropping-particle" : "", "family" : "Carneiro", "given" : "Ren\u00ea G. S.", "non-dropping-particle" : "", "parse-names" : false, "suffix" : "" }, { "dropping-particle" : "", "family" : "Isaias", "given" : "Rosy M. S.", "non-dropping-particle" : "", "parse-names" : false, "suffix" : "" } ], "container-title" : "Protoplasma", "id" : "ITEM-2", "issued" : { "date-parts" : [ [ "2015" ] ] }, "title" : "Multivesicular bodies differentiate exclusively in nutritive fast-dividing cells in Marcetia taxifolia galls", "type" : "article-journal" }, "uris" : [ "http://www.mendeley.com/documents/?uuid=88b28b73-4c61-41ce-8eb4-6202399f3da1" ] } ], "mendeley" : { "formattedCitation" : "[21,22]", "plainTextFormattedCitation" : "[21,22]", "previouslyFormattedCitation" : "[21,22]" }, "properties" : { "noteIndex" : 0 }, "schema" : "https://github.com/citation-style-language/schema/raw/master/csl-citation.json" }</w:instrText>
      </w:r>
      <w:r>
        <w:rPr>
          <w:lang w:val="en-GB"/>
        </w:rPr>
        <w:fldChar w:fldCharType="separate"/>
      </w:r>
      <w:r>
        <w:rPr>
          <w:lang w:val="en-GB"/>
        </w:rPr>
        <w:t>[21,22]</w:t>
      </w:r>
      <w:r>
        <w:fldChar w:fldCharType="end"/>
      </w:r>
      <w:r>
        <w:rPr>
          <w:lang w:val="en-GB"/>
        </w:rPr>
        <w:t>.</w:t>
      </w:r>
    </w:p>
    <w:p>
      <w:pPr>
        <w:pStyle w:val="35"/>
        <w:rPr>
          <w:lang w:val="en-GB"/>
        </w:rPr>
      </w:pPr>
      <w:r>
        <w:rPr>
          <w:lang w:val="en-GB"/>
        </w:rPr>
        <w:t xml:space="preserve">Gall-inducing insects are able to manipulate the source-sink dynamics within their hosts and reconfigure their host’s metabolism </w:t>
      </w:r>
      <w:r>
        <w:rPr>
          <w:highlight w:val="red"/>
          <w:lang w:val="en-GB"/>
        </w:rPr>
        <w:fldChar w:fldCharType="begin" w:fldLock="1"/>
      </w:r>
      <w:r>
        <w:rPr>
          <w:highlight w:val="red"/>
          <w:lang w:val="en-GB"/>
        </w:rPr>
        <w:instrText xml:space="preserve">ADDIN CSL_CITATION { "citationItems" : [ { "id" : "ITEM-1", "itemData" : { "DOI" : "10.1186/s12870-015-0446-0", "ISSN" : "1471-2229 (Electronic)", "PMID" : "25849781", "abstract" : "BACKGROUND: The source and sink relationships between insect-induced galls and host plant leaves are interesting. In this research, we collected cup-like galls induced by Bruggmanniella sp. (Diptera: Cecidomyiidae) on host leaves of Litsea acuminata and assessed them to investigate source-sink relationships between galls and host leaves. We characterized several of their photosynthetic characteristics including chlorophyll fluorescence (Fv/Fm), stomatal conductance, and photosynthetic capacity, biochemical components such as total soluble sugar, starches, free amino acids, and soluble proteins. The structural analyses were performed under confocal, light, and scanning electron microscopies. RESULTS: Compared with host leaves, galls exhibited slightly lower chlorophyll fluorescence; however, stomatal conductance and photosynthetic capacity were not detected at all. Galls accumulated higher total soluble sugars and free amino acids but less soluble proteins than host leaves. No stomata was observed on exterior or interior gall surfaces under light or scanning electron microscopy, but their inner surfaces were covered with fungal hyphae. Confocal imagery showed a gradient of chloroplasts distribution between gall outer and inner surfaces. CONCLUSIONS: Our results strongly suggest that leaf-derived cecidomyiid galls are a type of chlorophyll-deficient non-leaf green tissue and consists on a novel sink in L. acuminate.", "author" : [ { "dropping-particle" : "", "family" : "Huang", "given" : "Meng-Yuan", "non-dropping-particle" : "", "parse-names" : false, "suffix" : "" }, { "dropping-particle" : "", "family" : "Huang", "given" : "Wen-Dar", "non-dropping-particle" : "", "parse-names" : false, "suffix" : "" }, { "dropping-particle" : "", "family" : "Chou", "given" : "Hsueh-Mei", "non-dropping-particle" : "", "parse-names" : false, "suffix" : "" }, { "dropping-particle" : "", "family" : "Chen", "given" : "Chang-Chang", "non-dropping-particle" : "", "parse-names" : false, "suffix" : "" }, { "dropping-particle" : "", "family" : "Chen", "given" : "Pei-Ju", "non-dropping-particle" : "", "parse-names" : false, "suffix" : "" }, { "dropping-particle" : "", "family" : "Chang", "given" : "Yung-Ta", "non-dropping-particle" : "", "parse-names" : false, "suffix" : "" }, { "dropping-particle" : "", "family" : "Yang", "given" : "Chi-Ming", "non-dropping-particle" : "", "parse-names" : false, "suffix" : "" } ], "container-title" : "BMC plant biology", "id" : "ITEM-1", "issued" : { "date-parts" : [ [ "2015" ] ] }, "page" : "61", "title" : "Structural, biochemical, and physiological characterization of photosynthesis in  leaf-derived cup-shaped galls on Litsea acuminata.", "type" : "article-journal", "volume" : "15" }, "uris" : [ "http://www.mendeley.com/documents/?uuid=c4095dc9-75a2-4b8a-8767-27379128f40c" ] }, { "id" : "ITEM-2", "itemData" : { "DOI" : "10.1093/pcp/pcv064", "ISSN" : "14719053", "PMID" : "25948810", "abstract" : "Plants have evolved complex defenses that allow them to protect themselves against pests and pathogens. However, there is relatively little information regarding the Eucalyptus defensome. Leptocybe invasa is one of the most damaging pests in global Eucalyptus forestry, and essentially nothing is known regarding the molecular mechanisms governing the interaction between the pest and host. The aim of the study was to investigate changes in the transcriptional landscape and terpene profile of a resistant and susceptible Eucalyptus genotype in an effort to improve our understanding of this interaction. We used RNA-seqencing to investigate transcriptional changes following L. invasa oviposition. Expression levels were validated using real-time quantitative PCR. Terpene profiles were investigated using gas chromatography coupled to mass spectometry on uninfested and oviposited leaves. We found 698 and 1,115 significantly differentially expressed genes from the resistant and susceptible interactions, respectively. Gene Ontology enrichment and Mapman analyses identified putative defense mechanisms including cell wall reinforcement, protease inhibitors, cell cycle suppression and regulatory hormone signaling pathways. There were significant differences in the mono- and sesquiterpene profiles between genotypes and between control and infested material. A model of the interaction between Eucalyptus and L. invasa was proposed from the transcriptomic and chemical data.", "author" : [ { "dropping-particle" : "", "family" : "Oates", "given" : "Caryn N.", "non-dropping-particle" : "", "parse-names" : false, "suffix" : "" }, { "dropping-particle" : "", "family" : "K\u00fclheim", "given" : "Carsten", "non-dropping-particle" : "", "parse-names" : false, "suffix" : "" }, { "dropping-particle" : "", "family" : "Myburg", "given" : "Alexander A.", "non-dropping-particle" : "", "parse-names" : false, "suffix" : "" }, { "dropping-particle" : "", "family" : "Slippers", "given" : "Bernard", "non-dropping-particle" : "", "parse-names" : false, "suffix" : "" }, { "dropping-particle" : "", "family" : "Naidoo", "given" : "Sanushka", "non-dropping-particle" : "", "parse-names" : false, "suffix" : "" } ], "container-title" : "Plant and Cell Physiology", "id" : "ITEM-2", "issue" : "7", "issued" : { "date-parts" : [ [ "2015" ] ] }, "page" : "1418-1428", "title" : "The transcriptome and terpene profile of Eucalyptus grandis reveals mechanisms of defense against the insect pest, Leptocybe invasa", "type" : "article-journal", "volume" : "56" }, "uris" : [ "http://www.mendeley.com/documents/?uuid=01746e54-05c6-45bc-b932-edb0fdda9828" ] }, { "id" : "ITEM-3", "itemData" : { "DOI" : "10.1111/ppl.12186", "ISSN" : "1399-3054", "PMID" : "24621096", "abstract" : "Three relevant hypotheses\u00a0-\u00a0nutrition, environment and the enemies hypothesis\u00a0-\u00a0often invoked to explore source and sink relationships between galls and their host plants are still under dispute. In this research, chlorophyll fluorescence, gas exchange capacity, stomatal conductance, total carbon and nitrogen, total soluble sugars and starches, and scanning and transmission electron microscopy of two types of galls were used to investigate source-sink relationships. Compared with host leaves, these galls demonstrated slightly lower chlorophyll fluorescence; however, gas exchange capacity and stomatal conductance were not detected at all. Scanning electron micrographs demonstrated that the abaxial epidermis of host leaves contain normal amounts of stomata, whereas no stomata were observed on the exterior and interior surfaces of both types of galls. In addition, gall inner surfaces were covered with many kinds of fungal hyphae. Gall total carbon (C) and nitrogen (N) levels were lower but the C/N ratio was higher in galls than host leaves. Both types of galls accumulated higher total soluble sugars and starches than host leaves. Transmission electron micrographs also revealed that both types of galls contain plastoglobuli and giant starch granules during gall development. Results strongly indicate that leaf-derived cecidomyiid galls are sinks in Machilus thunbergii leaves. However, it is perplexing how larvae cycle and balance CO2 and O2 in gall growth chambers without stomata.", "author" : [ { "dropping-particle" : "", "family" : "Huang", "given" : "Meng-Yuan", "non-dropping-particle" : "", "parse-names" : false, "suffix" : "" }, { "dropping-particle" : "", "family" : "Huang", "given" : "Wen-Dar", "non-dropping-particle" : "", "parse-names" : false, "suffix" : "" }, { "dropping-particle" : "", "family" : "Chou", "given" : "Hsueh-Mei", "non-dropping-particle" : "", "parse-names" : false, "suffix" : "" }, { "dropping-particle" : "", "family" : "Lin", "given" : "Kuan-Hung", "non-dropping-particle" : "", "parse-names" : false, "suffix" : "" }, { "dropping-particle" : "", "family" : "Chen", "given" : "Chang-Chang", "non-dropping-particle" : "", "parse-names" : false, "suffix" : "" }, { "dropping-particle" : "", "family" : "Chen", "given" : "Pei-Ju", "non-dropping-particle" : "", "parse-names" : false, "suffix" : "" }, { "dropping-particle" : "", "family" : "Chang", "given" : "Yung-Ta", "non-dropping-particle" : "", "parse-names" : false, "suffix" : "" }, { "dropping-particle" : "", "family" : "Yang", "given" : "Chi-Ming", "non-dropping-particle" : "", "parse-names" : false, "suffix" : "" } ], "container-title" : "Physiologia plantarum", "id" : "ITEM-3", "issued" : { "date-parts" : [ [ "2014", "3", "12" ] ] }, "title" : "Leaf-derived cecidomyiid galls are sinks in Machilus thunbergii (Lauraceae) leaves.", "type" : "article-journal" }, "uris" : [ "http://www.mendeley.com/documents/?uuid=7d75476f-fed1-4f2a-ae9f-7b803083e199" ] }, { "id" : "ITEM-4", "itemData" : { "DOI" : "10.1073/pnas.1220219110", "ISSN" : "1091-6490", "PMID" : "24067657", "abstract" : "Endoparasitism by gall-forming insects dramatically alters the plant phenotype by altering growth patterns and modifying plant organs in ways that appear to directly benefit the gall former. Because these morphological and physiological changes are linked to the presence of the insect, the induced phenotype is said to function as an extension of the parasite, albeit by unknown mechanisms. Here we report the gall-forming aphid-like parasite phylloxera, Daktulosphaira vitifoliae, induces stomata on the adaxial surface of grape leaves where stomata typically do not occur. We characterized the function of the phylloxera-induced stomata by tracing transport of assimilated carbon. Because induction of stomata suggests a significant manipulation of primary metabolism, we also characterized the gall transcriptome to infer the level of global reconfiguration of primary metabolism and the subsequent changes in downstream secondary metabolism. Phylloxera feeding induced stomata formation in proximity to the insect and promoted the assimilation and importation of carbon into the gall. Gene expression related to water, nutrient, and mineral transport; glycolysis; and fermentation increased in leaf-gall tissues. This shift from an autotrophic to a heterotrophic profile occurred concurrently with decreased gene expression for nonmevalonate and terpenoid synthesis and increased gene expression in shikimate and phenylpropanoid biosynthesis, secondary metabolite systems that alter defense status in grapes. These functional insect-induced stomata thus comprise part of an extended phenotype, whereby D. vitifoliae globally reprograms grape leaf development to alter patterns of primary metabolism, nutrient mobilization, and defense investment in favor of the galling habit.", "author" : [ { "dropping-particle" : "", "family" : "Nabity", "given" : "Paul D", "non-dropping-particle" : "", "parse-names" : false, "suffix" : "" }, { "dropping-particle" : "", "family" : "Haus", "given" : "Miranda J", "non-dropping-particle" : "", "parse-names" : false, "suffix" : "" }, { "dropping-particle" : "", "family" : "Berenbaum", "given" : "May R", "non-dropping-particle" : "", "parse-names" : false, "suffix" : "" }, { "dropping-particle" : "", "family" : "DeLucia", "given" : "Evan H", "non-dropping-particle" : "", "parse-names" : false, "suffix" : "" } ], "container-title" : "Proceedings of the National Academy of Sciences of the United States of America", "id" : "ITEM-4", "issue" : "41", "issued" : { "date-parts" : [ [ "2013", "10", "8" ] ] }, "page" : "16663-8", "title" : "Leaf-galling phylloxera on grapes reprograms host metabolism and morphology.", "type" : "article-journal", "volume" : "110" }, "uris" : [ "http://www.mendeley.com/documents/?uuid=aaac9007-2879-44f3-bf09-b98ddf69d3fc" ] }, { "id" : "ITEM-5", "itemData" : { "author" : [ { "dropping-particle" : "", "family" : "Rawat", "given" : "Nidhi", "non-dropping-particle" : "", "parse-names" : false, "suffix" : "" }, { "dropping-particle" : "", "family" : "Neeraja", "given" : "Chiruvuri Naga", "non-dropping-particle" : "", "parse-names" : false, "suffix" : "" }, { "dropping-particle" : "", "family" : "Nair", "given" : "Suresh", "non-dropping-particle" : "", "parse-names" : false, "suffix" : "" }, { "dropping-particle" : "", "family" : "Bentur", "given" : "Jagadish S", "non-dropping-particle" : "", "parse-names" : false, "suffix" : "" } ], "id" : "ITEM-5", "issued" : { "date-parts" : [ [ "2012" ] ] }, "page" : "1-16", "title" : "Differential gene expression in gall midge susceptible rice genotypes revealed by suppressive subtraction hybridization ( SSH ) cDNA libraries and microarray analysis", "type" : "article-journal" }, "uris" : [ "http://www.mendeley.com/documents/?uuid=90168d55-9c8a-4b06-83d6-6cd91051e310" ] }, { "id" : "ITEM-6", "itemData" : { "DOI" : "10.1007/s00442-011-2033-x", "ISBN" : "1432-1939", "ISSN" : "00298549", "PMID" : "21667296", "abstract" : "We examined how the galling aphid Pemphigus batae manipulates resource translocation patterns of resistant and susceptible narrowleaf cottonwood Populus angustifolia. Using carbon-14 ((14)C)-labeling experiments in common garden trials, five patterns emerged. First, although aphid galls on resistant and susceptible genotypes did not differ in their capacity to intercept assimilates exported from the leaf they occupied, aphids sequestered 5.8-fold more assimilates from surrounding leaves on susceptible tree genotypes compared to resistant genotypes. Second, gall sinks on the same side of a shoot as a labeled leaf were 3.4-fold stronger than gall sinks on the opposite side of a shoot, which agrees with patterns of vascular connections among leaves of the same shoot (orthostichy). Third, plant genetic-based traits accounted for 26% of the variation in sink strength of gall sinks and 41% of the variation in sink strength of a plant's own bud sinks. Fourth, tree susceptibility to aphid gall formation accounted for 63% of the variation in (14)C import, suggesting strong genetic control of sink-source relationships. Fifth, competition between two galls was observed on a susceptible but not a resistant tree. On the susceptible tree distal aphids intercepted 1.5-fold more (14)C from the occupied leaf than did basal aphids, but basal aphids compensated for the presence of a distal competitor by almost doubling import to the gall from surrounding leaves. These findings and others, aimed at identifying candidate genes for resistance, argue the importance of including plant genetics in future studies of the manipulation of translocation patterns by phytophageous insects.", "author" : [ { "dropping-particle" : "", "family" : "Compson", "given" : "Zacchaeus G.", "non-dropping-particle" : "", "parse-names" : false, "suffix" : "" }, { "dropping-particle" : "", "family" : "Larson", "given" : "Katherine C.", "non-dropping-particle" : "", "parse-names" : false, "suffix" : "" }, { "dropping-particle" : "", "family" : "Zinkgraf", "given" : "Matthew S.", "non-dropping-particle" : "", "parse-names" : false, "suffix" : "" }, { "dropping-particle" : "", "family" : "Whitham", "given" : "Thomas G.", "non-dropping-particle" : "", "parse-names" : false, "suffix" : "" } ], "container-title" : "Oecologia", "id" : "ITEM-6", "issue" : "3", "issued" : { "date-parts" : [ [ "2011" ] ] }, "page" : "711-721", "title" : "A genetic basis for the manipulation of sink-source relationships by the galling aphid Pemphigus batae", "type" : "article-journal", "volume" : "167" }, "uris" : [ "http://www.mendeley.com/documents/?uuid=aff5fce4-9575-4380-a2a5-69fb9a6bb9a7" ] }, { "id" : "ITEM-7", "itemData" : { "DOI" : "10.1007/s10886-007-9382-2", "ISBN" : "0098-0331 (Print)\\r0098-0331 (Linking)", "ISSN" : "00980331", "PMID" : "18058177", "abstract" : "Wheat and its relatives possess a number of resistance (R) genes specific for the Hessian fly (HF) [Mayetiola destructor (Say)]. HF populations overcome R gene resistance by evolving virulence. Virulent HF larvae manipulate the plant to produce a nutritionally enhanced feeding tissue and, probably, also suppress plant defense responses. Using two wheat R genes, H9 and H13, and three HF strains (biotypes) differing in virulence for H9 and H13, we conducted a genome-wide transcriptional analysis of gene expression during compatible interactions with virulent larvae and incompatible interactions with avirulent larvae. During both types of interactions, a large number of genes (&gt;1,000) showed alterations in gene expression. Analysis of genes with known functions revealed that major targets for differential regulation were genes that encoded defense proteins or enzymes involved in the phenylpropanoid, cell wall, and lipid metabolism pathways. A combination of the enhancement of antibiosis defense, the evasion of nutrient metabolism induction, and the fortification and expansion of the cell wall are likely the collective mechanism for host-plant resistance observed during incompatible interactions. To overcome this resistance, virulent larvae appeared to suppress antibiosis defense while inducing nutrient metabolism, weakening cell wall, and inhibiting plant growth.", "author" : [ { "dropping-particle" : "", "family" : "Liu", "given" : "Xuming", "non-dropping-particle" : "", "parse-names" : false, "suffix" : "" }, { "dropping-particle" : "", "family" : "Bai", "given" : "Jianfa", "non-dropping-particle" : "", "parse-names" : false, "suffix" : "" }, { "dropping-particle" : "", "family" : "Huang", "given" : "Li", "non-dropping-particle" : "", "parse-names" : false, "suffix" : "" }, { "dropping-particle" : "", "family" : "Zhu", "given" : "Lieceng", "non-dropping-particle" : "", "parse-names" : false, "suffix" : "" }, { "dropping-particle" : "", "family" : "Liu", "given" : "Xiang", "non-dropping-particle" : "", "parse-names" : false, "suffix" : "" }, { "dropping-particle" : "", "family" : "Weng", "given" : "Nanyan", "non-dropping-particle" : "", "parse-names" : false, "suffix" : "" }, { "dropping-particle" : "", "family" : "Reese", "given" : "John C.", "non-dropping-particle" : "", "parse-names" : false, "suffix" : "" }, { "dropping-particle" : "", "family" : "Harris", "given" : "Marion", "non-dropping-particle" : "", "parse-names" : false, "suffix" : "" }, { "dropping-particle" : "", "family" : "Stuart", "given" : "Jeffrey J.", "non-dropping-particle" : "", "parse-names" : false, "suffix" : "" }, { "dropping-particle" : "", "family" : "Chen", "given" : "Ming Shun", "non-dropping-particle" : "", "parse-names" : false, "suffix" : "" } ], "container-title" : "Journal of Chemical Ecology", "id" : "ITEM-7", "issue" : "12", "issued" : { "date-parts" : [ [ "2007" ] ] }, "page" : "2171-2194", "title" : "Gene expression of different wheat genotypes during attack by virulent and avirulent Hessian fly (Mayetiola destructor) larvae", "type" : "article-journal", "volume" : "33" }, "uris" : [ "http://www.mendeley.com/documents/?uuid=d1e91447-4a9f-4fa4-91f5-33d2bebbbb19" ] }, { "id" : "ITEM-8", "itemData" : { "DOI" : "10.1007/s10886-008-9544-x", "ISSN" : "00980331", "PMID" : "18841417", "abstract" : "Gall-forming insects induce host plants to form specialized structures (galls) that provide immature life stages of the insect access to host plant nutrients and protection from natural enemies. Feeding by larvae of the Hessian fly (Mayetiola destructor Say) causes susceptible host wheat plants to produce a gall-like nutritive tissue that supports larval growth and development. To determine if changes in host plant free amino acid levels are associated with virulent Biotype L Hessian fly larval feeding, we quantified free amino acid levels in crown tissues of susceptible Newton wheat plants 1, 4, and 7 days after Hessian fly egg hatch. Hessian fly-infested susceptible plants were more responsive than resistant plants or uninfested controls, showing higher concentrations of alanine, glutamic acid, glycine, phenylalanine, proline, and serine 4 days after egg hatch. This 4-day post-hatch time point corresponds to the maturation of nutritive tissue cells in susceptible plants and the onset of rapid larval growth. By 7 days after egg hatch, when virulent second instars are actively feeding on the contents of nutritive tissue cells, the aromatic amino acids phenylalanine and tyrosine were more abundant compared to uninfested controls, but the levels of other free amino acids were no longer elevated. Changes in free amino acid abundance described in this report were associated with increased levels of mRNA encoded by wheat genes involved in amino acid synthesis and transport.", "author" : [ { "dropping-particle" : "", "family" : "Saltzmann", "given" : "Kurt D.", "non-dropping-particle" : "", "parse-names" : false, "suffix" : "" }, { "dropping-particle" : "", "family" : "Giovanini", "given" : "Marcelo P.", "non-dropping-particle" : "", "parse-names" : false, "suffix" : "" }, { "dropping-particle" : "", "family" : "Zheng", "given" : "Cheng", "non-dropping-particle" : "", "parse-names" : false, "suffix" : "" }, { "dropping-particle" : "", "family" : "Williams", "given" : "Christie E.", "non-dropping-particle" : "", "parse-names" : false, "suffix" : "" } ], "container-title" : "Journal of Chemical Ecology", "id" : "ITEM-8", "issue" : "11", "issued" : { "date-parts" : [ [ "2008" ] ] }, "page" : "1401-1410", "title" : "Virulent hessian fly larvae manipulate the free amino acid content of host wheat plants", "type" : "article-journal", "volume" : "34" }, "uris" : [ "http://www.mendeley.com/documents/?uuid=19bd5cbd-171c-4897-969d-4c10cc0edf09" ] } ], "mendeley" : { "formattedCitation" : "[14,23\u201329]", "plainTextFormattedCitation" : "[14,23\u201329]", "previouslyFormattedCitation" : "[14,23\u201329]" }, "properties" : { "noteIndex" : 0 }, "schema" : "https://github.com/citation-style-language/schema/raw/master/csl-citation.json" }</w:instrText>
      </w:r>
      <w:r>
        <w:rPr>
          <w:highlight w:val="red"/>
          <w:lang w:val="en-GB"/>
        </w:rPr>
        <w:fldChar w:fldCharType="separate"/>
      </w:r>
      <w:r>
        <w:rPr>
          <w:highlight w:val="red"/>
          <w:lang w:val="en-GB"/>
        </w:rPr>
        <w:t>[14,23–29]</w:t>
      </w:r>
      <w:r>
        <w:rPr>
          <w:highlight w:val="red"/>
        </w:rPr>
        <w:fldChar w:fldCharType="end"/>
      </w:r>
      <w:r>
        <w:rPr>
          <w:lang w:val="en-GB"/>
        </w:rPr>
        <w:t xml:space="preserve">. Transcriptomic studies of a variety of plant-galling insect interactions have described general up-regulated expression of primary metabolism and nutrient transport in the plant, as well as down-regulation of defence-associated processes. These studies include interactions between the blue gum chalcid and </w:t>
      </w:r>
      <w:r>
        <w:rPr>
          <w:i/>
          <w:lang w:val="en-GB"/>
        </w:rPr>
        <w:t>Eucalyptus</w:t>
      </w:r>
      <w:r>
        <w:rPr>
          <w:lang w:val="en-GB"/>
        </w:rPr>
        <w:t xml:space="preserve"> </w:t>
      </w:r>
      <w:r>
        <w:rPr>
          <w:lang w:val="en-GB"/>
        </w:rPr>
        <w:fldChar w:fldCharType="begin" w:fldLock="1"/>
      </w:r>
      <w:r>
        <w:rPr>
          <w:lang w:val="en-GB"/>
        </w:rPr>
        <w:instrText xml:space="preserve">ADDIN CSL_CITATION { "citationItems" : [ { "id" : "ITEM-1", "itemData" : { "DOI" : "10.1093/pcp/pcv064", "ISSN" : "14719053", "PMID" : "25948810", "abstract" : "Plants have evolved complex defenses that allow them to protect themselves against pests and pathogens. However, there is relatively little information regarding the Eucalyptus defensome. Leptocybe invasa is one of the most damaging pests in global Eucalyptus forestry, and essentially nothing is known regarding the molecular mechanisms governing the interaction between the pest and host. The aim of the study was to investigate changes in the transcriptional landscape and terpene profile of a resistant and susceptible Eucalyptus genotype in an effort to improve our understanding of this interaction. We used RNA-seqencing to investigate transcriptional changes following L. invasa oviposition. Expression levels were validated using real-time quantitative PCR. Terpene profiles were investigated using gas chromatography coupled to mass spectometry on uninfested and oviposited leaves. We found 698 and 1,115 significantly differentially expressed genes from the resistant and susceptible interactions, respectively. Gene Ontology enrichment and Mapman analyses identified putative defense mechanisms including cell wall reinforcement, protease inhibitors, cell cycle suppression and regulatory hormone signaling pathways. There were significant differences in the mono- and sesquiterpene profiles between genotypes and between control and infested material. A model of the interaction between Eucalyptus and L. invasa was proposed from the transcriptomic and chemical data.", "author" : [ { "dropping-particle" : "", "family" : "Oates", "given" : "Caryn N.", "non-dropping-particle" : "", "parse-names" : false, "suffix" : "" }, { "dropping-particle" : "", "family" : "K\u00fclheim", "given" : "Carsten", "non-dropping-particle" : "", "parse-names" : false, "suffix" : "" }, { "dropping-particle" : "", "family" : "Myburg", "given" : "Alexander A.", "non-dropping-particle" : "", "parse-names" : false, "suffix" : "" }, { "dropping-particle" : "", "family" : "Slippers", "given" : "Bernard", "non-dropping-particle" : "", "parse-names" : false, "suffix" : "" }, { "dropping-particle" : "", "family" : "Naidoo", "given" : "Sanushka", "non-dropping-particle" : "", "parse-names" : false, "suffix" : "" } ], "container-title" : "Plant and Cell Physiology", "id" : "ITEM-1", "issue" : "7", "issued" : { "date-parts" : [ [ "2015" ] ] }, "page" : "1418-1428", "title" : "The transcriptome and terpene profile of Eucalyptus grandis reveals mechanisms of defense against the insect pest, Leptocybe invasa", "type" : "article-journal", "volume" : "56" }, "uris" : [ "http://www.mendeley.com/documents/?uuid=01746e54-05c6-45bc-b932-edb0fdda9828" ] } ], "mendeley" : { "formattedCitation" : "[23]", "plainTextFormattedCitation" : "[23]", "previouslyFormattedCitation" : "[23]" }, "properties" : { "noteIndex" : 0 }, "schema" : "https://github.com/citation-style-language/schema/raw/master/csl-citation.json" }</w:instrText>
      </w:r>
      <w:r>
        <w:rPr>
          <w:lang w:val="en-GB"/>
        </w:rPr>
        <w:fldChar w:fldCharType="separate"/>
      </w:r>
      <w:r>
        <w:rPr>
          <w:lang w:val="en-GB"/>
        </w:rPr>
        <w:t>[23]</w:t>
      </w:r>
      <w:r>
        <w:fldChar w:fldCharType="end"/>
      </w:r>
      <w:r>
        <w:rPr>
          <w:lang w:val="en-GB"/>
        </w:rPr>
        <w:t xml:space="preserve">, phylloxera and grape </w:t>
      </w:r>
      <w:r>
        <w:rPr>
          <w:lang w:val="en-GB"/>
        </w:rPr>
        <w:fldChar w:fldCharType="begin" w:fldLock="1"/>
      </w:r>
      <w:r>
        <w:rPr>
          <w:lang w:val="en-GB"/>
        </w:rPr>
        <w:instrText xml:space="preserve">ADDIN CSL_CITATION { "citationItems" : [ { "id" : "ITEM-1", "itemData" : { "DOI" : "10.1073/pnas.1220219110", "ISSN" : "1091-6490", "PMID" : "24067657", "abstract" : "Endoparasitism by gall-forming insects dramatically alters the plant phenotype by altering growth patterns and modifying plant organs in ways that appear to directly benefit the gall former. Because these morphological and physiological changes are linked to the presence of the insect, the induced phenotype is said to function as an extension of the parasite, albeit by unknown mechanisms. Here we report the gall-forming aphid-like parasite phylloxera, Daktulosphaira vitifoliae, induces stomata on the adaxial surface of grape leaves where stomata typically do not occur. We characterized the function of the phylloxera-induced stomata by tracing transport of assimilated carbon. Because induction of stomata suggests a significant manipulation of primary metabolism, we also characterized the gall transcriptome to infer the level of global reconfiguration of primary metabolism and the subsequent changes in downstream secondary metabolism. Phylloxera feeding induced stomata formation in proximity to the insect and promoted the assimilation and importation of carbon into the gall. Gene expression related to water, nutrient, and mineral transport; glycolysis; and fermentation increased in leaf-gall tissues. This shift from an autotrophic to a heterotrophic profile occurred concurrently with decreased gene expression for nonmevalonate and terpenoid synthesis and increased gene expression in shikimate and phenylpropanoid biosynthesis, secondary metabolite systems that alter defense status in grapes. These functional insect-induced stomata thus comprise part of an extended phenotype, whereby D. vitifoliae globally reprograms grape leaf development to alter patterns of primary metabolism, nutrient mobilization, and defense investment in favor of the galling habit.", "author" : [ { "dropping-particle" : "", "family" : "Nabity", "given" : "Paul D", "non-dropping-particle" : "", "parse-names" : false, "suffix" : "" }, { "dropping-particle" : "", "family" : "Haus", "given" : "Miranda J", "non-dropping-particle" : "", "parse-names" : false, "suffix" : "" }, { "dropping-particle" : "", "family" : "Berenbaum", "given" : "May R", "non-dropping-particle" : "", "parse-names" : false, "suffix" : "" }, { "dropping-particle" : "", "family" : "DeLucia", "given" : "Evan H", "non-dropping-particle" : "", "parse-names" : false, "suffix" : "" } ], "container-title" : "Proceedings of the National Academy of Sciences of the United States of America", "id" : "ITEM-1", "issue" : "41", "issued" : { "date-parts" : [ [ "2013", "10", "8" ] ] }, "page" : "16663-8", "title" : "Leaf-galling phylloxera on grapes reprograms host metabolism and morphology.", "type" : "article-journal", "volume" : "110" }, "uris" : [ "http://www.mendeley.com/documents/?uuid=aaac9007-2879-44f3-bf09-b98ddf69d3fc" ] } ], "mendeley" : { "formattedCitation" : "[25]", "plainTextFormattedCitation" : "[25]", "previouslyFormattedCitation" : "[25]" }, "properties" : { "noteIndex" : 0 }, "schema" : "https://github.com/citation-style-language/schema/raw/master/csl-citation.json" }</w:instrText>
      </w:r>
      <w:r>
        <w:rPr>
          <w:lang w:val="en-GB"/>
        </w:rPr>
        <w:fldChar w:fldCharType="separate"/>
      </w:r>
      <w:r>
        <w:rPr>
          <w:lang w:val="en-GB"/>
        </w:rPr>
        <w:t>[25]</w:t>
      </w:r>
      <w:r>
        <w:fldChar w:fldCharType="end"/>
      </w:r>
      <w:r>
        <w:rPr>
          <w:lang w:val="en-GB"/>
        </w:rPr>
        <w:t xml:space="preserve">, the Asian rice gall midge and rice </w:t>
      </w:r>
      <w:r>
        <w:rPr>
          <w:lang w:val="en-GB"/>
        </w:rPr>
        <w:fldChar w:fldCharType="begin" w:fldLock="1"/>
      </w:r>
      <w:r>
        <w:rPr>
          <w:lang w:val="en-GB"/>
        </w:rPr>
        <w:instrText xml:space="preserve">ADDIN CSL_CITATION { "citationItems" : [ { "id" : "ITEM-1", "itemData" : { "author" : [ { "dropping-particle" : "", "family" : "Rawat", "given" : "Nidhi", "non-dropping-particle" : "", "parse-names" : false, "suffix" : "" }, { "dropping-particle" : "", "family" : "Neeraja", "given" : "Chiruvuri Naga", "non-dropping-particle" : "", "parse-names" : false, "suffix" : "" }, { "dropping-particle" : "", "family" : "Nair", "given" : "Suresh", "non-dropping-particle" : "", "parse-names" : false, "suffix" : "" }, { "dropping-particle" : "", "family" : "Bentur", "given" : "Jagadish S", "non-dropping-particle" : "", "parse-names" : false, "suffix" : "" } ], "id" : "ITEM-1", "issued" : { "date-parts" : [ [ "2012" ] ] }, "page" : "1-16", "title" : "Differential gene expression in gall midge susceptible rice genotypes revealed by suppressive subtraction hybridization ( SSH ) cDNA libraries and microarray analysis", "type" : "article-journal" }, "uris" : [ "http://www.mendeley.com/documents/?uuid=90168d55-9c8a-4b06-83d6-6cd91051e310" ] } ], "mendeley" : { "formattedCitation" : "[26]", "plainTextFormattedCitation" : "[26]", "previouslyFormattedCitation" : "[26]" }, "properties" : { "noteIndex" : 0 }, "schema" : "https://github.com/citation-style-language/schema/raw/master/csl-citation.json" }</w:instrText>
      </w:r>
      <w:r>
        <w:rPr>
          <w:lang w:val="en-GB"/>
        </w:rPr>
        <w:fldChar w:fldCharType="separate"/>
      </w:r>
      <w:r>
        <w:rPr>
          <w:lang w:val="en-GB"/>
        </w:rPr>
        <w:t>[26]</w:t>
      </w:r>
      <w:r>
        <w:fldChar w:fldCharType="end"/>
      </w:r>
      <w:r>
        <w:rPr>
          <w:lang w:val="en-GB"/>
        </w:rPr>
        <w:t xml:space="preserve"> and the Hessian fly and wheat </w:t>
      </w:r>
      <w:r>
        <w:rPr>
          <w:lang w:val="en-GB"/>
        </w:rPr>
        <w:fldChar w:fldCharType="begin" w:fldLock="1"/>
      </w:r>
      <w:r>
        <w:rPr>
          <w:lang w:val="en-GB"/>
        </w:rPr>
        <w:instrText xml:space="preserve">ADDIN CSL_CITATION { "citationItems" : [ { "id" : "ITEM-1", "itemData" : { "DOI" : "10.1007/s10886-007-9382-2", "ISBN" : "0098-0331 (Print)\\r0098-0331 (Linking)", "ISSN" : "00980331", "PMID" : "18058177", "abstract" : "Wheat and its relatives possess a number of resistance (R) genes specific for the Hessian fly (HF) [Mayetiola destructor (Say)]. HF populations overcome R gene resistance by evolving virulence. Virulent HF larvae manipulate the plant to produce a nutritionally enhanced feeding tissue and, probably, also suppress plant defense responses. Using two wheat R genes, H9 and H13, and three HF strains (biotypes) differing in virulence for H9 and H13, we conducted a genome-wide transcriptional analysis of gene expression during compatible interactions with virulent larvae and incompatible interactions with avirulent larvae. During both types of interactions, a large number of genes (&gt;1,000) showed alterations in gene expression. Analysis of genes with known functions revealed that major targets for differential regulation were genes that encoded defense proteins or enzymes involved in the phenylpropanoid, cell wall, and lipid metabolism pathways. A combination of the enhancement of antibiosis defense, the evasion of nutrient metabolism induction, and the fortification and expansion of the cell wall are likely the collective mechanism for host-plant resistance observed during incompatible interactions. To overcome this resistance, virulent larvae appeared to suppress antibiosis defense while inducing nutrient metabolism, weakening cell wall, and inhibiting plant growth.", "author" : [ { "dropping-particle" : "", "family" : "Liu", "given" : "Xuming", "non-dropping-particle" : "", "parse-names" : false, "suffix" : "" }, { "dropping-particle" : "", "family" : "Bai", "given" : "Jianfa", "non-dropping-particle" : "", "parse-names" : false, "suffix" : "" }, { "dropping-particle" : "", "family" : "Huang", "given" : "Li", "non-dropping-particle" : "", "parse-names" : false, "suffix" : "" }, { "dropping-particle" : "", "family" : "Zhu", "given" : "Lieceng", "non-dropping-particle" : "", "parse-names" : false, "suffix" : "" }, { "dropping-particle" : "", "family" : "Liu", "given" : "Xiang", "non-dropping-particle" : "", "parse-names" : false, "suffix" : "" }, { "dropping-particle" : "", "family" : "Weng", "given" : "Nanyan", "non-dropping-particle" : "", "parse-names" : false, "suffix" : "" }, { "dropping-particle" : "", "family" : "Reese", "given" : "John C.", "non-dropping-particle" : "", "parse-names" : false, "suffix" : "" }, { "dropping-particle" : "", "family" : "Harris", "given" : "Marion", "non-dropping-particle" : "", "parse-names" : false, "suffix" : "" }, { "dropping-particle" : "", "family" : "Stuart", "given" : "Jeffrey J.", "non-dropping-particle" : "", "parse-names" : false, "suffix" : "" }, { "dropping-particle" : "", "family" : "Chen", "given" : "Ming Shun", "non-dropping-particle" : "", "parse-names" : false, "suffix" : "" } ], "container-title" : "Journal of Chemical Ecology", "id" : "ITEM-1", "issue" : "12", "issued" : { "date-parts" : [ [ "2007" ] ] }, "page" : "2171-2194", "title" : "Gene expression of different wheat genotypes during attack by virulent and avirulent Hessian fly (Mayetiola destructor) larvae", "type" : "article-journal", "volume" : "33" }, "uris" : [ "http://www.mendeley.com/documents/?uuid=d1e91447-4a9f-4fa4-91f5-33d2bebbbb19" ] } ], "mendeley" : { "formattedCitation" : "[28]", "plainTextFormattedCitation" : "[28]", "previouslyFormattedCitation" : "[28]" }, "properties" : { "noteIndex" : 0 }, "schema" : "https://github.com/citation-style-language/schema/raw/master/csl-citation.json" }</w:instrText>
      </w:r>
      <w:r>
        <w:rPr>
          <w:lang w:val="en-GB"/>
        </w:rPr>
        <w:fldChar w:fldCharType="separate"/>
      </w:r>
      <w:r>
        <w:rPr>
          <w:lang w:val="en-GB"/>
        </w:rPr>
        <w:t>[28]</w:t>
      </w:r>
      <w:r>
        <w:fldChar w:fldCharType="end"/>
      </w:r>
      <w:r>
        <w:rPr>
          <w:lang w:val="en-GB"/>
        </w:rPr>
        <w:t xml:space="preserve">. </w:t>
      </w:r>
    </w:p>
    <w:p>
      <w:pPr>
        <w:pStyle w:val="35"/>
        <w:rPr>
          <w:lang w:val="en-GB"/>
        </w:rPr>
      </w:pPr>
      <w:r>
        <w:rPr>
          <w:lang w:val="en-GB"/>
        </w:rPr>
        <w:t xml:space="preserve">The ability of gallers to actively modify source-sink relationships in their hosts is reflected in a number of metabolomics studies that demonstrate altered nutrient allocation patterns during galling. </w:t>
      </w:r>
      <w:r>
        <w:rPr>
          <w:lang w:val="en-GB"/>
        </w:rPr>
        <w:fldChar w:fldCharType="begin" w:fldLock="1"/>
      </w:r>
      <w:r>
        <w:rPr>
          <w:lang w:val="en-GB"/>
        </w:rPr>
        <w:instrText xml:space="preserve">ADDIN CSL_CITATION { "citationItems" : [ { "id" : "ITEM-1", "itemData" : { "DOI" : "10.1073/pnas.1220219110", "ISSN" : "1091-6490", "PMID" : "24067657", "abstract" : "Endoparasitism by gall-forming insects dramatically alters the plant phenotype by altering growth patterns and modifying plant organs in ways that appear to directly benefit the gall former. Because these morphological and physiological changes are linked to the presence of the insect, the induced phenotype is said to function as an extension of the parasite, albeit by unknown mechanisms. Here we report the gall-forming aphid-like parasite phylloxera, Daktulosphaira vitifoliae, induces stomata on the adaxial surface of grape leaves where stomata typically do not occur. We characterized the function of the phylloxera-induced stomata by tracing transport of assimilated carbon. Because induction of stomata suggests a significant manipulation of primary metabolism, we also characterized the gall transcriptome to infer the level of global reconfiguration of primary metabolism and the subsequent changes in downstream secondary metabolism. Phylloxera feeding induced stomata formation in proximity to the insect and promoted the assimilation and importation of carbon into the gall. Gene expression related to water, nutrient, and mineral transport; glycolysis; and fermentation increased in leaf-gall tissues. This shift from an autotrophic to a heterotrophic profile occurred concurrently with decreased gene expression for nonmevalonate and terpenoid synthesis and increased gene expression in shikimate and phenylpropanoid biosynthesis, secondary metabolite systems that alter defense status in grapes. These functional insect-induced stomata thus comprise part of an extended phenotype, whereby D. vitifoliae globally reprograms grape leaf development to alter patterns of primary metabolism, nutrient mobilization, and defense investment in favor of the galling habit.", "author" : [ { "dropping-particle" : "", "family" : "Nabity", "given" : "Paul D", "non-dropping-particle" : "", "parse-names" : false, "suffix" : "" }, { "dropping-particle" : "", "family" : "Haus", "given" : "Miranda J", "non-dropping-particle" : "", "parse-names" : false, "suffix" : "" }, { "dropping-particle" : "", "family" : "Berenbaum", "given" : "May R", "non-dropping-particle" : "", "parse-names" : false, "suffix" : "" }, { "dropping-particle" : "", "family" : "DeLucia", "given" : "Evan H", "non-dropping-particle" : "", "parse-names" : false, "suffix" : "" } ], "container-title" : "Proceedings of the National Academy of Sciences of the United States of America", "id" : "ITEM-1", "issue" : "41", "issued" : { "date-parts" : [ [ "2013", "10", "8" ] ] }, "page" : "16663-8", "title" : "Leaf-galling phylloxera on grapes reprograms host metabolism and morphology.", "type" : "article-journal", "volume" : "110" }, "uris" : [ "http://www.mendeley.com/documents/?uuid=aaac9007-2879-44f3-bf09-b98ddf69d3fc" ] } ], "mendeley" : { "formattedCitation" : "[25]", "manualFormatting" : "Nabity et al. (2013)", "plainTextFormattedCitation" : "[25]", "previouslyFormattedCitation" : "[25]" }, "properties" : { "noteIndex" : 0 }, "schema" : "https://github.com/citation-style-language/schema/raw/master/csl-citation.json" }</w:instrText>
      </w:r>
      <w:r>
        <w:rPr>
          <w:lang w:val="en-GB"/>
        </w:rPr>
        <w:fldChar w:fldCharType="separate"/>
      </w:r>
      <w:r>
        <w:rPr>
          <w:lang w:val="en-GB"/>
        </w:rPr>
        <w:t>Nabity et al. (2013)</w:t>
      </w:r>
      <w:r>
        <w:fldChar w:fldCharType="end"/>
      </w:r>
      <w:r>
        <w:rPr>
          <w:lang w:val="en-GB"/>
        </w:rPr>
        <w:t xml:space="preserve"> used carbon-14-labelling and mass spectrometry experiments to demonstrate sequestration of carbon-compounds from the surrounding grape leaf into the phylloxera-induced gall. Similar results were demonstrated by </w:t>
      </w:r>
      <w:r>
        <w:rPr>
          <w:lang w:val="en-GB"/>
        </w:rPr>
        <w:fldChar w:fldCharType="begin" w:fldLock="1"/>
      </w:r>
      <w:r>
        <w:rPr>
          <w:lang w:val="en-GB"/>
        </w:rPr>
        <w:instrText xml:space="preserve">ADDIN CSL_CITATION { "citationItems" : [ { "id" : "ITEM-1", "itemData" : { "DOI" : "10.1007/s00442-011-2033-x", "ISBN" : "1432-1939", "ISSN" : "00298549", "PMID" : "21667296", "abstract" : "We examined how the galling aphid Pemphigus batae manipulates resource translocation patterns of resistant and susceptible narrowleaf cottonwood Populus angustifolia. Using carbon-14 ((14)C)-labeling experiments in common garden trials, five patterns emerged. First, although aphid galls on resistant and susceptible genotypes did not differ in their capacity to intercept assimilates exported from the leaf they occupied, aphids sequestered 5.8-fold more assimilates from surrounding leaves on susceptible tree genotypes compared to resistant genotypes. Second, gall sinks on the same side of a shoot as a labeled leaf were 3.4-fold stronger than gall sinks on the opposite side of a shoot, which agrees with patterns of vascular connections among leaves of the same shoot (orthostichy). Third, plant genetic-based traits accounted for 26% of the variation in sink strength of gall sinks and 41% of the variation in sink strength of a plant's own bud sinks. Fourth, tree susceptibility to aphid gall formation accounted for 63% of the variation in (14)C import, suggesting strong genetic control of sink-source relationships. Fifth, competition between two galls was observed on a susceptible but not a resistant tree. On the susceptible tree distal aphids intercepted 1.5-fold more (14)C from the occupied leaf than did basal aphids, but basal aphids compensated for the presence of a distal competitor by almost doubling import to the gall from surrounding leaves. These findings and others, aimed at identifying candidate genes for resistance, argue the importance of including plant genetics in future studies of the manipulation of translocation patterns by phytophageous insects.", "author" : [ { "dropping-particle" : "", "family" : "Compson", "given" : "Zacchaeus G.", "non-dropping-particle" : "", "parse-names" : false, "suffix" : "" }, { "dropping-particle" : "", "family" : "Larson", "given" : "Katherine C.", "non-dropping-particle" : "", "parse-names" : false, "suffix" : "" }, { "dropping-particle" : "", "family" : "Zinkgraf", "given" : "Matthew S.", "non-dropping-particle" : "", "parse-names" : false, "suffix" : "" }, { "dropping-particle" : "", "family" : "Whitham", "given" : "Thomas G.", "non-dropping-particle" : "", "parse-names" : false, "suffix" : "" } ], "container-title" : "Oecologia", "id" : "ITEM-1", "issue" : "3", "issued" : { "date-parts" : [ [ "2011" ] ] }, "page" : "711-721", "title" : "A genetic basis for the manipulation of sink-source relationships by the galling aphid Pemphigus batae", "type" : "article-journal", "volume" : "167" }, "uris" : [ "http://www.mendeley.com/documents/?uuid=aff5fce4-9575-4380-a2a5-69fb9a6bb9a7" ] } ], "mendeley" : { "formattedCitation" : "[27]", "manualFormatting" : "Compson et al. (2011)", "plainTextFormattedCitation" : "[27]", "previouslyFormattedCitation" : "[27]" }, "properties" : { "noteIndex" : 0 }, "schema" : "https://github.com/citation-style-language/schema/raw/master/csl-citation.json" }</w:instrText>
      </w:r>
      <w:r>
        <w:rPr>
          <w:lang w:val="en-GB"/>
        </w:rPr>
        <w:fldChar w:fldCharType="separate"/>
      </w:r>
      <w:r>
        <w:rPr>
          <w:lang w:val="en-GB"/>
        </w:rPr>
        <w:t>Compson et al. (2011)</w:t>
      </w:r>
      <w:r>
        <w:fldChar w:fldCharType="end"/>
      </w:r>
      <w:r>
        <w:rPr>
          <w:lang w:val="en-GB"/>
        </w:rPr>
        <w:t xml:space="preserve"> in aphid (</w:t>
      </w:r>
      <w:r>
        <w:rPr>
          <w:i/>
          <w:lang w:val="en-GB"/>
        </w:rPr>
        <w:t>Pemphigus betae</w:t>
      </w:r>
      <w:r>
        <w:rPr>
          <w:lang w:val="en-GB"/>
        </w:rPr>
        <w:t>) galling of narrowleaf cottonwood (</w:t>
      </w:r>
      <w:r>
        <w:rPr>
          <w:i/>
          <w:lang w:val="en-GB"/>
        </w:rPr>
        <w:t>Populus angustifolia</w:t>
      </w:r>
      <w:r>
        <w:rPr>
          <w:lang w:val="en-GB"/>
        </w:rPr>
        <w:t xml:space="preserve">). Increased concentrations of sugars, carbon-containing compounds and nitrogen-containing compounds have also been reported for galling interactions between </w:t>
      </w:r>
      <w:r>
        <w:rPr>
          <w:i/>
          <w:lang w:val="en-GB"/>
        </w:rPr>
        <w:t xml:space="preserve">Bruggmanniela </w:t>
      </w:r>
      <w:r>
        <w:rPr>
          <w:lang w:val="en-GB"/>
        </w:rPr>
        <w:t xml:space="preserve">sp. (Diptera: Cecidomyiidae) and </w:t>
      </w:r>
      <w:r>
        <w:rPr>
          <w:i/>
          <w:lang w:val="en-GB"/>
        </w:rPr>
        <w:t>Litsea acuminate</w:t>
      </w:r>
      <w:r>
        <w:rPr>
          <w:lang w:val="en-GB"/>
        </w:rPr>
        <w:t xml:space="preserve"> </w:t>
      </w:r>
      <w:r>
        <w:rPr>
          <w:lang w:val="en-GB"/>
        </w:rPr>
        <w:fldChar w:fldCharType="begin" w:fldLock="1"/>
      </w:r>
      <w:r>
        <w:rPr>
          <w:lang w:val="en-GB"/>
        </w:rPr>
        <w:instrText xml:space="preserve">ADDIN CSL_CITATION { "citationItems" : [ { "id" : "ITEM-1", "itemData" : { "DOI" : "10.1186/s12870-015-0446-0", "ISSN" : "1471-2229 (Electronic)", "PMID" : "25849781", "abstract" : "BACKGROUND: The source and sink relationships between insect-induced galls and host plant leaves are interesting. In this research, we collected cup-like galls induced by Bruggmanniella sp. (Diptera: Cecidomyiidae) on host leaves of Litsea acuminata and assessed them to investigate source-sink relationships between galls and host leaves. We characterized several of their photosynthetic characteristics including chlorophyll fluorescence (Fv/Fm), stomatal conductance, and photosynthetic capacity, biochemical components such as total soluble sugar, starches, free amino acids, and soluble proteins. The structural analyses were performed under confocal, light, and scanning electron microscopies. RESULTS: Compared with host leaves, galls exhibited slightly lower chlorophyll fluorescence; however, stomatal conductance and photosynthetic capacity were not detected at all. Galls accumulated higher total soluble sugars and free amino acids but less soluble proteins than host leaves. No stomata was observed on exterior or interior gall surfaces under light or scanning electron microscopy, but their inner surfaces were covered with fungal hyphae. Confocal imagery showed a gradient of chloroplasts distribution between gall outer and inner surfaces. CONCLUSIONS: Our results strongly suggest that leaf-derived cecidomyiid galls are a type of chlorophyll-deficient non-leaf green tissue and consists on a novel sink in L. acuminate.", "author" : [ { "dropping-particle" : "", "family" : "Huang", "given" : "Meng-Yuan", "non-dropping-particle" : "", "parse-names" : false, "suffix" : "" }, { "dropping-particle" : "", "family" : "Huang", "given" : "Wen-Dar", "non-dropping-particle" : "", "parse-names" : false, "suffix" : "" }, { "dropping-particle" : "", "family" : "Chou", "given" : "Hsueh-Mei", "non-dropping-particle" : "", "parse-names" : false, "suffix" : "" }, { "dropping-particle" : "", "family" : "Chen", "given" : "Chang-Chang", "non-dropping-particle" : "", "parse-names" : false, "suffix" : "" }, { "dropping-particle" : "", "family" : "Chen", "given" : "Pei-Ju", "non-dropping-particle" : "", "parse-names" : false, "suffix" : "" }, { "dropping-particle" : "", "family" : "Chang", "given" : "Yung-Ta", "non-dropping-particle" : "", "parse-names" : false, "suffix" : "" }, { "dropping-particle" : "", "family" : "Yang", "given" : "Chi-Ming", "non-dropping-particle" : "", "parse-names" : false, "suffix" : "" } ], "container-title" : "BMC plant biology", "id" : "ITEM-1", "issued" : { "date-parts" : [ [ "2015" ] ] }, "page" : "61", "title" : "Structural, biochemical, and physiological characterization of photosynthesis in  leaf-derived cup-shaped galls on Litsea acuminata.", "type" : "article-journal", "volume" : "15" }, "uris" : [ "http://www.mendeley.com/documents/?uuid=c4095dc9-75a2-4b8a-8767-27379128f40c" ] } ], "mendeley" : { "formattedCitation" : "[14]", "plainTextFormattedCitation" : "[14]", "previouslyFormattedCitation" : "[14]" }, "properties" : { "noteIndex" : 0 }, "schema" : "https://github.com/citation-style-language/schema/raw/master/csl-citation.json" }</w:instrText>
      </w:r>
      <w:r>
        <w:rPr>
          <w:lang w:val="en-GB"/>
        </w:rPr>
        <w:fldChar w:fldCharType="separate"/>
      </w:r>
      <w:r>
        <w:rPr>
          <w:lang w:val="en-GB"/>
        </w:rPr>
        <w:t>[14]</w:t>
      </w:r>
      <w:r>
        <w:fldChar w:fldCharType="end"/>
      </w:r>
      <w:r>
        <w:rPr>
          <w:lang w:val="en-GB"/>
        </w:rPr>
        <w:t>. Together, these results appear to confirm the role of galls in providing enhanced nutrition to the insect. The expression profiles obtained from these studies support the role of galls as nutrient sinks and demonstrate the great level of control that the insect is able to exert on its host.</w:t>
      </w:r>
    </w:p>
    <w:p>
      <w:pPr>
        <w:pStyle w:val="151"/>
        <w:rPr>
          <w:lang w:val="en-GB"/>
        </w:rPr>
      </w:pPr>
      <w:r>
        <w:rPr>
          <w:lang w:val="en-GB"/>
        </w:rPr>
        <w:t>2.2. Development and Structure of Galls</w:t>
      </w:r>
    </w:p>
    <w:p>
      <w:pPr>
        <w:pStyle w:val="35"/>
        <w:rPr>
          <w:lang w:val="en-GB"/>
        </w:rPr>
      </w:pPr>
      <w:r>
        <w:rPr>
          <w:lang w:val="en-GB"/>
        </w:rPr>
        <w:t xml:space="preserve">Galls are formed by redifferentiation of host plant tissues and </w:t>
      </w:r>
      <w:r>
        <w:rPr>
          <w:highlight w:val="red"/>
          <w:lang w:val="en-GB"/>
        </w:rPr>
        <w:t>often</w:t>
      </w:r>
      <w:r>
        <w:rPr>
          <w:lang w:val="en-GB"/>
        </w:rPr>
        <w:t xml:space="preserve"> develop through </w:t>
      </w:r>
      <w:r>
        <w:rPr>
          <w:highlight w:val="red"/>
          <w:lang w:val="en-GB"/>
        </w:rPr>
        <w:t>a combination of</w:t>
      </w:r>
      <w:r>
        <w:rPr>
          <w:lang w:val="en-GB"/>
        </w:rPr>
        <w:t xml:space="preserve"> hypertrophy (increased cell size) and hyperplasia (increased cell numbers) which are processes mediated by plant growth regulators </w:t>
      </w:r>
      <w:r>
        <w:rPr>
          <w:lang w:val="en-GB"/>
        </w:rPr>
        <w:fldChar w:fldCharType="begin" w:fldLock="1"/>
      </w:r>
      <w:r>
        <w:rPr>
          <w:lang w:val="en-GB"/>
        </w:rPr>
        <w:instrText xml:space="preserve">ADDIN CSL_CITATION { "citationItems" : [ { "id" : "ITEM-1", "itemData" : { "author" : [ { "dropping-particle" : "", "family" : "Suzuki", "given" : "Aline Yasko Marinho", "non-dropping-particle" : "", "parse-names" : false, "suffix" : "" }, { "dropping-particle" : "", "family" : "Bedetti", "given" : "Cibele Souza", "non-dropping-particle" : "", "parse-names" : false, "suffix" : "" }, { "dropping-particle" : "", "family" : "Isaias", "given" : "Rosy Mary dos Santos", "non-dropping-particle" : "", "parse-names" : false, "suffix" : "" } ], "id" : "ITEM-1", "issue" : "April", "issued" : { "date-parts" : [ [ "2015" ] ] }, "page" : "435-444", "title" : "Detection and distribution of cell growth regulators and cellulose microfibrils during the development of Lopesia sp . galls on Lonchocarpus cultratus ( Fabaceae )", "type" : "article-journal", "volume" : "444" }, "uris" : [ "http://www.mendeley.com/documents/?uuid=1f7434ba-2dad-47f2-855a-29253e193dee" ] }, { "id" : "ITEM-2", "itemData" : { "DOI" : "10.1007/s10886-014-0457-6", "ISSN" : "15731561", "PMID" : "25027764", "author" : [ { "dropping-particle" : "", "family" : "Tooker", "given" : "John F.", "non-dropping-particle" : "", "parse-names" : false, "suffix" : "" }, { "dropping-particle" : "", "family" : "Helms", "given" : "Anjel M.", "non-dropping-particle" : "", "parse-names" : false, "suffix" : "" } ], "container-title" : "Journal of Chemical Ecology", "id" : "ITEM-2", "issue" : "7", "issued" : { "date-parts" : [ [ "2014" ] ] }, "page" : "742-753", "title" : "Phytohormone Dynamics Associated with Gall Insects, and their Potential Role in the Evolution of the Gall-Inducing Habit", "type" : "article-journal", "volume" : "40" }, "uris" : [ "http://www.mendeley.com/documents/?uuid=22c3ad32-5452-4b05-adea-9a39d8dd7a37" ] } ], "mendeley" : { "formattedCitation" : "[30,31]", "plainTextFormattedCitation" : "[30,31]", "previouslyFormattedCitation" : "[30,31]" }, "properties" : { "noteIndex" : 0 }, "schema" : "https://github.com/citation-style-language/schema/raw/master/csl-citation.json" }</w:instrText>
      </w:r>
      <w:r>
        <w:rPr>
          <w:lang w:val="en-GB"/>
        </w:rPr>
        <w:fldChar w:fldCharType="separate"/>
      </w:r>
      <w:r>
        <w:rPr>
          <w:lang w:val="en-GB"/>
        </w:rPr>
        <w:t>[30,31]</w:t>
      </w:r>
      <w:r>
        <w:fldChar w:fldCharType="end"/>
      </w:r>
      <w:r>
        <w:rPr>
          <w:lang w:val="en-GB"/>
        </w:rPr>
        <w:t xml:space="preserve">. These processes are not well-understood in insect-induced galls although inferences can be made from other species such as root knot nematodes </w:t>
      </w:r>
      <w:r>
        <w:rPr>
          <w:lang w:val="en-GB"/>
        </w:rPr>
        <w:fldChar w:fldCharType="begin" w:fldLock="1"/>
      </w:r>
      <w:r>
        <w:rPr>
          <w:lang w:val="en-GB"/>
        </w:rPr>
        <w:instrText xml:space="preserve">ADDIN CSL_CITATION { "citationItems" : [ { "id" : "ITEM-1", "itemData" : { "DOI" : "10.1016/j.jinsphys.2015.07.013", "ISSN" : "00221910", "abstract" : "Among plant-parasitic nematodes, the root-knot nematodes (RKN) of the Meloidogyne spp. are the most economically important genus. RKN are root parasitic worms able to infect nearly all crop species and have a wide geographic distribution. During infection, RKNs establish and maintain an intimate relationship with the host plant. This includes the creation of a specialized nutritional structure composed of multinucleate and hypertrophied giant cells, which result from the redifferentiation of vascular root cells. Giant cells constitute the sole source of nutrients for the nematode and are essential for growth and reproduction. Hyperplasia of surrounding root cells leads to the formation of the gall or rootknot, an easily recognized symptom of plant infection by RKNs. Secreted effectors produced in nematode salivary glands and injected into plant cells through a specialized feeding structure called the stylet play a critical role in the formation of giant cells. Here, we describe the complex interactions between RKNs and their host plants. We highlight progress in understanding host plant responses, focusing on how RKNs manipulate key plant processes and functions, including cell cycle, defence, hormones, cellular scaffold, metabolism and transport.", "author" : [ { "dropping-particle" : "", "family" : "Favery", "given" : "Bruno", "non-dropping-particle" : "", "parse-names" : false, "suffix" : "" }, { "dropping-particle" : "", "family" : "Quentin", "given" : "Micha\u00ebl", "non-dropping-particle" : "", "parse-names" : false, "suffix" : "" }, { "dropping-particle" : "", "family" : "Jaubert-Possamai", "given" : "St\u00e9phanie", "non-dropping-particle" : "", "parse-names" : false, "suffix" : "" }, { "dropping-particle" : "", "family" : "Abad", "given" : "Pierre", "non-dropping-particle" : "", "parse-names" : false, "suffix" : "" } ], "container-title" : "Journal of Insect Physiology", "id" : "ITEM-1", "issued" : { "date-parts" : [ [ "2015" ] ] }, "page" : "60-69", "publisher" : "Elsevier Ltd", "title" : "Gall-forming root-knot nematodes hijack key plant cellular functions to induce multinucleate and hypertrophied feeding cells", "type" : "article-journal", "volume" : "84" }, "uris" : [ "http://www.mendeley.com/documents/?uuid=dc2035eb-30ce-4d5b-9ef8-fca1b84e792e" ] }, { "id" : "ITEM-2", "itemData" : { "DOI" : "10.1016/j.pbi.2011.03.012", "ISBN" : "1369-5266", "ISSN" : "13695266", "PMID" : "21458361", "abstract" : "Sedentary plant-parasitic nematodes establish long term relationships with their hosts. Root vascular cells are transformed into large multinucleate feeding cells from which the nematodes feed for more than one month. Recent transcriptome analyses suggest that feeding cells are different from other plant cell types. Their development, however, remains poorly understood, despite new evidence that appears to confirm previously proposed models, such as the important role of auxin. From the analysis of nematode effector proteins that interact with plant proteins, it has become clear that nematodes manipulate many aspects of plant development, including auxin transport and plant cell differentiation pathways. These studies are also revealing roles for effectors in the inhibition of plant stress and defense responses to establish feeding cells. In the coming years breakthroughs can be expected in our understanding of plant-nematode interactions from the functional analysis of nematode effector genes as well as the involved plant genes. ?? 2011 Elsevier Ltd.", "author" : [ { "dropping-particle" : "", "family" : "Gheysen", "given" : "Godelieve", "non-dropping-particle" : "", "parse-names" : false, "suffix" : "" }, { "dropping-particle" : "", "family" : "Mitchum", "given" : "Melissa G.", "non-dropping-particle" : "", "parse-names" : false, "suffix" : "" } ], "container-title" : "Current Opinion in Plant Biology", "id" : "ITEM-2", "issue" : "4", "issued" : { "date-parts" : [ [ "2011" ] ] }, "page" : "415-421", "publisher" : "Elsevier Ltd", "title" : "How nematodes manipulate plant development pathways for infection", "type" : "article-journal", "volume" : "14" }, "uris" : [ "http://www.mendeley.com/documents/?uuid=aee2f2a2-39b0-4a9b-bd65-7e55725385aa" ] } ], "mendeley" : { "formattedCitation" : "[32,33]", "plainTextFormattedCitation" : "[32,33]", "previouslyFormattedCitation" : "[32,33]" }, "properties" : { "noteIndex" : 0 }, "schema" : "https://github.com/citation-style-language/schema/raw/master/csl-citation.json" }</w:instrText>
      </w:r>
      <w:r>
        <w:rPr>
          <w:lang w:val="en-GB"/>
        </w:rPr>
        <w:fldChar w:fldCharType="separate"/>
      </w:r>
      <w:r>
        <w:rPr>
          <w:lang w:val="en-GB"/>
        </w:rPr>
        <w:t>[32,33]</w:t>
      </w:r>
      <w:r>
        <w:fldChar w:fldCharType="end"/>
      </w:r>
      <w:r>
        <w:rPr>
          <w:lang w:val="en-GB"/>
        </w:rPr>
        <w:t>. A number of histological studies have investigated insect gall development, which provides a foundation for designing and interpreting omics experimental data of these interactions. We therefore consider some important findings to emerge from these studies.</w:t>
      </w:r>
    </w:p>
    <w:p>
      <w:pPr>
        <w:pStyle w:val="35"/>
        <w:rPr>
          <w:lang w:val="en-GB"/>
        </w:rPr>
      </w:pPr>
      <w:r>
        <w:rPr>
          <w:lang w:val="en-GB"/>
        </w:rPr>
        <w:fldChar w:fldCharType="begin" w:fldLock="1"/>
      </w:r>
      <w:r>
        <w:rPr>
          <w:lang w:val="en-GB"/>
        </w:rPr>
        <w:instrText xml:space="preserve">ADDIN CSL_CITATION { "citationItems" : [ { "id" : "ITEM-1", "itemData" : { "DOI" : "10.1016/j.sajb.2009.10.011", "ISBN" : "0254-6299", "ISSN" : "02546299", "abstract" : "The tree Copaifera langsdorffii is a superhost for galling herbivores. This plant species has great morphogenetic potential, and responds differently to the stimuli of more than 20 gall-inducing insects. Among these, an undescribed species of Cecidomyiidae induces a midrib gall in which a radial cecidogenetic field is generated and the leaflet tissues redifferentiate. Our objectives were to assess the amplitude of this cecidogenetic field, in which the leaflet tissues were influenced by the feeding action of the cecidomyiid; how the final gall shape was generated; and if tissue redifferentiation conferred any adaptive value on the galling herbivore. Leaflet morphogenesis followed the pattern described in the literature for simple leaves, resulting in a mesophytic arrangement. Tissue redifferentiation due to gall formation revealed that in a midrib gall, abaxial epidermal cells divided to enlarge the gall; spongy parenchyma cells originated the storage tissue, secretory structures, and vascular bundles; palisade parenchyma cells became homogeneous; and adaxial epidermis originated the nutritive tissue. Cell elongation, a necessary step towards cell redifferentiation, is triggered by an increase in water transport to the gall site and vacuole pressure due to neoformed xylem bundles. The generation of the final shape of the midrib gall involved repetitive histological steps in response to the amplitude of the cecidogenetic field. The largest impact of the cecidomyiid feeding action occurred in gall tissues redifferentiated from protoderm and adaxial ground meristem, which provided advantages to the gall maker of the C. langsdorffii midrib gall in terms of nutritional value, microenvironment, and protection against natural enemies. ?? 2009 Elsevier B.V. All rights reserved.", "author" : [ { "dropping-particle" : "", "family" : "Oliveira", "given" : "D. C.", "non-dropping-particle" : "", "parse-names" : false, "suffix" : "" }, { "dropping-particle" : "", "family" : "Isaias", "given" : "R. M S", "non-dropping-particle" : "", "parse-names" : false, "suffix" : "" } ], "container-title" : "South African Journal of Botany", "id" : "ITEM-1", "issue" : "2", "issued" : { "date-parts" : [ [ "2010" ] ] }, "page" : "239-248", "publisher" : "Elsevier B.V.", "title" : "Redifferentiation of leaflet tissues during midrib gall development in Copaifera langsdorffii (Fabaceae)", "type" : "article-journal", "volume" : "76" }, "uris" : [ "http://www.mendeley.com/documents/?uuid=e93dff0e-fb8f-476b-945e-65bb77fcdad0" ] } ], "mendeley" : { "formattedCitation" : "[3]", "manualFormatting" : "Oliveira &amp; Isaias (2010)", "plainTextFormattedCitation" : "[3]", "previouslyFormattedCitation" : "[3]" }, "properties" : { "noteIndex" : 0 }, "schema" : "https://github.com/citation-style-language/schema/raw/master/csl-citation.json" }</w:instrText>
      </w:r>
      <w:r>
        <w:rPr>
          <w:lang w:val="en-GB"/>
        </w:rPr>
        <w:fldChar w:fldCharType="separate"/>
      </w:r>
      <w:r>
        <w:rPr>
          <w:lang w:val="en-GB"/>
        </w:rPr>
        <w:t>Oliveira &amp; Isaias (2010)</w:t>
      </w:r>
      <w:r>
        <w:fldChar w:fldCharType="end"/>
      </w:r>
      <w:r>
        <w:rPr>
          <w:lang w:val="en-GB"/>
        </w:rPr>
        <w:t xml:space="preserve"> provide a detailed description of the development of galls induced by an undescribed species of Cecidomyiidae (Diptera) on the diesel tree (</w:t>
      </w:r>
      <w:r>
        <w:rPr>
          <w:i/>
          <w:lang w:val="en-GB"/>
        </w:rPr>
        <w:t>Copaifera langsdorffii</w:t>
      </w:r>
      <w:r>
        <w:rPr>
          <w:lang w:val="en-GB"/>
        </w:rPr>
        <w:t xml:space="preserve">). The redifferentiation of specific plant tissues into the gall specific tissues is tracked over time and provides an example of the complexity of the interactions between the gall-inducer and its host plant. The primary plant cell wall is a complex structure formed by a network of cellulose microfibrils and hemicellulose embedded in a pectic polysaccharide matrix </w:t>
      </w:r>
      <w:r>
        <w:rPr>
          <w:lang w:val="en-GB"/>
        </w:rPr>
        <w:fldChar w:fldCharType="begin" w:fldLock="1"/>
      </w:r>
      <w:r>
        <w:rPr>
          <w:lang w:val="en-GB"/>
        </w:rPr>
        <w:instrText xml:space="preserve">ADDIN CSL_CITATION { "citationItems" : [ { "id" : "ITEM-1", "itemData" : { "DOI" : "10.1007/s00709-012-0473-8", "ISSN" : "0033183X", "PMID" : "23255001", "abstract" : "The pectic composition of cell wall is altered during the processes of cell differentiation, plant growth, and development. These alterations may be time-dependent, and fluctuate in distinct regions of the same cell or tissue layer, due to the biotic stress caused by the activity of the gall inducer. Among the roles of the pectins in cell wall, elasticity, rigidity, porosity, and control of cell death may be crucial during gall development. Galls on Baccharis reticularia present species-specific patterns of development leading to related morphotypes where pectins were widely detected by Ruthenium red, and the pectic epitopes were labeled with specific monoclonal antibodies (LM1, LM2, LM5, LM6, JIM5, and JIM7) in distinct sites of the non-galled and the galled tissues. In the studied system B. reticularia, the epitopes for extensins were not labeled in the non-galled tissues, as well as in those of the rolling and kidney-shaped galls. The high methyl-esterified homogalacturonans (HGA) were labeled all over the tissues either of non-galled leaves or of the three gall morphotypes, while the intense labeling for arabinogalactans was obtained just in the rolling galls. The pectic composition of non-galled leaves denotes their maturity. The kidney-shaped gall was the most similar to the non-galled leaves. The pectic dynamics in the gall tissues was particularly altered in relation to low methyl-esterified HGA, which confers elasticity and expansion, as well as porosity and adhesion to cell walls, and are related to the homogenization and hypertrophy of gall cortex, and to translocation of solutes to the larval chamber. Herein, the importance of the pectic dynamics of cell walls to the new functional design established during gall development is discussed for the first time. The repetitive developmental patterns in galls are elegant models for studies on cell differentiation.", "author" : [ { "dropping-particle" : "", "family" : "Formiga", "given" : "Anete Teixeira", "non-dropping-particle" : "", "parse-names" : false, "suffix" : "" }, { "dropping-particle" : "", "family" : "Oliveira", "given" : "Denis Coelho", "non-dropping-particle" : "de", "parse-names" : false, "suffix" : "" }, { "dropping-particle" : "", "family" : "Ferreira", "given" : "Bruno Garcia", "non-dropping-particle" : "", "parse-names" : false, "suffix" : "" }, { "dropping-particle" : "", "family" : "Magalh\u00e3es", "given" : "Thiago Alves", "non-dropping-particle" : "", "parse-names" : false, "suffix" : "" }, { "dropping-particle" : "", "family" : "Castro", "given" : "Ariane Chagas", "non-dropping-particle" : "de", "parse-names" : false, "suffix" : "" }, { "dropping-particle" : "", "family" : "Fernandes", "given" : "G. Wilson", "non-dropping-particle" : "", "parse-names" : false, "suffix" : "" }, { "dropping-particle" : "", "family" : "Isaias", "given" : "Rosy Mary dos Santos", "non-dropping-particle" : "", "parse-names" : false, "suffix" : "" } ], "container-title" : "Protoplasma", "id" : "ITEM-1", "issue" : "4", "issued" : { "date-parts" : [ [ "2013" ] ] }, "page" : "899-908", "title" : "The role of pectic composition of cell walls in the determination of the new shape-functional design in galls of Baccharis reticularia (Asteraceae)", "type" : "article-journal", "volume" : "250" }, "uris" : [ "http://www.mendeley.com/documents/?uuid=c425fb56-ca30-4b80-b9c9-b08118da3718" ] } ], "mendeley" : { "formattedCitation" : "[34]", "plainTextFormattedCitation" : "[34]", "previouslyFormattedCitation" : "[34]" }, "properties" : { "noteIndex" : 0 }, "schema" : "https://github.com/citation-style-language/schema/raw/master/csl-citation.json" }</w:instrText>
      </w:r>
      <w:r>
        <w:rPr>
          <w:lang w:val="en-GB"/>
        </w:rPr>
        <w:fldChar w:fldCharType="separate"/>
      </w:r>
      <w:r>
        <w:rPr>
          <w:lang w:val="en-GB"/>
        </w:rPr>
        <w:t>[34]</w:t>
      </w:r>
      <w:r>
        <w:fldChar w:fldCharType="end"/>
      </w:r>
      <w:r>
        <w:rPr>
          <w:lang w:val="en-GB"/>
        </w:rPr>
        <w:t xml:space="preserve">. Insect-induced changes in the structure of the plant cell walls determine the final shape of the cell </w:t>
      </w:r>
      <w:r>
        <w:rPr>
          <w:highlight w:val="red"/>
          <w:lang w:val="en-GB"/>
        </w:rPr>
        <w:fldChar w:fldCharType="begin" w:fldLock="1"/>
      </w:r>
      <w:r>
        <w:rPr>
          <w:highlight w:val="red"/>
          <w:lang w:val="en-GB"/>
        </w:rPr>
        <w:instrText xml:space="preserve">ADDIN CSL_CITATION { "citationItems" : [ { "id" : "ITEM-1", "itemData" : { "author" : [ { "dropping-particle" : "", "family" : "Suzuki", "given" : "Aline Yasko Marinho", "non-dropping-particle" : "", "parse-names" : false, "suffix" : "" }, { "dropping-particle" : "", "family" : "Bedetti", "given" : "Cibele Souza", "non-dropping-particle" : "", "parse-names" : false, "suffix" : "" }, { "dropping-particle" : "", "family" : "Isaias", "given" : "Rosy Mary dos Santos", "non-dropping-particle" : "", "parse-names" : false, "suffix" : "" } ], "id" : "ITEM-1", "issue" : "April", "issued" : { "date-parts" : [ [ "2015" ] ] }, "page" : "435-444", "title" : "Detection and distribution of cell growth regulators and cellulose microfibrils during the development of Lopesia sp . galls on Lonchocarpus cultratus ( Fabaceae )", "type" : "article-journal", "volume" : "444" }, "uris" : [ "http://www.mendeley.com/documents/?uuid=1f7434ba-2dad-47f2-855a-29253e193dee" ] }, { "id" : "ITEM-2", "itemData" : { "DOI" : "10.1007/s00299-014-1683-7", "ISBN" : "0721-7714(3.071, 3\u533a\uff0c3\u533a)", "ISSN" : "07217714", "PMID" : "25228569", "abstract" : "KEY MESSAGE: The temporal balance between hyperplasia and hypertrophy, and the new functions of different cell lineages led to cell transformations in a centrifugal gradient that determines the gall globoid shape. Plant galls develop by the redifferentiation of new cell types originated from those of the host plants, with new functional and structural designs related to the composition of cell walls and cell contents. Variations in cell wall composition have just started to be explored with the perspective of gall development, and are herein related to the histochemical gradients previously detected on Psidium myrtoides galls. Young and mature leaves of P. myrtoides and galls of Nothotrioza myrtoidis at different developmental stages were analysed using anatomical, cytometrical and immunocytochemical approaches. The gall parenchyma presents transformations in the size and shape of the cells in distinct tissue layers, and variations of pectin and protein domains in cell walls. The temporal balance between tissue hyperplasia and cell hypertrophy, and the new functions of different cell lineages led to cell transformations in a centrifugal gradient, which determines the globoid shape of the gall. The distribution of cell wall epitopes affected cell wall flexibility and rigidity, towards gall maturation. By senescence, it provided functional stability for the outer cortical parenchyma. The detection of the demethylesterified homogalacturonans (HGAs) denoted the activity of the pectin methylesterases (PMEs) during the senescent phase, and was a novel time-based detection linked to the increased rigidity of the cell walls, and to the gall opening. Current investigation firstly reports the influence of immunocytochemistry of plant cell walls over the development of leaf tissues, determining their neo-ontogenesis towards a new phenotype, i.e., the globoid gall morphotype.", "author" : [ { "dropping-particle" : "", "family" : "Carneiro", "given" : "Ren\u00ea G S", "non-dropping-particle" : "", "parse-names" : false, "suffix" : "" }, { "dropping-particle" : "", "family" : "Oliveira", "given" : "Denis C.", "non-dropping-particle" : "", "parse-names" : false, "suffix" : "" }, { "dropping-particle" : "", "family" : "Isaias", "given" : "Rosy M S", "non-dropping-particle" : "", "parse-names" : false, "suffix" : "" } ], "container-title" : "Plant Cell Reports", "id" : "ITEM-2", "issue" : "12", "issued" : { "date-parts" : [ [ "2014" ] ] }, "page" : "2093-2106", "title" : "Developmental anatomy and immunocytochemistry reveal the neo-ontogenesis of the leaf tissues of Psidium myrtoides (Myrtaceae) towards the globoid galls of Nothotrioza myrtoidis (Triozidae)", "type" : "article-journal", "volume" : "33" }, "uris" : [ "http://www.mendeley.com/documents/?uuid=ed0fa765-ab99-47e1-87dd-f85be5f62d1e" ] } ], "mendeley" : { "formattedCitation" : "[30,35]", "plainTextFormattedCitation" : "[30,35]", "previouslyFormattedCitation" : "[30,35]" }, "properties" : { "noteIndex" : 0 }, "schema" : "https://github.com/citation-style-language/schema/raw/master/csl-citation.json" }</w:instrText>
      </w:r>
      <w:r>
        <w:rPr>
          <w:highlight w:val="red"/>
          <w:lang w:val="en-GB"/>
        </w:rPr>
        <w:fldChar w:fldCharType="separate"/>
      </w:r>
      <w:r>
        <w:rPr>
          <w:highlight w:val="red"/>
          <w:lang w:val="en-GB"/>
        </w:rPr>
        <w:t>[30,35]</w:t>
      </w:r>
      <w:r>
        <w:rPr>
          <w:highlight w:val="red"/>
        </w:rPr>
        <w:fldChar w:fldCharType="end"/>
      </w:r>
      <w:r>
        <w:rPr>
          <w:lang w:val="en-GB"/>
        </w:rPr>
        <w:t xml:space="preserve">, but how the galling insect induces changes to host cell walls to produce a gall are poorly understood. </w:t>
      </w:r>
    </w:p>
    <w:p>
      <w:pPr>
        <w:pStyle w:val="35"/>
        <w:rPr>
          <w:lang w:val="en-GB"/>
        </w:rPr>
      </w:pPr>
      <w:r>
        <w:rPr>
          <w:lang w:val="en-GB"/>
        </w:rPr>
        <w:fldChar w:fldCharType="begin" w:fldLock="1"/>
      </w:r>
      <w:r>
        <w:rPr>
          <w:lang w:val="en-GB"/>
        </w:rPr>
        <w:instrText xml:space="preserve">ADDIN CSL_CITATION { "citationItems" : [ { "id" : "ITEM-1", "itemData" : { "DOI" : "10.1007/s00709-012-0473-8", "ISSN" : "0033183X", "PMID" : "23255001", "abstract" : "The pectic composition of cell wall is altered during the processes of cell differentiation, plant growth, and development. These alterations may be time-dependent, and fluctuate in distinct regions of the same cell or tissue layer, due to the biotic stress caused by the activity of the gall inducer. Among the roles of the pectins in cell wall, elasticity, rigidity, porosity, and control of cell death may be crucial during gall development. Galls on Baccharis reticularia present species-specific patterns of development leading to related morphotypes where pectins were widely detected by Ruthenium red, and the pectic epitopes were labeled with specific monoclonal antibodies (LM1, LM2, LM5, LM6, JIM5, and JIM7) in distinct sites of the non-galled and the galled tissues. In the studied system B. reticularia, the epitopes for extensins were not labeled in the non-galled tissues, as well as in those of the rolling and kidney-shaped galls. The high methyl-esterified homogalacturonans (HGA) were labeled all over the tissues either of non-galled leaves or of the three gall morphotypes, while the intense labeling for arabinogalactans was obtained just in the rolling galls. The pectic composition of non-galled leaves denotes their maturity. The kidney-shaped gall was the most similar to the non-galled leaves. The pectic dynamics in the gall tissues was particularly altered in relation to low methyl-esterified HGA, which confers elasticity and expansion, as well as porosity and adhesion to cell walls, and are related to the homogenization and hypertrophy of gall cortex, and to translocation of solutes to the larval chamber. Herein, the importance of the pectic dynamics of cell walls to the new functional design established during gall development is discussed for the first time. The repetitive developmental patterns in galls are elegant models for studies on cell differentiation.", "author" : [ { "dropping-particle" : "", "family" : "Formiga", "given" : "Anete Teixeira", "non-dropping-particle" : "", "parse-names" : false, "suffix" : "" }, { "dropping-particle" : "", "family" : "Oliveira", "given" : "Denis Coelho", "non-dropping-particle" : "de", "parse-names" : false, "suffix" : "" }, { "dropping-particle" : "", "family" : "Ferreira", "given" : "Bruno Garcia", "non-dropping-particle" : "", "parse-names" : false, "suffix" : "" }, { "dropping-particle" : "", "family" : "Magalh\u00e3es", "given" : "Thiago Alves", "non-dropping-particle" : "", "parse-names" : false, "suffix" : "" }, { "dropping-particle" : "", "family" : "Castro", "given" : "Ariane Chagas", "non-dropping-particle" : "de", "parse-names" : false, "suffix" : "" }, { "dropping-particle" : "", "family" : "Fernandes", "given" : "G. Wilson", "non-dropping-particle" : "", "parse-names" : false, "suffix" : "" }, { "dropping-particle" : "", "family" : "Isaias", "given" : "Rosy Mary dos Santos", "non-dropping-particle" : "", "parse-names" : false, "suffix" : "" } ], "container-title" : "Protoplasma", "id" : "ITEM-1", "issue" : "4", "issued" : { "date-parts" : [ [ "2013" ] ] }, "page" : "899-908", "title" : "The role of pectic composition of cell walls in the determination of the new shape-functional design in galls of Baccharis reticularia (Asteraceae)", "type" : "article-journal", "volume" : "250" }, "uris" : [ "http://www.mendeley.com/documents/?uuid=c425fb56-ca30-4b80-b9c9-b08118da3718" ] } ], "mendeley" : { "formattedCitation" : "[34]", "manualFormatting" : "Formiga et al. (2013)", "plainTextFormattedCitation" : "[34]", "previouslyFormattedCitation" : "[34]" }, "properties" : { "noteIndex" : 0 }, "schema" : "https://github.com/citation-style-language/schema/raw/master/csl-citation.json" }</w:instrText>
      </w:r>
      <w:r>
        <w:rPr>
          <w:lang w:val="en-GB"/>
        </w:rPr>
        <w:fldChar w:fldCharType="separate"/>
      </w:r>
      <w:r>
        <w:rPr>
          <w:lang w:val="en-GB"/>
        </w:rPr>
        <w:t>Formiga et al. (2013)</w:t>
      </w:r>
      <w:r>
        <w:fldChar w:fldCharType="end"/>
      </w:r>
      <w:r>
        <w:rPr>
          <w:lang w:val="en-GB"/>
        </w:rPr>
        <w:t xml:space="preserve"> investigated cell wall dynamics using three gall morphotypes (rolling, pocket and kidney-shaped), induced by two unknown species of Psylloidea and one Cecidomyiidae, in </w:t>
      </w:r>
      <w:r>
        <w:rPr>
          <w:i/>
          <w:lang w:val="en-GB"/>
        </w:rPr>
        <w:t>Baccharis reticularia</w:t>
      </w:r>
      <w:r>
        <w:rPr>
          <w:lang w:val="en-GB"/>
        </w:rPr>
        <w:t>. The authors used monoclonal antibodies to detect pectins, glycoproteins, galactan, arabinan and extensins, all important cell wall components, in each system. It was shown that pectin dynamics, which control cell wall flexibility and rigidity, play an important role in gall-tissue development and pectin modification enzymes may therefore be expected to show up in transcriptome studies of early gall development.</w:t>
      </w:r>
    </w:p>
    <w:p>
      <w:pPr>
        <w:pStyle w:val="35"/>
        <w:rPr>
          <w:lang w:val="en-GB"/>
        </w:rPr>
      </w:pPr>
      <w:r>
        <w:rPr>
          <w:lang w:val="en-GB"/>
        </w:rPr>
        <w:fldChar w:fldCharType="begin" w:fldLock="1"/>
      </w:r>
      <w:r>
        <w:rPr>
          <w:lang w:val="en-GB"/>
        </w:rPr>
        <w:instrText xml:space="preserve">ADDIN CSL_CITATION { "citationItems" : [ { "id" : "ITEM-1", "itemData" : { "author" : [ { "dropping-particle" : "", "family" : "Suzuki", "given" : "Aline Yasko Marinho", "non-dropping-particle" : "", "parse-names" : false, "suffix" : "" }, { "dropping-particle" : "", "family" : "Bedetti", "given" : "Cibele Souza", "non-dropping-particle" : "", "parse-names" : false, "suffix" : "" }, { "dropping-particle" : "", "family" : "Isaias", "given" : "Rosy Mary dos Santos", "non-dropping-particle" : "", "parse-names" : false, "suffix" : "" } ], "id" : "ITEM-1", "issue" : "April", "issued" : { "date-parts" : [ [ "2015" ] ] }, "page" : "435-444", "title" : "Detection and distribution of cell growth regulators and cellulose microfibrils during the development of Lopesia sp . galls on Lonchocarpus cultratus ( Fabaceae )", "type" : "article-journal", "volume" : "444" }, "uris" : [ "http://www.mendeley.com/documents/?uuid=1f7434ba-2dad-47f2-855a-29253e193dee" ] } ], "mendeley" : { "formattedCitation" : "[30]", "manualFormatting" : "Suzuki et al. (2015)", "plainTextFormattedCitation" : "[30]", "previouslyFormattedCitation" : "[30]" }, "properties" : { "noteIndex" : 0 }, "schema" : "https://github.com/citation-style-language/schema/raw/master/csl-citation.json" }</w:instrText>
      </w:r>
      <w:r>
        <w:rPr>
          <w:lang w:val="en-GB"/>
        </w:rPr>
        <w:fldChar w:fldCharType="separate"/>
      </w:r>
      <w:r>
        <w:rPr>
          <w:lang w:val="en-GB"/>
        </w:rPr>
        <w:t>Suzuki et al. (2015)</w:t>
      </w:r>
      <w:r>
        <w:fldChar w:fldCharType="end"/>
      </w:r>
      <w:r>
        <w:rPr>
          <w:lang w:val="en-GB"/>
        </w:rPr>
        <w:t xml:space="preserve"> investigated the subcellular localisation of a variety of cell growth regulators (reactive oxygen species, polyphenols and auxins) and cellulose microfibrils over the development of a gall induced by </w:t>
      </w:r>
      <w:r>
        <w:rPr>
          <w:i/>
          <w:lang w:val="en-GB"/>
        </w:rPr>
        <w:t xml:space="preserve">Lopesia </w:t>
      </w:r>
      <w:r>
        <w:rPr>
          <w:lang w:val="en-GB"/>
        </w:rPr>
        <w:t xml:space="preserve">spp. (Cecidomyiidae) on </w:t>
      </w:r>
      <w:r>
        <w:rPr>
          <w:i/>
          <w:lang w:val="en-GB"/>
        </w:rPr>
        <w:t>Lonchocarpus cultratus</w:t>
      </w:r>
      <w:r>
        <w:rPr>
          <w:lang w:val="en-GB"/>
        </w:rPr>
        <w:t xml:space="preserve">. These regulators occur at sites of cell hypertrophy. The simultaneous presence of reactive oxygen species and anti-oxidants indicate a chemical balance between the regulation of growth and the avoidance of cell death at gall sites </w:t>
      </w:r>
      <w:r>
        <w:rPr>
          <w:highlight w:val="red"/>
          <w:lang w:val="en-GB"/>
        </w:rPr>
        <w:fldChar w:fldCharType="begin" w:fldLock="1"/>
      </w:r>
      <w:r>
        <w:rPr>
          <w:highlight w:val="red"/>
          <w:lang w:val="en-GB"/>
        </w:rPr>
        <w:instrText xml:space="preserve">ADDIN CSL_CITATION { "citationItems" : [ { "id" : "ITEM-1", "itemData" : { "DOI" : "10.1016/j.jinsphys.2015.11.012", "ISSN" : "00221910", "PMID" : "26620152", "abstract" : "Biologists who study insect-induced plant galls are faced with the overwhelming diversity of plant forms and insect species. A challenge is to find common themes amidst this diversity. We discuss common themes that have emerged from our cytological and histochemical studies of diverse neotropical insect-induced galls. Gall initiation begins with recognition of reactive plant tissues by gall inducers, with subsequent feeding and/or oviposition triggering a cascade of events. Besides, to induce the gall structure insects have to synchronize their life cycle with plant host phenology. We predict that reactive oxygen species (ROS) play a role in gall induction, development and histochemical gradient formation. Controlled levels of ROS mediate the accumulation of (poly)phenols, and phytohormones (such as auxin) at gall sites, which contributes to the new cell developmental pathways and biochemical alterations that lead to gall formation. The classical idea of an insect-induced gall is a chamber lined with a nutritive tissue that is occupied by an insect that directly harvests nutrients from nutritive cells via its mouthparts, which function mechanically and/or as a delivery system for salivary secretions. By studying diverse gall-inducing insects we have discovered that insects with needle-like sucking mouthparts may also induce a nutritive tissue, whose nutrients are indirectly harvested as the gall-inducing insects feeds on adjacent vascular tissues. Activity of carbohydrate-related enzymes across diverse galls corroborates this hypothesis. Our research points to the importance of cytological and histochemical studies for elucidating mechanisms of induced susceptibility and induced resistance.", "author" : [ { "dropping-particle" : "", "family" : "Oliveira", "given" : "D. C.", "non-dropping-particle" : "", "parse-names" : false, "suffix" : "" }, { "dropping-particle" : "", "family" : "Isaias", "given" : "R. M S", "non-dropping-particle" : "", "parse-names" : false, "suffix" : "" }, { "dropping-particle" : "", "family" : "Fernandes", "given" : "G. W.", "non-dropping-particle" : "", "parse-names" : false, "suffix" : "" }, { "dropping-particle" : "", "family" : "Ferreira", "given" : "B. G.", "non-dropping-particle" : "", "parse-names" : false, "suffix" : "" }, { "dropping-particle" : "", "family" : "Carneiro", "given" : "R. G S", "non-dropping-particle" : "", "parse-names" : false, "suffix" : "" }, { "dropping-particle" : "", "family" : "Fuzaro", "given" : "L.", "non-dropping-particle" : "", "parse-names" : false, "suffix" : "" } ], "container-title" : "Journal of Insect Physiology", "id" : "ITEM-1", "issued" : { "date-parts" : [ [ "2016" ] ] }, "page" : "103-113", "publisher" : "Elsevier Ltd", "title" : "Manipulation of host plant cells and tissues by gall-inducing insects and adaptive strategies used by different feeding guilds", "type" : "article-journal", "volume" : "84" }, "uris" : [ "http://www.mendeley.com/documents/?uuid=cda59f0a-e8ab-4acd-90c1-24dca1403414" ] } ], "mendeley" : { "formattedCitation" : "[36]", "plainTextFormattedCitation" : "[36]", "previouslyFormattedCitation" : "[36]" }, "properties" : { "noteIndex" : 0 }, "schema" : "https://github.com/citation-style-language/schema/raw/master/csl-citation.json" }</w:instrText>
      </w:r>
      <w:r>
        <w:rPr>
          <w:highlight w:val="red"/>
          <w:lang w:val="en-GB"/>
        </w:rPr>
        <w:fldChar w:fldCharType="separate"/>
      </w:r>
      <w:r>
        <w:rPr>
          <w:highlight w:val="red"/>
          <w:lang w:val="en-GB"/>
        </w:rPr>
        <w:t>[36]</w:t>
      </w:r>
      <w:r>
        <w:rPr>
          <w:highlight w:val="red"/>
          <w:lang w:val="en-GB"/>
        </w:rPr>
        <w:fldChar w:fldCharType="end"/>
      </w:r>
      <w:r>
        <w:rPr>
          <w:lang w:val="en-GB"/>
        </w:rPr>
        <w:t>. Auxins have been frequently associated with galls; however, the molecular mechanisms that are involved are currently unknown.</w:t>
      </w:r>
    </w:p>
    <w:p>
      <w:pPr>
        <w:pStyle w:val="150"/>
        <w:rPr>
          <w:lang w:val="en-GB"/>
        </w:rPr>
      </w:pPr>
      <w:r>
        <w:rPr>
          <w:lang w:val="en-GB"/>
        </w:rPr>
        <w:t>3. The Molecular Mechanisms of Gall Induction</w:t>
      </w:r>
    </w:p>
    <w:p>
      <w:pPr>
        <w:pStyle w:val="35"/>
        <w:rPr>
          <w:lang w:val="en-GB"/>
        </w:rPr>
      </w:pPr>
      <w:r>
        <w:rPr>
          <w:lang w:val="en-GB"/>
        </w:rPr>
        <w:t xml:space="preserve">The molecular mechanisms of insect gall induction and maintenance are currently poorly understood. The unifying characteristic consistent across all galls and which separates galling from other modes of herbivory is the redifferentiation of host tissues into gall-specific tissues </w:t>
      </w:r>
      <w:r>
        <w:rPr>
          <w:lang w:val="en-GB"/>
        </w:rPr>
        <w:fldChar w:fldCharType="begin" w:fldLock="1"/>
      </w:r>
      <w:r>
        <w:rPr>
          <w:lang w:val="en-GB"/>
        </w:rPr>
        <w:instrText xml:space="preserve">ADDIN CSL_CITATION { "citationItems" : [ { "id" : "ITEM-1", "itemData" : { "DOI" : "10.1016/S0169-5347(03)00247-7", "ISSN" : "01695347", "author" : [ { "dropping-particle" : "", "family" : "Stone", "given" : "Graham N.", "non-dropping-particle" : "", "parse-names" : false, "suffix" : "" }, { "dropping-particle" : "", "family" : "Sch\u00f6nrogge", "given" : "Karsten", "non-dropping-particle" : "", "parse-names" : false, "suffix" : "" } ], "container-title" : "Trends in Ecology &amp; Evolution", "id" : "ITEM-1", "issue" : "10", "issued" : { "date-parts" : [ [ "2003", "10" ] ] }, "note" : "Discusses three primary hypotheses about the adaptive significance of insect gall morphology. Nutrition, Microenvironment and Enemies hypotheses.\n\n\nMany examples.", "page" : "512-522", "title" : "The adaptive significance of insect gall morphology", "type" : "article-journal", "volume" : "18" }, "uris" : [ "http://www.mendeley.com/documents/?uuid=e5d10388-e525-4f41-9532-cae87e53c754" ] } ], "mendeley" : { "formattedCitation" : "[1]", "plainTextFormattedCitation" : "[1]", "previouslyFormattedCitation" : "[1]" }, "properties" : { "noteIndex" : 0 }, "schema" : "https://github.com/citation-style-language/schema/raw/master/csl-citation.json" }</w:instrText>
      </w:r>
      <w:r>
        <w:rPr>
          <w:lang w:val="en-GB"/>
        </w:rPr>
        <w:fldChar w:fldCharType="separate"/>
      </w:r>
      <w:r>
        <w:rPr>
          <w:lang w:val="en-GB"/>
        </w:rPr>
        <w:t>[1]</w:t>
      </w:r>
      <w:r>
        <w:fldChar w:fldCharType="end"/>
      </w:r>
      <w:r>
        <w:rPr>
          <w:lang w:val="en-GB"/>
        </w:rPr>
        <w:t>. By extension, it is plausible that a fundamental requirement of galling requires the pest to assume control of the host’s cellular machinery and to maintain this control throughout the period of time that the insect is dependent on the host. Comparisons between different insect gallers and other galling species, such as root knot nematodes, have highlighted two mechanisms that putatively regulate this process: the secretion of effectors and induced phytohormonal imbalances.</w:t>
      </w:r>
    </w:p>
    <w:p>
      <w:pPr>
        <w:pStyle w:val="151"/>
        <w:rPr>
          <w:lang w:val="en-GB"/>
        </w:rPr>
      </w:pPr>
      <w:r>
        <w:rPr>
          <w:lang w:val="en-GB"/>
        </w:rPr>
        <w:t>3.1. Effectors in Insect Galling</w:t>
      </w:r>
    </w:p>
    <w:p>
      <w:pPr>
        <w:pStyle w:val="35"/>
        <w:rPr>
          <w:lang w:val="en-GB"/>
        </w:rPr>
      </w:pPr>
      <w:r>
        <w:rPr>
          <w:lang w:val="en-GB"/>
        </w:rPr>
        <w:t xml:space="preserve">An effector is a molecule with specific host targets that may allow the attacker to undermine the hosts’ immune system and modulate the cellular processes </w:t>
      </w:r>
      <w:r>
        <w:rPr>
          <w:lang w:val="en-GB"/>
        </w:rPr>
        <w:fldChar w:fldCharType="begin" w:fldLock="1"/>
      </w:r>
      <w:r>
        <w:rPr>
          <w:lang w:val="en-GB"/>
        </w:rPr>
        <w:instrText xml:space="preserve">ADDIN CSL_CITATION { "citationItems" : [ { "id" : "ITEM-1", "itemData" : { "DOI" : "10.1016/j.tplants.2012.06.011", "ISBN" : "1878-4372 (Electronic)\\r1360-1385 (Linking)", "ISSN" : "13601385", "PMID" : "22796464", "abstract" : "To suppress plant defense responses and favor the establishment of disease, phytopathogenic bacteria have gained the ability to deliver effector molecules inside host cells through the type III secretion system. Inside plant cells, bacterial effector proteins may be addressed to different subcellular compartments where they are able to manipulate a variety of host cellular components and molecular functions. Here we review how the recent identification and functional characterization of plant components targeted by bacterial effectors, as well as the discovery of new pathogen recognition capabilities evolved in turn by plant cells, have significantly contributed to further our knowledge about the intricate molecular interactions that are established between plants and their invading bacteria. ?? 2012 Elsevier Ltd.", "author" : [ { "dropping-particle" : "", "family" : "Deslandes", "given" : "Laurent", "non-dropping-particle" : "", "parse-names" : false, "suffix" : "" }, { "dropping-particle" : "", "family" : "Rivas", "given" : "Susana", "non-dropping-particle" : "", "parse-names" : false, "suffix" : "" } ], "container-title" : "Trends in Plant Science", "id" : "ITEM-1", "issue" : "11", "issued" : { "date-parts" : [ [ "2012" ] ] }, "page" : "644-655", "publisher" : "Elsevier Ltd", "title" : "Catch me if you can: Bacterial effectors and plant targets", "type" : "article-journal", "volume" : "17" }, "uris" : [ "http://www.mendeley.com/documents/?uuid=662b8cc2-ceb6-48e6-a58d-ddbfbf397f93" ] } ], "mendeley" : { "formattedCitation" : "[37]", "plainTextFormattedCitation" : "[37]", "previouslyFormattedCitation" : "[37]" }, "properties" : { "noteIndex" : 0 }, "schema" : "https://github.com/citation-style-language/schema/raw/master/csl-citation.json" }</w:instrText>
      </w:r>
      <w:r>
        <w:rPr>
          <w:lang w:val="en-GB"/>
        </w:rPr>
        <w:fldChar w:fldCharType="separate"/>
      </w:r>
      <w:r>
        <w:rPr>
          <w:lang w:val="en-GB"/>
        </w:rPr>
        <w:t>[37]</w:t>
      </w:r>
      <w:r>
        <w:fldChar w:fldCharType="end"/>
      </w:r>
      <w:r>
        <w:rPr>
          <w:lang w:val="en-GB"/>
        </w:rPr>
        <w:t xml:space="preserve">. </w:t>
      </w:r>
      <w:r>
        <w:rPr>
          <w:lang w:val="en-GB"/>
        </w:rPr>
        <w:fldChar w:fldCharType="begin" w:fldLock="1"/>
      </w:r>
      <w:r>
        <w:rPr>
          <w:lang w:val="en-GB"/>
        </w:rPr>
        <w:instrText xml:space="preserve">ADDIN CSL_CITATION { "citationItems" : [ { "id" : "ITEM-1", "itemData" : { "DOI" : "10.1038/nature05286", "ISBN" : "1476-4687 (Electronic)\\r0028-0836 (Linking)", "ISSN" : "0028-0836", "PMID" : "17108957", "abstract" : "Many plant-associated microbes are pathogens that impair plant growth and reproduction. Plants respond to infection using a two-branched innate immune system. The first branch recognizes and responds to molecules common to many classes of microbes, including non-pathogens. The second responds to pathogen virulence factors, either directly or through their effects on host targets. These plant immune systems, and the pathogen molecules to which they respond, provide extraordinary insights into molecular recognition, cell biology and evolution across biological kingdoms. A detailed understanding of plant immune function will underpin crop improvement for food, fibre and biofuels production.", "author" : [ { "dropping-particle" : "", "family" : "Jones", "given" : "Jonathan D G", "non-dropping-particle" : "", "parse-names" : false, "suffix" : "" }, { "dropping-particle" : "", "family" : "Dangl", "given" : "Jeffery L", "non-dropping-particle" : "", "parse-names" : false, "suffix" : "" } ], "container-title" : "Nature", "id" : "ITEM-1", "issue" : "7117", "issued" : { "date-parts" : [ [ "2006" ] ] }, "page" : "323-329", "title" : "The plant immune system.", "type" : "article-journal", "volume" : "444" }, "uris" : [ "http://www.mendeley.com/documents/?uuid=92270bf5-7e00-4c76-9ee2-4b49373c5559" ] } ], "mendeley" : { "formattedCitation" : "[38]", "manualFormatting" : "Jones &amp; Dangl (2006)", "plainTextFormattedCitation" : "[38]", "previouslyFormattedCitation" : "[38]" }, "properties" : { "noteIndex" : 0 }, "schema" : "https://github.com/citation-style-language/schema/raw/master/csl-citation.json" }</w:instrText>
      </w:r>
      <w:r>
        <w:rPr>
          <w:lang w:val="en-GB"/>
        </w:rPr>
        <w:fldChar w:fldCharType="separate"/>
      </w:r>
      <w:r>
        <w:rPr>
          <w:lang w:val="en-GB"/>
        </w:rPr>
        <w:t>Jones &amp; Dangl (2006)</w:t>
      </w:r>
      <w:r>
        <w:fldChar w:fldCharType="end"/>
      </w:r>
      <w:r>
        <w:rPr>
          <w:lang w:val="en-GB"/>
        </w:rPr>
        <w:t xml:space="preserve"> proposed the currently accepted model of the resistance (R) protein-effector arms race between plants and pathogens. Plant pattern-triggered immunity (PTI) is initiated following the recognition of microbe-associated molecular patterns (MAMPs). PTI is suppressed by pathogen-secreted effectors (effector-triggered susceptibility, ETS). ETS is countered by the recognition of these effectors by intracellular R proteins (effector-triggered immunity, ETI). The arms race continues as the pathogen evolves new effectors to avoid detection by the plant and the plant evolves new R proteins to improve surveillance. This model is currently also accepted for plant-insect interactions </w:t>
      </w:r>
      <w:r>
        <w:rPr>
          <w:lang w:val="en-GB"/>
        </w:rPr>
        <w:fldChar w:fldCharType="begin" w:fldLock="1"/>
      </w:r>
      <w:r>
        <w:rPr>
          <w:lang w:val="en-GB"/>
        </w:rPr>
        <w:instrText xml:space="preserve">ADDIN CSL_CITATION { "citationItems" : [ { "id" : "ITEM-1", "itemData" : { "DOI" : "10.1016/j.cois.2015.02.010", "ISSN" : "22145745", "author" : [ { "dropping-particle" : "", "family" : "Stuart", "given" : "Jeff", "non-dropping-particle" : "", "parse-names" : false, "suffix" : "" } ], "container-title" : "Current Opinion in Insect Science", "id" : "ITEM-1", "issued" : { "date-parts" : [ [ "2015" ] ] }, "publisher" : "Elsevier Inc", "title" : "Insect effectors and gene-for-gene interactions with host plants", "type" : "article-journal" }, "uris" : [ "http://www.mendeley.com/documents/?uuid=1463ad77-a288-48a9-8d7d-160bd02bd49b" ] } ], "mendeley" : { "formattedCitation" : "[39]", "plainTextFormattedCitation" : "[39]", "previouslyFormattedCitation" : "[39]" }, "properties" : { "noteIndex" : 0 }, "schema" : "https://github.com/citation-style-language/schema/raw/master/csl-citation.json" }</w:instrText>
      </w:r>
      <w:r>
        <w:rPr>
          <w:lang w:val="en-GB"/>
        </w:rPr>
        <w:fldChar w:fldCharType="separate"/>
      </w:r>
      <w:r>
        <w:rPr>
          <w:lang w:val="en-GB"/>
        </w:rPr>
        <w:t>[39]</w:t>
      </w:r>
      <w:r>
        <w:fldChar w:fldCharType="end"/>
      </w:r>
      <w:r>
        <w:rPr>
          <w:lang w:val="en-GB"/>
        </w:rPr>
        <w:t xml:space="preserve"> and herbivore- and egg-associated molecular patterns (HAMPs and EAMPs), as well as effectors that elicit PTI and ETI, respectively, have been identified </w:t>
      </w:r>
      <w:r>
        <w:rPr>
          <w:lang w:val="en-GB"/>
        </w:rPr>
        <w:fldChar w:fldCharType="begin" w:fldLock="1"/>
      </w:r>
      <w:r>
        <w:rPr>
          <w:lang w:val="en-GB"/>
        </w:rPr>
        <w:instrText xml:space="preserve">ADDIN CSL_CITATION { "citationItems" : [ { "id" : "ITEM-1", "itemData" : { "DOI" : "10.1111/tpj.13152", "author" : [ { "dropping-particle" : "", "family" : "Villarroel", "given" : "Carlos A", "non-dropping-particle" : "", "parse-names" : false, "suffix" : "" }, { "dropping-particle" : "", "family" : "Jonckheere", "given" : "Wim", "non-dropping-particle" : "", "parse-names" : false, "suffix" : "" }, { "dropping-particle" : "", "family" : "Alba", "given" : "Juan M", "non-dropping-particle" : "", "parse-names" : false, "suffix" : "" }, { "dropping-particle" : "", "family" : "Glas", "given" : "Joris J", "non-dropping-particle" : "", "parse-names" : false, "suffix" : "" }, { "dropping-particle" : "", "family" : "Dermauw", "given" : "Wannes", "non-dropping-particle" : "", "parse-names" : false, "suffix" : "" }, { "dropping-particle" : "", "family" : "Haring", "given" : "Michel A", "non-dropping-particle" : "", "parse-names" : false, "suffix" : "" }, { "dropping-particle" : "", "family" : "Van", "given" : "Thomas", "non-dropping-particle" : "", "parse-names" : false, "suffix" : "" }, { "dropping-particle" : "", "family" : "Schuurink", "given" : "Robert C", "non-dropping-particle" : "", "parse-names" : false, "suffix" : "" }, { "dropping-particle" : "", "family" : "Kant", "given" : "Merijn R", "non-dropping-particle" : "", "parse-names" : false, "suffix" : "" } ], "id" : "ITEM-1", "issued" : { "date-parts" : [ [ "2016" ] ] }, "page" : "119-131", "title" : "Salivary proteins of spider mites suppress defenses in Nicotiana benthamiana and promote mite reproduction", "type" : "article-journal" }, "uris" : [ "http://www.mendeley.com/documents/?uuid=44e0a65a-0ad5-463d-8f17-aea3e87c3cc0" ] }, { "id" : "ITEM-2", "itemData" : { "DOI" : "10.1007/s10886-010-9764-8", "ISBN" : "0098-0331", "ISSN" : "00980331", "PMID" : "20195891", "abstract" : "Fatty acid amino acid conjugates (FACs) have been found in noctuid as well as sphingid caterpillar oral secretions; in particular, volicitin [N-(17-hydroxylinolenoyl)-L-glutamine] and its biochemical precursor, N-linolenoyl-L-glutamine, are known elicitors of induced volatile emissions in corn plants. These induced volatiles, in turn, attract natural enemies of the caterpillars. In a previous study, we showed that N-linolenoyl-L-glutamine in larval Spodoptera litura plays an important role in nitrogen assimilation which might be an explanation for caterpillars synthesizing FACs despite an increased risk of attracting natural enemies. However, the presence of FACs in lepidopteran species outside these families of agricultural interest is not well known. We conducted FAC screening of 29 lepidopteran species, and found them in 19 of these species. Thus, FACs are commonly synthesized through a broad range of lepidopteran caterpillars. Since all FAC-containing species had N-linolenoyl-L-glutamine and/or N-linoleoyl-L-glutamine in common, and the evolutionarily earliest species among them had only these two FACs, these glutamine conjugates might be the evolutionarily older FACs. Furthermore, some species had glutamic acid conjugates, and some had hydroxylated FACs. Comparing the diversity of FACs with lepidopteran phylogeny indicates that glutamic acid conjugates can be synthesized by relatively primitive species, while hydroxylation of fatty acids is limited mostly to larger and more developed macrolepidopteran species.", "author" : [ { "dropping-particle" : "", "family" : "Yoshinaga", "given" : "Naoko", "non-dropping-particle" : "", "parse-names" : false, "suffix" : "" }, { "dropping-particle" : "", "family" : "Alborn", "given" : "Hans T.", "non-dropping-particle" : "", "parse-names" : false, "suffix" : "" }, { "dropping-particle" : "", "family" : "Nakanishi", "given" : "Tomoaki", "non-dropping-particle" : "", "parse-names" : false, "suffix" : "" }, { "dropping-particle" : "", "family" : "Suckling", "given" : "David M.", "non-dropping-particle" : "", "parse-names" : false, "suffix" : "" }, { "dropping-particle" : "", "family" : "Nishida", "given" : "Ritsuo", "non-dropping-particle" : "", "parse-names" : false, "suffix" : "" }, { "dropping-particle" : "", "family" : "Tumlinson", "given" : "James H.", "non-dropping-particle" : "", "parse-names" : false, "suffix" : "" }, { "dropping-particle" : "", "family" : "Mori", "given" : "Naoki", "non-dropping-particle" : "", "parse-names" : false, "suffix" : "" } ], "container-title" : "Journal of Chemical Ecology", "id" : "ITEM-2", "issue" : "3", "issued" : { "date-parts" : [ [ "2010" ] ] }, "page" : "319-325", "title" : "Fatty acid-amino acid conjugates diversification in lepidopteran caterpillars", "type" : "article-journal", "volume" : "36" }, "uris" : [ "http://www.mendeley.com/documents/?uuid=60bc7c3d-30b4-488a-9211-cad01c4920a1" ] }, { "id" : "ITEM-3", "itemData" : { "DOI" : "10.1104/pp.107.097154", "ISBN" : "0032-0889", "ISSN" : "0032-0889", "PMID" : "17369425", "abstract" : "In cowpea (Vigna unguiculata), fall armyworm (Spodoptera frugiperda) herbivory and oral secretions (OS) elicit phytohormone production and volatile emission due to inceptin [Vu-In; 1ICDINGVCVDA2], a peptide derived from chloroplastic ATP synthase g-subunit (cATPC) proteins. Elicitor-induced plant volatiles can function as attractants for natural enemies of insect herbivores.We hypothesized that inceptins are gut proteolysis products and that larval OS should contain a mixture of related peptides. In this study, we identified three additional cATPC fragments, namely Vu-GE1In [1GEICDINGVCVDA2], Vu-E1In [1EICDINGVCVDA2], and Vu-In2A [1ICDINGVCVD2]. Leaf bioassays for induced ethylene (E) production demonstrated similar effective concentration50 values of 68, 45, and 87 fmol leaf21 for Vu-In, Vu-E1In, and Vu-GE1In, respectively; however, Vu-In2A proved inactive. Shortly following ingestion of recombinant proteins harboring cATPC sequences, larval OS revealed similar concentrations of the three elicitors with 80% of the potential inceptin-related peptides recovered. Rapidly shifting peptide ratios over time were consistent with continued proteolysis and preferential stability of inceptin. Likewise, larvae ingesting host plants with inceptin precursors containing an internal trypsin cleavage site rapidly lost OS-based elicitor activity. OS containing inceptin elicited a rapid and sequential induction of defense-related phytohormones jasmonic acid, E, and salicylic acid at 30, 120, and 240 min, respectively, and also the volatile (E)-4,8-dimethyl-1,3,7-nonatriene. Similar to established peptide signals such as systemin and flg22, amino acid substitutions of Vu-In demonstrate an essential role for aspartic acid residues and an unaltered C terminus. In cowpea, insect gut proteolysis following herbivory generates inappropriate fragments of an essential metabolic enzyme enabling plant non-self-recognition", "author" : [ { "dropping-particle" : "", "family" : "Schmelz", "given" : "Eric A", "non-dropping-particle" : "", "parse-names" : false, "suffix" : "" }, { "dropping-particle" : "", "family" : "Leclere", "given" : "Sherry", "non-dropping-particle" : "", "parse-names" : false, "suffix" : "" }, { "dropping-particle" : "", "family" : "Carroll", "given" : "Mark J", "non-dropping-particle" : "", "parse-names" : false, "suffix" : "" }, { "dropping-particle" : "", "family" : "Alborn", "given" : "Hans T", "non-dropping-particle" : "", "parse-names" : false, "suffix" : "" }, { "dropping-particle" : "", "family" : "Teal", "given" : "Peter E A", "non-dropping-particle" : "", "parse-names" : false, "suffix" : "" } ], "container-title" : "Plant Physiology", "id" : "ITEM-3", "issue" : "2", "issued" : { "date-parts" : [ [ "2007" ] ] }, "page" : "793-805", "title" : "Cowpea Chloroplastic ATP Synthase Is the Source of Multiple Plant Defense Elicitors during Insect Herbivory", "type" : "article-journal", "volume" : "144" }, "uris" : [ "http://www.mendeley.com/documents/?uuid=0a5499c2-7861-4981-b65a-d75336baffe7" ] }, { "id" : "ITEM-4", "itemData" : { "DOI" : "10.1073/pnas.110054697", "ISBN" : "0027-8424", "ISSN" : "0027-8424", "PMID" : "10811915", "abstract" : "Pea weevil (Bruchus pisorum L.) oviposition on pods of specific genetic lines of pea (Pisum sativum L.) stimulates cell division at the sites of egg attachment. As a result, tumor-like growths of undifferentiated cells (neoplasms) develop beneath the egg. These neoplasms impede larval entry into the pod. This unique form of induced resistance is conditioned by the Np allele and mediated by a recently discovered class of natural products that we have identified from both cowpea weevil (Callosobruchus maculatus F.) and pea weevil. These compounds, which we refer to as \u201cbruchins,\u201d are long-chain \u03b1,\u03c9-diols, esterified at one or both oxygens with 3-hydroxypropanoic acid. Bruchins are potent plant regulators, with application of as little as 1 fmol (0.5 pg) causing neoplastic growth on pods of all of the pea lines tested. The bruchins are, to our knowledge, the first natural products discovered with the ability to induce neoplasm formation when applied to intact plants.", "author" : [ { "dropping-particle" : "", "family" : "Doss", "given" : "Robert P", "non-dropping-particle" : "", "parse-names" : false, "suffix" : "" }, { "dropping-particle" : "", "family" : "Oliver", "given" : "James E", "non-dropping-particle" : "", "parse-names" : false, "suffix" : "" }, { "dropping-particle" : "", "family" : "Proebsting", "given" : "William M", "non-dropping-particle" : "", "parse-names" : false, "suffix" : "" }, { "dropping-particle" : "", "family" : "Potter", "given" : "Sandra W", "non-dropping-particle" : "", "parse-names" : false, "suffix" : "" }, { "dropping-particle" : "", "family" : "Kuy", "given" : "SreyReath", "non-dropping-particle" : "", "parse-names" : false, "suffix" : "" }, { "dropping-particle" : "", "family" : "Clement", "given" : "Stephen L", "non-dropping-particle" : "", "parse-names" : false, "suffix" : "" }, { "dropping-particle" : "", "family" : "Williamson", "given" : "R Thomas", "non-dropping-particle" : "", "parse-names" : false, "suffix" : "" }, { "dropping-particle" : "", "family" : "Carney", "given" : "John R", "non-dropping-particle" : "", "parse-names" : false, "suffix" : "" }, { "dropping-particle" : "", "family" : "DeVilbiss", "given" : "E David", "non-dropping-particle" : "", "parse-names" : false, "suffix" : "" } ], "container-title" : "Proceedings of the National Academy of Sciences", "id" : "ITEM-4", "issue" : "11", "issued" : { "date-parts" : [ [ "2000" ] ] }, "page" : "6218-6223", "title" : "Bruchins: Insect-derived plant regulators that stimulate neoplasm formation", "type" : "article-journal", "volume" : "97" }, "uris" : [ "http://www.mendeley.com/documents/?uuid=24dc673e-46dc-4c9e-a2b0-4f2b72dfcac9" ] }, { "id" : "ITEM-5", "itemData" : { "DOI" : "10.1126/science.276.5314.945", "ISBN" : "0036-8075", "ISSN" : "00368075", "PMID" : "6102", "abstract" : "The compoundN-(17-hydroxylinolenoyl)-l-glutamine (named here volicitin) was isolated from oral secretions of beet armyworm caterpillars. When applied to damaged leaves of corn seedlings, volicitin induces the seedlings to emit volatile compounds that attract parasitic wasps, natural enemies of the caterpillars. Mechanical damage of the leaves, without application of this compound, did not trigger release of the same blend of volatiles. Volicitin is a key component in a chain of chemical signals and biochemical processes that regulate tritrophic interactions among plants, insect herbivores, and natural enemies of the herbivores.", "author" : [ { "dropping-particle" : "", "family" : "Alborn", "given" : "H. T.", "non-dropping-particle" : "", "parse-names" : false, "suffix" : "" } ], "container-title" : "Science", "id" : "ITEM-5", "issue" : "5314", "issued" : { "date-parts" : [ [ "1997" ] ] }, "page" : "945-949", "title" : "An Elicitor of Plant Volatiles from Beet Armyworm Oral Secretion.", "type" : "article-journal", "volume" : "276" }, "uris" : [ "http://www.mendeley.com/documents/?uuid=b12be560-c66e-470c-9afd-88eefbbd7c97" ] } ], "mendeley" : { "formattedCitation" : "[40\u201344]", "plainTextFormattedCitation" : "[40\u201344]", "previouslyFormattedCitation" : "[40\u201344]" }, "properties" : { "noteIndex" : 0 }, "schema" : "https://github.com/citation-style-language/schema/raw/master/csl-citation.json" }</w:instrText>
      </w:r>
      <w:r>
        <w:rPr>
          <w:lang w:val="en-GB"/>
        </w:rPr>
        <w:fldChar w:fldCharType="separate"/>
      </w:r>
      <w:r>
        <w:rPr>
          <w:lang w:val="en-GB"/>
        </w:rPr>
        <w:t>[40–44]</w:t>
      </w:r>
      <w:r>
        <w:fldChar w:fldCharType="end"/>
      </w:r>
      <w:r>
        <w:rPr>
          <w:lang w:val="en-GB"/>
        </w:rPr>
        <w:t xml:space="preserve">. Where plant genomes are available, putative </w:t>
      </w:r>
      <w:r>
        <w:rPr>
          <w:i/>
          <w:lang w:val="en-GB"/>
        </w:rPr>
        <w:t>R</w:t>
      </w:r>
      <w:r>
        <w:rPr>
          <w:lang w:val="en-GB"/>
        </w:rPr>
        <w:t xml:space="preserve"> genes can be identified as clusters of polymorphic, nucleotide binding site leucine-rich repeats-containing genes </w:t>
      </w:r>
      <w:r>
        <w:rPr>
          <w:lang w:val="en-GB"/>
        </w:rPr>
        <w:fldChar w:fldCharType="begin" w:fldLock="1"/>
      </w:r>
      <w:r>
        <w:rPr>
          <w:lang w:val="en-GB"/>
        </w:rPr>
        <w:instrText xml:space="preserve">ADDIN CSL_CITATION { "citationItems" : [ { "id" : "ITEM-1", "itemData" : { "DOI" : "10.1016/j.cois.2015.02.010", "ISSN" : "22145745", "author" : [ { "dropping-particle" : "", "family" : "Stuart", "given" : "Jeff", "non-dropping-particle" : "", "parse-names" : false, "suffix" : "" } ], "container-title" : "Current Opinion in Insect Science", "id" : "ITEM-1", "issued" : { "date-parts" : [ [ "2015" ] ] }, "publisher" : "Elsevier Inc", "title" : "Insect effectors and gene-for-gene interactions with host plants", "type" : "article-journal" }, "uris" : [ "http://www.mendeley.com/documents/?uuid=1463ad77-a288-48a9-8d7d-160bd02bd49b" ] } ], "mendeley" : { "formattedCitation" : "[39]", "plainTextFormattedCitation" : "[39]", "previouslyFormattedCitation" : "[39]" }, "properties" : { "noteIndex" : 0 }, "schema" : "https://github.com/citation-style-language/schema/raw/master/csl-citation.json" }</w:instrText>
      </w:r>
      <w:r>
        <w:rPr>
          <w:lang w:val="en-GB"/>
        </w:rPr>
        <w:fldChar w:fldCharType="separate"/>
      </w:r>
      <w:r>
        <w:rPr>
          <w:lang w:val="en-GB"/>
        </w:rPr>
        <w:t>[39]</w:t>
      </w:r>
      <w:r>
        <w:rPr>
          <w:lang w:val="en-GB"/>
        </w:rPr>
        <w:fldChar w:fldCharType="end"/>
      </w:r>
      <w:r>
        <w:rPr>
          <w:lang w:val="en-GB"/>
        </w:rPr>
        <w:t xml:space="preserve">. </w:t>
      </w:r>
      <w:r>
        <w:t xml:space="preserve">The Hessian fly was the first insect proposed to have a gene-for-gene interaction with its host, a hypothesis that was confirmed upon the identification of the first galling insect effector </w:t>
      </w:r>
      <w:r>
        <w:fldChar w:fldCharType="begin" w:fldLock="1"/>
      </w:r>
      <w:r>
        <w:instrText xml:space="preserve">ADDIN CSL_CITATION { "citationItems" : [ { "id" : "ITEM-1", "itemData" : { "DOI" : "10.1371/journal.pone.0100958", "ISSN" : "19326203", "PMID" : "24964065", "abstract" : "Highly specialized obligate plant-parasites exist within several groups of arthropods (insects and mites). Many of these are important pests, but the molecular basis of their parasitism and its evolution are poorly understood. One hypothesis is that plant parasitic arthropods use effector proteins to defeat basal plant immunity and modulate plant growth. Because avirulence (Avr) gene discovery is a reliable method of effector identification, we tested this hypothesis using high-resolution molecular genetic mapping of an Avr gene (vH13) in the Hessian fly (HF, Mayetiola destructor), an important gall midge pest of wheat (Triticum spp.). Chromosome walking resolved the position of vH13, and revealed alleles that determine whether HF larvae are virulent (survive) or avirulent (die) on wheat seedlings carrying the wheat H13 resistance gene. Association mapping found three independent insertions in vH13 that appear to be responsible for H13-virulence in field populations. We observed vH13 transcription in H13-avirulent larvae and the salivary glands of H13-avirulent larvae, but not in H13-virulent larvae. RNA-interference-knockdown of vH13 transcripts allowed some H13-avirulent larvae to escape H13-directed resistance. vH13 is the first Avr gene identified in an arthropod. It encodes a small modular protein with no sequence similarities to other proteins in GenBank. These data clearly support the hypothesis that an effector-based strategy has evolved in multiple lineages of plant parasites, including arthropods.", "author" : [ { "dropping-particle" : "", "family" : "Aggarwal", "given" : "Rajat", "non-dropping-particle" : "", "parse-names" : false, "suffix" : "" }, { "dropping-particle" : "", "family" : "Subramanyam", "given" : "Subhashree", "non-dropping-particle" : "", "parse-names" : false, "suffix" : "" }, { "dropping-particle" : "", "family" : "Zhao", "given" : "Chaoyang", "non-dropping-particle" : "", "parse-names" : false, "suffix" : "" }, { "dropping-particle" : "", "family" : "Chen", "given" : "Ming Shun", "non-dropping-particle" : "", "parse-names" : false, "suffix" : "" }, { "dropping-particle" : "", "family" : "Harris", "given" : "Marion O.", "non-dropping-particle" : "", "parse-names" : false, "suffix" : "" }, { "dropping-particle" : "", "family" : "Stuart", "given" : "Jeff J.", "non-dropping-particle" : "", "parse-names" : false, "suffix" : "" } ], "container-title" : "PLoS ONE", "id" : "ITEM-1", "issue" : "6", "issued" : { "date-parts" : [ [ "2014" ] ] }, "title" : "Avirulence effector discovery in a plant galling and plant parasitic arthropod, the Hessian fly (Mayetiola destructor)", "type" : "article-journal", "volume" : "9" }, "uris" : [ "http://www.mendeley.com/documents/?uuid=864a4641-a569-4ed3-8e31-70af4d89a0a8" ] } ], "mendeley" : { "formattedCitation" : "[45]", "plainTextFormattedCitation" : "[45]", "previouslyFormattedCitation" : "[45]" }, "properties" : { "noteIndex" : 0 }, "schema" : "https://github.com/citation-style-language/schema/raw/master/csl-citation.json" }</w:instrText>
      </w:r>
      <w:r>
        <w:fldChar w:fldCharType="separate"/>
      </w:r>
      <w:r>
        <w:t>[45]</w:t>
      </w:r>
      <w:r>
        <w:fldChar w:fldCharType="end"/>
      </w:r>
      <w:r>
        <w:t>.</w:t>
      </w:r>
    </w:p>
    <w:p>
      <w:pPr>
        <w:pStyle w:val="35"/>
        <w:rPr>
          <w:lang w:val="en-GB"/>
        </w:rPr>
      </w:pPr>
      <w:r>
        <w:rPr>
          <w:lang w:val="en-GB"/>
        </w:rPr>
        <w:t xml:space="preserve">Putative insect effector-encoding genes are </w:t>
      </w:r>
      <w:r>
        <w:rPr>
          <w:highlight w:val="red"/>
          <w:lang w:val="en-GB"/>
        </w:rPr>
        <w:t>commonly</w:t>
      </w:r>
      <w:r>
        <w:rPr>
          <w:lang w:val="en-GB"/>
        </w:rPr>
        <w:t xml:space="preserve"> identified by four characteristics </w:t>
      </w:r>
      <w:r>
        <w:rPr>
          <w:lang w:val="en-GB"/>
        </w:rPr>
        <w:fldChar w:fldCharType="begin" w:fldLock="1"/>
      </w:r>
      <w:r>
        <w:rPr>
          <w:lang w:val="en-GB"/>
        </w:rPr>
        <w:instrText xml:space="preserve">ADDIN CSL_CITATION { "citationItems" : [ { "id" : "ITEM-1", "itemData" : { "DOI" : "10.1186/s12864-016-2496-6", "ISSN" : "1471-2164", "PMID" : "26935069", "abstract" : "BACKGROUND: Aphids are phloem-feeding insects that cause significant economic losses to agriculture worldwide. While feeding and probing these insects deliver molecules, called effectors, inside their host to enable infestation. The identification and characterization of these effectors from different species that vary in their host range is an important step in understanding the infestation success of aphids and aphid host range variation. This study employs a multi-disciplinary approach based on transcriptome sequencing and proteomics to identify and compare effector candidates from the broad host range aphid Myzus persicae (green peach aphid) (genotypes O, J and F), and narrow host range aphids Myzus cerasi (black cherry aphid) and Rhopalosiphum padi (bird-cherry oat aphid).\\n\\nRESULTS: Using a combination of aphid transcriptome sequencing on libraries derived from head versus body tissues as well as saliva proteomics we were able to predict candidate effectors repertoires from the different aphid species and genotypes. Among the identified conserved or core effector sets, we identified a significant number of previously identified aphid candidate effectors indicating these proteins may be involved in general infestation strategies. Moreover, we identified aphid candidate effector sequences that were specific to one species, which are interesting candidates for further validation and characterization with regards to species-specific functions during infestation. We assessed our candidate effector repertoires for evidence of positive selection, and identified 49 candidates with DN/DS ratios &gt;1. We noted higher rates of DN/DS ratios in predicted aphid effectors than non-effectors. Whether this reflects positive selection due to co-evolution with host plants, or increased neofunctionalization upon gene duplication remains to be investigated.\\n\\nCONCLUSION: Our work provides a comprehensive overview of the candidate effector repertoires from three different aphid species with varying host ranges. Comparative analyses revealed candidate effectors that are most likely are involved in general aspects of infestation, whereas others, that are highly divergent, may be involved in specific processes important for certain aphid species. Insights into the overlap and differences in aphid effector repertoires are important in understanding how different species successfully infest different ranges of plant species.", "author" : [ { "dropping-particle" : "", "family" : "Thorpe", "given" : "Peter", "non-dropping-particle" : "", "parse-names" : false, "suffix" : "" }, { "dropping-particle" : "", "family" : "Cock", "given" : "Peter J. A.", "non-dropping-particle" : "", "parse-names" : false, "suffix" : "" }, { "dropping-particle" : "", "family" : "Bos", "given" : "Jorunn", "non-dropping-particle" : "", "parse-names" : false, "suffix" : "" } ], "container-title" : "BMC Genomics", "id" : "ITEM-1", "issue" : "1", "issued" : { "date-parts" : [ [ "2016" ] ] }, "page" : "172", "title" : "Comparative transcriptomics and proteomics of three different aphid species identifies core and diverse effector sets", "type" : "article-journal", "volume" : "17" }, "uris" : [ "http://www.mendeley.com/documents/?uuid=70901aa4-ae21-48de-94e8-fa9e7378eb67" ] }, { "id" : "ITEM-2", "itemData" : { "DOI" : "10.1111/tpj.13152", "author" : [ { "dropping-particle" : "", "family" : "Villarroel", "given" : "Carlos A", "non-dropping-particle" : "", "parse-names" : false, "suffix" : "" }, { "dropping-particle" : "", "family" : "Jonckheere", "given" : "Wim", "non-dropping-particle" : "", "parse-names" : false, "suffix" : "" }, { "dropping-particle" : "", "family" : "Alba", "given" : "Juan M", "non-dropping-particle" : "", "parse-names" : false, "suffix" : "" }, { "dropping-particle" : "", "family" : "Glas", "given" : "Joris J", "non-dropping-particle" : "", "parse-names" : false, "suffix" : "" }, { "dropping-particle" : "", "family" : "Dermauw", "given" : "Wannes", "non-dropping-particle" : "", "parse-names" : false, "suffix" : "" }, { "dropping-particle" : "", "family" : "Haring", "given" : "Michel A", "non-dropping-particle" : "", "parse-names" : false, "suffix" : "" }, { "dropping-particle" : "", "family" : "Van", "given" : "Thomas", "non-dropping-particle" : "", "parse-names" : false, "suffix" : "" }, { "dropping-particle" : "", "family" : "Schuurink", "given" : "Robert C", "non-dropping-particle" : "", "parse-names" : false, "suffix" : "" }, { "dropping-particle" : "", "family" : "Kant", "given" : "Merijn R", "non-dropping-particle" : "", "parse-names" : false, "suffix" : "" } ], "id" : "ITEM-2", "issued" : { "date-parts" : [ [ "2016" ] ] }, "page" : "119-131", "title" : "Salivary proteins of spider mites suppress defenses in Nicotiana benthamiana and promote mite reproduction", "type" : "article-journal" }, "uris" : [ "http://www.mendeley.com/documents/?uuid=44e0a65a-0ad5-463d-8f17-aea3e87c3cc0" ] }, { "id" : "ITEM-3", "itemData" : { "author" : [ { "dropping-particle" : "", "family" : "Zhao", "given" : "Chaoyang", "non-dropping-particle" : "", "parse-names" : false, "suffix" : "" }, { "dropping-particle" : "", "family" : "Escalante", "given" : "Lucio Navarro", "non-dropping-particle" : "", "parse-names" : false, "suffix" : "" }, { "dropping-particle" : "", "family" : "Chen", "given" : "Hang", "non-dropping-particle" : "", "parse-names" : false, "suffix" : "" }, { "dropping-particle" : "", "family" : "Benatti", "given" : "Thiago R.", "non-dropping-particle" : "", "parse-names" : false, "suffix" : "" }, { "dropping-particle" : "", "family" : "Qu", "given" : "Jiaxin", "non-dropping-particle" : "", "parse-names" : false, "suffix" : "" }, { "dropping-particle" : "", "family" : "Chellapilla", "given" : "Sanjay", "non-dropping-particle" : "", "parse-names" : false, "suffix" : "" }, { "dropping-particle" : "", "family" : "Waterhouse", "given" : "Robert M.", "non-dropping-particle" : "", "parse-names" : false, "suffix" : "" }, { "dropping-particle" : "", "family" : "Wheeler", "given" : "David", "non-dropping-particle" : "", "parse-names" : false, "suffix" : "" }, { "dropping-particle" : "", "family" : "Andersson", "given" : "Martin N.", "non-dropping-particle" : "", "parse-names" : false, "suffix" : "" }, { "dropping-particle" : "", "family" : "Bao", "given" : "Riyue", "non-dropping-particle" : "", "parse-names" : false, "suffix" : "" }, { "dropping-particle" : "", "family" : "Batterton", "given" : "Matthew", "non-dropping-particle" : "", "parse-names" : false, "suffix" : "" }, { "dropping-particle" : "", "family" : "Behura", "given" : "Susanta K.", "non-dropping-particle" : "", "parse-names" : false, "suffix" : "" } ], "container-title" : "Current Biology", "id" : "ITEM-3", "issued" : { "date-parts" : [ [ "2015" ] ] }, "page" : "613-620", "title" : "Zhao_A massive expansion of effector genes underlies gall formation in HF_2015.pdf", "type" : "article-journal", "volume" : "25" }, "uris" : [ "http://www.mendeley.com/documents/?uuid=c0b1c7bc-60f6-42cd-9f30-bd2a68de73cc" ] }, { "id" : "ITEM-4", "itemData" : { "DOI" : "10.1186/1471-2164-14-187", "ISBN" : "1471-2164 (Electronic)\r1471-2164 (Linking)", "ISSN" : "1471-2164", "PMID" : "23496979", "abstract" : "BACKGROUND: MicroRNAs (miRNAs) are small non-coding RNAs that play critical roles in regulating post transcriptional gene expression. Gall midges encompass a large group of insects that are of economic importance and also possess fascinating biological traits. The gall midge Mayetiola destructor, commonly known as the Hessian fly, is a destructive pest of wheat and model organism for studying gall midge biology and insect - host plant interactions.\\n\\nRESULTS: In this study, we systematically analyzed miRNAs from the Hessian fly. Deep-sequencing a Hessian fly larval transcriptome led to the identification of 89 miRNA species that are either identical or very similar to known miRNAs from other insects, and 184 novel miRNAs that have not been reported from other species. A genome-wide search through a draft Hessian fly genome sequence identified a total of 611 putative miRNA-encoding genes based on sequence similarity and the existence of a stem-loop structure for miRNA precursors. Analysis of the 611 putative genes revealed a striking feature: the dramatic expansion of several miRNA gene families. The largest family contained 91 genes that encoded 20 different miRNAs. Microarray analyses revealed the expression of miRNA genes was strictly regulated during Hessian fly larval development and abundance of many miRNA genes were affected by host genotypes.\\n\\nCONCLUSION: The identification of a large number of miRNAs for the first time from a gall midge provides a foundation for further studies of miRNA functions in gall midge biology and behavior. The dramatic expansion of identical or similar miRNAs provides a unique system to study functional relations among miRNA iso-genes as well as changes in sequence specificity due to small changes in miRNAs and in their mRNA targets. These results may also facilitate the identification of miRNA genes for potential pest control through transgenic approaches.", "author" : [ { "dropping-particle" : "", "family" : "Khajuria", "given" : "Chitvan", "non-dropping-particle" : "", "parse-names" : false, "suffix" : "" }, { "dropping-particle" : "", "family" : "Williams", "given" : "Christie E", "non-dropping-particle" : "", "parse-names" : false, "suffix" : "" }, { "dropping-particle" : "", "family" : "Bouhssini", "given" : "Mustapha", "non-dropping-particle" : "El", "parse-names" : false, "suffix" : "" }, { "dropping-particle" : "", "family" : "Whitworth", "given" : "R Jeff", "non-dropping-particle" : "", "parse-names" : false, "suffix" : "" }, { "dropping-particle" : "", "family" : "Richards", "given" : "Stephen", "non-dropping-particle" : "", "parse-names" : false, "suffix" : "" }, { "dropping-particle" : "", "family" : "Stuart", "given" : "Jeffrey J", "non-dropping-particle" : "", "parse-names" : false, "suffix" : "" }, { "dropping-particle" : "", "family" : "Chen", "given" : "Ming-Shun", "non-dropping-particle" : "", "parse-names" : false, "suffix" : "" } ], "container-title" : "BMC genomics", "id" : "ITEM-4", "issue" : "1", "issued" : { "date-parts" : [ [ "2013" ] ] }, "page" : "187", "publisher" : "BMC Genomics", "title" : "Deep sequencing and genome-wide analysis reveals the expansion of MicroRNA genes in the gall midge Mayetiola destructor.", "type" : "article-journal", "volume" : "14" }, "uris" : [ "http://www.mendeley.com/documents/?uuid=9d164b28-4d86-4e80-b065-ec5d40b171c2" ] } ], "mendeley" : { "formattedCitation" : "[40,46\u201348]", "plainTextFormattedCitation" : "[40,46\u201348]", "previouslyFormattedCitation" : "[40,46\u201348]" }, "properties" : { "noteIndex" : 0 }, "schema" : "https://github.com/citation-style-language/schema/raw/master/csl-citation.json" }</w:instrText>
      </w:r>
      <w:r>
        <w:rPr>
          <w:lang w:val="en-GB"/>
        </w:rPr>
        <w:fldChar w:fldCharType="separate"/>
      </w:r>
      <w:r>
        <w:rPr>
          <w:lang w:val="en-GB"/>
        </w:rPr>
        <w:t>[40,46–48]</w:t>
      </w:r>
      <w:r>
        <w:fldChar w:fldCharType="end"/>
      </w:r>
      <w:r>
        <w:rPr>
          <w:highlight w:val="red"/>
        </w:rPr>
        <w:t xml:space="preserve">, however; it </w:t>
      </w:r>
      <w:r>
        <w:rPr>
          <w:highlight w:val="red"/>
          <w:lang w:val="en-GB"/>
        </w:rPr>
        <w:t xml:space="preserve">must be noted that other parameters may also be considered in the identification of insect effectors </w:t>
      </w:r>
      <w:r>
        <w:rPr>
          <w:highlight w:val="red"/>
          <w:lang w:val="en-GB"/>
        </w:rPr>
        <w:fldChar w:fldCharType="begin" w:fldLock="1"/>
      </w:r>
      <w:r>
        <w:rPr>
          <w:highlight w:val="red"/>
          <w:lang w:val="en-GB"/>
        </w:rPr>
        <w:instrText xml:space="preserve">ADDIN CSL_CITATION { "citationItems" : [ { "id" : "ITEM-1", "itemData" : { "DOI" : "10.1111/jipb.12438", "author" : [ { "dropping-particle" : "", "family" : "Kaloshian", "given" : "Isgouhi", "non-dropping-particle" : "", "parse-names" : false, "suffix" : "" }, { "dropping-particle" : "", "family" : "Walling", "given" : "Linda L", "non-dropping-particle" : "", "parse-names" : false, "suffix" : "" }, { "dropping-particle" : "", "family" : "Walling", "given" : "Linda L", "non-dropping-particle" : "", "parse-names" : false, "suffix" : "" } ], "id" : "ITEM-1", "issued" : { "date-parts" : [ [ "2014" ] ] }, "title" : "Hemipteran and dipteran pests : Effectors and plant host immune regulators", "type" : "article-journal" }, "uris" : [ "http://www.mendeley.com/documents/?uuid=54b88fd8-96c7-4517-8c9e-958189faf3a8" ] } ], "mendeley" : { "formattedCitation" : "[49]", "plainTextFormattedCitation" : "[49]" }, "properties" : { "noteIndex" : 0 }, "schema" : "https://github.com/citation-style-language/schema/raw/master/csl-citation.json" }</w:instrText>
      </w:r>
      <w:r>
        <w:rPr>
          <w:highlight w:val="red"/>
          <w:lang w:val="en-GB"/>
        </w:rPr>
        <w:fldChar w:fldCharType="separate"/>
      </w:r>
      <w:r>
        <w:rPr>
          <w:highlight w:val="red"/>
          <w:lang w:val="en-GB"/>
        </w:rPr>
        <w:t>[49]</w:t>
      </w:r>
      <w:r>
        <w:rPr>
          <w:highlight w:val="red"/>
          <w:lang w:val="en-GB"/>
        </w:rPr>
        <w:fldChar w:fldCharType="end"/>
      </w:r>
      <w:r>
        <w:rPr>
          <w:lang w:val="en-GB"/>
        </w:rPr>
        <w:t xml:space="preserve">. </w:t>
      </w:r>
      <w:r>
        <w:rPr>
          <w:color w:val="auto"/>
          <w:lang w:val="en-GB"/>
        </w:rPr>
        <w:t xml:space="preserve">Firstly, </w:t>
      </w:r>
      <w:r>
        <w:rPr>
          <w:color w:val="auto"/>
          <w:highlight w:val="red"/>
          <w:lang w:val="en-GB"/>
        </w:rPr>
        <w:t>these genes</w:t>
      </w:r>
      <w:r>
        <w:rPr>
          <w:color w:val="auto"/>
          <w:lang w:val="en-GB"/>
        </w:rPr>
        <w:t xml:space="preserve"> show </w:t>
      </w:r>
      <w:r>
        <w:rPr>
          <w:lang w:val="en-GB"/>
        </w:rPr>
        <w:t xml:space="preserve">no sequence homology to known genes due to high selection pressure leading to rapid sequence divergence. Secondly, they generally encode short (50-250 amino acids) oligopeptides. This size range should only be considered as a guideline as a number of effectors have been identified that are larger than 250 amino acids. Thirdly, </w:t>
      </w:r>
      <w:r>
        <w:rPr>
          <w:highlight w:val="red"/>
          <w:lang w:val="en-GB"/>
        </w:rPr>
        <w:t>putative insect effector-encoding genes frequently</w:t>
      </w:r>
      <w:r>
        <w:rPr>
          <w:lang w:val="en-GB"/>
        </w:rPr>
        <w:t xml:space="preserve"> possess an N-terminal secretion signal. Finally, they exhibit localised expression in the earliest interfaces between the insect and the pest which is generally the saliva </w:t>
      </w:r>
      <w:r>
        <w:rPr>
          <w:lang w:val="en-GB"/>
        </w:rPr>
        <w:fldChar w:fldCharType="begin" w:fldLock="1"/>
      </w:r>
      <w:r>
        <w:rPr>
          <w:lang w:val="en-GB"/>
        </w:rPr>
        <w:instrText xml:space="preserve">ADDIN CSL_CITATION { "citationItems" : [ { "id" : "ITEM-1", "itemData" : { "DOI" : "10.1016/j.pbi.2011.05.003", "ISBN" : "3292646219", "ISSN" : "13695266", "PMID" : "21684190", "abstract" : "Insect herbivores have highly diverse life cycles and feeding behaviors. They establish close interactions with their plant hosts and suppress plant defenses. Chewing herbivores evoke characteristic defense responses distinguishable from general mechanical damage. In addition, piercing-sucking hemipteran insects display typical feeding behavior that suggests active suppression of plant defense responses. Effectors that modulate plant defenses have been identified in the saliva of these insects. Tools for high-throughput effector identification and functional characterization have been developed. In addition, in some insect species it is possible to silence gene expression by RNAi. Together, this technological progress has enabled the identification of insect herbivore effectors and their targets that will lead to the development of novel strategies for pest resistances in plants. ?? 2011.", "author" : [ { "dropping-particle" : "", "family" : "Hogenhout", "given" : "Saskia A.", "non-dropping-particle" : "", "parse-names" : false, "suffix" : "" }, { "dropping-particle" : "", "family" : "Bos", "given" : "Jorunn I B", "non-dropping-particle" : "", "parse-names" : false, "suffix" : "" } ], "container-title" : "Current Opinion in Plant Biology", "id" : "ITEM-1", "issue" : "4", "issued" : { "date-parts" : [ [ "2011" ] ] }, "page" : "422-428", "publisher" : "Elsevier Ltd", "title" : "Effector proteins that modulate plant-insect interactions", "type" : "article-journal", "volume" : "14" }, "uris" : [ "http://www.mendeley.com/documents/?uuid=249e50c0-331d-4979-a390-078cb4cf44f7" ] } ], "mendeley" : { "formattedCitation" : "[50]", "plainTextFormattedCitation" : "[50]", "previouslyFormattedCitation" : "[49]" }, "properties" : { "noteIndex" : 0 }, "schema" : "https://github.com/citation-style-language/schema/raw/master/csl-citation.json" }</w:instrText>
      </w:r>
      <w:r>
        <w:rPr>
          <w:lang w:val="en-GB"/>
        </w:rPr>
        <w:fldChar w:fldCharType="separate"/>
      </w:r>
      <w:r>
        <w:rPr>
          <w:lang w:val="en-GB"/>
        </w:rPr>
        <w:t>[50]</w:t>
      </w:r>
      <w:r>
        <w:fldChar w:fldCharType="end"/>
      </w:r>
      <w:r>
        <w:rPr>
          <w:lang w:val="en-GB"/>
        </w:rPr>
        <w:t xml:space="preserve"> and oviposition fluid </w:t>
      </w:r>
      <w:r>
        <w:rPr>
          <w:lang w:val="en-GB"/>
        </w:rPr>
        <w:fldChar w:fldCharType="begin" w:fldLock="1"/>
      </w:r>
      <w:r>
        <w:rPr>
          <w:lang w:val="en-GB"/>
        </w:rPr>
        <w:instrText xml:space="preserve">ADDIN CSL_CITATION { "citationItems" : [ { "id" : "ITEM-1", "itemData" : { "DOI" : "10.1146/annurev-ento-010814-020620", "ISBN" : "978-0-8243-0160-6", "ISSN" : "00664170", "PMID" : "25341089", "abstract" : "When plants respond to insect egg deposition with egg-induced defenses, they resist attack by herbivorous insects from the very beginning, from egg deposition on. We review ecological effects of plant responses to insect eggs and differentiate between egg-induced plant defenses that directly harm the eggs and indirect defenses that involve egg parasitoids. Furthermore, we discuss studies indicating that eggs are taken as warning signals of future feeding damage and mediate plant changes that either directly impair larval performance or attract enemies of the larvae. We address the questions of how egg-associated cues elicit plant defenses, how the information that eggs have been laid is transmitted within a plant, and which molecular and chemical plant responses are induced by egg deposition. Finally, we highlight evolutionary aspects of the interactions between plants and insect eggs and ask how the herbivorous insect copes with egg-induced plant defenses and may avoid them by counter-adaptations. Expect...", "author" : [ { "dropping-particle" : "", "family" : "Hilker", "given" : "Monika", "non-dropping-particle" : "", "parse-names" : false, "suffix" : "" }, { "dropping-particle" : "", "family" : "Fatouros", "given" : "Nina E.", "non-dropping-particle" : "", "parse-names" : false, "suffix" : "" } ], "id" : "ITEM-1", "issued" : { "date-parts" : [ [ "2014" ] ] }, "title" : "Plant Responses to Insect Egg Deposition", "type" : "article-journal" }, "uris" : [ "http://www.mendeley.com/documents/?uuid=25123d56-2271-4d9f-a9c7-c742e0cafa1c" ] } ], "mendeley" : { "formattedCitation" : "[51]", "plainTextFormattedCitation" : "[51]", "previouslyFormattedCitation" : "[50]" }, "properties" : { "noteIndex" : 0 }, "schema" : "https://github.com/citation-style-language/schema/raw/master/csl-citation.json" }</w:instrText>
      </w:r>
      <w:r>
        <w:rPr>
          <w:lang w:val="en-GB"/>
        </w:rPr>
        <w:fldChar w:fldCharType="separate"/>
      </w:r>
      <w:r>
        <w:rPr>
          <w:lang w:val="en-GB"/>
        </w:rPr>
        <w:t>[51]</w:t>
      </w:r>
      <w:r>
        <w:fldChar w:fldCharType="end"/>
      </w:r>
      <w:r>
        <w:rPr>
          <w:lang w:val="en-GB"/>
        </w:rPr>
        <w:t xml:space="preserve">. Alternatively, putative insect effectors can be identified in the genome of the insects as clusters of highly variable genes </w:t>
      </w:r>
      <w:r>
        <w:rPr>
          <w:lang w:val="en-GB"/>
        </w:rPr>
        <w:fldChar w:fldCharType="begin" w:fldLock="1"/>
      </w:r>
      <w:r>
        <w:rPr>
          <w:lang w:val="en-GB"/>
        </w:rPr>
        <w:instrText xml:space="preserve">ADDIN CSL_CITATION { "citationItems" : [ { "id" : "ITEM-1", "itemData" : { "author" : [ { "dropping-particle" : "", "family" : "Zhao", "given" : "Chaoyang", "non-dropping-particle" : "", "parse-names" : false, "suffix" : "" }, { "dropping-particle" : "", "family" : "Escalante", "given" : "Lucio Navarro", "non-dropping-particle" : "", "parse-names" : false, "suffix" : "" }, { "dropping-particle" : "", "family" : "Chen", "given" : "Hang", "non-dropping-particle" : "", "parse-names" : false, "suffix" : "" }, { "dropping-particle" : "", "family" : "Benatti", "given" : "Thiago R.", "non-dropping-particle" : "", "parse-names" : false, "suffix" : "" }, { "dropping-particle" : "", "family" : "Qu", "given" : "Jiaxin", "non-dropping-particle" : "", "parse-names" : false, "suffix" : "" }, { "dropping-particle" : "", "family" : "Chellapilla", "given" : "Sanjay", "non-dropping-particle" : "", "parse-names" : false, "suffix" : "" }, { "dropping-particle" : "", "family" : "Waterhouse", "given" : "Robert M.", "non-dropping-particle" : "", "parse-names" : false, "suffix" : "" }, { "dropping-particle" : "", "family" : "Wheeler", "given" : "David", "non-dropping-particle" : "", "parse-names" : false, "suffix" : "" }, { "dropping-particle" : "", "family" : "Andersson", "given" : "Martin N.", "non-dropping-particle" : "", "parse-names" : false, "suffix" : "" }, { "dropping-particle" : "", "family" : "Bao", "given" : "Riyue", "non-dropping-particle" : "", "parse-names" : false, "suffix" : "" }, { "dropping-particle" : "", "family" : "Batterton", "given" : "Matthew", "non-dropping-particle" : "", "parse-names" : false, "suffix" : "" }, { "dropping-particle" : "", "family" : "Behura", "given" : "Susanta K.", "non-dropping-particle" : "", "parse-names" : false, "suffix" : "" } ], "container-title" : "Current Biology", "id" : "ITEM-1", "issued" : { "date-parts" : [ [ "2015" ] ] }, "page" : "613-620", "title" : "Zhao_A massive expansion of effector genes underlies gall formation in HF_2015.pdf", "type" : "article-journal", "volume" : "25" }, "uris" : [ "http://www.mendeley.com/documents/?uuid=c0b1c7bc-60f6-42cd-9f30-bd2a68de73cc" ] } ], "mendeley" : { "formattedCitation" : "[47]", "plainTextFormattedCitation" : "[47]", "previouslyFormattedCitation" : "[47]" }, "properties" : { "noteIndex" : 0 }, "schema" : "https://github.com/citation-style-language/schema/raw/master/csl-citation.json" }</w:instrText>
      </w:r>
      <w:r>
        <w:rPr>
          <w:lang w:val="en-GB"/>
        </w:rPr>
        <w:fldChar w:fldCharType="separate"/>
      </w:r>
      <w:r>
        <w:rPr>
          <w:lang w:val="en-GB"/>
        </w:rPr>
        <w:t>[47]</w:t>
      </w:r>
      <w:r>
        <w:fldChar w:fldCharType="end"/>
      </w:r>
      <w:r>
        <w:rPr>
          <w:lang w:val="en-GB"/>
        </w:rPr>
        <w:t>.</w:t>
      </w:r>
    </w:p>
    <w:p>
      <w:pPr>
        <w:pStyle w:val="35"/>
        <w:rPr>
          <w:lang w:val="en-GB"/>
        </w:rPr>
      </w:pPr>
      <w:r>
        <w:rPr>
          <w:lang w:val="en-GB"/>
        </w:rPr>
        <w:t>A number of genomic and transcriptomic studies have focused on the identification of the effector repertoires of important plant parasites. Of these, the Hessian fly is the only galling species to have been examined at this multi-omics level. More than 7% of the Hessian fly genome is estimated to encode putative effector proteins, which includes the largest known arthropod gene family, secreted salivary gland protein (</w:t>
      </w:r>
      <w:r>
        <w:rPr>
          <w:i/>
          <w:lang w:val="en-GB"/>
        </w:rPr>
        <w:t>SSGP</w:t>
      </w:r>
      <w:r>
        <w:rPr>
          <w:lang w:val="en-GB"/>
        </w:rPr>
        <w:t xml:space="preserve">)-71 </w:t>
      </w:r>
      <w:r>
        <w:rPr>
          <w:lang w:val="en-GB"/>
        </w:rPr>
        <w:fldChar w:fldCharType="begin" w:fldLock="1"/>
      </w:r>
      <w:r>
        <w:rPr>
          <w:lang w:val="en-GB"/>
        </w:rPr>
        <w:instrText xml:space="preserve">ADDIN CSL_CITATION { "citationItems" : [ { "id" : "ITEM-1", "itemData" : { "author" : [ { "dropping-particle" : "", "family" : "Zhao", "given" : "Chaoyang", "non-dropping-particle" : "", "parse-names" : false, "suffix" : "" }, { "dropping-particle" : "", "family" : "Escalante", "given" : "Lucio Navarro", "non-dropping-particle" : "", "parse-names" : false, "suffix" : "" }, { "dropping-particle" : "", "family" : "Chen", "given" : "Hang", "non-dropping-particle" : "", "parse-names" : false, "suffix" : "" }, { "dropping-particle" : "", "family" : "Benatti", "given" : "Thiago R.", "non-dropping-particle" : "", "parse-names" : false, "suffix" : "" }, { "dropping-particle" : "", "family" : "Qu", "given" : "Jiaxin", "non-dropping-particle" : "", "parse-names" : false, "suffix" : "" }, { "dropping-particle" : "", "family" : "Chellapilla", "given" : "Sanjay", "non-dropping-particle" : "", "parse-names" : false, "suffix" : "" }, { "dropping-particle" : "", "family" : "Waterhouse", "given" : "Robert M.", "non-dropping-particle" : "", "parse-names" : false, "suffix" : "" }, { "dropping-particle" : "", "family" : "Wheeler", "given" : "David", "non-dropping-particle" : "", "parse-names" : false, "suffix" : "" }, { "dropping-particle" : "", "family" : "Andersson", "given" : "Martin N.", "non-dropping-particle" : "", "parse-names" : false, "suffix" : "" }, { "dropping-particle" : "", "family" : "Bao", "given" : "Riyue", "non-dropping-particle" : "", "parse-names" : false, "suffix" : "" }, { "dropping-particle" : "", "family" : "Batterton", "given" : "Matthew", "non-dropping-particle" : "", "parse-names" : false, "suffix" : "" }, { "dropping-particle" : "", "family" : "Behura", "given" : "Susanta K.", "non-dropping-particle" : "", "parse-names" : false, "suffix" : "" } ], "container-title" : "Current Biology", "id" : "ITEM-1", "issued" : { "date-parts" : [ [ "2015" ] ] }, "page" : "613-620", "title" : "Zhao_A massive expansion of effector genes underlies gall formation in HF_2015.pdf", "type" : "article-journal", "volume" : "25" }, "uris" : [ "http://www.mendeley.com/documents/?uuid=c0b1c7bc-60f6-42cd-9f30-bd2a68de73cc" ] } ], "mendeley" : { "formattedCitation" : "[47]", "plainTextFormattedCitation" : "[47]", "previouslyFormattedCitation" : "[47]" }, "properties" : { "noteIndex" : 0 }, "schema" : "https://github.com/citation-style-language/schema/raw/master/csl-citation.json" }</w:instrText>
      </w:r>
      <w:r>
        <w:rPr>
          <w:lang w:val="en-GB"/>
        </w:rPr>
        <w:fldChar w:fldCharType="separate"/>
      </w:r>
      <w:r>
        <w:rPr>
          <w:lang w:val="en-GB"/>
        </w:rPr>
        <w:t>[47]</w:t>
      </w:r>
      <w:r>
        <w:fldChar w:fldCharType="end"/>
      </w:r>
      <w:r>
        <w:rPr>
          <w:lang w:val="en-GB"/>
        </w:rPr>
        <w:t xml:space="preserve">. Many of these putative effectors were first reported in transcriptomic studies and showed localised salivary gland expression in first instar larvae in earlier studies </w:t>
      </w:r>
      <w:r>
        <w:rPr>
          <w:lang w:val="en-GB"/>
        </w:rPr>
        <w:fldChar w:fldCharType="begin" w:fldLock="1"/>
      </w:r>
      <w:r>
        <w:rPr>
          <w:lang w:val="en-GB"/>
        </w:rPr>
        <w:instrText xml:space="preserve">ADDIN CSL_CITATION { "citationItems" : [ { "id" : "ITEM-1", "itemData" : { "DOI" : "10.1111/j.1365-2583.2004.00465.x", "ISSN" : "09621075", "PMID" : "14728671", "abstract" : "A group of cDNAs has been isolated and characterized from Hessian fly [Mayetiola destructor (Say)] salivary glands. Members in this group appear to encode proteins with secretion signal peptides at the N-terminals. The mature putative proteins are small, basic proteins with calculated molecular weights that ranged from 8.5 to 10 kDa, and isoelectric points from 9.92 to 10.90. Sequence analysis indicated a strong selection for mutations that generate amino acid changes within the coding region. Northern blot analysis revealed that these genes are expressed only in the first instar larvae, a critical stage that determines if the interaction between a specific Hessian fly biotype and a specific wheat cultivar is compatible. Genomic analysis demonstrated that multiple copies of similar genes are clustered within a short region on chromosome 2A. This is the same arm in which two avirulence genes have been mapped.", "author" : [ { "dropping-particle" : "", "family" : "Chen", "given" : "M. S.", "non-dropping-particle" : "", "parse-names" : false, "suffix" : "" }, { "dropping-particle" : "", "family" : "Fellers", "given" : "J. P.", "non-dropping-particle" : "", "parse-names" : false, "suffix" : "" }, { "dropping-particle" : "", "family" : "Stuart", "given" : "J. J.", "non-dropping-particle" : "", "parse-names" : false, "suffix" : "" }, { "dropping-particle" : "", "family" : "Reese", "given" : "J. C.", "non-dropping-particle" : "", "parse-names" : false, "suffix" : "" }, { "dropping-particle" : "", "family" : "Liu", "given" : "X.", "non-dropping-particle" : "", "parse-names" : false, "suffix" : "" } ], "container-title" : "Insect Molecular Biology", "id" : "ITEM-1", "issue" : "1", "issued" : { "date-parts" : [ [ "2004" ] ] }, "page" : "101-108", "title" : "A group of related cDNAs encoding secreted proteins from Hessian fly [Mayetiola destructor (Say)] salivary glands", "type" : "article-journal", "volume" : "13" }, "uris" : [ "http://www.mendeley.com/documents/?uuid=9f9c42ea-1396-4bb7-99b0-ae84f6dba22c" ] }, { "id" : "ITEM-2", "itemData" : { "DOI" : "10.1016/j.jinsphys.2007.07.007", "author" : [ { "dropping-particle" : "", "family" : "Chen", "given" : "Ming-shun", "non-dropping-particle" : "", "parse-names" : false, "suffix" : "" }, { "dropping-particle" : "", "family" : "Zhao", "given" : "Hui-xian", "non-dropping-particle" : "", "parse-names" : false, "suffix" : "" }, { "dropping-particle" : "", "family" : "Cheng", "given" : "Yu", "non-dropping-particle" : "", "parse-names" : false, "suffix" : "" }, { "dropping-particle" : "", "family" : "Scheffler", "given" : "Brian", "non-dropping-particle" : "", "parse-names" : false, "suffix" : "" }, { "dropping-particle" : "", "family" : "Liu", "given" : "Xuming", "non-dropping-particle" : "", "parse-names" : false, "suffix" : "" }, { "dropping-particle" : "", "family" : "Liu", "given" : "Xiang", "non-dropping-particle" : "", "parse-names" : false, "suffix" : "" }, { "dropping-particle" : "", "family" : "Hulbert", "given" : "Scot", "non-dropping-particle" : "", "parse-names" : false, "suffix" : "" }, { "dropping-particle" : "", "family" : "Stuart", "given" : "Jeffrey J", "non-dropping-particle" : "", "parse-names" : false, "suffix" : "" } ], "id" : "ITEM-2", "issued" : { "date-parts" : [ [ "2008" ] ] }, "page" : "1-16", "title" : "Analysis of transcripts and proteins expressed in the salivary glands of Hessian fly ( Mayetiola destructor ) larvae $", "type" : "article-journal", "volume" : "54" }, "uris" : [ "http://www.mendeley.com/documents/?uuid=58341d2a-1f7c-49df-b67c-4adfb75ef419" ] } ], "mendeley" : { "formattedCitation" : "[52,53]", "plainTextFormattedCitation" : "[52,53]", "previouslyFormattedCitation" : "[51,52]" }, "properties" : { "noteIndex" : 0 }, "schema" : "https://github.com/citation-style-language/schema/raw/master/csl-citation.json" }</w:instrText>
      </w:r>
      <w:r>
        <w:rPr>
          <w:lang w:val="en-GB"/>
        </w:rPr>
        <w:fldChar w:fldCharType="separate"/>
      </w:r>
      <w:r>
        <w:rPr>
          <w:lang w:val="en-GB"/>
        </w:rPr>
        <w:t>[52,53]</w:t>
      </w:r>
      <w:r>
        <w:fldChar w:fldCharType="end"/>
      </w:r>
      <w:r>
        <w:rPr>
          <w:lang w:val="en-GB"/>
        </w:rPr>
        <w:t xml:space="preserve">. Furthermore, variation in the expression of </w:t>
      </w:r>
      <w:r>
        <w:rPr>
          <w:i/>
          <w:lang w:val="en-GB"/>
        </w:rPr>
        <w:t xml:space="preserve">SSGPs </w:t>
      </w:r>
      <w:r>
        <w:rPr>
          <w:lang w:val="en-GB"/>
        </w:rPr>
        <w:t xml:space="preserve">amongst field-collected larvae separated into groups that corresponded to the wheat classes grown in the different geographical regions, as well as recently described Hessian fly populations </w:t>
      </w:r>
      <w:r>
        <w:rPr>
          <w:lang w:val="en-GB"/>
        </w:rPr>
        <w:fldChar w:fldCharType="begin" w:fldLock="1"/>
      </w:r>
      <w:r>
        <w:rPr>
          <w:lang w:val="en-GB"/>
        </w:rPr>
        <w:instrText xml:space="preserve">ADDIN CSL_CITATION { "citationItems" : [ { "id" : "ITEM-1", "itemData" : { "DOI" : "10.1111/imb.12148", "ISSN" : "09621075", "author" : [ { "dropping-particle" : "", "family" : "Johnson", "given" : "a. J.", "non-dropping-particle" : "", "parse-names" : false, "suffix" : "" }, { "dropping-particle" : "", "family" : "Shukle", "given" : "R. H.", "non-dropping-particle" : "", "parse-names" : false, "suffix" : "" }, { "dropping-particle" : "", "family" : "Chen", "given" : "M-S.", "non-dropping-particle" : "", "parse-names" : false, "suffix" : "" }, { "dropping-particle" : "", "family" : "Srivastava", "given" : "S.", "non-dropping-particle" : "", "parse-names" : false, "suffix" : "" }, { "dropping-particle" : "", "family" : "Subramanyam", "given" : "S.", "non-dropping-particle" : "", "parse-names" : false, "suffix" : "" }, { "dropping-particle" : "", "family" : "Schemerhorn", "given" : "B. J.", "non-dropping-particle" : "", "parse-names" : false, "suffix" : "" }, { "dropping-particle" : "", "family" : "Weintraub", "given" : "P. G.", "non-dropping-particle" : "", "parse-names" : false, "suffix" : "" }, { "dropping-particle" : "", "family" : "Abdel Moniem", "given" : "H. E. M.", "non-dropping-particle" : "", "parse-names" : false, "suffix" : "" }, { "dropping-particle" : "", "family" : "Flanders", "given" : "K. L.", "non-dropping-particle" : "", "parse-names" : false, "suffix" : "" }, { "dropping-particle" : "", "family" : "Buntin", "given" : "G. D.", "non-dropping-particle" : "", "parse-names" : false, "suffix" : "" }, { "dropping-particle" : "", "family" : "Williams", "given" : "C. E.", "non-dropping-particle" : "", "parse-names" : false, "suffix" : "" } ], "container-title" : "Insect Molecular Biology", "id" : "ITEM-1", "issue" : "2014", "issued" : { "date-parts" : [ [ "2015" ] ] }, "page" : "n/a-n/a", "title" : "Differential expression of candidate salivary effector proteins in field collections of Hessian fly,\n              Mayetiola destructor", "type" : "article-journal", "volume" : "24" }, "uris" : [ "http://www.mendeley.com/documents/?uuid=d48665c8-ddbd-45e9-9184-6eca2fba6b03" ] } ], "mendeley" : { "formattedCitation" : "[54]", "plainTextFormattedCitation" : "[54]", "previouslyFormattedCitation" : "[53]" }, "properties" : { "noteIndex" : 0 }, "schema" : "https://github.com/citation-style-language/schema/raw/master/csl-citation.json" }</w:instrText>
      </w:r>
      <w:r>
        <w:rPr>
          <w:lang w:val="en-GB"/>
        </w:rPr>
        <w:fldChar w:fldCharType="separate"/>
      </w:r>
      <w:r>
        <w:rPr>
          <w:lang w:val="en-GB"/>
        </w:rPr>
        <w:t>[54]</w:t>
      </w:r>
      <w:r>
        <w:fldChar w:fldCharType="end"/>
      </w:r>
      <w:r>
        <w:rPr>
          <w:lang w:val="en-GB"/>
        </w:rPr>
        <w:t xml:space="preserve">. A second, integrative approach for identifying effector repertoires was shown in a comparative transcriptomics (head vs body) and proteomics (saliva) study of three different aphid species </w:t>
      </w:r>
      <w:r>
        <w:rPr>
          <w:lang w:val="en-GB"/>
        </w:rPr>
        <w:fldChar w:fldCharType="begin" w:fldLock="1"/>
      </w:r>
      <w:r>
        <w:rPr>
          <w:lang w:val="en-GB"/>
        </w:rPr>
        <w:instrText xml:space="preserve">ADDIN CSL_CITATION { "citationItems" : [ { "id" : "ITEM-1", "itemData" : { "DOI" : "10.1186/s12864-016-2496-6", "ISSN" : "1471-2164", "PMID" : "26935069", "abstract" : "BACKGROUND: Aphids are phloem-feeding insects that cause significant economic losses to agriculture worldwide. While feeding and probing these insects deliver molecules, called effectors, inside their host to enable infestation. The identification and characterization of these effectors from different species that vary in their host range is an important step in understanding the infestation success of aphids and aphid host range variation. This study employs a multi-disciplinary approach based on transcriptome sequencing and proteomics to identify and compare effector candidates from the broad host range aphid Myzus persicae (green peach aphid) (genotypes O, J and F), and narrow host range aphids Myzus cerasi (black cherry aphid) and Rhopalosiphum padi (bird-cherry oat aphid).\\n\\nRESULTS: Using a combination of aphid transcriptome sequencing on libraries derived from head versus body tissues as well as saliva proteomics we were able to predict candidate effectors repertoires from the different aphid species and genotypes. Among the identified conserved or core effector sets, we identified a significant number of previously identified aphid candidate effectors indicating these proteins may be involved in general infestation strategies. Moreover, we identified aphid candidate effector sequences that were specific to one species, which are interesting candidates for further validation and characterization with regards to species-specific functions during infestation. We assessed our candidate effector repertoires for evidence of positive selection, and identified 49 candidates with DN/DS ratios &gt;1. We noted higher rates of DN/DS ratios in predicted aphid effectors than non-effectors. Whether this reflects positive selection due to co-evolution with host plants, or increased neofunctionalization upon gene duplication remains to be investigated.\\n\\nCONCLUSION: Our work provides a comprehensive overview of the candidate effector repertoires from three different aphid species with varying host ranges. Comparative analyses revealed candidate effectors that are most likely are involved in general aspects of infestation, whereas others, that are highly divergent, may be involved in specific processes important for certain aphid species. Insights into the overlap and differences in aphid effector repertoires are important in understanding how different species successfully infest different ranges of plant species.", "author" : [ { "dropping-particle" : "", "family" : "Thorpe", "given" : "Peter", "non-dropping-particle" : "", "parse-names" : false, "suffix" : "" }, { "dropping-particle" : "", "family" : "Cock", "given" : "Peter J. A.", "non-dropping-particle" : "", "parse-names" : false, "suffix" : "" }, { "dropping-particle" : "", "family" : "Bos", "given" : "Jorunn", "non-dropping-particle" : "", "parse-names" : false, "suffix" : "" } ], "container-title" : "BMC Genomics", "id" : "ITEM-1", "issue" : "1", "issued" : { "date-parts" : [ [ "2016" ] ] }, "page" : "172", "title" : "Comparative transcriptomics and proteomics of three different aphid species identifies core and diverse effector sets", "type" : "article-journal", "volume" : "17" }, "uris" : [ "http://www.mendeley.com/documents/?uuid=70901aa4-ae21-48de-94e8-fa9e7378eb67" ] } ], "mendeley" : { "formattedCitation" : "[46]", "plainTextFormattedCitation" : "[46]", "previouslyFormattedCitation" : "[46]" }, "properties" : { "noteIndex" : 0 }, "schema" : "https://github.com/citation-style-language/schema/raw/master/csl-citation.json" }</w:instrText>
      </w:r>
      <w:r>
        <w:rPr>
          <w:lang w:val="en-GB"/>
        </w:rPr>
        <w:fldChar w:fldCharType="separate"/>
      </w:r>
      <w:r>
        <w:rPr>
          <w:lang w:val="en-GB"/>
        </w:rPr>
        <w:t>[46]</w:t>
      </w:r>
      <w:r>
        <w:fldChar w:fldCharType="end"/>
      </w:r>
      <w:r>
        <w:rPr>
          <w:lang w:val="en-GB"/>
        </w:rPr>
        <w:t>. The authors were able to identify putative effector sets that were unique to each species and shared amongst all three.</w:t>
      </w:r>
    </w:p>
    <w:p>
      <w:pPr>
        <w:pStyle w:val="35"/>
        <w:rPr>
          <w:lang w:val="en-GB"/>
        </w:rPr>
      </w:pPr>
      <w:r>
        <w:rPr>
          <w:lang w:val="en-GB"/>
        </w:rPr>
        <w:t xml:space="preserve">Another effector-based mechanism whereby a gall-inducing insect may manipulate the transcriptional responses of the plant is through the use of non-coding RNAs such as microRNAs (miRNAs). These molecules play a critical role in regulating post-transcriptional expression </w:t>
      </w:r>
      <w:r>
        <w:rPr>
          <w:lang w:val="en-GB"/>
        </w:rPr>
        <w:fldChar w:fldCharType="begin" w:fldLock="1"/>
      </w:r>
      <w:r>
        <w:rPr>
          <w:lang w:val="en-GB"/>
        </w:rPr>
        <w:instrText xml:space="preserve">ADDIN CSL_CITATION { "citationItems" : [ { "id" : "ITEM-1", "itemData" : { "DOI" : "10.1186/1471-2164-14-187", "ISBN" : "1471-2164 (Electronic)\r1471-2164 (Linking)", "ISSN" : "1471-2164", "PMID" : "23496979", "abstract" : "BACKGROUND: MicroRNAs (miRNAs) are small non-coding RNAs that play critical roles in regulating post transcriptional gene expression. Gall midges encompass a large group of insects that are of economic importance and also possess fascinating biological traits. The gall midge Mayetiola destructor, commonly known as the Hessian fly, is a destructive pest of wheat and model organism for studying gall midge biology and insect - host plant interactions.\\n\\nRESULTS: In this study, we systematically analyzed miRNAs from the Hessian fly. Deep-sequencing a Hessian fly larval transcriptome led to the identification of 89 miRNA species that are either identical or very similar to known miRNAs from other insects, and 184 novel miRNAs that have not been reported from other species. A genome-wide search through a draft Hessian fly genome sequence identified a total of 611 putative miRNA-encoding genes based on sequence similarity and the existence of a stem-loop structure for miRNA precursors. Analysis of the 611 putative genes revealed a striking feature: the dramatic expansion of several miRNA gene families. The largest family contained 91 genes that encoded 20 different miRNAs. Microarray analyses revealed the expression of miRNA genes was strictly regulated during Hessian fly larval development and abundance of many miRNA genes were affected by host genotypes.\\n\\nCONCLUSION: The identification of a large number of miRNAs for the first time from a gall midge provides a foundation for further studies of miRNA functions in gall midge biology and behavior. The dramatic expansion of identical or similar miRNAs provides a unique system to study functional relations among miRNA iso-genes as well as changes in sequence specificity due to small changes in miRNAs and in their mRNA targets. These results may also facilitate the identification of miRNA genes for potential pest control through transgenic approaches.", "author" : [ { "dropping-particle" : "", "family" : "Khajuria", "given" : "Chitvan", "non-dropping-particle" : "", "parse-names" : false, "suffix" : "" }, { "dropping-particle" : "", "family" : "Williams", "given" : "Christie E", "non-dropping-particle" : "", "parse-names" : false, "suffix" : "" }, { "dropping-particle" : "", "family" : "Bouhssini", "given" : "Mustapha", "non-dropping-particle" : "El", "parse-names" : false, "suffix" : "" }, { "dropping-particle" : "", "family" : "Whitworth", "given" : "R Jeff", "non-dropping-particle" : "", "parse-names" : false, "suffix" : "" }, { "dropping-particle" : "", "family" : "Richards", "given" : "Stephen", "non-dropping-particle" : "", "parse-names" : false, "suffix" : "" }, { "dropping-particle" : "", "family" : "Stuart", "given" : "Jeffrey J", "non-dropping-particle" : "", "parse-names" : false, "suffix" : "" }, { "dropping-particle" : "", "family" : "Chen", "given" : "Ming-Shun", "non-dropping-particle" : "", "parse-names" : false, "suffix" : "" } ], "container-title" : "BMC genomics", "id" : "ITEM-1", "issue" : "1", "issued" : { "date-parts" : [ [ "2013" ] ] }, "page" : "187", "publisher" : "BMC Genomics", "title" : "Deep sequencing and genome-wide analysis reveals the expansion of MicroRNA genes in the gall midge Mayetiola destructor.", "type" : "article-journal", "volume" : "14" }, "uris" : [ "http://www.mendeley.com/documents/?uuid=9d164b28-4d86-4e80-b065-ec5d40b171c2" ] } ], "mendeley" : { "formattedCitation" : "[48]", "plainTextFormattedCitation" : "[48]", "previouslyFormattedCitation" : "[48]" }, "properties" : { "noteIndex" : 0 }, "schema" : "https://github.com/citation-style-language/schema/raw/master/csl-citation.json" }</w:instrText>
      </w:r>
      <w:r>
        <w:rPr>
          <w:lang w:val="en-GB"/>
        </w:rPr>
        <w:fldChar w:fldCharType="separate"/>
      </w:r>
      <w:r>
        <w:rPr>
          <w:lang w:val="en-GB"/>
        </w:rPr>
        <w:t>[48]</w:t>
      </w:r>
      <w:r>
        <w:fldChar w:fldCharType="end"/>
      </w:r>
      <w:r>
        <w:rPr>
          <w:lang w:val="en-GB"/>
        </w:rPr>
        <w:t xml:space="preserve">. Because miRNAs regulate gene expression by direct pairing, potential regulatory targets can also be predicted computationally by searching for complementary sequence similarity </w:t>
      </w:r>
      <w:r>
        <w:rPr>
          <w:lang w:val="en-GB"/>
        </w:rPr>
        <w:fldChar w:fldCharType="begin" w:fldLock="1"/>
      </w:r>
      <w:r>
        <w:rPr>
          <w:lang w:val="en-GB"/>
        </w:rPr>
        <w:instrText xml:space="preserve">ADDIN CSL_CITATION { "citationItems" : [ { "id" : "ITEM-1", "itemData" : { "DOI" : "10.1186/1471-2164-14-187", "ISBN" : "1471-2164 (Electronic)\r1471-2164 (Linking)", "ISSN" : "1471-2164", "PMID" : "23496979", "abstract" : "BACKGROUND: MicroRNAs (miRNAs) are small non-coding RNAs that play critical roles in regulating post transcriptional gene expression. Gall midges encompass a large group of insects that are of economic importance and also possess fascinating biological traits. The gall midge Mayetiola destructor, commonly known as the Hessian fly, is a destructive pest of wheat and model organism for studying gall midge biology and insect - host plant interactions.\\n\\nRESULTS: In this study, we systematically analyzed miRNAs from the Hessian fly. Deep-sequencing a Hessian fly larval transcriptome led to the identification of 89 miRNA species that are either identical or very similar to known miRNAs from other insects, and 184 novel miRNAs that have not been reported from other species. A genome-wide search through a draft Hessian fly genome sequence identified a total of 611 putative miRNA-encoding genes based on sequence similarity and the existence of a stem-loop structure for miRNA precursors. Analysis of the 611 putative genes revealed a striking feature: the dramatic expansion of several miRNA gene families. The largest family contained 91 genes that encoded 20 different miRNAs. Microarray analyses revealed the expression of miRNA genes was strictly regulated during Hessian fly larval development and abundance of many miRNA genes were affected by host genotypes.\\n\\nCONCLUSION: The identification of a large number of miRNAs for the first time from a gall midge provides a foundation for further studies of miRNA functions in gall midge biology and behavior. The dramatic expansion of identical or similar miRNAs provides a unique system to study functional relations among miRNA iso-genes as well as changes in sequence specificity due to small changes in miRNAs and in their mRNA targets. These results may also facilitate the identification of miRNA genes for potential pest control through transgenic approaches.", "author" : [ { "dropping-particle" : "", "family" : "Khajuria", "given" : "Chitvan", "non-dropping-particle" : "", "parse-names" : false, "suffix" : "" }, { "dropping-particle" : "", "family" : "Williams", "given" : "Christie E", "non-dropping-particle" : "", "parse-names" : false, "suffix" : "" }, { "dropping-particle" : "", "family" : "Bouhssini", "given" : "Mustapha", "non-dropping-particle" : "El", "parse-names" : false, "suffix" : "" }, { "dropping-particle" : "", "family" : "Whitworth", "given" : "R Jeff", "non-dropping-particle" : "", "parse-names" : false, "suffix" : "" }, { "dropping-particle" : "", "family" : "Richards", "given" : "Stephen", "non-dropping-particle" : "", "parse-names" : false, "suffix" : "" }, { "dropping-particle" : "", "family" : "Stuart", "given" : "Jeffrey J", "non-dropping-particle" : "", "parse-names" : false, "suffix" : "" }, { "dropping-particle" : "", "family" : "Chen", "given" : "Ming-Shun", "non-dropping-particle" : "", "parse-names" : false, "suffix" : "" } ], "container-title" : "BMC genomics", "id" : "ITEM-1", "issue" : "1", "issued" : { "date-parts" : [ [ "2013" ] ] }, "page" : "187", "publisher" : "BMC Genomics", "title" : "Deep sequencing and genome-wide analysis reveals the expansion of MicroRNA genes in the gall midge Mayetiola destructor.", "type" : "article-journal", "volume" : "14" }, "uris" : [ "http://www.mendeley.com/documents/?uuid=9d164b28-4d86-4e80-b065-ec5d40b171c2" ] } ], "mendeley" : { "formattedCitation" : "[48]", "plainTextFormattedCitation" : "[48]", "previouslyFormattedCitation" : "[48]" }, "properties" : { "noteIndex" : 0 }, "schema" : "https://github.com/citation-style-language/schema/raw/master/csl-citation.json" }</w:instrText>
      </w:r>
      <w:r>
        <w:rPr>
          <w:lang w:val="en-GB"/>
        </w:rPr>
        <w:fldChar w:fldCharType="separate"/>
      </w:r>
      <w:r>
        <w:rPr>
          <w:lang w:val="en-GB"/>
        </w:rPr>
        <w:t>[48]</w:t>
      </w:r>
      <w:r>
        <w:fldChar w:fldCharType="end"/>
      </w:r>
      <w:r>
        <w:rPr>
          <w:lang w:val="en-GB"/>
        </w:rPr>
        <w:t xml:space="preserve">. Deep sequencing of a Hessian fly larval transcriptome led to the identification of 89 known and 184 novel miRNA species </w:t>
      </w:r>
      <w:r>
        <w:rPr>
          <w:lang w:val="en-GB"/>
        </w:rPr>
        <w:fldChar w:fldCharType="begin" w:fldLock="1"/>
      </w:r>
      <w:r>
        <w:rPr>
          <w:lang w:val="en-GB"/>
        </w:rPr>
        <w:instrText xml:space="preserve">ADDIN CSL_CITATION { "citationItems" : [ { "id" : "ITEM-1", "itemData" : { "DOI" : "10.1186/1471-2164-14-187", "ISBN" : "1471-2164 (Electronic)\r1471-2164 (Linking)", "ISSN" : "1471-2164", "PMID" : "23496979", "abstract" : "BACKGROUND: MicroRNAs (miRNAs) are small non-coding RNAs that play critical roles in regulating post transcriptional gene expression. Gall midges encompass a large group of insects that are of economic importance and also possess fascinating biological traits. The gall midge Mayetiola destructor, commonly known as the Hessian fly, is a destructive pest of wheat and model organism for studying gall midge biology and insect - host plant interactions.\\n\\nRESULTS: In this study, we systematically analyzed miRNAs from the Hessian fly. Deep-sequencing a Hessian fly larval transcriptome led to the identification of 89 miRNA species that are either identical or very similar to known miRNAs from other insects, and 184 novel miRNAs that have not been reported from other species. A genome-wide search through a draft Hessian fly genome sequence identified a total of 611 putative miRNA-encoding genes based on sequence similarity and the existence of a stem-loop structure for miRNA precursors. Analysis of the 611 putative genes revealed a striking feature: the dramatic expansion of several miRNA gene families. The largest family contained 91 genes that encoded 20 different miRNAs. Microarray analyses revealed the expression of miRNA genes was strictly regulated during Hessian fly larval development and abundance of many miRNA genes were affected by host genotypes.\\n\\nCONCLUSION: The identification of a large number of miRNAs for the first time from a gall midge provides a foundation for further studies of miRNA functions in gall midge biology and behavior. The dramatic expansion of identical or similar miRNAs provides a unique system to study functional relations among miRNA iso-genes as well as changes in sequence specificity due to small changes in miRNAs and in their mRNA targets. These results may also facilitate the identification of miRNA genes for potential pest control through transgenic approaches.", "author" : [ { "dropping-particle" : "", "family" : "Khajuria", "given" : "Chitvan", "non-dropping-particle" : "", "parse-names" : false, "suffix" : "" }, { "dropping-particle" : "", "family" : "Williams", "given" : "Christie E", "non-dropping-particle" : "", "parse-names" : false, "suffix" : "" }, { "dropping-particle" : "", "family" : "Bouhssini", "given" : "Mustapha", "non-dropping-particle" : "El", "parse-names" : false, "suffix" : "" }, { "dropping-particle" : "", "family" : "Whitworth", "given" : "R Jeff", "non-dropping-particle" : "", "parse-names" : false, "suffix" : "" }, { "dropping-particle" : "", "family" : "Richards", "given" : "Stephen", "non-dropping-particle" : "", "parse-names" : false, "suffix" : "" }, { "dropping-particle" : "", "family" : "Stuart", "given" : "Jeffrey J", "non-dropping-particle" : "", "parse-names" : false, "suffix" : "" }, { "dropping-particle" : "", "family" : "Chen", "given" : "Ming-Shun", "non-dropping-particle" : "", "parse-names" : false, "suffix" : "" } ], "container-title" : "BMC genomics", "id" : "ITEM-1", "issue" : "1", "issued" : { "date-parts" : [ [ "2013" ] ] }, "page" : "187", "publisher" : "BMC Genomics", "title" : "Deep sequencing and genome-wide analysis reveals the expansion of MicroRNA genes in the gall midge Mayetiola destructor.", "type" : "article-journal", "volume" : "14" }, "uris" : [ "http://www.mendeley.com/documents/?uuid=9d164b28-4d86-4e80-b065-ec5d40b171c2" ] } ], "mendeley" : { "formattedCitation" : "[48]", "plainTextFormattedCitation" : "[48]", "previouslyFormattedCitation" : "[48]" }, "properties" : { "noteIndex" : 0 }, "schema" : "https://github.com/citation-style-language/schema/raw/master/csl-citation.json" }</w:instrText>
      </w:r>
      <w:r>
        <w:rPr>
          <w:lang w:val="en-GB"/>
        </w:rPr>
        <w:fldChar w:fldCharType="separate"/>
      </w:r>
      <w:r>
        <w:rPr>
          <w:lang w:val="en-GB"/>
        </w:rPr>
        <w:t>[48]</w:t>
      </w:r>
      <w:r>
        <w:fldChar w:fldCharType="end"/>
      </w:r>
      <w:r>
        <w:rPr>
          <w:lang w:val="en-GB"/>
        </w:rPr>
        <w:t xml:space="preserve">. An examination of a draft Hessian fly genome identified 611 putative miRNA-encoding genes based on sequence similarity and the existence of a stem-and-loop structure for miRNA precursors </w:t>
      </w:r>
      <w:r>
        <w:rPr>
          <w:lang w:val="en-GB"/>
        </w:rPr>
        <w:fldChar w:fldCharType="begin" w:fldLock="1"/>
      </w:r>
      <w:r>
        <w:rPr>
          <w:lang w:val="en-GB"/>
        </w:rPr>
        <w:instrText xml:space="preserve">ADDIN CSL_CITATION { "citationItems" : [ { "id" : "ITEM-1", "itemData" : { "DOI" : "10.1186/1471-2164-14-187", "ISBN" : "1471-2164 (Electronic)\r1471-2164 (Linking)", "ISSN" : "1471-2164", "PMID" : "23496979", "abstract" : "BACKGROUND: MicroRNAs (miRNAs) are small non-coding RNAs that play critical roles in regulating post transcriptional gene expression. Gall midges encompass a large group of insects that are of economic importance and also possess fascinating biological traits. The gall midge Mayetiola destructor, commonly known as the Hessian fly, is a destructive pest of wheat and model organism for studying gall midge biology and insect - host plant interactions.\\n\\nRESULTS: In this study, we systematically analyzed miRNAs from the Hessian fly. Deep-sequencing a Hessian fly larval transcriptome led to the identification of 89 miRNA species that are either identical or very similar to known miRNAs from other insects, and 184 novel miRNAs that have not been reported from other species. A genome-wide search through a draft Hessian fly genome sequence identified a total of 611 putative miRNA-encoding genes based on sequence similarity and the existence of a stem-loop structure for miRNA precursors. Analysis of the 611 putative genes revealed a striking feature: the dramatic expansion of several miRNA gene families. The largest family contained 91 genes that encoded 20 different miRNAs. Microarray analyses revealed the expression of miRNA genes was strictly regulated during Hessian fly larval development and abundance of many miRNA genes were affected by host genotypes.\\n\\nCONCLUSION: The identification of a large number of miRNAs for the first time from a gall midge provides a foundation for further studies of miRNA functions in gall midge biology and behavior. The dramatic expansion of identical or similar miRNAs provides a unique system to study functional relations among miRNA iso-genes as well as changes in sequence specificity due to small changes in miRNAs and in their mRNA targets. These results may also facilitate the identification of miRNA genes for potential pest control through transgenic approaches.", "author" : [ { "dropping-particle" : "", "family" : "Khajuria", "given" : "Chitvan", "non-dropping-particle" : "", "parse-names" : false, "suffix" : "" }, { "dropping-particle" : "", "family" : "Williams", "given" : "Christie E", "non-dropping-particle" : "", "parse-names" : false, "suffix" : "" }, { "dropping-particle" : "", "family" : "Bouhssini", "given" : "Mustapha", "non-dropping-particle" : "El", "parse-names" : false, "suffix" : "" }, { "dropping-particle" : "", "family" : "Whitworth", "given" : "R Jeff", "non-dropping-particle" : "", "parse-names" : false, "suffix" : "" }, { "dropping-particle" : "", "family" : "Richards", "given" : "Stephen", "non-dropping-particle" : "", "parse-names" : false, "suffix" : "" }, { "dropping-particle" : "", "family" : "Stuart", "given" : "Jeffrey J", "non-dropping-particle" : "", "parse-names" : false, "suffix" : "" }, { "dropping-particle" : "", "family" : "Chen", "given" : "Ming-Shun", "non-dropping-particle" : "", "parse-names" : false, "suffix" : "" } ], "container-title" : "BMC genomics", "id" : "ITEM-1", "issue" : "1", "issued" : { "date-parts" : [ [ "2013" ] ] }, "page" : "187", "publisher" : "BMC Genomics", "title" : "Deep sequencing and genome-wide analysis reveals the expansion of MicroRNA genes in the gall midge Mayetiola destructor.", "type" : "article-journal", "volume" : "14" }, "uris" : [ "http://www.mendeley.com/documents/?uuid=9d164b28-4d86-4e80-b065-ec5d40b171c2" ] } ], "mendeley" : { "formattedCitation" : "[48]", "plainTextFormattedCitation" : "[48]", "previouslyFormattedCitation" : "[48]" }, "properties" : { "noteIndex" : 0 }, "schema" : "https://github.com/citation-style-language/schema/raw/master/csl-citation.json" }</w:instrText>
      </w:r>
      <w:r>
        <w:rPr>
          <w:lang w:val="en-GB"/>
        </w:rPr>
        <w:fldChar w:fldCharType="separate"/>
      </w:r>
      <w:r>
        <w:rPr>
          <w:lang w:val="en-GB"/>
        </w:rPr>
        <w:t>[48]</w:t>
      </w:r>
      <w:r>
        <w:fldChar w:fldCharType="end"/>
      </w:r>
      <w:r>
        <w:rPr>
          <w:lang w:val="en-GB"/>
        </w:rPr>
        <w:t xml:space="preserve">. Microarray analyses on this set revealed a dramatic expansion of several miRNA gene families. Furthermore, expression of these miRNAs was strictly regulated during larval development and abundance of many miRNA genes was affected by host genotype </w:t>
      </w:r>
      <w:r>
        <w:rPr>
          <w:lang w:val="en-GB"/>
        </w:rPr>
        <w:fldChar w:fldCharType="begin" w:fldLock="1"/>
      </w:r>
      <w:r>
        <w:rPr>
          <w:lang w:val="en-GB"/>
        </w:rPr>
        <w:instrText xml:space="preserve">ADDIN CSL_CITATION { "citationItems" : [ { "id" : "ITEM-1", "itemData" : { "DOI" : "10.1186/1471-2164-14-187", "ISBN" : "1471-2164 (Electronic)\r1471-2164 (Linking)", "ISSN" : "1471-2164", "PMID" : "23496979", "abstract" : "BACKGROUND: MicroRNAs (miRNAs) are small non-coding RNAs that play critical roles in regulating post transcriptional gene expression. Gall midges encompass a large group of insects that are of economic importance and also possess fascinating biological traits. The gall midge Mayetiola destructor, commonly known as the Hessian fly, is a destructive pest of wheat and model organism for studying gall midge biology and insect - host plant interactions.\\n\\nRESULTS: In this study, we systematically analyzed miRNAs from the Hessian fly. Deep-sequencing a Hessian fly larval transcriptome led to the identification of 89 miRNA species that are either identical or very similar to known miRNAs from other insects, and 184 novel miRNAs that have not been reported from other species. A genome-wide search through a draft Hessian fly genome sequence identified a total of 611 putative miRNA-encoding genes based on sequence similarity and the existence of a stem-loop structure for miRNA precursors. Analysis of the 611 putative genes revealed a striking feature: the dramatic expansion of several miRNA gene families. The largest family contained 91 genes that encoded 20 different miRNAs. Microarray analyses revealed the expression of miRNA genes was strictly regulated during Hessian fly larval development and abundance of many miRNA genes were affected by host genotypes.\\n\\nCONCLUSION: The identification of a large number of miRNAs for the first time from a gall midge provides a foundation for further studies of miRNA functions in gall midge biology and behavior. The dramatic expansion of identical or similar miRNAs provides a unique system to study functional relations among miRNA iso-genes as well as changes in sequence specificity due to small changes in miRNAs and in their mRNA targets. These results may also facilitate the identification of miRNA genes for potential pest control through transgenic approaches.", "author" : [ { "dropping-particle" : "", "family" : "Khajuria", "given" : "Chitvan", "non-dropping-particle" : "", "parse-names" : false, "suffix" : "" }, { "dropping-particle" : "", "family" : "Williams", "given" : "Christie E", "non-dropping-particle" : "", "parse-names" : false, "suffix" : "" }, { "dropping-particle" : "", "family" : "Bouhssini", "given" : "Mustapha", "non-dropping-particle" : "El", "parse-names" : false, "suffix" : "" }, { "dropping-particle" : "", "family" : "Whitworth", "given" : "R Jeff", "non-dropping-particle" : "", "parse-names" : false, "suffix" : "" }, { "dropping-particle" : "", "family" : "Richards", "given" : "Stephen", "non-dropping-particle" : "", "parse-names" : false, "suffix" : "" }, { "dropping-particle" : "", "family" : "Stuart", "given" : "Jeffrey J", "non-dropping-particle" : "", "parse-names" : false, "suffix" : "" }, { "dropping-particle" : "", "family" : "Chen", "given" : "Ming-Shun", "non-dropping-particle" : "", "parse-names" : false, "suffix" : "" } ], "container-title" : "BMC genomics", "id" : "ITEM-1", "issue" : "1", "issued" : { "date-parts" : [ [ "2013" ] ] }, "page" : "187", "publisher" : "BMC Genomics", "title" : "Deep sequencing and genome-wide analysis reveals the expansion of MicroRNA genes in the gall midge Mayetiola destructor.", "type" : "article-journal", "volume" : "14" }, "uris" : [ "http://www.mendeley.com/documents/?uuid=9d164b28-4d86-4e80-b065-ec5d40b171c2" ] } ], "mendeley" : { "formattedCitation" : "[48]", "plainTextFormattedCitation" : "[48]", "previouslyFormattedCitation" : "[48]" }, "properties" : { "noteIndex" : 0 }, "schema" : "https://github.com/citation-style-language/schema/raw/master/csl-citation.json" }</w:instrText>
      </w:r>
      <w:r>
        <w:rPr>
          <w:lang w:val="en-GB"/>
        </w:rPr>
        <w:fldChar w:fldCharType="separate"/>
      </w:r>
      <w:r>
        <w:rPr>
          <w:lang w:val="en-GB"/>
        </w:rPr>
        <w:t>[48]</w:t>
      </w:r>
      <w:r>
        <w:fldChar w:fldCharType="end"/>
      </w:r>
      <w:r>
        <w:rPr>
          <w:lang w:val="en-GB"/>
        </w:rPr>
        <w:t xml:space="preserve">. </w:t>
      </w:r>
    </w:p>
    <w:p>
      <w:pPr>
        <w:pStyle w:val="35"/>
        <w:rPr>
          <w:lang w:val="en-GB"/>
        </w:rPr>
      </w:pPr>
      <w:r>
        <w:rPr>
          <w:lang w:val="en-GB"/>
        </w:rPr>
        <w:t xml:space="preserve">The effects of a number of insect effectors, particularly in species of lepidopterans and aphids, on plant responses have been explored; however, the targets of these proteins and their molecular functions remain unknown </w:t>
      </w:r>
      <w:r>
        <w:rPr>
          <w:lang w:val="en-GB"/>
        </w:rPr>
        <w:fldChar w:fldCharType="begin" w:fldLock="1"/>
      </w:r>
      <w:r>
        <w:rPr>
          <w:lang w:val="en-GB"/>
        </w:rPr>
        <w:instrText xml:space="preserve">ADDIN CSL_CITATION { "citationItems" : [ { "id" : "ITEM-1", "itemData" : { "DOI" : "10.1146/annurev-ento-010814-020620", "ISBN" : "978-0-8243-0160-6", "ISSN" : "00664170", "PMID" : "25341089", "abstract" : "When plants respond to insect egg deposition with egg-induced defenses, they resist attack by herbivorous insects from the very beginning, from egg deposition on. We review ecological effects of plant responses to insect eggs and differentiate between egg-induced plant defenses that directly harm the eggs and indirect defenses that involve egg parasitoids. Furthermore, we discuss studies indicating that eggs are taken as warning signals of future feeding damage and mediate plant changes that either directly impair larval performance or attract enemies of the larvae. We address the questions of how egg-associated cues elicit plant defenses, how the information that eggs have been laid is transmitted within a plant, and which molecular and chemical plant responses are induced by egg deposition. Finally, we highlight evolutionary aspects of the interactions between plants and insect eggs and ask how the herbivorous insect copes with egg-induced plant defenses and may avoid them by counter-adaptations. Expect...", "author" : [ { "dropping-particle" : "", "family" : "Hilker", "given" : "Monika", "non-dropping-particle" : "", "parse-names" : false, "suffix" : "" }, { "dropping-particle" : "", "family" : "Fatouros", "given" : "Nina E.", "non-dropping-particle" : "", "parse-names" : false, "suffix" : "" } ], "id" : "ITEM-1", "issued" : { "date-parts" : [ [ "2014" ] ] }, "title" : "Plant Responses to Insect Egg Deposition", "type" : "article-journal" }, "uris" : [ "http://www.mendeley.com/documents/?uuid=25123d56-2271-4d9f-a9c7-c742e0cafa1c" ] } ], "mendeley" : { "formattedCitation" : "[51]", "plainTextFormattedCitation" : "[51]", "previouslyFormattedCitation" : "[50]" }, "properties" : { "noteIndex" : 0 }, "schema" : "https://github.com/citation-style-language/schema/raw/master/csl-citation.json" }</w:instrText>
      </w:r>
      <w:r>
        <w:rPr>
          <w:lang w:val="en-GB"/>
        </w:rPr>
        <w:fldChar w:fldCharType="separate"/>
      </w:r>
      <w:r>
        <w:rPr>
          <w:lang w:val="en-GB"/>
        </w:rPr>
        <w:t>[51]</w:t>
      </w:r>
      <w:r>
        <w:fldChar w:fldCharType="end"/>
      </w:r>
      <w:r>
        <w:rPr>
          <w:lang w:val="en-GB"/>
        </w:rPr>
        <w:t xml:space="preserve">. One example of an integrative approach using omics data to identify putative effectors for functional testing was provided by </w:t>
      </w:r>
      <w:r>
        <w:rPr>
          <w:lang w:val="en-GB"/>
        </w:rPr>
        <w:fldChar w:fldCharType="begin" w:fldLock="1"/>
      </w:r>
      <w:r>
        <w:rPr>
          <w:lang w:val="en-GB"/>
        </w:rPr>
        <w:instrText xml:space="preserve">ADDIN CSL_CITATION { "citationItems" : [ { "id" : "ITEM-1", "itemData" : { "DOI" : "10.1111/tpj.13152", "author" : [ { "dropping-particle" : "", "family" : "Villarroel", "given" : "Carlos A", "non-dropping-particle" : "", "parse-names" : false, "suffix" : "" }, { "dropping-particle" : "", "family" : "Jonckheere", "given" : "Wim", "non-dropping-particle" : "", "parse-names" : false, "suffix" : "" }, { "dropping-particle" : "", "family" : "Alba", "given" : "Juan M", "non-dropping-particle" : "", "parse-names" : false, "suffix" : "" }, { "dropping-particle" : "", "family" : "Glas", "given" : "Joris J", "non-dropping-particle" : "", "parse-names" : false, "suffix" : "" }, { "dropping-particle" : "", "family" : "Dermauw", "given" : "Wannes", "non-dropping-particle" : "", "parse-names" : false, "suffix" : "" }, { "dropping-particle" : "", "family" : "Haring", "given" : "Michel A", "non-dropping-particle" : "", "parse-names" : false, "suffix" : "" }, { "dropping-particle" : "", "family" : "Van", "given" : "Thomas", "non-dropping-particle" : "", "parse-names" : false, "suffix" : "" }, { "dropping-particle" : "", "family" : "Schuurink", "given" : "Robert C", "non-dropping-particle" : "", "parse-names" : false, "suffix" : "" }, { "dropping-particle" : "", "family" : "Kant", "given" : "Merijn R", "non-dropping-particle" : "", "parse-names" : false, "suffix" : "" } ], "id" : "ITEM-1", "issued" : { "date-parts" : [ [ "2016" ] ] }, "page" : "119-131", "title" : "Salivary proteins of spider mites suppress defenses in Nicotiana benthamiana and promote mite reproduction", "type" : "article-journal" }, "uris" : [ "http://www.mendeley.com/documents/?uuid=44e0a65a-0ad5-463d-8f17-aea3e87c3cc0" ] } ], "mendeley" : { "formattedCitation" : "[40]", "manualFormatting" : "Villarroel et al. (2016)", "plainTextFormattedCitation" : "[40]", "previouslyFormattedCitation" : "[40]" }, "properties" : { "noteIndex" : 0 }, "schema" : "https://github.com/citation-style-language/schema/raw/master/csl-citation.json" }</w:instrText>
      </w:r>
      <w:r>
        <w:rPr>
          <w:lang w:val="en-GB"/>
        </w:rPr>
        <w:fldChar w:fldCharType="separate"/>
      </w:r>
      <w:r>
        <w:rPr>
          <w:lang w:val="en-GB"/>
        </w:rPr>
        <w:t>Villarroel et al. (2016)</w:t>
      </w:r>
      <w:r>
        <w:fldChar w:fldCharType="end"/>
      </w:r>
      <w:r>
        <w:t xml:space="preserve"> </w:t>
      </w:r>
      <w:r>
        <w:rPr>
          <w:highlight w:val="red"/>
        </w:rPr>
        <w:t>using species of non-galling spider mites</w:t>
      </w:r>
      <w:r>
        <w:rPr>
          <w:lang w:val="en-GB"/>
        </w:rPr>
        <w:t xml:space="preserve">. The authors performed </w:t>
      </w:r>
      <w:r>
        <w:rPr>
          <w:i/>
          <w:lang w:val="en-GB"/>
        </w:rPr>
        <w:t xml:space="preserve">in silico </w:t>
      </w:r>
      <w:r>
        <w:rPr>
          <w:lang w:val="en-GB"/>
        </w:rPr>
        <w:t xml:space="preserve">predictions of effector genes using the </w:t>
      </w:r>
      <w:r>
        <w:rPr>
          <w:i/>
          <w:lang w:val="en-GB"/>
        </w:rPr>
        <w:t xml:space="preserve">Tetranychidae urticae </w:t>
      </w:r>
      <w:r>
        <w:rPr>
          <w:lang w:val="en-GB"/>
        </w:rPr>
        <w:t xml:space="preserve">(generalist spider mite) genome and a </w:t>
      </w:r>
      <w:r>
        <w:rPr>
          <w:i/>
          <w:lang w:val="en-GB"/>
        </w:rPr>
        <w:t xml:space="preserve">de novo </w:t>
      </w:r>
      <w:r>
        <w:rPr>
          <w:lang w:val="en-GB"/>
        </w:rPr>
        <w:t xml:space="preserve">assembled transcriptome of </w:t>
      </w:r>
      <w:r>
        <w:rPr>
          <w:i/>
          <w:lang w:val="en-GB"/>
        </w:rPr>
        <w:t xml:space="preserve">T. evansi </w:t>
      </w:r>
      <w:r>
        <w:rPr>
          <w:lang w:val="en-GB"/>
        </w:rPr>
        <w:t xml:space="preserve">(specialist spider mite), as well as life stage expression and salivary gland localisation as criteria. Four proteins from two families suppressed defences downstream of salicylic acid following transient expression in </w:t>
      </w:r>
      <w:r>
        <w:rPr>
          <w:i/>
          <w:lang w:val="en-GB"/>
        </w:rPr>
        <w:t>Nicotiana benthamiana</w:t>
      </w:r>
      <w:r>
        <w:rPr>
          <w:lang w:val="en-GB"/>
        </w:rPr>
        <w:t>.</w:t>
      </w:r>
    </w:p>
    <w:p>
      <w:pPr>
        <w:pStyle w:val="35"/>
        <w:rPr>
          <w:lang w:val="en-GB"/>
        </w:rPr>
      </w:pPr>
      <w:r>
        <w:rPr>
          <w:lang w:val="en-GB"/>
        </w:rPr>
        <w:t xml:space="preserve">With regards to the Hessian fly, </w:t>
      </w:r>
      <w:r>
        <w:rPr>
          <w:lang w:val="en-GB"/>
        </w:rPr>
        <w:fldChar w:fldCharType="begin" w:fldLock="1"/>
      </w:r>
      <w:r>
        <w:rPr>
          <w:lang w:val="en-GB"/>
        </w:rPr>
        <w:instrText xml:space="preserve">ADDIN CSL_CITATION { "citationItems" : [ { "id" : "ITEM-1", "itemData" : { "author" : [ { "dropping-particle" : "", "family" : "Zhao", "given" : "Chaoyang", "non-dropping-particle" : "", "parse-names" : false, "suffix" : "" }, { "dropping-particle" : "", "family" : "Escalante", "given" : "Lucio Navarro", "non-dropping-particle" : "", "parse-names" : false, "suffix" : "" }, { "dropping-particle" : "", "family" : "Chen", "given" : "Hang", "non-dropping-particle" : "", "parse-names" : false, "suffix" : "" }, { "dropping-particle" : "", "family" : "Benatti", "given" : "Thiago R.", "non-dropping-particle" : "", "parse-names" : false, "suffix" : "" }, { "dropping-particle" : "", "family" : "Qu", "given" : "Jiaxin", "non-dropping-particle" : "", "parse-names" : false, "suffix" : "" }, { "dropping-particle" : "", "family" : "Chellapilla", "given" : "Sanjay", "non-dropping-particle" : "", "parse-names" : false, "suffix" : "" }, { "dropping-particle" : "", "family" : "Waterhouse", "given" : "Robert M.", "non-dropping-particle" : "", "parse-names" : false, "suffix" : "" }, { "dropping-particle" : "", "family" : "Wheeler", "given" : "David", "non-dropping-particle" : "", "parse-names" : false, "suffix" : "" }, { "dropping-particle" : "", "family" : "Andersson", "given" : "Martin N.", "non-dropping-particle" : "", "parse-names" : false, "suffix" : "" }, { "dropping-particle" : "", "family" : "Bao", "given" : "Riyue", "non-dropping-particle" : "", "parse-names" : false, "suffix" : "" }, { "dropping-particle" : "", "family" : "Batterton", "given" : "Matthew", "non-dropping-particle" : "", "parse-names" : false, "suffix" : "" }, { "dropping-particle" : "", "family" : "Behura", "given" : "Susanta K.", "non-dropping-particle" : "", "parse-names" : false, "suffix" : "" } ], "container-title" : "Current Biology", "id" : "ITEM-1", "issued" : { "date-parts" : [ [ "2015" ] ] }, "page" : "613-620", "title" : "Zhao_A massive expansion of effector genes underlies gall formation in HF_2015.pdf", "type" : "article-journal", "volume" : "25" }, "uris" : [ "http://www.mendeley.com/documents/?uuid=c0b1c7bc-60f6-42cd-9f30-bd2a68de73cc" ] } ], "mendeley" : { "formattedCitation" : "[47]", "manualFormatting" : "Zhao et al. (2015)", "plainTextFormattedCitation" : "[47]", "previouslyFormattedCitation" : "[47]" }, "properties" : { "noteIndex" : 0 }, "schema" : "https://github.com/citation-style-language/schema/raw/master/csl-citation.json" }</w:instrText>
      </w:r>
      <w:r>
        <w:rPr>
          <w:lang w:val="en-GB"/>
        </w:rPr>
        <w:fldChar w:fldCharType="separate"/>
      </w:r>
      <w:r>
        <w:rPr>
          <w:lang w:val="en-GB"/>
        </w:rPr>
        <w:t>Zhao et al. (2015)</w:t>
      </w:r>
      <w:r>
        <w:fldChar w:fldCharType="end"/>
      </w:r>
      <w:r>
        <w:rPr>
          <w:lang w:val="en-GB"/>
        </w:rPr>
        <w:t xml:space="preserve"> showed that, although </w:t>
      </w:r>
      <w:r>
        <w:rPr>
          <w:i/>
          <w:lang w:val="en-GB"/>
        </w:rPr>
        <w:t xml:space="preserve">SSGP-71s </w:t>
      </w:r>
      <w:r>
        <w:rPr>
          <w:lang w:val="en-GB"/>
        </w:rPr>
        <w:t xml:space="preserve">lack sequence homology to other genes, their structures resemble plant ubiquitin E3 ligases and plant pathogenic E3 ligase-mimicking effectors. Some members contained F-box motifs that allowed them to interact with Skp-1 proteins, a component of the Skp-Cullin-F-box-E3-ubiquitin-RING-ligase complex that targets proteins for degradation. This provides a possible mechanism for the insect to hijack the plant proteasome and defeat basal immunity </w:t>
      </w:r>
      <w:r>
        <w:rPr>
          <w:lang w:val="en-GB"/>
        </w:rPr>
        <w:fldChar w:fldCharType="begin" w:fldLock="1"/>
      </w:r>
      <w:r>
        <w:rPr>
          <w:lang w:val="en-GB"/>
        </w:rPr>
        <w:instrText xml:space="preserve">ADDIN CSL_CITATION { "citationItems" : [ { "id" : "ITEM-1", "itemData" : { "author" : [ { "dropping-particle" : "", "family" : "Zhao", "given" : "Chaoyang", "non-dropping-particle" : "", "parse-names" : false, "suffix" : "" }, { "dropping-particle" : "", "family" : "Escalante", "given" : "Lucio Navarro", "non-dropping-particle" : "", "parse-names" : false, "suffix" : "" }, { "dropping-particle" : "", "family" : "Chen", "given" : "Hang", "non-dropping-particle" : "", "parse-names" : false, "suffix" : "" }, { "dropping-particle" : "", "family" : "Benatti", "given" : "Thiago R.", "non-dropping-particle" : "", "parse-names" : false, "suffix" : "" }, { "dropping-particle" : "", "family" : "Qu", "given" : "Jiaxin", "non-dropping-particle" : "", "parse-names" : false, "suffix" : "" }, { "dropping-particle" : "", "family" : "Chellapilla", "given" : "Sanjay", "non-dropping-particle" : "", "parse-names" : false, "suffix" : "" }, { "dropping-particle" : "", "family" : "Waterhouse", "given" : "Robert M.", "non-dropping-particle" : "", "parse-names" : false, "suffix" : "" }, { "dropping-particle" : "", "family" : "Wheeler", "given" : "David", "non-dropping-particle" : "", "parse-names" : false, "suffix" : "" }, { "dropping-particle" : "", "family" : "Andersson", "given" : "Martin N.", "non-dropping-particle" : "", "parse-names" : false, "suffix" : "" }, { "dropping-particle" : "", "family" : "Bao", "given" : "Riyue", "non-dropping-particle" : "", "parse-names" : false, "suffix" : "" }, { "dropping-particle" : "", "family" : "Batterton", "given" : "Matthew", "non-dropping-particle" : "", "parse-names" : false, "suffix" : "" }, { "dropping-particle" : "", "family" : "Behura", "given" : "Susanta K.", "non-dropping-particle" : "", "parse-names" : false, "suffix" : "" } ], "container-title" : "Current Biology", "id" : "ITEM-1", "issued" : { "date-parts" : [ [ "2015" ] ] }, "page" : "613-620", "title" : "Zhao_A massive expansion of effector genes underlies gall formation in HF_2015.pdf", "type" : "article-journal", "volume" : "25" }, "uris" : [ "http://www.mendeley.com/documents/?uuid=c0b1c7bc-60f6-42cd-9f30-bd2a68de73cc" ] } ], "mendeley" : { "formattedCitation" : "[47]", "plainTextFormattedCitation" : "[47]", "previouslyFormattedCitation" : "[47]" }, "properties" : { "noteIndex" : 0 }, "schema" : "https://github.com/citation-style-language/schema/raw/master/csl-citation.json" }</w:instrText>
      </w:r>
      <w:r>
        <w:rPr>
          <w:lang w:val="en-GB"/>
        </w:rPr>
        <w:fldChar w:fldCharType="separate"/>
      </w:r>
      <w:r>
        <w:rPr>
          <w:lang w:val="en-GB"/>
        </w:rPr>
        <w:t>[47]</w:t>
      </w:r>
      <w:r>
        <w:fldChar w:fldCharType="end"/>
      </w:r>
      <w:r>
        <w:rPr>
          <w:lang w:val="en-GB"/>
        </w:rPr>
        <w:t>; whether this is the case remains subject to future study.</w:t>
      </w:r>
    </w:p>
    <w:p>
      <w:pPr>
        <w:pStyle w:val="35"/>
        <w:rPr>
          <w:lang w:val="en-GB"/>
        </w:rPr>
      </w:pPr>
      <w:r>
        <w:rPr>
          <w:lang w:val="en-GB"/>
        </w:rPr>
        <w:fldChar w:fldCharType="begin" w:fldLock="1"/>
      </w:r>
      <w:r>
        <w:rPr>
          <w:lang w:val="en-GB"/>
        </w:rPr>
        <w:instrText xml:space="preserve">ADDIN CSL_CITATION { "citationItems" : [ { "id" : "ITEM-1", "itemData" : { "DOI" : "10.1126/science.1203659", "ISSN" : "1095-9203", "PMID" : "21798943", "abstract" : "Plants generate effective responses to infection by recognizing both conserved and variable pathogen-encoded molecules. Pathogens deploy virulence effector proteins into host cells, where they interact physically with host proteins to modulate defense. We generated an interaction network of plant-pathogen effectors from two pathogens spanning the eukaryote-eubacteria divergence, three classes of Arabidopsis immune system proteins, and ~8000 other Arabidopsis proteins. We noted convergence of effectors onto highly interconnected host proteins and indirect, rather than direct, connections between effectors and plant immune receptors. We demonstrated plant immune system functions for 15 of 17 tested host proteins that interact with effectors from both pathogens. Thus, pathogens from different kingdoms deploy independently evolved virulence proteins that interact with a limited set of highly connected cellular hubs to facilitate their diverse life-cycle strategies.", "author" : [ { "dropping-particle" : "", "family" : "Mukhtar", "given" : "M Shahid", "non-dropping-particle" : "", "parse-names" : false, "suffix" : "" }, { "dropping-particle" : "", "family" : "Carvunis", "given" : "Anne-Ruxandra", "non-dropping-particle" : "", "parse-names" : false, "suffix" : "" }, { "dropping-particle" : "", "family" : "Dreze", "given" : "Matija", "non-dropping-particle" : "", "parse-names" : false, "suffix" : "" }, { "dropping-particle" : "", "family" : "Epple", "given" : "Petra", "non-dropping-particle" : "", "parse-names" : false, "suffix" : "" }, { "dropping-particle" : "", "family" : "Steinbrenner", "given" : "Jens", "non-dropping-particle" : "", "parse-names" : false, "suffix" : "" }, { "dropping-particle" : "", "family" : "Moore", "given" : "Jonathan", "non-dropping-particle" : "", "parse-names" : false, "suffix" : "" }, { "dropping-particle" : "", "family" : "Tasan", "given" : "Murat", "non-dropping-particle" : "", "parse-names" : false, "suffix" : "" }, { "dropping-particle" : "", "family" : "Galli", "given" : "Mary", "non-dropping-particle" : "", "parse-names" : false, "suffix" : "" }, { "dropping-particle" : "", "family" : "Hao", "given" : "Tong", "non-dropping-particle" : "", "parse-names" : false, "suffix" : "" }, { "dropping-particle" : "", "family" : "Nishimura", "given" : "Marc T", "non-dropping-particle" : "", "parse-names" : false, "suffix" : "" }, { "dropping-particle" : "", "family" : "Pevzner", "given" : "Samuel J", "non-dropping-particle" : "", "parse-names" : false, "suffix" : "" }, { "dropping-particle" : "", "family" : "Donovan", "given" : "Susan E", "non-dropping-particle" : "", "parse-names" : false, "suffix" : "" }, { "dropping-particle" : "", "family" : "Ghamsari", "given" : "Lila", "non-dropping-particle" : "", "parse-names" : false, "suffix" : "" }, { "dropping-particle" : "", "family" : "Santhanam", "given" : "Balaji", "non-dropping-particle" : "", "parse-names" : false, "suffix" : "" }, { "dropping-particle" : "", "family" : "Romero", "given" : "Viviana", "non-dropping-particle" : "", "parse-names" : false, "suffix" : "" }, { "dropping-particle" : "", "family" : "Poulin", "given" : "Matthew M", "non-dropping-particle" : "", "parse-names" : false, "suffix" : "" }, { "dropping-particle" : "", "family" : "Gebreab", "given" : "Fana", "non-dropping-particle" : "", "parse-names" : false, "suffix" : "" }, { "dropping-particle" : "", "family" : "Gutierrez", "given" : "Bryan J", "non-dropping-particle" : "", "parse-names" : false, "suffix" : "" }, { "dropping-particle" : "", "family" : "Tam", "given" : "Stanley", "non-dropping-particle" : "", "parse-names" : false, "suffix" : "" }, { "dropping-particle" : "", "family" : "Monachello", "given" : "Dario", "non-dropping-particle" : "", "parse-names" : false, "suffix" : "" }, { "dropping-particle" : "", "family" : "Boxem", "given" : "Mike", "non-dropping-particle" : "", "parse-names" : false, "suffix" : "" }, { "dropping-particle" : "", "family" : "Harbort", "given" : "Christopher J", "non-dropping-particle" : "", "parse-names" : false, "suffix" : "" }, { "dropping-particle" : "", "family" : "McDonald", "given" : "Nathan", "non-dropping-particle" : "", "parse-names" : false, "suffix" : "" }, { "dropping-particle" : "", "family" : "Gai", "given" : "Lantian", "non-dropping-particle" : "", "parse-names" : false, "suffix" : "" }, { "dropping-particle" : "", "family" : "Chen", "given" : "Huaming", "non-dropping-particle" : "", "parse-names" : false, "suffix" : "" }, { "dropping-particle" : "", "family" : "He", "given" : "Yijian", "non-dropping-particle" : "", "parse-names" : false, "suffix" : "" }, { "dropping-particle" : "", "family" : "Vandenhaute", "given" : "Jean", "non-dropping-particle" : "", "parse-names" : false, "suffix" : "" }, { "dropping-particle" : "", "family" : "Roth", "given" : "Frederick P", "non-dropping-particle" : "", "parse-names" : false, "suffix" : "" }, { "dropping-particle" : "", "family" : "Hill", "given" : "David E", "non-dropping-particle" : "", "parse-names" : false, "suffix" : "" }, { "dropping-particle" : "", "family" : "Ecker", "given" : "Joseph R", "non-dropping-particle" : "", "parse-names" : false, "suffix" : "" }, { "dropping-particle" : "", "family" : "Vidal", "given" : "Marc", "non-dropping-particle" : "", "parse-names" : false, "suffix" : "" }, { "dropping-particle" : "", "family" : "Beynon", "given" : "Jim", "non-dropping-particle" : "", "parse-names" : false, "suffix" : "" }, { "dropping-particle" : "", "family" : "Braun", "given" : "Pascal", "non-dropping-particle" : "", "parse-names" : false, "suffix" : "" }, { "dropping-particle" : "", "family" : "Dangl", "given" : "Jeffery L", "non-dropping-particle" : "", "parse-names" : false, "suffix" : "" } ], "container-title" : "Science (New York, N.Y.)", "id" : "ITEM-1", "issue" : "6042", "issued" : { "date-parts" : [ [ "2011", "7", "29" ] ] }, "page" : "596-601", "title" : "Independently evolved virulence effectors converge onto hubs in a plant immune system network.", "type" : "article-journal", "volume" : "333" }, "uris" : [ "http://www.mendeley.com/documents/?uuid=ddc8e126-ce41-4a2f-8813-ec7f72ff1938" ] } ], "mendeley" : { "formattedCitation" : "[55]", "manualFormatting" : "Mukhtar et al. (2011)", "plainTextFormattedCitation" : "[55]", "previouslyFormattedCitation" : "[54]" }, "properties" : { "noteIndex" : 0 }, "schema" : "https://github.com/citation-style-language/schema/raw/master/csl-citation.json" }</w:instrText>
      </w:r>
      <w:r>
        <w:rPr>
          <w:lang w:val="en-GB"/>
        </w:rPr>
        <w:fldChar w:fldCharType="separate"/>
      </w:r>
      <w:r>
        <w:rPr>
          <w:lang w:val="en-GB"/>
        </w:rPr>
        <w:t>Mukhtar et al. (2011)</w:t>
      </w:r>
      <w:r>
        <w:fldChar w:fldCharType="end"/>
      </w:r>
      <w:r>
        <w:rPr>
          <w:lang w:val="en-GB"/>
        </w:rPr>
        <w:t xml:space="preserve"> described how known effectors from plant pathogens with diverse lifestyles (</w:t>
      </w:r>
      <w:r>
        <w:rPr>
          <w:i/>
          <w:lang w:val="en-GB"/>
        </w:rPr>
        <w:t xml:space="preserve">Pseudomonas syringae </w:t>
      </w:r>
      <w:r>
        <w:rPr>
          <w:lang w:val="en-GB"/>
        </w:rPr>
        <w:t xml:space="preserve">and </w:t>
      </w:r>
      <w:r>
        <w:rPr>
          <w:i/>
          <w:lang w:val="en-GB"/>
        </w:rPr>
        <w:t>Hyaloperonospora arabidopsidis</w:t>
      </w:r>
      <w:r>
        <w:rPr>
          <w:lang w:val="en-GB"/>
        </w:rPr>
        <w:t xml:space="preserve">) tend to target a relatively small number of hubs in the </w:t>
      </w:r>
      <w:r>
        <w:rPr>
          <w:i/>
          <w:lang w:val="en-GB"/>
        </w:rPr>
        <w:t xml:space="preserve">Arabidopsis thaliana </w:t>
      </w:r>
      <w:r>
        <w:rPr>
          <w:lang w:val="en-GB"/>
        </w:rPr>
        <w:t xml:space="preserve">immune system network. Hubs are highly interconnected points within a network where perturbation can have large effects on the downstream network. Hubs within the plant immune network that are targeted by pathogen or pest effectors may provide a means for manipulating a large proportion of the defence response thereby enabling successful invasion. The robustness of the plant immune network is a counter-measure that allows the plant to launch a successful defence response in spite of a suit of effectors introduced by an invader </w:t>
      </w:r>
      <w:r>
        <w:rPr>
          <w:lang w:val="en-GB"/>
        </w:rPr>
        <w:fldChar w:fldCharType="begin" w:fldLock="1"/>
      </w:r>
      <w:r>
        <w:rPr>
          <w:lang w:val="en-GB"/>
        </w:rPr>
        <w:instrText xml:space="preserve">ADDIN CSL_CITATION { "citationItems" : [ { "id" : "ITEM-1", "itemData" : { "DOI" : "10.1104/pp.114.254292", "ISSN" : "0032-0889", "author" : [ { "dropping-particle" : "", "family" : "Dong", "given" : "Xiaobao", "non-dropping-particle" : "", "parse-names" : false, "suffix" : "" }, { "dropping-particle" : "", "family" : "Jiang", "given" : "Zhenhong", "non-dropping-particle" : "", "parse-names" : false, "suffix" : "" }, { "dropping-particle" : "", "family" : "Peng", "given" : "You-Liang", "non-dropping-particle" : "", "parse-names" : false, "suffix" : "" }, { "dropping-particle" : "", "family" : "Zhang", "given" : "Ziding", "non-dropping-particle" : "", "parse-names" : false, "suffix" : "" } ], "container-title" : "Plant Physiology", "id" : "ITEM-1", "issued" : { "date-parts" : [ [ "2015" ] ] }, "page" : "pp.114.254292", "title" : "Revealing Shared and Distinct Gene Network Organization in Arabidopsis Immune Responses by Integrative Analysis", "type" : "article-journal" }, "uris" : [ "http://www.mendeley.com/documents/?uuid=24a217cf-f109-419e-afba-87b7ed017703" ] } ], "mendeley" : { "formattedCitation" : "[56]", "plainTextFormattedCitation" : "[56]", "previouslyFormattedCitation" : "[55]" }, "properties" : { "noteIndex" : 0 }, "schema" : "https://github.com/citation-style-language/schema/raw/master/csl-citation.json" }</w:instrText>
      </w:r>
      <w:r>
        <w:rPr>
          <w:lang w:val="en-GB"/>
        </w:rPr>
        <w:fldChar w:fldCharType="separate"/>
      </w:r>
      <w:r>
        <w:rPr>
          <w:lang w:val="en-GB"/>
        </w:rPr>
        <w:t>[56]</w:t>
      </w:r>
      <w:r>
        <w:fldChar w:fldCharType="end"/>
      </w:r>
      <w:r>
        <w:rPr>
          <w:lang w:val="en-GB"/>
        </w:rPr>
        <w:t>. Considering that galling insects must reprogram the host cellular machinery at both the developmental and immune levels (i.e. suppress plant defences whilst simultaneously generate gall-specific tissues), it seems logical to expect gallers to possess a wide array of effectors in order to achieve this.</w:t>
      </w:r>
    </w:p>
    <w:p>
      <w:pPr>
        <w:pStyle w:val="151"/>
        <w:rPr>
          <w:lang w:val="en-GB"/>
        </w:rPr>
      </w:pPr>
      <w:r>
        <w:rPr>
          <w:lang w:val="en-GB"/>
        </w:rPr>
        <w:t>3.2. Phytohormones in Insect Galling</w:t>
      </w:r>
    </w:p>
    <w:p>
      <w:pPr>
        <w:pStyle w:val="35"/>
        <w:rPr>
          <w:lang w:val="en-GB"/>
        </w:rPr>
      </w:pPr>
      <w:r>
        <w:rPr>
          <w:lang w:val="en-GB"/>
        </w:rPr>
        <w:t xml:space="preserve">Galls </w:t>
      </w:r>
      <w:r>
        <w:rPr>
          <w:highlight w:val="red"/>
          <w:lang w:val="en-GB"/>
        </w:rPr>
        <w:t>commonly</w:t>
      </w:r>
      <w:r>
        <w:rPr>
          <w:lang w:val="en-GB"/>
        </w:rPr>
        <w:t xml:space="preserve"> grow via the mechanisms of hypertrophy </w:t>
      </w:r>
      <w:r>
        <w:rPr>
          <w:highlight w:val="red"/>
          <w:lang w:val="en-GB"/>
        </w:rPr>
        <w:t>or</w:t>
      </w:r>
      <w:r>
        <w:rPr>
          <w:lang w:val="en-GB"/>
        </w:rPr>
        <w:t xml:space="preserve"> hyperplasia </w:t>
      </w:r>
      <w:r>
        <w:rPr>
          <w:highlight w:val="red"/>
          <w:lang w:val="en-GB"/>
        </w:rPr>
        <w:t>or a combination thereof</w:t>
      </w:r>
      <w:r>
        <w:rPr>
          <w:lang w:val="en-GB"/>
        </w:rPr>
        <w:t xml:space="preserve">. </w:t>
      </w:r>
      <w:r>
        <w:rPr>
          <w:lang w:val="en-GB"/>
        </w:rPr>
        <w:fldChar w:fldCharType="begin" w:fldLock="1"/>
      </w:r>
      <w:r>
        <w:rPr>
          <w:lang w:val="en-GB"/>
        </w:rPr>
        <w:instrText xml:space="preserve">ADDIN CSL_CITATION { "citationItems" : [ { "id" : "ITEM-1", "itemData" : { "DOI" : "10.1007/s10886-014-0457-6", "ISSN" : "15731561", "PMID" : "25027764", "author" : [ { "dropping-particle" : "", "family" : "Tooker", "given" : "John F.", "non-dropping-particle" : "", "parse-names" : false, "suffix" : "" }, { "dropping-particle" : "", "family" : "Helms", "given" : "Anjel M.", "non-dropping-particle" : "", "parse-names" : false, "suffix" : "" } ], "container-title" : "Journal of Chemical Ecology", "id" : "ITEM-1", "issue" : "7", "issued" : { "date-parts" : [ [ "2014" ] ] }, "page" : "742-753", "title" : "Phytohormone Dynamics Associated with Gall Insects, and their Potential Role in the Evolution of the Gall-Inducing Habit", "type" : "article-journal", "volume" : "40" }, "uris" : [ "http://www.mendeley.com/documents/?uuid=22c3ad32-5452-4b05-adea-9a39d8dd7a37" ] } ], "mendeley" : { "formattedCitation" : "[31]", "manualFormatting" : "Tooker &amp; Helms (2014)", "plainTextFormattedCitation" : "[31]", "previouslyFormattedCitation" : "[31]" }, "properties" : { "noteIndex" : 0 }, "schema" : "https://github.com/citation-style-language/schema/raw/master/csl-citation.json" }</w:instrText>
      </w:r>
      <w:r>
        <w:rPr>
          <w:lang w:val="en-GB"/>
        </w:rPr>
        <w:fldChar w:fldCharType="separate"/>
      </w:r>
      <w:r>
        <w:rPr>
          <w:lang w:val="en-GB"/>
        </w:rPr>
        <w:t>Tooker &amp; Helms (2014)</w:t>
      </w:r>
      <w:r>
        <w:fldChar w:fldCharType="end"/>
      </w:r>
      <w:r>
        <w:rPr>
          <w:lang w:val="en-GB"/>
        </w:rPr>
        <w:t xml:space="preserve"> reviewed evidence regarding the role of various phytohormones in gall development and host manipulation as well as plant resistance against galling insects. Two of the hormones addressed in the review, auxins and cytokinins, are well-known growth regulators that have been repeatedly implicated in insect gall development and their role in plant-galling insect interactions is a widely accepted hypothesis.</w:t>
      </w:r>
    </w:p>
    <w:p>
      <w:pPr>
        <w:pStyle w:val="35"/>
        <w:rPr>
          <w:lang w:val="en-GB"/>
        </w:rPr>
      </w:pPr>
      <w:r>
        <w:rPr>
          <w:lang w:val="en-GB"/>
        </w:rPr>
        <w:t xml:space="preserve">The value of obtaining omics data in systems that have not been previously characterised was recently demonstrated with a simple transcriptome comparison between galled and ungalled leaves of </w:t>
      </w:r>
      <w:r>
        <w:rPr>
          <w:i/>
          <w:lang w:val="en-GB"/>
        </w:rPr>
        <w:t xml:space="preserve">Metrosideros polymorpha </w:t>
      </w:r>
      <w:r>
        <w:rPr>
          <w:lang w:val="en-GB"/>
        </w:rPr>
        <w:t xml:space="preserve">(Myrtaceae) by </w:t>
      </w:r>
      <w:r>
        <w:rPr>
          <w:i/>
          <w:lang w:val="en-GB"/>
        </w:rPr>
        <w:t xml:space="preserve">Trioza </w:t>
      </w:r>
      <w:r>
        <w:rPr>
          <w:lang w:val="en-GB"/>
        </w:rPr>
        <w:t xml:space="preserve">spp. (Hemiptera:Triozidae), a galling psyllid </w:t>
      </w:r>
      <w:r>
        <w:rPr>
          <w:lang w:val="en-GB"/>
        </w:rPr>
        <w:fldChar w:fldCharType="begin" w:fldLock="1"/>
      </w:r>
      <w:r>
        <w:rPr>
          <w:lang w:val="en-GB"/>
        </w:rPr>
        <w:instrText xml:space="preserve">ADDIN CSL_CITATION { "citationItems" : [ { "id" : "ITEM-1", "itemData" : { "DOI" : "10.1186/s12864-015-2109-9", "ISSN" : "1471-2164", "author" : [ { "dropping-particle" : "", "family" : "Bailey", "given" : "Sebastian", "non-dropping-particle" : "", "parse-names" : false, "suffix" : "" }, { "dropping-particle" : "", "family" : "Percy", "given" : "Diana M", "non-dropping-particle" : "", "parse-names" : false, "suffix" : "" }, { "dropping-particle" : "", "family" : "Hefer", "given" : "Charles A", "non-dropping-particle" : "", "parse-names" : false, "suffix" : "" }, { "dropping-particle" : "", "family" : "Cronk", "given" : "Quentin C B", "non-dropping-particle" : "", "parse-names" : false, "suffix" : "" } ], "container-title" : "BMC Genomics", "id" : "ITEM-1", "issued" : { "date-parts" : [ [ "2015" ] ] }, "page" : "1-9", "publisher" : "BMC Genomics", "title" : "The transcriptional landscape of insect galls : psyllid ( Hemiptera ) gall formation in Hawaiian Bailey, S., Percy, D. M., Hefer, C. A., &amp; Cronk, Q. C. B. (2015). The transcriptional landscape of insect galls : psyllid ( Hemiptera ) gall formation in Hawa", "type" : "article-journal" }, "uris" : [ "http://www.mendeley.com/documents/?uuid=8c4efc4f-cb8e-49ad-b570-14471701fb19" ] } ], "mendeley" : { "formattedCitation" : "[57]", "plainTextFormattedCitation" : "[57]", "previouslyFormattedCitation" : "[56]" }, "properties" : { "noteIndex" : 0 }, "schema" : "https://github.com/citation-style-language/schema/raw/master/csl-citation.json" }</w:instrText>
      </w:r>
      <w:r>
        <w:rPr>
          <w:lang w:val="en-GB"/>
        </w:rPr>
        <w:fldChar w:fldCharType="separate"/>
      </w:r>
      <w:r>
        <w:rPr>
          <w:lang w:val="en-GB"/>
        </w:rPr>
        <w:t>[57]</w:t>
      </w:r>
      <w:r>
        <w:fldChar w:fldCharType="end"/>
      </w:r>
      <w:r>
        <w:rPr>
          <w:lang w:val="en-GB"/>
        </w:rPr>
        <w:t xml:space="preserve">. The researchers </w:t>
      </w:r>
      <w:r>
        <w:rPr>
          <w:i/>
          <w:lang w:val="en-GB"/>
        </w:rPr>
        <w:t xml:space="preserve">de novo </w:t>
      </w:r>
      <w:r>
        <w:rPr>
          <w:lang w:val="en-GB"/>
        </w:rPr>
        <w:t xml:space="preserve">assembled transcriptomes of each treatment and were able to separate plant and insect contigs </w:t>
      </w:r>
      <w:r>
        <w:rPr>
          <w:i/>
          <w:lang w:val="en-GB"/>
        </w:rPr>
        <w:t>in silico</w:t>
      </w:r>
      <w:r>
        <w:rPr>
          <w:lang w:val="en-GB"/>
        </w:rPr>
        <w:t xml:space="preserve">, although only the plant transcriptome was analysed further. The most notable observation was the significant enrichment of auxin-response genes associated with galling in this system. No auxin synthesis genes were observed leading to the hypothesis that the hormone was introduced exogenously. A number of studies have proposed this same hypothesis; however, the lack of suitable labelling experiments </w:t>
      </w:r>
      <w:r>
        <w:rPr>
          <w:highlight w:val="red"/>
          <w:lang w:val="en-GB"/>
        </w:rPr>
        <w:t>and appropriate omics data means</w:t>
      </w:r>
      <w:r>
        <w:rPr>
          <w:lang w:val="en-GB"/>
        </w:rPr>
        <w:t xml:space="preserve"> that distinguishing the source of the hormone has been difficult </w:t>
      </w:r>
      <w:r>
        <w:rPr>
          <w:lang w:val="en-GB"/>
        </w:rPr>
        <w:fldChar w:fldCharType="begin" w:fldLock="1"/>
      </w:r>
      <w:r>
        <w:rPr>
          <w:lang w:val="en-GB"/>
        </w:rPr>
        <w:instrText xml:space="preserve">ADDIN CSL_CITATION { "citationItems" : [ { "id" : "ITEM-1", "itemData" : { "DOI" : "10.1007/s10886-014-0457-6", "ISSN" : "15731561", "PMID" : "25027764", "author" : [ { "dropping-particle" : "", "family" : "Tooker", "given" : "John F.", "non-dropping-particle" : "", "parse-names" : false, "suffix" : "" }, { "dropping-particle" : "", "family" : "Helms", "given" : "Anjel M.", "non-dropping-particle" : "", "parse-names" : false, "suffix" : "" } ], "container-title" : "Journal of Chemical Ecology", "id" : "ITEM-1", "issue" : "7", "issued" : { "date-parts" : [ [ "2014" ] ] }, "page" : "742-753", "title" : "Phytohormone Dynamics Associated with Gall Insects, and their Potential Role in the Evolution of the Gall-Inducing Habit", "type" : "article-journal", "volume" : "40" }, "uris" : [ "http://www.mendeley.com/documents/?uuid=22c3ad32-5452-4b05-adea-9a39d8dd7a37" ] } ], "mendeley" : { "formattedCitation" : "[31]", "plainTextFormattedCitation" : "[31]", "previouslyFormattedCitation" : "[31]" }, "properties" : { "noteIndex" : 0 }, "schema" : "https://github.com/citation-style-language/schema/raw/master/csl-citation.json" }</w:instrText>
      </w:r>
      <w:r>
        <w:rPr>
          <w:lang w:val="en-GB"/>
        </w:rPr>
        <w:fldChar w:fldCharType="separate"/>
      </w:r>
      <w:r>
        <w:rPr>
          <w:lang w:val="en-GB"/>
        </w:rPr>
        <w:t>[31]</w:t>
      </w:r>
      <w:r>
        <w:fldChar w:fldCharType="end"/>
      </w:r>
      <w:r>
        <w:rPr>
          <w:lang w:val="en-GB"/>
        </w:rPr>
        <w:t>.</w:t>
      </w:r>
    </w:p>
    <w:p>
      <w:pPr>
        <w:pStyle w:val="35"/>
        <w:rPr>
          <w:lang w:val="en-GB"/>
        </w:rPr>
      </w:pPr>
      <w:r>
        <w:rPr>
          <w:lang w:val="en-GB"/>
        </w:rPr>
        <w:t xml:space="preserve">Metabolomic and transcriptomic approaches are commonly used to investigate changes in phytohormone concentrations as well as hormone synthesis and responsive genes during insect infestations. One example of this integrated approach was demonstrated by </w:t>
      </w:r>
      <w:r>
        <w:rPr>
          <w:lang w:val="en-GB"/>
        </w:rPr>
        <w:fldChar w:fldCharType="begin" w:fldLock="1"/>
      </w:r>
      <w:r>
        <w:rPr>
          <w:lang w:val="en-GB"/>
        </w:rPr>
        <w:instrText xml:space="preserve">ADDIN CSL_CITATION { "citationItems" : [ { "id" : "ITEM-1", "itemData" : { "DOI" : "10.1016/j.jinsphys.2015.06.003", "ISSN" : "0022-1910", "author" : [ { "dropping-particle" : "", "family" : "Hui", "given" : "Zhang", "non-dropping-particle" : "", "parse-names" : false, "suffix" : "" }, { "dropping-particle" : "De", "family" : "Bernonville", "given" : "Dug\u00e9", "non-dropping-particle" : "", "parse-names" : false, "suffix" : "" }, { "dropping-particle" : "", "family" : "M\u00e9lanie", "given" : "Body", "non-dropping-particle" : "", "parse-names" : false, "suffix" : "" }, { "dropping-particle" : "", "family" : "Ga\u00eblle", "given" : "Glevarec", "non-dropping-particle" : "", "parse-names" : false, "suffix" : "" }, { "dropping-particle" : "", "family" : "Michael", "given" : "Reichelt", "non-dropping-particle" : "", "parse-names" : false, "suffix" : "" }, { "dropping-particle" : "", "family" : "Sybille", "given" : "Unsicker", "non-dropping-particle" : "", "parse-names" : false, "suffix" : "" }, { "dropping-particle" : "", "family" : "Maryline", "given" : "Bruneau", "non-dropping-particle" : "", "parse-names" : false, "suffix" : "" }, { "dropping-particle" : "", "family" : "Jean-pierre", "given" : "Renou", "non-dropping-particle" : "", "parse-names" : false, "suffix" : "" }, { "dropping-particle" : "", "family" : "Elisabeth", "given" : "Huguet", "non-dropping-particle" : "", "parse-names" : false, "suffix" : "" }, { "dropping-particle" : "", "family" : "G\u00e9raldine", "given" : "Dubreuil", "non-dropping-particle" : "", "parse-names" : false, "suffix" : "" }, { "dropping-particle" : "", "family" : "David", "given" : "Giron", "non-dropping-particle" : "", "parse-names" : false, "suffix" : "" } ], "container-title" : "JOURNAL OF INSECT PHYSIOLOGY", "id" : "ITEM-1", "issued" : { "date-parts" : [ [ "2015" ] ] }, "publisher" : "Elsevier Ltd", "title" : "Leaf-mining by Phyllonorycter blancardella reprograms the host-leaf transcriptome to modulate phytohormones associated with nutrient mobilization and plant defense", "type" : "article-journal" }, "uris" : [ "http://www.mendeley.com/documents/?uuid=a3687fd8-5f7d-4040-ac75-5843d3d0ef09" ] } ], "mendeley" : { "formattedCitation" : "[58]", "manualFormatting" : "Hui et al. (2015)", "plainTextFormattedCitation" : "[58]", "previouslyFormattedCitation" : "[57]" }, "properties" : { "noteIndex" : 0 }, "schema" : "https://github.com/citation-style-language/schema/raw/master/csl-citation.json" }</w:instrText>
      </w:r>
      <w:r>
        <w:rPr>
          <w:lang w:val="en-GB"/>
        </w:rPr>
        <w:fldChar w:fldCharType="separate"/>
      </w:r>
      <w:r>
        <w:rPr>
          <w:lang w:val="en-GB"/>
        </w:rPr>
        <w:t>Hui et al. (2015)</w:t>
      </w:r>
      <w:r>
        <w:fldChar w:fldCharType="end"/>
      </w:r>
      <w:r>
        <w:rPr>
          <w:lang w:val="en-GB"/>
        </w:rPr>
        <w:t>. The authors examined phytohormone dynamics during the interaction between apple (</w:t>
      </w:r>
      <w:r>
        <w:rPr>
          <w:i/>
          <w:lang w:val="en-GB"/>
        </w:rPr>
        <w:t>Malus domestica</w:t>
      </w:r>
      <w:r>
        <w:rPr>
          <w:lang w:val="en-GB"/>
        </w:rPr>
        <w:t xml:space="preserve">) and a leaf-mining lepidopteran, </w:t>
      </w:r>
      <w:r>
        <w:rPr>
          <w:i/>
          <w:lang w:val="en-GB"/>
        </w:rPr>
        <w:t xml:space="preserve">Phyllonorycter blancardella </w:t>
      </w:r>
      <w:r>
        <w:rPr>
          <w:lang w:val="en-GB"/>
        </w:rPr>
        <w:t xml:space="preserve">(Lepidoptera: Gracillariidae) using liquid chromatography coupled to tandem mass spectrometry (LC-MS-MS) and microarray expression profiling. Mined tissue was associated with increased concentrations of cytokinin, jasmonic acid and salicylic acid, and a decrease of abscisic acid. Interestingly, host genes involved in cytokinin activation were significantly down-regulated whilst genes involved in cytokinin interconversion and degradation were significantly up-regulated suggesting that cytokinin levels should have decreased. This result suggested that </w:t>
      </w:r>
      <w:r>
        <w:rPr>
          <w:i/>
          <w:lang w:val="en-GB"/>
        </w:rPr>
        <w:t xml:space="preserve">P. blancardella </w:t>
      </w:r>
      <w:r>
        <w:rPr>
          <w:lang w:val="en-GB"/>
        </w:rPr>
        <w:t>was the source of the cytokinin.</w:t>
      </w:r>
    </w:p>
    <w:p>
      <w:pPr>
        <w:pStyle w:val="35"/>
        <w:rPr>
          <w:lang w:val="en-GB"/>
        </w:rPr>
      </w:pPr>
      <w:r>
        <w:rPr>
          <w:lang w:val="en-GB"/>
        </w:rPr>
        <w:t xml:space="preserve">One of the most interesting recent advances in the role of phytohormones in galling was provided by </w:t>
      </w:r>
      <w:r>
        <w:rPr>
          <w:lang w:val="en-GB"/>
        </w:rPr>
        <w:fldChar w:fldCharType="begin" w:fldLock="1"/>
      </w:r>
      <w:r>
        <w:rPr>
          <w:lang w:val="en-GB"/>
        </w:rPr>
        <w:instrText xml:space="preserve">ADDIN CSL_CITATION { "citationItems" : [ { "id" : "ITEM-1", "itemData" : { "DOI" : "10.1111/j.1469-8137.2012.04264.x", "ISBN" : "1469-8137", "ISSN" : "0028646X", "PMID" : "22913630", "abstract" : "* A variety of insect species induce galls on host plants. Several studies have implicated phytohormones in insect-induced gall formation. However, it has not been determined whether insects can synthesize phytohormones. It has also never been established that phytohormones function in gall tissues. * Liquid chromatography and tandem mass spectrometry (LC/MS/MS) were used to analyse concentrations of endogenous cytokinins and the active auxin IAA in the gall-inducing sawfly (Pontania sp.) and its host plant, Salix japonica. Feeding experiments demonstrated the ability of sawfly larvae to synthesize IAA from tryptophan. Gene expression analysis was used to characterize hormonal signalling in galls. * Sawfly larvae contain high concentrations of IAA and t-zeatin, and produce IAA from tryptophan. The glands of adult sawflies, the contents of which are injected into leaves upon oviposition and are involved in the initial stages of gall formation, contain an extraordinarily high concentration of t-zeatin riboside. Transcript levels of some auxin- and cytokinin-responsive genes are significantly higher in gall tissue than in leaves. * The abnormally high concentration of t-zeatin riboside in the glands strongly suggests that the sawfly can synthesize cytokinins as well as IAA. Gene expression profiles indicate high levels of auxin and cytokinin activities in growing galls.", "author" : [ { "dropping-particle" : "", "family" : "Yamaguchi", "given" : "Hiroki", "non-dropping-particle" : "", "parse-names" : false, "suffix" : "" }, { "dropping-particle" : "", "family" : "Tanaka", "given" : "Hiroki", "non-dropping-particle" : "", "parse-names" : false, "suffix" : "" }, { "dropping-particle" : "", "family" : "Hasegawa", "given" : "Morifumi", "non-dropping-particle" : "", "parse-names" : false, "suffix" : "" }, { "dropping-particle" : "", "family" : "Tokuda", "given" : "Makoto", "non-dropping-particle" : "", "parse-names" : false, "suffix" : "" }, { "dropping-particle" : "", "family" : "Asami", "given" : "Tadao", "non-dropping-particle" : "", "parse-names" : false, "suffix" : "" }, { "dropping-particle" : "", "family" : "Suzuki", "given" : "Yoshihito", "non-dropping-particle" : "", "parse-names" : false, "suffix" : "" } ], "container-title" : "New Phytologist", "id" : "ITEM-1", "issue" : "2", "issued" : { "date-parts" : [ [ "2012" ] ] }, "page" : "586-595", "title" : "Phytohormones and willow gall induction by a gall-inducing sawfly", "type" : "article-journal", "volume" : "196" }, "uris" : [ "http://www.mendeley.com/documents/?uuid=e336551b-88fc-45dc-a41b-2182336c6028" ] } ], "mendeley" : { "formattedCitation" : "[59]", "manualFormatting" : "Yamaguchi et al. (2012)", "plainTextFormattedCitation" : "[59]", "previouslyFormattedCitation" : "[58]" }, "properties" : { "noteIndex" : 0 }, "schema" : "https://github.com/citation-style-language/schema/raw/master/csl-citation.json" }</w:instrText>
      </w:r>
      <w:r>
        <w:rPr>
          <w:lang w:val="en-GB"/>
        </w:rPr>
        <w:fldChar w:fldCharType="separate"/>
      </w:r>
      <w:r>
        <w:rPr>
          <w:lang w:val="en-GB"/>
        </w:rPr>
        <w:t>Yamaguchi et al. (2012)</w:t>
      </w:r>
      <w:r>
        <w:fldChar w:fldCharType="end"/>
      </w:r>
      <w:r>
        <w:rPr>
          <w:lang w:val="en-GB"/>
        </w:rPr>
        <w:t>. The authors investigated the interaction between the gall-inducing sawfly (</w:t>
      </w:r>
      <w:r>
        <w:rPr>
          <w:i/>
          <w:lang w:val="en-GB"/>
        </w:rPr>
        <w:t xml:space="preserve">Pontania </w:t>
      </w:r>
      <w:r>
        <w:rPr>
          <w:lang w:val="en-GB"/>
        </w:rPr>
        <w:t xml:space="preserve">spp.) and its host plant </w:t>
      </w:r>
      <w:r>
        <w:rPr>
          <w:i/>
          <w:lang w:val="en-GB"/>
        </w:rPr>
        <w:t xml:space="preserve">Salix japonica. </w:t>
      </w:r>
      <w:r>
        <w:rPr>
          <w:lang w:val="en-GB"/>
        </w:rPr>
        <w:t xml:space="preserve">Using a combination of LC-MS-MS to quantify hormone levels, feeding experiments, salivary glands and RT-qPCR to investigate signalling pathways within the host, the researchers demonstrated for the first time the ability of a galling insect to synthesise indole acetic acid (IAA) from tryptophan. The presence of high concentrations of </w:t>
      </w:r>
      <w:r>
        <w:rPr>
          <w:i/>
          <w:highlight w:val="red"/>
          <w:lang w:val="en-GB"/>
        </w:rPr>
        <w:t>t</w:t>
      </w:r>
      <w:r>
        <w:rPr>
          <w:highlight w:val="red"/>
          <w:lang w:val="en-GB"/>
        </w:rPr>
        <w:t xml:space="preserve">-zeatin riboside (the active precursor of </w:t>
      </w:r>
      <w:r>
        <w:rPr>
          <w:i/>
          <w:highlight w:val="red"/>
          <w:lang w:val="en-GB"/>
        </w:rPr>
        <w:t>t</w:t>
      </w:r>
      <w:r>
        <w:rPr>
          <w:highlight w:val="red"/>
          <w:lang w:val="en-GB"/>
        </w:rPr>
        <w:t>-zeatin)</w:t>
      </w:r>
      <w:r>
        <w:rPr>
          <w:lang w:val="en-GB"/>
        </w:rPr>
        <w:t xml:space="preserve"> in the salivary glands is strong evidence that the insect is also able to synthesise cytokinin. </w:t>
      </w:r>
    </w:p>
    <w:p>
      <w:pPr>
        <w:pStyle w:val="35"/>
        <w:rPr>
          <w:lang w:val="en-GB"/>
        </w:rPr>
      </w:pPr>
      <w:r>
        <w:rPr>
          <w:lang w:val="en-GB"/>
        </w:rPr>
        <w:t xml:space="preserve">Despite there being extensive and compelling evidence associating phytohormones, particularly auxins and cytokinins, with gall initiation and development, there is a lack of information regarding the molecular mechanisms involved. Significant cross-talk is known to occur between different hormone signalling pathways which allows for modulation of plant </w:t>
      </w:r>
      <w:r>
        <w:rPr>
          <w:highlight w:val="red"/>
          <w:lang w:val="en-GB"/>
        </w:rPr>
        <w:t>developmental and defence</w:t>
      </w:r>
      <w:r>
        <w:rPr>
          <w:lang w:val="en-GB"/>
        </w:rPr>
        <w:t xml:space="preserve"> responses. It will be interesting for future studies to investigate how induced changes in hormone concentrations lead to gall formation, especially in conjunction with insect-secreted effectors. A deeper understanding of the pathways modified by these signalling components should provide a relatively comprehensive, mechanistic understanding of the interaction.</w:t>
      </w:r>
    </w:p>
    <w:p>
      <w:pPr>
        <w:pStyle w:val="150"/>
        <w:rPr>
          <w:lang w:val="en-GB"/>
        </w:rPr>
      </w:pPr>
      <w:r>
        <w:rPr>
          <w:lang w:val="en-GB"/>
        </w:rPr>
        <w:t>4. Plant Defence Responses Against Galling Insects</w:t>
      </w:r>
    </w:p>
    <w:p>
      <w:pPr>
        <w:pStyle w:val="35"/>
        <w:rPr>
          <w:lang w:val="en-GB"/>
        </w:rPr>
      </w:pPr>
      <w:r>
        <w:rPr>
          <w:lang w:val="en-GB"/>
        </w:rPr>
        <w:t xml:space="preserve">In order to fully comprehend how an insect is able to induce a gall on its host, it is also important to understand how the plant responds during infestation. A great deal of omics data has been generated by researchers investigating plant development as well as responses to biotic and abiotic stresses. One of the primary goals of current researchers is to generate a comprehensive model of the plant system through integration of data </w:t>
      </w:r>
      <w:r>
        <w:rPr>
          <w:lang w:val="en-GB"/>
        </w:rPr>
        <w:fldChar w:fldCharType="begin" w:fldLock="1"/>
      </w:r>
      <w:r>
        <w:rPr>
          <w:lang w:val="en-GB"/>
        </w:rPr>
        <w:instrText xml:space="preserve">ADDIN CSL_CITATION { "citationItems" : [ { "id" : "ITEM-1", "itemData" : { "DOI" : "10.1007/s00425-014-2059-5", "author" : [ { "dropping-particle" : "", "family" : "Sheth", "given" : "Bhavisha P", "non-dropping-particle" : "", "parse-names" : false, "suffix" : "" }, { "dropping-particle" : "", "family" : "Thaker", "given" : "Vrinda S", "non-dropping-particle" : "", "parse-names" : false, "suffix" : "" } ], "id" : "ITEM-1", "issued" : { "date-parts" : [ [ "2014" ] ] }, "page" : "33-54", "title" : "Plant systems biology : insights , advances and challenges", "type" : "article-journal" }, "uris" : [ "http://www.mendeley.com/documents/?uuid=ca6132e5-8dc3-467e-b589-b13cab1c5c61" ] }, { "id" : "ITEM-2", "itemData" : { "DOI" : "10.1146/annurev-phyto-102313-050103", "ISSN" : "0066-4286", "PMID" : "24821185", "abstract" : "Deciphering the networks that underpin complex biological processes using experimental data remains a significant, but promising, challenge, a task made all the harder by the added complexity of host-pathogen interactions. The aim of this article is to review the progress in understanding plant immunity made so far by applying network modeling algorithms and to show how this computational/mathematical strategy is facilitating a systems view of plant defense. We review the different types of network modeling that have been used, the data required, and the type of insight that such modeling can provide. We discuss the current challenges in modeling the regulatory networks that underlie plant defense and the future developments that may help address these challenges. Expected final online publication date for the Annual Review of Phytopathology Volume 52 is August 04, 2014. Please see http://www.annualreviews.org/catalog/pubdates.aspx for revised estimates.", "author" : [ { "dropping-particle" : "", "family" : "Windram", "given" : "Oliver", "non-dropping-particle" : "", "parse-names" : false, "suffix" : "" }, { "dropping-particle" : "", "family" : "Penfold", "given" : "Christopher a", "non-dropping-particle" : "", "parse-names" : false, "suffix" : "" }, { "dropping-particle" : "", "family" : "Denby", "given" : "Katherine J", "non-dropping-particle" : "", "parse-names" : false, "suffix" : "" } ], "container-title" : "Annual review of phytopathology", "id" : "ITEM-2", "issue" : "April", "issued" : { "date-parts" : [ [ "2014", "5", "5" ] ] }, "page" : "1-20", "title" : "Network Modeling to Understand Plant Immunity.", "type" : "article-journal" }, "uris" : [ "http://www.mendeley.com/documents/?uuid=773d252f-6e59-44db-965b-6c890293d6eb" ] } ], "mendeley" : { "formattedCitation" : "[7,60]", "plainTextFormattedCitation" : "[7,60]", "previouslyFormattedCitation" : "[7,59]" }, "properties" : { "noteIndex" : 0 }, "schema" : "https://github.com/citation-style-language/schema/raw/master/csl-citation.json" }</w:instrText>
      </w:r>
      <w:r>
        <w:rPr>
          <w:lang w:val="en-GB"/>
        </w:rPr>
        <w:fldChar w:fldCharType="separate"/>
      </w:r>
      <w:r>
        <w:rPr>
          <w:lang w:val="en-GB"/>
        </w:rPr>
        <w:t>[7,60]</w:t>
      </w:r>
      <w:r>
        <w:fldChar w:fldCharType="end"/>
      </w:r>
      <w:r>
        <w:rPr>
          <w:lang w:val="en-GB"/>
        </w:rPr>
        <w:t xml:space="preserve">. One recent example of this approach is provided by </w:t>
      </w:r>
      <w:r>
        <w:rPr>
          <w:lang w:val="en-GB"/>
        </w:rPr>
        <w:fldChar w:fldCharType="begin" w:fldLock="1"/>
      </w:r>
      <w:r>
        <w:rPr>
          <w:lang w:val="en-GB"/>
        </w:rPr>
        <w:instrText xml:space="preserve">ADDIN CSL_CITATION { "citationItems" : [ { "id" : "ITEM-1", "itemData" : { "DOI" : "10.1104/pp.114.254292", "ISSN" : "0032-0889", "author" : [ { "dropping-particle" : "", "family" : "Dong", "given" : "Xiaobao", "non-dropping-particle" : "", "parse-names" : false, "suffix" : "" }, { "dropping-particle" : "", "family" : "Jiang", "given" : "Zhenhong", "non-dropping-particle" : "", "parse-names" : false, "suffix" : "" }, { "dropping-particle" : "", "family" : "Peng", "given" : "You-Liang", "non-dropping-particle" : "", "parse-names" : false, "suffix" : "" }, { "dropping-particle" : "", "family" : "Zhang", "given" : "Ziding", "non-dropping-particle" : "", "parse-names" : false, "suffix" : "" } ], "container-title" : "Plant Physiology", "id" : "ITEM-1", "issued" : { "date-parts" : [ [ "2015" ] ] }, "page" : "pp.114.254292", "title" : "Revealing Shared and Distinct Gene Network Organization in Arabidopsis Immune Responses by Integrative Analysis", "type" : "article-journal" }, "uris" : [ "http://www.mendeley.com/documents/?uuid=24a217cf-f109-419e-afba-87b7ed017703" ] } ], "mendeley" : { "formattedCitation" : "[56]", "manualFormatting" : "Dong et al. (2015)", "plainTextFormattedCitation" : "[56]", "previouslyFormattedCitation" : "[55]" }, "properties" : { "noteIndex" : 0 }, "schema" : "https://github.com/citation-style-language/schema/raw/master/csl-citation.json" }</w:instrText>
      </w:r>
      <w:r>
        <w:rPr>
          <w:lang w:val="en-GB"/>
        </w:rPr>
        <w:fldChar w:fldCharType="separate"/>
      </w:r>
      <w:r>
        <w:rPr>
          <w:lang w:val="en-GB"/>
        </w:rPr>
        <w:t>Dong et al. (2015)</w:t>
      </w:r>
      <w:r>
        <w:fldChar w:fldCharType="end"/>
      </w:r>
      <w:r>
        <w:rPr>
          <w:lang w:val="en-GB"/>
        </w:rPr>
        <w:t xml:space="preserve"> who integrated heterogeneous omics data to investigate the crosstalk between different branches of the </w:t>
      </w:r>
      <w:r>
        <w:rPr>
          <w:i/>
          <w:lang w:val="en-GB"/>
        </w:rPr>
        <w:t>A. thaliana</w:t>
      </w:r>
      <w:r>
        <w:rPr>
          <w:lang w:val="en-GB"/>
        </w:rPr>
        <w:t xml:space="preserve"> immune system. As our understanding of the core regulatory network of plant defence improves, it will enable researchers to better understand how the host and pest interact with each other as well as how these signals are processed within each organism.</w:t>
      </w:r>
    </w:p>
    <w:p>
      <w:pPr>
        <w:pStyle w:val="35"/>
        <w:rPr>
          <w:lang w:val="en-GB"/>
        </w:rPr>
      </w:pPr>
      <w:r>
        <w:rPr>
          <w:lang w:val="en-GB"/>
        </w:rPr>
        <w:t xml:space="preserve">Once a pest is recognised by its host, the information is transmitted and interpreted by signalling machinery and a coherent and coordinated response is launched. Plant defences form a robust system which is an important property that would allow the plant to overcome pathogen or pest manipulation and elicit downstream defences </w:t>
      </w:r>
      <w:r>
        <w:rPr>
          <w:lang w:val="en-GB"/>
        </w:rPr>
        <w:fldChar w:fldCharType="begin" w:fldLock="1"/>
      </w:r>
      <w:r>
        <w:rPr>
          <w:lang w:val="en-GB"/>
        </w:rPr>
        <w:instrText xml:space="preserve">ADDIN CSL_CITATION { "citationItems" : [ { "id" : "ITEM-1", "itemData" : { "DOI" : "10.1104/pp.114.254292", "ISSN" : "0032-0889", "author" : [ { "dropping-particle" : "", "family" : "Dong", "given" : "Xiaobao", "non-dropping-particle" : "", "parse-names" : false, "suffix" : "" }, { "dropping-particle" : "", "family" : "Jiang", "given" : "Zhenhong", "non-dropping-particle" : "", "parse-names" : false, "suffix" : "" }, { "dropping-particle" : "", "family" : "Peng", "given" : "You-Liang", "non-dropping-particle" : "", "parse-names" : false, "suffix" : "" }, { "dropping-particle" : "", "family" : "Zhang", "given" : "Ziding", "non-dropping-particle" : "", "parse-names" : false, "suffix" : "" } ], "container-title" : "Plant Physiology", "id" : "ITEM-1", "issued" : { "date-parts" : [ [ "2015" ] ] }, "page" : "pp.114.254292", "title" : "Revealing Shared and Distinct Gene Network Organization in Arabidopsis Immune Responses by Integrative Analysis", "type" : "article-journal" }, "uris" : [ "http://www.mendeley.com/documents/?uuid=24a217cf-f109-419e-afba-87b7ed017703" ] } ], "mendeley" : { "formattedCitation" : "[56]", "plainTextFormattedCitation" : "[56]", "previouslyFormattedCitation" : "[55]" }, "properties" : { "noteIndex" : 0 }, "schema" : "https://github.com/citation-style-language/schema/raw/master/csl-citation.json" }</w:instrText>
      </w:r>
      <w:r>
        <w:rPr>
          <w:lang w:val="en-GB"/>
        </w:rPr>
        <w:fldChar w:fldCharType="separate"/>
      </w:r>
      <w:r>
        <w:rPr>
          <w:lang w:val="en-GB"/>
        </w:rPr>
        <w:t>[56]</w:t>
      </w:r>
      <w:r>
        <w:fldChar w:fldCharType="end"/>
      </w:r>
      <w:r>
        <w:rPr>
          <w:lang w:val="en-GB"/>
        </w:rPr>
        <w:t xml:space="preserve">. These defences may be broadly divided into direct and indirect responses </w:t>
      </w:r>
      <w:r>
        <w:rPr>
          <w:lang w:val="en-GB"/>
        </w:rPr>
        <w:fldChar w:fldCharType="begin" w:fldLock="1"/>
      </w:r>
      <w:r>
        <w:rPr>
          <w:lang w:val="en-GB"/>
        </w:rPr>
        <w:instrText xml:space="preserve">ADDIN CSL_CITATION { "citationItems" : [ { "id" : "ITEM-1", "itemData" : { "DOI" : "10.3390/ijms140510242", "ISBN" : "4535333300", "ISSN" : "16616596", "PMID" : "23681010", "abstract" : "Plants have been interacting with insects for several hundred million years, leading to complex defense approaches against various insect feeding strategies. Some defenses are constitutive while others are induced, although the insecticidal defense compound or protein classes are often similar. Insect herbivory induce several internal signals from the wounded tissues, including calcium ion fluxes, phosphorylation cascades and systemic- and jasmonate signaling. These are perceived in undamaged tissues, which thereafter reinforce their defense by producing different, mostly low molecular weight, defense compounds. These bioactive specialized plant defense compounds may repel or intoxicate insects, while defense proteins often interfere with their digestion. Volatiles are released upon herbivory to repel herbivores, attract predators or for communication between leaves or plants, and to induce defense responses. Plants also apply morphological features like waxes, trichomes and latices to make the feeding more difficult for the insects. Extrafloral nectar, food bodies and nesting or refuge sites are produced to accommodate and feed the predators of the herbivores. Meanwhile, herbivorous insects have adapted to resist plant defenses, and in some cases even sequester the compounds and reuse them in their own defense. Both plant defense and insect adaptation involve metabolic costs, so most plant-insect interactions reach a stand-off, where both host and herbivore survive although their development is suboptimal.", "author" : [ { "dropping-particle" : "", "family" : "F\u00fcrstenberg-H\u00e4gg", "given" : "Joel", "non-dropping-particle" : "", "parse-names" : false, "suffix" : "" }, { "dropping-particle" : "", "family" : "Zagrobelny", "given" : "Mika", "non-dropping-particle" : "", "parse-names" : false, "suffix" : "" }, { "dropping-particle" : "", "family" : "Bak", "given" : "S\u00f8ren", "non-dropping-particle" : "", "parse-names" : false, "suffix" : "" } ], "container-title" : "International Journal of Molecular Sciences", "id" : "ITEM-1", "issue" : "5", "issued" : { "date-parts" : [ [ "2013" ] ] }, "number-of-pages" : "10242-10297", "title" : "Plant defense against insect herbivores", "type" : "book", "volume" : "14" }, "uris" : [ "http://www.mendeley.com/documents/?uuid=232c9842-1ab7-431f-9a63-223ca2b0ef8b" ] } ], "mendeley" : { "formattedCitation" : "[61]", "plainTextFormattedCitation" : "[61]", "previouslyFormattedCitation" : "[60]" }, "properties" : { "noteIndex" : 0 }, "schema" : "https://github.com/citation-style-language/schema/raw/master/csl-citation.json" }</w:instrText>
      </w:r>
      <w:r>
        <w:rPr>
          <w:lang w:val="en-GB"/>
        </w:rPr>
        <w:fldChar w:fldCharType="separate"/>
      </w:r>
      <w:r>
        <w:rPr>
          <w:lang w:val="en-GB"/>
        </w:rPr>
        <w:t>[61]</w:t>
      </w:r>
      <w:r>
        <w:fldChar w:fldCharType="end"/>
      </w:r>
      <w:r>
        <w:rPr>
          <w:lang w:val="en-GB"/>
        </w:rPr>
        <w:t xml:space="preserve">. Induced direct defences involves the synthesis of toxic proteins or secondary metabolites that directly affect the pest whilst indirect defences involves the release of volatile components that provide a chemical cue to predators and parasitoids of the pest </w:t>
      </w:r>
      <w:r>
        <w:rPr>
          <w:lang w:val="en-GB"/>
        </w:rPr>
        <w:fldChar w:fldCharType="begin" w:fldLock="1"/>
      </w:r>
      <w:r>
        <w:rPr>
          <w:lang w:val="en-GB"/>
        </w:rPr>
        <w:instrText xml:space="preserve">ADDIN CSL_CITATION { "citationItems" : [ { "id" : "ITEM-1", "itemData" : { "DOI" : "10.3390/ijms140510242", "ISBN" : "4535333300", "ISSN" : "16616596", "PMID" : "23681010", "abstract" : "Plants have been interacting with insects for several hundred million years, leading to complex defense approaches against various insect feeding strategies. Some defenses are constitutive while others are induced, although the insecticidal defense compound or protein classes are often similar. Insect herbivory induce several internal signals from the wounded tissues, including calcium ion fluxes, phosphorylation cascades and systemic- and jasmonate signaling. These are perceived in undamaged tissues, which thereafter reinforce their defense by producing different, mostly low molecular weight, defense compounds. These bioactive specialized plant defense compounds may repel or intoxicate insects, while defense proteins often interfere with their digestion. Volatiles are released upon herbivory to repel herbivores, attract predators or for communication between leaves or plants, and to induce defense responses. Plants also apply morphological features like waxes, trichomes and latices to make the feeding more difficult for the insects. Extrafloral nectar, food bodies and nesting or refuge sites are produced to accommodate and feed the predators of the herbivores. Meanwhile, herbivorous insects have adapted to resist plant defenses, and in some cases even sequester the compounds and reuse them in their own defense. Both plant defense and insect adaptation involve metabolic costs, so most plant-insect interactions reach a stand-off, where both host and herbivore survive although their development is suboptimal.", "author" : [ { "dropping-particle" : "", "family" : "F\u00fcrstenberg-H\u00e4gg", "given" : "Joel", "non-dropping-particle" : "", "parse-names" : false, "suffix" : "" }, { "dropping-particle" : "", "family" : "Zagrobelny", "given" : "Mika", "non-dropping-particle" : "", "parse-names" : false, "suffix" : "" }, { "dropping-particle" : "", "family" : "Bak", "given" : "S\u00f8ren", "non-dropping-particle" : "", "parse-names" : false, "suffix" : "" } ], "container-title" : "International Journal of Molecular Sciences", "id" : "ITEM-1", "issue" : "5", "issued" : { "date-parts" : [ [ "2013" ] ] }, "number-of-pages" : "10242-10297", "title" : "Plant defense against insect herbivores", "type" : "book", "volume" : "14" }, "uris" : [ "http://www.mendeley.com/documents/?uuid=232c9842-1ab7-431f-9a63-223ca2b0ef8b" ] }, { "id" : "ITEM-2", "itemData" : { "DOI" : "10.1016/j.pbi.2009.04.001", "ISBN" : "1369-5266", "ISSN" : "13695266", "PMID" : "19467919", "abstract" : "Herbivore damage to leaves and other vegetative tissues often stimulates the emission of volatile compounds, suggesting that these substances have a role in plant defense. In fact, ample evidence has accumulated in the last few years indicating that volatiles from vegetative plant parts can directly repel herbivores, such as ovipositing butterflies and host-seeking aphids. Volatiles have also been demonstrated to protect plants by attracting herbivore enemies, such as parasitic wasps, predatory arthropods and possibly even insectivorous birds. Even below ground herbivory results in the release of volatiles that attract herbivore enemies. However, plant volatiles are also known to attract enemies of plants. Hence, to determine the true value of these substances in defense, more research is needed especially in natural communities with non-agricultural species. \u00a9 2009 Elsevier Ltd. All rights reserved.", "author" : [ { "dropping-particle" : "", "family" : "Unsicker", "given" : "Sybille B.", "non-dropping-particle" : "", "parse-names" : false, "suffix" : "" }, { "dropping-particle" : "", "family" : "Kunert", "given" : "Grit", "non-dropping-particle" : "", "parse-names" : false, "suffix" : "" }, { "dropping-particle" : "", "family" : "Gershenzon", "given" : "Jonathan", "non-dropping-particle" : "", "parse-names" : false, "suffix" : "" } ], "container-title" : "Current Opinion in Plant Biology", "id" : "ITEM-2", "issue" : "4", "issued" : { "date-parts" : [ [ "2009" ] ] }, "page" : "479-485", "title" : "Protective perfumes: the role of vegetative volatiles in plant defense against herbivores", "type" : "article-journal", "volume" : "12" }, "uris" : [ "http://www.mendeley.com/documents/?uuid=8b2a3d1a-a43e-4827-acbf-a7f65b7025d3" ] } ], "mendeley" : { "formattedCitation" : "[61,62]", "plainTextFormattedCitation" : "[61,62]", "previouslyFormattedCitation" : "[60,61]" }, "properties" : { "noteIndex" : 0 }, "schema" : "https://github.com/citation-style-language/schema/raw/master/csl-citation.json" }</w:instrText>
      </w:r>
      <w:r>
        <w:rPr>
          <w:lang w:val="en-GB"/>
        </w:rPr>
        <w:fldChar w:fldCharType="separate"/>
      </w:r>
      <w:r>
        <w:rPr>
          <w:lang w:val="en-GB"/>
        </w:rPr>
        <w:t>[61,62]</w:t>
      </w:r>
      <w:r>
        <w:fldChar w:fldCharType="end"/>
      </w:r>
      <w:r>
        <w:rPr>
          <w:lang w:val="en-GB"/>
        </w:rPr>
        <w:t>. Both pathways have been shown to be important elements in plant-galling insect interactions.</w:t>
      </w:r>
    </w:p>
    <w:p>
      <w:pPr>
        <w:pStyle w:val="151"/>
      </w:pPr>
      <w:r>
        <w:t>4.1. Direct Defences</w:t>
      </w:r>
    </w:p>
    <w:p>
      <w:pPr>
        <w:pStyle w:val="35"/>
      </w:pPr>
      <w:r>
        <w:t xml:space="preserve">The production of defence-associated proteins is an important inducible response in plant resistance against insect herbivores. These proteins promote resistance through anti-feedant activity, either reducing nutrient quality or blocking nutrient uptake, in the insect digestive system </w:t>
      </w:r>
      <w:r>
        <w:fldChar w:fldCharType="begin" w:fldLock="1"/>
      </w:r>
      <w:r>
        <w:instrText xml:space="preserve">ADDIN CSL_CITATION { "citationItems" : [ { "id" : "ITEM-1", "itemData" : { "DOI" : "10.3390/ijms140510242", "ISBN" : "4535333300", "ISSN" : "16616596", "PMID" : "23681010", "abstract" : "Plants have been interacting with insects for several hundred million years, leading to complex defense approaches against various insect feeding strategies. Some defenses are constitutive while others are induced, although the insecticidal defense compound or protein classes are often similar. Insect herbivory induce several internal signals from the wounded tissues, including calcium ion fluxes, phosphorylation cascades and systemic- and jasmonate signaling. These are perceived in undamaged tissues, which thereafter reinforce their defense by producing different, mostly low molecular weight, defense compounds. These bioactive specialized plant defense compounds may repel or intoxicate insects, while defense proteins often interfere with their digestion. Volatiles are released upon herbivory to repel herbivores, attract predators or for communication between leaves or plants, and to induce defense responses. Plants also apply morphological features like waxes, trichomes and latices to make the feeding more difficult for the insects. Extrafloral nectar, food bodies and nesting or refuge sites are produced to accommodate and feed the predators of the herbivores. Meanwhile, herbivorous insects have adapted to resist plant defenses, and in some cases even sequester the compounds and reuse them in their own defense. Both plant defense and insect adaptation involve metabolic costs, so most plant-insect interactions reach a stand-off, where both host and herbivore survive although their development is suboptimal.", "author" : [ { "dropping-particle" : "", "family" : "F\u00fcrstenberg-H\u00e4gg", "given" : "Joel", "non-dropping-particle" : "", "parse-names" : false, "suffix" : "" }, { "dropping-particle" : "", "family" : "Zagrobelny", "given" : "Mika", "non-dropping-particle" : "", "parse-names" : false, "suffix" : "" }, { "dropping-particle" : "", "family" : "Bak", "given" : "S\u00f8ren", "non-dropping-particle" : "", "parse-names" : false, "suffix" : "" } ], "container-title" : "International Journal of Molecular Sciences", "id" : "ITEM-1", "issue" : "5", "issued" : { "date-parts" : [ [ "2013" ] ] }, "number-of-pages" : "10242-10297", "title" : "Plant defense against insect herbivores", "type" : "book", "volume" : "14" }, "uris" : [ "http://www.mendeley.com/documents/?uuid=232c9842-1ab7-431f-9a63-223ca2b0ef8b" ] }, { "id" : "ITEM-2", "itemData" : { "DOI" : "10.1186/1471-2164-13-242", "ISSN" : "1471-2164", "PMID" : "22702658", "abstract" : "BACKGROUND: Plants can defend themselves against herbivorous insects prior to the onset of larval feeding by responding to the eggs laid on their leaves. In the European field elm (Ulmus minor), egg laying by the elm leaf beetle ( Xanthogaleruca luteola) activates the emission of volatiles that attract specialised egg parasitoids, which in turn kill the eggs. Little is known about the transcriptional changes that insect eggs trigger in plants and how such indirect defense mechanisms are orchestrated in the context of other biological processes.\\n\\nRESULTS: Here we present the first large scale study of egg-induced changes in the transcriptional profile of a tree. Five cDNA libraries were generated from leaves of (i) untreated control elms, and elms treated with (ii) egg laying and feeding by elm leaf beetles, (iii) feeding, (iv) artificial transfer of egg clutches, and (v) methyl jasmonate. A total of 361,196 ESTs expressed sequence tags (ESTs) were identified which clustered into 52,823 unique transcripts (Unitrans) and were stored in a database with a public web interface. Among the analyzed Unitrans, 73% could be annotated by homology to known genes in the UniProt (Plant) database, particularly to those from Vitis, Ricinus, Populus and Arabidopsis. Comparative in silico analysis among the different treatments revealed differences in Gene Ontology term abundances. Defense- and stress-related gene transcripts were present in high abundance in leaves after herbivore egg laying, but transcripts involved in photosynthesis showed decreased abundance. Many pathogen-related genes and genes involved in phytohormone signaling were expressed, indicative of jasmonic acid biosynthesis and activation of jasmonic acid responsive genes. Cross-comparisons between different libraries based on expression profiles allowed the identification of genes with a potential relevance in egg-induced defenses, as well as other biological processes, including signal transduction, transport and primary metabolism.\\n\\nCONCLUSION: Here we present a dataset for a large-scale study of the mechanisms of plant defense against insect eggs in a co-evolved, natural ecological plant-insect system. The EST database analysis provided here is a first step in elucidating the transcriptional responses of elm to elm leaf beetle infestation, and adds further to our knowledge on insect egg-induced transcriptomic changes in plants. The sequences identified in our comparative analysis give many hints \u2026", "author" : [ { "dropping-particle" : "", "family" : "B\u00fcchel", "given" : "Kerstin", "non-dropping-particle" : "", "parse-names" : false, "suffix" : "" }, { "dropping-particle" : "", "family" : "McDowell", "given" : "Eric", "non-dropping-particle" : "", "parse-names" : false, "suffix" : "" }, { "dropping-particle" : "", "family" : "Nelson", "given" : "Will", "non-dropping-particle" : "", "parse-names" : false, "suffix" : "" }, { "dropping-particle" : "", "family" : "Descour", "given" : "Anne", "non-dropping-particle" : "", "parse-names" : false, "suffix" : "" }, { "dropping-particle" : "", "family" : "Gershenzon", "given" : "Jonathan", "non-dropping-particle" : "", "parse-names" : false, "suffix" : "" }, { "dropping-particle" : "", "family" : "Hilker", "given" : "Monika", "non-dropping-particle" : "", "parse-names" : false, "suffix" : "" }, { "dropping-particle" : "", "family" : "Soderlund", "given" : "Carol", "non-dropping-particle" : "", "parse-names" : false, "suffix" : "" }, { "dropping-particle" : "", "family" : "Gang", "given" : "David R", "non-dropping-particle" : "", "parse-names" : false, "suffix" : "" }, { "dropping-particle" : "", "family" : "Fenning", "given" : "Trevor", "non-dropping-particle" : "", "parse-names" : false, "suffix" : "" }, { "dropping-particle" : "", "family" : "Meiners", "given" : "Torsten", "non-dropping-particle" : "", "parse-names" : false, "suffix" : "" } ], "container-title" : "BMC genomics", "id" : "ITEM-2", "issued" : { "date-parts" : [ [ "2012" ] ] }, "page" : "242", "title" : "An elm EST database for identifying leaf beetle egg-induced defense genes.", "type" : "article-journal", "volume" : "13" }, "uris" : [ "http://www.mendeley.com/documents/?uuid=360108d6-fc00-4052-8b1a-f271afb46b00" ] }, { "id" : "ITEM-3", "itemData" : { "DOI" : "10.1111/j.1469-8137.2006.01877.x", "ISBN" : "0028-646X (Print)\\n0028-646X (Linking)", "ISSN" : "0028646X", "PMID" : "17096789", "abstract" : "In order to characterize defense responses of hybrid poplar (Populus trichocarpax P. deltoides), we profiled leaf transcript patterns elicited by wounding and by regurgitant from forest tent caterpillar (FTC; Malacosoma disstria), a Lepidopteran defoliator of poplars. Macroarrays were used to compare transcript profiles. Both FTC-regurgitant (FTC-R) and mechanical wounding with pliers elicited expression of a variety of genes, and for these genes our analysis indicated that these treatments induced qualitatively similar responses. Similarly, a comparison of responses of directly treated and systemically induced leaves indicated extensive overlap in the sets of induced genes. FTC-R was found to contain the insect-derived elicitor volicitin. The simulated herbivory treatments resulted in the induction of genes involved in poplar defense and secondary metabolism. We also identified wound-responsive genes with roles in primary metabolism, including a putative invertase, lipase, and acyl-activating enzyme; some of these genes may have roles in defense signaling. In addition, we found three unknown genes containing a ZIM motif which may represent novel transcription factors.", "author" : [ { "dropping-particle" : "", "family" : "Major", "given" : "Ian T.", "non-dropping-particle" : "", "parse-names" : false, "suffix" : "" }, { "dropping-particle" : "", "family" : "Constabel", "given" : "C. Peter", "non-dropping-particle" : "", "parse-names" : false, "suffix" : "" } ], "container-title" : "New Phytologist", "id" : "ITEM-3", "issue" : "4", "issued" : { "date-parts" : [ [ "2006" ] ] }, "page" : "617-635", "title" : "Molecular analysis of poplar defense against herbivory: Comparison of wound- and insect elicitor-induced gene expression", "type" : "article-journal", "volume" : "172" }, "uris" : [ "http://www.mendeley.com/documents/?uuid=23249752-89e7-4ace-936d-be39aaa4b80f" ] } ], "mendeley" : { "formattedCitation" : "[61,63,64]", "plainTextFormattedCitation" : "[61,63,64]", "previouslyFormattedCitation" : "[60,62,63]" }, "properties" : { "noteIndex" : 0 }, "schema" : "https://github.com/citation-style-language/schema/raw/master/csl-citation.json" }</w:instrText>
      </w:r>
      <w:r>
        <w:fldChar w:fldCharType="separate"/>
      </w:r>
      <w:r>
        <w:t>[61,63,64]</w:t>
      </w:r>
      <w:r>
        <w:fldChar w:fldCharType="end"/>
      </w:r>
      <w:r>
        <w:t xml:space="preserve">. For example, Hessian fly larvae feeding on resistant wheat presented extensive disruption of midgut microvilli which resulted in larval death </w:t>
      </w:r>
      <w:r>
        <w:fldChar w:fldCharType="begin" w:fldLock="1"/>
      </w:r>
      <w:r>
        <w:instrText xml:space="preserve">ADDIN CSL_CITATION { "citationItems" : [ { "id" : "ITEM-1", "itemData" : { "DOI" : "10.1016/j.jinsphys.2010.01.005", "ISSN" : "0022-1910", "author" : [ { "dropping-particle" : "", "family" : "Shukle", "given" : "Richard H", "non-dropping-particle" : "", "parse-names" : false, "suffix" : "" }, { "dropping-particle" : "", "family" : "Subramanyam", "given" : "Subhashree", "non-dropping-particle" : "", "parse-names" : false, "suffix" : "" }, { "dropping-particle" : "", "family" : "Saltzmann", "given" : "Kristin A", "non-dropping-particle" : "", "parse-names" : false, "suffix" : "" }, { "dropping-particle" : "", "family" : "Williams", "given" : "Christie E", "non-dropping-particle" : "", "parse-names" : false, "suffix" : "" } ], "container-title" : "Journal of Insect Physiology", "id" : "ITEM-1", "issue" : "7", "issued" : { "date-parts" : [ [ "2010" ] ] }, "page" : "754-760", "publisher" : "Elsevier Ltd", "title" : "Ultrastructural changes in the midguts of Hessian fly larvae feeding on resistant wheat", "type" : "article-journal", "volume" : "56" }, "uris" : [ "http://www.mendeley.com/documents/?uuid=f1339315-923f-4eb1-bc53-47e9d8728c12" ] } ], "mendeley" : { "formattedCitation" : "[65]", "plainTextFormattedCitation" : "[65]", "previouslyFormattedCitation" : "[64]" }, "properties" : { "noteIndex" : 0 }, "schema" : "https://github.com/citation-style-language/schema/raw/master/csl-citation.json" }</w:instrText>
      </w:r>
      <w:r>
        <w:fldChar w:fldCharType="separate"/>
      </w:r>
      <w:r>
        <w:t>[65]</w:t>
      </w:r>
      <w:r>
        <w:fldChar w:fldCharType="end"/>
      </w:r>
      <w:r>
        <w:t xml:space="preserve">. A number of different protein classes have been reported to be associated with defence. Protease inhibitors are one example; these proteins act by blocking digestive enzymes in the insect gut thereby reducing the ability of the insect to digest plant material </w:t>
      </w:r>
      <w:r>
        <w:fldChar w:fldCharType="begin" w:fldLock="1"/>
      </w:r>
      <w:r>
        <w:instrText xml:space="preserve">ADDIN CSL_CITATION { "citationItems" : [ { "id" : "ITEM-1", "itemData" : { "DOI" : "10.1007/s00425-013-1845-9", "ISBN" : "0042501318", "author" : [ { "dropping-particle" : "", "family" : "Bode", "given" : "Robert F", "non-dropping-particle" : "", "parse-names" : false, "suffix" : "" }, { "dropping-particle" : "", "family" : "Halitschke", "given" : "Rayko", "non-dropping-particle" : "", "parse-names" : false, "suffix" : "" } ], "id" : "ITEM-1", "issued" : { "date-parts" : [ [ "2013" ] ] }, "page" : "1287-1296", "title" : "Herbivore damage-induced production and specific anti-digestive function of serine and cysteine protease inhibitors in tall goldenrod , Solidago altissima L . ( Asteraceae )", "type" : "article-journal" }, "uris" : [ "http://www.mendeley.com/documents/?uuid=bde3e2f1-2e84-4828-a58a-5c223dade46c" ] } ], "mendeley" : { "formattedCitation" : "[66]", "plainTextFormattedCitation" : "[66]", "previouslyFormattedCitation" : "[65]" }, "properties" : { "noteIndex" : 0 }, "schema" : "https://github.com/citation-style-language/schema/raw/master/csl-citation.json" }</w:instrText>
      </w:r>
      <w:r>
        <w:fldChar w:fldCharType="separate"/>
      </w:r>
      <w:r>
        <w:t>[66]</w:t>
      </w:r>
      <w:r>
        <w:fldChar w:fldCharType="end"/>
      </w:r>
      <w:r>
        <w:t xml:space="preserve">. Up-regulation of protease inhibitor genes in response to galling has been recorded in a number of interactions </w:t>
      </w:r>
      <w:r>
        <w:fldChar w:fldCharType="begin" w:fldLock="1"/>
      </w:r>
      <w:r>
        <w:instrText xml:space="preserve">ADDIN CSL_CITATION { "citationItems" : [ { "id" : "ITEM-1", "itemData" : { "DOI" : "10.1093/pcp/pcv064", "ISSN" : "14719053", "PMID" : "25948810", "abstract" : "Plants have evolved complex defenses that allow them to protect themselves against pests and pathogens. However, there is relatively little information regarding the Eucalyptus defensome. Leptocybe invasa is one of the most damaging pests in global Eucalyptus forestry, and essentially nothing is known regarding the molecular mechanisms governing the interaction between the pest and host. The aim of the study was to investigate changes in the transcriptional landscape and terpene profile of a resistant and susceptible Eucalyptus genotype in an effort to improve our understanding of this interaction. We used RNA-seqencing to investigate transcriptional changes following L. invasa oviposition. Expression levels were validated using real-time quantitative PCR. Terpene profiles were investigated using gas chromatography coupled to mass spectometry on uninfested and oviposited leaves. We found 698 and 1,115 significantly differentially expressed genes from the resistant and susceptible interactions, respectively. Gene Ontology enrichment and Mapman analyses identified putative defense mechanisms including cell wall reinforcement, protease inhibitors, cell cycle suppression and regulatory hormone signaling pathways. There were significant differences in the mono- and sesquiterpene profiles between genotypes and between control and infested material. A model of the interaction between Eucalyptus and L. invasa was proposed from the transcriptomic and chemical data.", "author" : [ { "dropping-particle" : "", "family" : "Oates", "given" : "Caryn N.", "non-dropping-particle" : "", "parse-names" : false, "suffix" : "" }, { "dropping-particle" : "", "family" : "K\u00fclheim", "given" : "Carsten", "non-dropping-particle" : "", "parse-names" : false, "suffix" : "" }, { "dropping-particle" : "", "family" : "Myburg", "given" : "Alexander A.", "non-dropping-particle" : "", "parse-names" : false, "suffix" : "" }, { "dropping-particle" : "", "family" : "Slippers", "given" : "Bernard", "non-dropping-particle" : "", "parse-names" : false, "suffix" : "" }, { "dropping-particle" : "", "family" : "Naidoo", "given" : "Sanushka", "non-dropping-particle" : "", "parse-names" : false, "suffix" : "" } ], "container-title" : "Plant and Cell Physiology", "id" : "ITEM-1", "issue" : "7", "issued" : { "date-parts" : [ [ "2015" ] ] }, "page" : "1418-1428", "title" : "The transcriptome and terpene profile of Eucalyptus grandis reveals mechanisms of defense against the insect pest, Leptocybe invasa", "type" : "article-journal", "volume" : "56" }, "uris" : [ "http://www.mendeley.com/documents/?uuid=01746e54-05c6-45bc-b932-edb0fdda9828" ] }, { "id" : "ITEM-2", "itemData" : { "author" : [ { "dropping-particle" : "", "family" : "Rawat", "given" : "Nidhi", "non-dropping-particle" : "", "parse-names" : false, "suffix" : "" }, { "dropping-particle" : "", "family" : "Neeraja", "given" : "Chiruvuri Naga", "non-dropping-particle" : "", "parse-names" : false, "suffix" : "" }, { "dropping-particle" : "", "family" : "Nair", "given" : "Suresh", "non-dropping-particle" : "", "parse-names" : false, "suffix" : "" }, { "dropping-particle" : "", "family" : "Bentur", "given" : "Jagadish S", "non-dropping-particle" : "", "parse-names" : false, "suffix" : "" } ], "id" : "ITEM-2", "issued" : { "date-parts" : [ [ "2012" ] ] }, "page" : "1-16", "title" : "Differential gene expression in gall midge susceptible rice genotypes revealed by suppressive subtraction hybridization ( SSH ) cDNA libraries and microarray analysis", "type" : "article-journal" }, "uris" : [ "http://www.mendeley.com/documents/?uuid=90168d55-9c8a-4b06-83d6-6cd91051e310" ] }, { "id" : "ITEM-3", "itemData" : { "DOI" : "10.1007/s10886-008-9506-3", "ISBN" : "0098-0331 (Print)", "ISSN" : "00980331", "PMID" : "18584256", "abstract" : "Four groups of inhibitor-like genes that encode proteins with diverse structures were identified from wheat. The majority of these genes were upregulated by avirulent Hessian fly, Mayetiola destructor (Diptera: Cecidomyiidae), larvae during incompatible interactions, and were downregulated by virulent larvae during compatible interactions. The upregulation during incompatible interactions and downregulation during compatible interactions resulted in four- to 30-fold differences between the expression levels in resistant plants and those in susceptible plants. The increased expression of inhibitor-like genes during incompatible interactions suggested that these genes are part of defense mechanisms in wheat against Hessian fly attacks, whereas the downregulation during compatible interactions suggested that virulent larvae can suppress plant defenses. Both the upregulation of the inhibitor-like genes during incompatible interactions by avirulent larvae and the downregulation during compatible interactions by virulent larvae were through mechanisms that were independent of the wound response pathway.", "author" : [ { "dropping-particle" : "", "family" : "Wu", "given" : "Junxiang", "non-dropping-particle" : "", "parse-names" : false, "suffix" : "" }, { "dropping-particle" : "", "family" : "Liu", "given" : "Xuming", "non-dropping-particle" : "", "parse-names" : false, "suffix" : "" }, { "dropping-particle" : "", "family" : "Zhang", "given" : "Shize", "non-dropping-particle" : "", "parse-names" : false, "suffix" : "" }, { "dropping-particle" : "", "family" : "Zhu", "given" : "Yu Cheng", "non-dropping-particle" : "", "parse-names" : false, "suffix" : "" }, { "dropping-particle" : "", "family" : "Whitworth", "given" : "R. Jeffrey", "non-dropping-particle" : "", "parse-names" : false, "suffix" : "" }, { "dropping-particle" : "", "family" : "Chen", "given" : "Ming Shun", "non-dropping-particle" : "", "parse-names" : false, "suffix" : "" } ], "container-title" : "Journal of Chemical Ecology", "id" : "ITEM-3", "issue" : "8", "issued" : { "date-parts" : [ [ "2008" ] ] }, "page" : "1005-1012", "title" : "Differential responses of wheat inhibitor-like genes to Hessian fly, Mayetiola destructor, attacks during compatible and incompatible interactions", "type" : "article-journal", "volume" : "34" }, "uris" : [ "http://www.mendeley.com/documents/?uuid=a8464f1f-e4a3-4da8-80c8-e4bcf5565c6e" ] }, { "id" : "ITEM-4", "itemData" : { "DOI" : "10.1007/s10886-007-9382-2", "ISBN" : "0098-0331 (Print)\\r0098-0331 (Linking)", "ISSN" : "00980331", "PMID" : "18058177", "abstract" : "Wheat and its relatives possess a number of resistance (R) genes specific for the Hessian fly (HF) [Mayetiola destructor (Say)]. HF populations overcome R gene resistance by evolving virulence. Virulent HF larvae manipulate the plant to produce a nutritionally enhanced feeding tissue and, probably, also suppress plant defense responses. Using two wheat R genes, H9 and H13, and three HF strains (biotypes) differing in virulence for H9 and H13, we conducted a genome-wide transcriptional analysis of gene expression during compatible interactions with virulent larvae and incompatible interactions with avirulent larvae. During both types of interactions, a large number of genes (&gt;1,000) showed alterations in gene expression. Analysis of genes with known functions revealed that major targets for differential regulation were genes that encoded defense proteins or enzymes involved in the phenylpropanoid, cell wall, and lipid metabolism pathways. A combination of the enhancement of antibiosis defense, the evasion of nutrient metabolism induction, and the fortification and expansion of the cell wall are likely the collective mechanism for host-plant resistance observed during incompatible interactions. To overcome this resistance, virulent larvae appeared to suppress antibiosis defense while inducing nutrient metabolism, weakening cell wall, and inhibiting plant growth.", "author" : [ { "dropping-particle" : "", "family" : "Liu", "given" : "Xuming", "non-dropping-particle" : "", "parse-names" : false, "suffix" : "" }, { "dropping-particle" : "", "family" : "Bai", "given" : "Jianfa", "non-dropping-particle" : "", "parse-names" : false, "suffix" : "" }, { "dropping-particle" : "", "family" : "Huang", "given" : "Li", "non-dropping-particle" : "", "parse-names" : false, "suffix" : "" }, { "dropping-particle" : "", "family" : "Zhu", "given" : "Lieceng", "non-dropping-particle" : "", "parse-names" : false, "suffix" : "" }, { "dropping-particle" : "", "family" : "Liu", "given" : "Xiang", "non-dropping-particle" : "", "parse-names" : false, "suffix" : "" }, { "dropping-particle" : "", "family" : "Weng", "given" : "Nanyan", "non-dropping-particle" : "", "parse-names" : false, "suffix" : "" }, { "dropping-particle" : "", "family" : "Reese", "given" : "John C.", "non-dropping-particle" : "", "parse-names" : false, "suffix" : "" }, { "dropping-particle" : "", "family" : "Harris", "given" : "Marion", "non-dropping-particle" : "", "parse-names" : false, "suffix" : "" }, { "dropping-particle" : "", "family" : "Stuart", "given" : "Jeffrey J.", "non-dropping-particle" : "", "parse-names" : false, "suffix" : "" }, { "dropping-particle" : "", "family" : "Chen", "given" : "Ming Shun", "non-dropping-particle" : "", "parse-names" : false, "suffix" : "" } ], "container-title" : "Journal of Chemical Ecology", "id" : "ITEM-4", "issue" : "12", "issued" : { "date-parts" : [ [ "2007" ] ] }, "page" : "2171-2194", "title" : "Gene expression of different wheat genotypes during attack by virulent and avirulent Hessian fly (Mayetiola destructor) larvae", "type" : "article-journal", "volume" : "33" }, "uris" : [ "http://www.mendeley.com/documents/?uuid=896e485a-1ead-496c-842b-eaf4e7b3b4fc" ] } ], "mendeley" : { "formattedCitation" : "[23,26,28,67]", "plainTextFormattedCitation" : "[23,26,28,67]", "previouslyFormattedCitation" : "[23,26,28,66]" }, "properties" : { "noteIndex" : 0 }, "schema" : "https://github.com/citation-style-language/schema/raw/master/csl-citation.json" }</w:instrText>
      </w:r>
      <w:r>
        <w:fldChar w:fldCharType="separate"/>
      </w:r>
      <w:r>
        <w:t>[23,26,28,67]</w:t>
      </w:r>
      <w:r>
        <w:fldChar w:fldCharType="end"/>
      </w:r>
      <w:r>
        <w:t xml:space="preserve">. </w:t>
      </w:r>
    </w:p>
    <w:p>
      <w:pPr>
        <w:pStyle w:val="35"/>
      </w:pPr>
      <w:r>
        <w:t xml:space="preserve">Plants are able to produce a wide range of chemicals to defend themselves against insect herbivory. Secondary metabolites that show insecticidal activity generally target specific insect biological systems such as the nervous and digestive systems </w:t>
      </w:r>
      <w:r>
        <w:fldChar w:fldCharType="begin" w:fldLock="1"/>
      </w:r>
      <w:r>
        <w:instrText xml:space="preserve">ADDIN CSL_CITATION { "citationItems" : [ { "id" : "ITEM-1", "itemData" : { "DOI" : "10.3390/ijms140510242", "ISBN" : "4535333300", "ISSN" : "16616596", "PMID" : "23681010", "abstract" : "Plants have been interacting with insects for several hundred million years, leading to complex defense approaches against various insect feeding strategies. Some defenses are constitutive while others are induced, although the insecticidal defense compound or protein classes are often similar. Insect herbivory induce several internal signals from the wounded tissues, including calcium ion fluxes, phosphorylation cascades and systemic- and jasmonate signaling. These are perceived in undamaged tissues, which thereafter reinforce their defense by producing different, mostly low molecular weight, defense compounds. These bioactive specialized plant defense compounds may repel or intoxicate insects, while defense proteins often interfere with their digestion. Volatiles are released upon herbivory to repel herbivores, attract predators or for communication between leaves or plants, and to induce defense responses. Plants also apply morphological features like waxes, trichomes and latices to make the feeding more difficult for the insects. Extrafloral nectar, food bodies and nesting or refuge sites are produced to accommodate and feed the predators of the herbivores. Meanwhile, herbivorous insects have adapted to resist plant defenses, and in some cases even sequester the compounds and reuse them in their own defense. Both plant defense and insect adaptation involve metabolic costs, so most plant-insect interactions reach a stand-off, where both host and herbivore survive although their development is suboptimal.", "author" : [ { "dropping-particle" : "", "family" : "F\u00fcrstenberg-H\u00e4gg", "given" : "Joel", "non-dropping-particle" : "", "parse-names" : false, "suffix" : "" }, { "dropping-particle" : "", "family" : "Zagrobelny", "given" : "Mika", "non-dropping-particle" : "", "parse-names" : false, "suffix" : "" }, { "dropping-particle" : "", "family" : "Bak", "given" : "S\u00f8ren", "non-dropping-particle" : "", "parse-names" : false, "suffix" : "" } ], "container-title" : "International Journal of Molecular Sciences", "id" : "ITEM-1", "issue" : "5", "issued" : { "date-parts" : [ [ "2013" ] ] }, "number-of-pages" : "10242-10297", "title" : "Plant defense against insect herbivores", "type" : "book", "volume" : "14" }, "uris" : [ "http://www.mendeley.com/documents/?uuid=232c9842-1ab7-431f-9a63-223ca2b0ef8b" ] } ], "mendeley" : { "formattedCitation" : "[61]", "plainTextFormattedCitation" : "[61]", "previouslyFormattedCitation" : "[60]" }, "properties" : { "noteIndex" : 0 }, "schema" : "https://github.com/citation-style-language/schema/raw/master/csl-citation.json" }</w:instrText>
      </w:r>
      <w:r>
        <w:fldChar w:fldCharType="separate"/>
      </w:r>
      <w:r>
        <w:t>[61]</w:t>
      </w:r>
      <w:r>
        <w:fldChar w:fldCharType="end"/>
      </w:r>
      <w:r>
        <w:t xml:space="preserve">. This is supported by a transcriptome study by </w:t>
      </w:r>
      <w:r>
        <w:fldChar w:fldCharType="begin" w:fldLock="1"/>
      </w:r>
      <w:r>
        <w:instrText xml:space="preserve">ADDIN CSL_CITATION { "citationItems" : [ { "id" : "ITEM-1", "itemData" : { "DOI" : "10.1016/j.jinsphys.2010.03.021", "ISSN" : "0022-1910", "author" : [ { "dropping-particle" : "", "family" : "Zhang", "given" : "Shize", "non-dropping-particle" : "", "parse-names" : false, "suffix" : "" }, { "dropping-particle" : "", "family" : "Shukle", "given" : "Richard", "non-dropping-particle" : "", "parse-names" : false, "suffix" : "" }, { "dropping-particle" : "", "family" : "Mittapalli", "given" : "Omprakash", "non-dropping-particle" : "", "parse-names" : false, "suffix" : "" }, { "dropping-particle" : "", "family" : "Cheng", "given" : "Yu", "non-dropping-particle" : "", "parse-names" : false, "suffix" : "" }, { "dropping-particle" : "", "family" : "Reese", "given" : "John C", "non-dropping-particle" : "", "parse-names" : false, "suffix" : "" }, { "dropping-particle" : "", "family" : "Wang", "given" : "Haiyan", "non-dropping-particle" : "", "parse-names" : false, "suffix" : "" }, { "dropping-particle" : "", "family" : "Hua", "given" : "Bao-zhen", "non-dropping-particle" : "", "parse-names" : false, "suffix" : "" }, { "dropping-particle" : "", "family" : "Chen", "given" : "Ming-shun", "non-dropping-particle" : "", "parse-names" : false, "suffix" : "" } ], "container-title" : "Journal of Insect Physiology", "id" : "ITEM-1", "issue" : "9", "issued" : { "date-parts" : [ [ "2010" ] ] }, "page" : "1198-1206", "publisher" : "Elsevier Ltd", "title" : "The gut transcriptome of a gall midge , Mayetiola destructor \u00a7", "type" : "article-journal", "volume" : "56" }, "uris" : [ "http://www.mendeley.com/documents/?uuid=751aa877-0592-4952-97d3-cef20551bda2" ] } ], "mendeley" : { "formattedCitation" : "[68]", "manualFormatting" : "Zhang et al. (2010)", "plainTextFormattedCitation" : "[68]", "previouslyFormattedCitation" : "[67]" }, "properties" : { "noteIndex" : 0 }, "schema" : "https://github.com/citation-style-language/schema/raw/master/csl-citation.json" }</w:instrText>
      </w:r>
      <w:r>
        <w:fldChar w:fldCharType="separate"/>
      </w:r>
      <w:r>
        <w:t>Zhang et al. (2010)</w:t>
      </w:r>
      <w:r>
        <w:fldChar w:fldCharType="end"/>
      </w:r>
      <w:r>
        <w:t xml:space="preserve"> of the Hessian fly gut that showed the expression of putative detoxification genes including </w:t>
      </w:r>
      <w:r>
        <w:rPr>
          <w:lang w:val="en-GB"/>
        </w:rPr>
        <w:t xml:space="preserve">cytochrome P450s, glutathione S-transferases, peroxidases, ferritins, catalases and peroxyredoxins in response to toxic chemicals produced by the plant upon infestation. </w:t>
      </w:r>
      <w:r>
        <w:t xml:space="preserve">These chemicals also participate in other defence mechanisms such as barrier reinforcement that reduce the herbivore’s ability to penetrate the plant, which is predominantly achieved through lignification of the cell walls, as well as deposition of other compounds such as suberin and callose </w:t>
      </w:r>
      <w:r>
        <w:fldChar w:fldCharType="begin" w:fldLock="1"/>
      </w:r>
      <w:r>
        <w:instrText xml:space="preserve">ADDIN CSL_CITATION { "citationItems" : [ { "id" : "ITEM-1", "itemData" : { "DOI" : "10.3390/ijms140510242", "ISBN" : "4535333300", "ISSN" : "16616596", "PMID" : "23681010", "abstract" : "Plants have been interacting with insects for several hundred million years, leading to complex defense approaches against various insect feeding strategies. Some defenses are constitutive while others are induced, although the insecticidal defense compound or protein classes are often similar. Insect herbivory induce several internal signals from the wounded tissues, including calcium ion fluxes, phosphorylation cascades and systemic- and jasmonate signaling. These are perceived in undamaged tissues, which thereafter reinforce their defense by producing different, mostly low molecular weight, defense compounds. These bioactive specialized plant defense compounds may repel or intoxicate insects, while defense proteins often interfere with their digestion. Volatiles are released upon herbivory to repel herbivores, attract predators or for communication between leaves or plants, and to induce defense responses. Plants also apply morphological features like waxes, trichomes and latices to make the feeding more difficult for the insects. Extrafloral nectar, food bodies and nesting or refuge sites are produced to accommodate and feed the predators of the herbivores. Meanwhile, herbivorous insects have adapted to resist plant defenses, and in some cases even sequester the compounds and reuse them in their own defense. Both plant defense and insect adaptation involve metabolic costs, so most plant-insect interactions reach a stand-off, where both host and herbivore survive although their development is suboptimal.", "author" : [ { "dropping-particle" : "", "family" : "F\u00fcrstenberg-H\u00e4gg", "given" : "Joel", "non-dropping-particle" : "", "parse-names" : false, "suffix" : "" }, { "dropping-particle" : "", "family" : "Zagrobelny", "given" : "Mika", "non-dropping-particle" : "", "parse-names" : false, "suffix" : "" }, { "dropping-particle" : "", "family" : "Bak", "given" : "S\u00f8ren", "non-dropping-particle" : "", "parse-names" : false, "suffix" : "" } ], "container-title" : "International Journal of Molecular Sciences", "id" : "ITEM-1", "issue" : "5", "issued" : { "date-parts" : [ [ "2013" ] ] }, "number-of-pages" : "10242-10297", "title" : "Plant defense against insect herbivores", "type" : "book", "volume" : "14" }, "uris" : [ "http://www.mendeley.com/documents/?uuid=232c9842-1ab7-431f-9a63-223ca2b0ef8b" ] } ], "mendeley" : { "formattedCitation" : "[61]", "plainTextFormattedCitation" : "[61]", "previouslyFormattedCitation" : "[60]" }, "properties" : { "noteIndex" : 0 }, "schema" : "https://github.com/citation-style-language/schema/raw/master/csl-citation.json" }</w:instrText>
      </w:r>
      <w:r>
        <w:fldChar w:fldCharType="separate"/>
      </w:r>
      <w:r>
        <w:t>[61]</w:t>
      </w:r>
      <w:r>
        <w:fldChar w:fldCharType="end"/>
      </w:r>
      <w:r>
        <w:t xml:space="preserve">. This defence mechanism has been recorded as a response to Hessian fly larval feeding on wheat </w:t>
      </w:r>
      <w:r>
        <w:fldChar w:fldCharType="begin" w:fldLock="1"/>
      </w:r>
      <w:r>
        <w:instrText xml:space="preserve">ADDIN CSL_CITATION { "citationItems" : [ { "id" : "ITEM-1", "itemData" : { "DOI" : "10.1007/s10886-007-9382-2", "ISBN" : "0098-0331 (Print)\\r0098-0331 (Linking)", "ISSN" : "00980331", "PMID" : "18058177", "abstract" : "Wheat and its relatives possess a number of resistance (R) genes specific for the Hessian fly (HF) [Mayetiola destructor (Say)]. HF populations overcome R gene resistance by evolving virulence. Virulent HF larvae manipulate the plant to produce a nutritionally enhanced feeding tissue and, probably, also suppress plant defense responses. Using two wheat R genes, H9 and H13, and three HF strains (biotypes) differing in virulence for H9 and H13, we conducted a genome-wide transcriptional analysis of gene expression during compatible interactions with virulent larvae and incompatible interactions with avirulent larvae. During both types of interactions, a large number of genes (&gt;1,000) showed alterations in gene expression. Analysis of genes with known functions revealed that major targets for differential regulation were genes that encoded defense proteins or enzymes involved in the phenylpropanoid, cell wall, and lipid metabolism pathways. A combination of the enhancement of antibiosis defense, the evasion of nutrient metabolism induction, and the fortification and expansion of the cell wall are likely the collective mechanism for host-plant resistance observed during incompatible interactions. To overcome this resistance, virulent larvae appeared to suppress antibiosis defense while inducing nutrient metabolism, weakening cell wall, and inhibiting plant growth.", "author" : [ { "dropping-particle" : "", "family" : "Liu", "given" : "Xuming", "non-dropping-particle" : "", "parse-names" : false, "suffix" : "" }, { "dropping-particle" : "", "family" : "Bai", "given" : "Jianfa", "non-dropping-particle" : "", "parse-names" : false, "suffix" : "" }, { "dropping-particle" : "", "family" : "Huang", "given" : "Li", "non-dropping-particle" : "", "parse-names" : false, "suffix" : "" }, { "dropping-particle" : "", "family" : "Zhu", "given" : "Lieceng", "non-dropping-particle" : "", "parse-names" : false, "suffix" : "" }, { "dropping-particle" : "", "family" : "Liu", "given" : "Xiang", "non-dropping-particle" : "", "parse-names" : false, "suffix" : "" }, { "dropping-particle" : "", "family" : "Weng", "given" : "Nanyan", "non-dropping-particle" : "", "parse-names" : false, "suffix" : "" }, { "dropping-particle" : "", "family" : "Reese", "given" : "John C.", "non-dropping-particle" : "", "parse-names" : false, "suffix" : "" }, { "dropping-particle" : "", "family" : "Harris", "given" : "Marion", "non-dropping-particle" : "", "parse-names" : false, "suffix" : "" }, { "dropping-particle" : "", "family" : "Stuart", "given" : "Jeffrey J.", "non-dropping-particle" : "", "parse-names" : false, "suffix" : "" }, { "dropping-particle" : "", "family" : "Chen", "given" : "Ming Shun", "non-dropping-particle" : "", "parse-names" : false, "suffix" : "" } ], "container-title" : "Journal of Chemical Ecology", "id" : "ITEM-1", "issue" : "12", "issued" : { "date-parts" : [ [ "2007" ] ] }, "page" : "2171-2194", "title" : "Gene expression of different wheat genotypes during attack by virulent and avirulent Hessian fly (Mayetiola destructor) larvae", "type" : "article-journal", "volume" : "33" }, "uris" : [ "http://www.mendeley.com/documents/?uuid=896e485a-1ead-496c-842b-eaf4e7b3b4fc" ] } ], "mendeley" : { "formattedCitation" : "[28]", "plainTextFormattedCitation" : "[28]", "previouslyFormattedCitation" : "[28]" }, "properties" : { "noteIndex" : 0 }, "schema" : "https://github.com/citation-style-language/schema/raw/master/csl-citation.json" }</w:instrText>
      </w:r>
      <w:r>
        <w:fldChar w:fldCharType="separate"/>
      </w:r>
      <w:r>
        <w:t>[28]</w:t>
      </w:r>
      <w:r>
        <w:fldChar w:fldCharType="end"/>
      </w:r>
      <w:r>
        <w:t xml:space="preserve">. Some studies have also described the ability of galling insects to suppress the expression of genes encoding proteins that contribute to lignification thus highlighting the importance of this response </w:t>
      </w:r>
      <w:r>
        <w:fldChar w:fldCharType="begin" w:fldLock="1"/>
      </w:r>
      <w:r>
        <w:instrText xml:space="preserve">ADDIN CSL_CITATION { "citationItems" : [ { "id" : "ITEM-1", "itemData" : { "author" : [ { "dropping-particle" : "", "family" : "Rawat", "given" : "Nidhi", "non-dropping-particle" : "", "parse-names" : false, "suffix" : "" }, { "dropping-particle" : "", "family" : "Neeraja", "given" : "Chiruvuri Naga", "non-dropping-particle" : "", "parse-names" : false, "suffix" : "" }, { "dropping-particle" : "", "family" : "Nair", "given" : "Suresh", "non-dropping-particle" : "", "parse-names" : false, "suffix" : "" }, { "dropping-particle" : "", "family" : "Bentur", "given" : "Jagadish S", "non-dropping-particle" : "", "parse-names" : false, "suffix" : "" } ], "id" : "ITEM-1", "issued" : { "date-parts" : [ [ "2012" ] ] }, "page" : "1-16", "title" : "Differential gene expression in gall midge susceptible rice genotypes revealed by suppressive subtraction hybridization ( SSH ) cDNA libraries and microarray analysis", "type" : "article-journal" }, "uris" : [ "http://www.mendeley.com/documents/?uuid=90168d55-9c8a-4b06-83d6-6cd91051e310" ] } ], "mendeley" : { "formattedCitation" : "[26]", "plainTextFormattedCitation" : "[26]", "previouslyFormattedCitation" : "[26]" }, "properties" : { "noteIndex" : 0 }, "schema" : "https://github.com/citation-style-language/schema/raw/master/csl-citation.json" }</w:instrText>
      </w:r>
      <w:r>
        <w:fldChar w:fldCharType="separate"/>
      </w:r>
      <w:r>
        <w:t>[26]</w:t>
      </w:r>
      <w:r>
        <w:fldChar w:fldCharType="end"/>
      </w:r>
      <w:r>
        <w:t xml:space="preserve">. </w:t>
      </w:r>
      <w:r>
        <w:rPr>
          <w:highlight w:val="red"/>
        </w:rPr>
        <w:t xml:space="preserve">Furthermore, some galling species are able to influence the accumulation and localization of plant secondary metabolites which may allow the galler to defend itself against predators or parasitoids </w:t>
      </w:r>
      <w:r>
        <w:rPr>
          <w:highlight w:val="red"/>
        </w:rPr>
        <w:fldChar w:fldCharType="begin" w:fldLock="1"/>
      </w:r>
      <w:r>
        <w:rPr>
          <w:highlight w:val="red"/>
        </w:rPr>
        <w:instrText xml:space="preserve">ADDIN CSL_CITATION { "citationItems" : [ { "id" : "ITEM-1", "itemData" : { "author" : [ { "dropping-particle" : "", "family" : "Nyman", "given" : "Tommi", "non-dropping-particle" : "", "parse-names" : false, "suffix" : "" }, { "dropping-particle" : "", "family" : "Julkunen-tiitto", "given" : "Riitta", "non-dropping-particle" : "", "parse-names" : false, "suffix" : "" } ], "id" : "ITEM-1", "issue" : "Track II", "issued" : { "date-parts" : [ [ "2000" ] ] }, "title" : "Manipulation of the phenolic chemistry of willows by gall-inducing sawflies", "type" : "article-journal", "volume" : "2000" }, "uris" : [ "http://www.mendeley.com/documents/?uuid=28c75992-653c-40b6-9aa2-5adf9af5ac23" ] } ], "mendeley" : { "formattedCitation" : "[69]", "plainTextFormattedCitation" : "[69]", "previouslyFormattedCitation" : "[68]" }, "properties" : { "noteIndex" : 0 }, "schema" : "https://github.com/citation-style-language/schema/raw/master/csl-citation.json" }</w:instrText>
      </w:r>
      <w:r>
        <w:rPr>
          <w:highlight w:val="red"/>
        </w:rPr>
        <w:fldChar w:fldCharType="separate"/>
      </w:r>
      <w:r>
        <w:rPr>
          <w:highlight w:val="red"/>
        </w:rPr>
        <w:t>[69]</w:t>
      </w:r>
      <w:r>
        <w:rPr>
          <w:highlight w:val="red"/>
        </w:rPr>
        <w:fldChar w:fldCharType="end"/>
      </w:r>
      <w:r>
        <w:rPr>
          <w:highlight w:val="red"/>
        </w:rPr>
        <w:t>.</w:t>
      </w:r>
    </w:p>
    <w:p>
      <w:pPr>
        <w:pStyle w:val="151"/>
      </w:pPr>
      <w:r>
        <w:t>4.2. Indirect Defences</w:t>
      </w:r>
    </w:p>
    <w:p>
      <w:pPr>
        <w:pStyle w:val="35"/>
        <w:rPr>
          <w:highlight w:val="cyan"/>
        </w:rPr>
      </w:pPr>
      <w:r>
        <w:t xml:space="preserve">Indirect defences involve the release of volatile cues that allows the plant to interact with the pest, neighbouring plants or predators and parasitoids of the pest </w:t>
      </w:r>
      <w:r>
        <w:fldChar w:fldCharType="begin" w:fldLock="1"/>
      </w:r>
      <w:r>
        <w:instrText xml:space="preserve">ADDIN CSL_CITATION { "citationItems" : [ { "id" : "ITEM-1", "itemData" : { "DOI" : "10.1016/j.pbi.2009.04.001", "ISBN" : "1369-5266", "ISSN" : "13695266", "PMID" : "19467919", "abstract" : "Herbivore damage to leaves and other vegetative tissues often stimulates the emission of volatile compounds, suggesting that these substances have a role in plant defense. In fact, ample evidence has accumulated in the last few years indicating that volatiles from vegetative plant parts can directly repel herbivores, such as ovipositing butterflies and host-seeking aphids. Volatiles have also been demonstrated to protect plants by attracting herbivore enemies, such as parasitic wasps, predatory arthropods and possibly even insectivorous birds. Even below ground herbivory results in the release of volatiles that attract herbivore enemies. However, plant volatiles are also known to attract enemies of plants. Hence, to determine the true value of these substances in defense, more research is needed especially in natural communities with non-agricultural species. \u00a9 2009 Elsevier Ltd. All rights reserved.", "author" : [ { "dropping-particle" : "", "family" : "Unsicker", "given" : "Sybille B.", "non-dropping-particle" : "", "parse-names" : false, "suffix" : "" }, { "dropping-particle" : "", "family" : "Kunert", "given" : "Grit", "non-dropping-particle" : "", "parse-names" : false, "suffix" : "" }, { "dropping-particle" : "", "family" : "Gershenzon", "given" : "Jonathan", "non-dropping-particle" : "", "parse-names" : false, "suffix" : "" } ], "container-title" : "Current Opinion in Plant Biology", "id" : "ITEM-1", "issue" : "4", "issued" : { "date-parts" : [ [ "2009" ] ] }, "page" : "479-485", "title" : "Protective perfumes: the role of vegetative volatiles in plant defense against herbivores", "type" : "article-journal", "volume" : "12" }, "uris" : [ "http://www.mendeley.com/documents/?uuid=8b2a3d1a-a43e-4827-acbf-a7f65b7025d3" ] } ], "mendeley" : { "formattedCitation" : "[62]", "plainTextFormattedCitation" : "[62]", "previouslyFormattedCitation" : "[61]" }, "properties" : { "noteIndex" : 0 }, "schema" : "https://github.com/citation-style-language/schema/raw/master/csl-citation.json" }</w:instrText>
      </w:r>
      <w:r>
        <w:fldChar w:fldCharType="separate"/>
      </w:r>
      <w:r>
        <w:t>[62]</w:t>
      </w:r>
      <w:r>
        <w:fldChar w:fldCharType="end"/>
      </w:r>
      <w:r>
        <w:t xml:space="preserve">. Following pest recognition, the inducible indirect defence may act by attracting parasitoids of the herbivores </w:t>
      </w:r>
      <w:r>
        <w:fldChar w:fldCharType="begin" w:fldLock="1"/>
      </w:r>
      <w:r>
        <w:instrText xml:space="preserve">ADDIN CSL_CITATION { "citationItems" : [ { "id" : "ITEM-1", "itemData" : { "DOI" : "10.1093/jxb/erp101", "ISBN" : "0049700901125", "ISSN" : "00220957", "PMID" : "19451186", "abstract" : "Caterpillar feeding induces direct and indirect defences in brassicaceous plants. This study focused on the role of the octadecanoid pathway in induced indirect defence in Brassica oleracea. The effect of induction by exogenous application of jasmonic acid (JA) on the responses of Brussels sprouts plants and on host-location behaviour of associated parasitoid wasps was studied. Feeding by the biting-chewing herbivores Pieris rapae and Plutella xylostella resulted in significantly increased endogenous levels of JA, a central component in the octadecanoid signalling pathway that mediates induced plant defence. The levels of the intermediate 12-oxophyto-dienoic acid (OPDA) were significantly induced only after P. rapae feeding. Three species of parasitoid wasps, Cotesia glomerata, C. rubecula, and Diadegma semiclausum, differing in host range and host specificity, were tested for their behavioural responses to volatiles from herbivore-induced, JA-induced, and non-induced plants. All three species were attracted to volatiles from JA-induced plants compared with control plants; however, they preferred volatiles from herbivore-induced plants over volatiles from JA-induced plants. Attraction of C. glomerata depended on both timing and dose of JA application. JA-induced plants produced larger quantities of volatiles than herbivore-induced and control plants, indicating that not only quantity, but also quality of the volatile blend is important in the host-location behaviour of the wasps.", "author" : [ { "dropping-particle" : "", "family" : "Bruinsma", "given" : "Maaike", "non-dropping-particle" : "", "parse-names" : false, "suffix" : "" }, { "dropping-particle" : "", "family" : "Posthumus", "given" : "Maarten a.", "non-dropping-particle" : "", "parse-names" : false, "suffix" : "" }, { "dropping-particle" : "", "family" : "Mumm", "given" : "Roland", "non-dropping-particle" : "", "parse-names" : false, "suffix" : "" }, { "dropping-particle" : "", "family" : "Mueller", "given" : "Martin J.", "non-dropping-particle" : "", "parse-names" : false, "suffix" : "" }, { "dropping-particle" : "", "family" : "Loon", "given" : "Joop J a", "non-dropping-particle" : "Van", "parse-names" : false, "suffix" : "" }, { "dropping-particle" : "", "family" : "Dicke", "given" : "Marcel", "non-dropping-particle" : "", "parse-names" : false, "suffix" : "" } ], "container-title" : "Journal of Experimental Botany", "id" : "ITEM-1", "issue" : "9", "issued" : { "date-parts" : [ [ "2009" ] ] }, "page" : "2575-2587", "title" : "Jasmonic acid-induced volatiles of Brassica oleracea attract parasitoids: Effects of time and dose, and comparison with induction by herbivores", "type" : "article-journal", "volume" : "60" }, "uris" : [ "http://www.mendeley.com/documents/?uuid=ebee0161-5b6d-4614-96b8-bc2868bb76de" ] } ], "mendeley" : { "formattedCitation" : "[70]", "plainTextFormattedCitation" : "[70]", "previouslyFormattedCitation" : "[69]" }, "properties" : { "noteIndex" : 0 }, "schema" : "https://github.com/citation-style-language/schema/raw/master/csl-citation.json" }</w:instrText>
      </w:r>
      <w:r>
        <w:fldChar w:fldCharType="separate"/>
      </w:r>
      <w:r>
        <w:t>[70]</w:t>
      </w:r>
      <w:r>
        <w:fldChar w:fldCharType="end"/>
      </w:r>
      <w:r>
        <w:t xml:space="preserve"> or alert neighbouring plants to the presence of the herbivores </w:t>
      </w:r>
      <w:r>
        <w:fldChar w:fldCharType="begin" w:fldLock="1"/>
      </w:r>
      <w:r>
        <w:instrText xml:space="preserve">ADDIN CSL_CITATION { "citationItems" : [ { "id" : "ITEM-1", "itemData" : { "DOI" : "10.4236/ajps.2012.35071", "ISSN" : "2158-2742", "abstract" : "This study evaluated the expression of defense compounds from the secondary metabolism of Eucalyptus globulus plants, subjected to direct and indirect stimuli by the insect Ctenarytaina eucalypti (blue gum Psyllid). Results showed that defense responses were activated in plants in all tested cases. Were detected and identified thirty-two compounds in the leaves of treated plants, of which five compounds differed with the control, and all are part of the chemical defenses from the plants, three of them were oxygenated monoterpenes (borneol, exo-2-hydroxy cineole and thymol), a aromatic carboxylic acid (benzoic acid) and a quinone (6-acethyl-flaviolin). The plants induced by volatile compounds and by indirect entomological manner, showed its capability to synthesize defensive compounds without a wound that pro- motes these responses. Were also found some constitutive secondary metabolites over expressed in the different induc- tions compared with the control.", "author" : [ { "dropping-particle" : "", "family" : "Troncoso", "given" : "C", "non-dropping-particle" : "", "parse-names" : false, "suffix" : "" }, { "dropping-particle" : "", "family" : "Becerra", "given" : "J", "non-dropping-particle" : "", "parse-names" : false, "suffix" : "" }, { "dropping-particle" : "", "family" : "Perez", "given" : "C", "non-dropping-particle" : "", "parse-names" : false, "suffix" : "" }, { "dropping-particle" : "", "family" : "Hernandez", "given" : "Vi", "non-dropping-particle" : "", "parse-names" : false, "suffix" : "" }, { "dropping-particle" : "", "family" : "Martin", "given" : "a S", "non-dropping-particle" : "", "parse-names" : false, "suffix" : "" }, { "dropping-particle" : "", "family" : "Sanchez-olate", "given" : "M", "non-dropping-particle" : "", "parse-names" : false, "suffix" : "" }, { "dropping-particle" : "", "family" : "Rios", "given" : "D", "non-dropping-particle" : "", "parse-names" : false, "suffix" : "" } ], "container-title" : "American Journal of Plant Sciences", "id" : "ITEM-1", "issue" : "May", "issued" : { "date-parts" : [ [ "2012" ] ] }, "page" : "589-595", "title" : "Induction of defensive responses in Eucalyptus globulus (Labill) plants, against Ctenarytaina eucalypti (Maskell) (Hemiptera : Psyllidae)", "type" : "article-journal", "volume" : "2012" }, "uris" : [ "http://www.mendeley.com/documents/?uuid=58f0cb7d-b467-4745-b245-d97298aeef63" ] } ], "mendeley" : { "formattedCitation" : "[71]", "plainTextFormattedCitation" : "[71]", "previouslyFormattedCitation" : "[70]" }, "properties" : { "noteIndex" : 0 }, "schema" : "https://github.com/citation-style-language/schema/raw/master/csl-citation.json" }</w:instrText>
      </w:r>
      <w:r>
        <w:fldChar w:fldCharType="separate"/>
      </w:r>
      <w:r>
        <w:t>[71]</w:t>
      </w:r>
      <w:r>
        <w:fldChar w:fldCharType="end"/>
      </w:r>
      <w:r>
        <w:t xml:space="preserve">. The involvement of this mechanism in plant-galler interactions has been demonstrated in a few systems. For example, </w:t>
      </w:r>
      <w:r>
        <w:fldChar w:fldCharType="begin" w:fldLock="1"/>
      </w:r>
      <w:r>
        <w:instrText xml:space="preserve">ADDIN CSL_CITATION { "citationItems" : [ { "id" : "ITEM-1", "itemData" : { "DOI" : "10.1590/S0103-50532010000300023", "ISSN" : "01035053", "abstract" : "Baccharis spicata (Asteraceae) e Schinus polygamus (Anacardiaceae) s\u00e3o plantas nativas do Rio Grande do Sul e s\u00e3o hospedeiras de dois psil\u00eddeos galhadores (Hemiptera, Psyllidae) ainda n\u00e3o identificados. As duas plantas em estudo produzem \u00f3leo essencial e seus compostos vol\u00e1teis podem ter um importante papel na intera\u00e7\u00e3o inseto-planta. A extra\u00e7\u00e3o e an\u00e1lise dos vol\u00e1teis das folhas, folhas galhadas e galhas foram realizadas por microextra\u00e7\u00e3o em fase s\u00f3lida no modo headspace e por cromatografia gasosa com detector de espectrometria de massas. Verificou-se que a composi\u00e7\u00e3o do headspace das galhas de B. spicata e S. polygamus \u00e9 diferente daquela do headspace das folhas sadias. A principal altera\u00e7\u00e3o observada foi o aumento da contribui\u00e7\u00e3o de monoterpenos no headspace das galhas comparativamente ao que se verificou nos tecidos saud\u00e1veis. Algumas mudan\u00e7as tamb\u00e9m foram observadas na produ\u00e7\u00e3o de vol\u00e1teis verdes, em ambas as esp\u00e9cies, mas especialmente na S. polygamus. O poss\u00edvel papel ecol\u00f3gico desses compostos qu\u00edmicos tamb\u00e9m \u00e9 discutido.", "author" : [ { "dropping-particle" : "", "family" : "Damasceno", "given" : "Flaviana C.", "non-dropping-particle" : "", "parse-names" : false, "suffix" : "" }, { "dropping-particle" : "", "family" : "Nicolli", "given" : "Karine P.", "non-dropping-particle" : "", "parse-names" : false, "suffix" : "" }, { "dropping-particle" : "", "family" : "Caram\u0303o", "given" : "Elina Bastos", "non-dropping-particle" : "", "parse-names" : false, "suffix" : "" }, { "dropping-particle" : "", "family" : "Soares", "given" : "G. L G", "non-dropping-particle" : "", "parse-names" : false, "suffix" : "" }, { "dropping-particle" : "", "family" : "Zini", "given" : "Cl\u00e1udia A.", "non-dropping-particle" : "", "parse-names" : false, "suffix" : "" } ], "container-title" : "Journal of the Brazilian Chemical Society", "id" : "ITEM-1", "issue" : "3", "issued" : { "date-parts" : [ [ "2010" ] ] }, "page" : "556-563", "title" : "Changes in the volatile organic profile of schinus polygamus (Anacardiaceae) and Baccharis spicata (Asteraceae) induced by galling psyllids", "type" : "article-journal", "volume" : "21" }, "uris" : [ "http://www.mendeley.com/documents/?uuid=1d682051-d447-4739-920d-5eef816b05fc" ] } ], "mendeley" : { "formattedCitation" : "[72]", "manualFormatting" : "Damasceno et al. (2010)", "plainTextFormattedCitation" : "[72]", "previouslyFormattedCitation" : "[71]" }, "properties" : { "noteIndex" : 0 }, "schema" : "https://github.com/citation-style-language/schema/raw/master/csl-citation.json" }</w:instrText>
      </w:r>
      <w:r>
        <w:fldChar w:fldCharType="separate"/>
      </w:r>
      <w:r>
        <w:t>Damasceno et al. (2010)</w:t>
      </w:r>
      <w:r>
        <w:fldChar w:fldCharType="end"/>
      </w:r>
      <w:r>
        <w:t xml:space="preserve"> showed that feeding by unidentified galling psyllids caused a change in the volatile profile of </w:t>
      </w:r>
      <w:r>
        <w:rPr>
          <w:i/>
        </w:rPr>
        <w:t>Schinus polygamous</w:t>
      </w:r>
      <w:r>
        <w:t xml:space="preserve"> (peppertree)</w:t>
      </w:r>
      <w:r>
        <w:rPr>
          <w:i/>
        </w:rPr>
        <w:t xml:space="preserve"> </w:t>
      </w:r>
      <w:r>
        <w:t xml:space="preserve">and </w:t>
      </w:r>
      <w:r>
        <w:rPr>
          <w:i/>
        </w:rPr>
        <w:t>Baccharis spicata</w:t>
      </w:r>
      <w:r>
        <w:t xml:space="preserve">. Similarly, </w:t>
      </w:r>
      <w:r>
        <w:fldChar w:fldCharType="begin" w:fldLock="1"/>
      </w:r>
      <w:r>
        <w:instrText xml:space="preserve">ADDIN CSL_CITATION { "citationItems" : [ { "id" : "ITEM-1", "itemData" : { "DOI" : "10.1093/pcp/pcv064", "ISSN" : "14719053", "PMID" : "25948810", "abstract" : "Plants have evolved complex defenses that allow them to protect themselves against pests and pathogens. However, there is relatively little information regarding the Eucalyptus defensome. Leptocybe invasa is one of the most damaging pests in global Eucalyptus forestry, and essentially nothing is known regarding the molecular mechanisms governing the interaction between the pest and host. The aim of the study was to investigate changes in the transcriptional landscape and terpene profile of a resistant and susceptible Eucalyptus genotype in an effort to improve our understanding of this interaction. We used RNA-seqencing to investigate transcriptional changes following L. invasa oviposition. Expression levels were validated using real-time quantitative PCR. Terpene profiles were investigated using gas chromatography coupled to mass spectometry on uninfested and oviposited leaves. We found 698 and 1,115 significantly differentially expressed genes from the resistant and susceptible interactions, respectively. Gene Ontology enrichment and Mapman analyses identified putative defense mechanisms including cell wall reinforcement, protease inhibitors, cell cycle suppression and regulatory hormone signaling pathways. There were significant differences in the mono- and sesquiterpene profiles between genotypes and between control and infested material. A model of the interaction between Eucalyptus and L. invasa was proposed from the transcriptomic and chemical data.", "author" : [ { "dropping-particle" : "", "family" : "Oates", "given" : "Caryn N.", "non-dropping-particle" : "", "parse-names" : false, "suffix" : "" }, { "dropping-particle" : "", "family" : "K\u00fclheim", "given" : "Carsten", "non-dropping-particle" : "", "parse-names" : false, "suffix" : "" }, { "dropping-particle" : "", "family" : "Myburg", "given" : "Alexander A.", "non-dropping-particle" : "", "parse-names" : false, "suffix" : "" }, { "dropping-particle" : "", "family" : "Slippers", "given" : "Bernard", "non-dropping-particle" : "", "parse-names" : false, "suffix" : "" }, { "dropping-particle" : "", "family" : "Naidoo", "given" : "Sanushka", "non-dropping-particle" : "", "parse-names" : false, "suffix" : "" } ], "container-title" : "Plant and Cell Physiology", "id" : "ITEM-1", "issue" : "7", "issued" : { "date-parts" : [ [ "2015" ] ] }, "page" : "1418-1428", "title" : "The transcriptome and terpene profile of Eucalyptus grandis reveals mechanisms of defense against the insect pest, Leptocybe invasa", "type" : "article-journal", "volume" : "56" }, "uris" : [ "http://www.mendeley.com/documents/?uuid=01746e54-05c6-45bc-b932-edb0fdda9828" ] } ], "mendeley" : { "formattedCitation" : "[23]", "manualFormatting" : "Oates et al. (2015)", "plainTextFormattedCitation" : "[23]", "previouslyFormattedCitation" : "[23]" }, "properties" : { "noteIndex" : 0 }, "schema" : "https://github.com/citation-style-language/schema/raw/master/csl-citation.json" }</w:instrText>
      </w:r>
      <w:r>
        <w:fldChar w:fldCharType="separate"/>
      </w:r>
      <w:r>
        <w:t>Oates et al. (2015)</w:t>
      </w:r>
      <w:r>
        <w:fldChar w:fldCharType="end"/>
      </w:r>
      <w:r>
        <w:t xml:space="preserve"> showed that the blue gum chalcid wasp, </w:t>
      </w:r>
      <w:r>
        <w:rPr>
          <w:i/>
        </w:rPr>
        <w:t>Leptocybe invasa</w:t>
      </w:r>
      <w:r>
        <w:t xml:space="preserve">, induced changes in the volatile terpene profile of a resistant or susceptible host. Tellingly, galling insects have been shown to actively suppress the indirect responses of their hosts in susceptible interactions </w:t>
      </w:r>
      <w:r>
        <w:fldChar w:fldCharType="begin" w:fldLock="1"/>
      </w:r>
      <w:r>
        <w:instrText xml:space="preserve">ADDIN CSL_CITATION { "citationItems" : [ { "id" : "ITEM-1", "itemData" : { "DOI" : "10.1111/j.1469-8137.2008.02392.x", "ISBN" : "0028-646X", "ISSN" : "0028646X", "PMID" : "18331430", "abstract" : "Parasitic species can dramatically alter host traits. Some of these parasite-induced changes can be considered adaptive manipulations that benefit the parasites. Gall-inducing insects are parasites well known for their ability to alter host-plant morphology and physiology, including the distribution of plant defensive compounds. Here it was investigated whether gall-inducing species alter indirect plant defenses, involving the release of volatile compounds that are attractive to foraging natural enemies. Using field and factorial laboratory experiments, volatile production by goldenrod (Solidago altissima) plants was examined in response to attack by two gall-inducing species, the tephritid fly Eurosta solidaginis and the gelechiid moth Gnorimoschema gallaesolidaginis, as well as the meadow spittlebug, Philaenus spumarius, and the generalist caterpillar Heliothis virescens. Heliothis virescens elicited strong indirect defensive responses from S. altissima, but the gall-inducing species and spittlebugs did not. More significantly, infestation by E. solidaginis appeared to suppress volatile responses to subsequent attack by the generalist caterpillar. The extensive control that E. solidaginis apparently exerts over host-plant defense responses may reduce the predation risk for the gall inducer and the subsequent herbivore, and could influence community-level dynamics, including the distribution of herbivorous insect species associated with S. altissima parasitized by E. solidaginis.", "author" : [ { "dropping-particle" : "", "family" : "Tooker", "given" : "John F.", "non-dropping-particle" : "", "parse-names" : false, "suffix" : "" }, { "dropping-particle" : "", "family" : "Rohr", "given" : "Jason R.", "non-dropping-particle" : "", "parse-names" : false, "suffix" : "" }, { "dropping-particle" : "", "family" : "Abrahamson", "given" : "Warren G.", "non-dropping-particle" : "", "parse-names" : false, "suffix" : "" }, { "dropping-particle" : "", "family" : "Moraes", "given" : "Consuelo M.", "non-dropping-particle" : "De", "parse-names" : false, "suffix" : "" } ], "container-title" : "New Phytologist", "id" : "ITEM-1", "issue" : "3", "issued" : { "date-parts" : [ [ "2008" ] ] }, "page" : "657-671", "title" : "Gall insects can avoid and alter indirect plant defenses", "type" : "article-journal", "volume" : "178" }, "uris" : [ "http://www.mendeley.com/documents/?uuid=924639c5-106c-4166-b37e-514fe03540ff" ] }, { "id" : "ITEM-2", "itemData" : { "DOI" : "10.1111/j.1365-2311.2007.00852.x", "ISBN" : "0307-6946", "ISSN" : "03076946", "abstract" : "1. Recent research has addressed the function of herbivore-induced plant volatiles in attracting natural enemies of feeding herbivores. While many types of insect herbivory appear to elicit volatile responses, those triggered by gall insects have received little attention. Previous work indicates that at least one gall insect species induces changes in host-plant volatiles, but no other studies appear to have addressed whether gall insects trigger plant indirect defences. 2. The volatile responses of wheat to feeding by larvae of the Hessian fly Mayetiola destructor (Say) (Diptera: Cecidomyiidae) were studied to further explore indirect responses of plants to feeding by gall insects. This specialist gall midge species did not elicit a detectable volatile response from wheat plants, whereas a generalist caterpillar triggered volatile release. Moreover, Hessian fly feeding altered volatile responses to subsequent caterpillar herbivory. 3. These results suggest that Hessian fly larvae exert a degree of control over the defensive responses of their host plants and offer insight into plant-gall insect interactions. Also, the failure of Hessian fly larvae to elicit an indirect defensive response from their host plants may help explain why natural enemies, which often rely on induced volatile cues, fail to inflict significant mortality on M. destructor populations in the field.", "author" : [ { "dropping-particle" : "", "family" : "Tooker", "given" : "John F.", "non-dropping-particle" : "", "parse-names" : false, "suffix" : "" }, { "dropping-particle" : "", "family" : "Moraes", "given" : "Consuelo M.", "non-dropping-particle" : "De", "parse-names" : false, "suffix" : "" } ], "container-title" : "Ecological Entomology", "id" : "ITEM-2", "issued" : { "date-parts" : [ [ "2007" ] ] }, "page" : "153-161", "title" : "Feeding by Hessian fly [Mayetiola destructor (Say)] larvae does not induce plant indirect defences", "type" : "article-journal", "volume" : "32" }, "uris" : [ "http://www.mendeley.com/documents/?uuid=f3a3884d-2b5a-4b16-882e-629957064b66" ] } ], "mendeley" : { "formattedCitation" : "[4,73]", "plainTextFormattedCitation" : "[4,73]", "previouslyFormattedCitation" : "[4,72]" }, "properties" : { "noteIndex" : 0 }, "schema" : "https://github.com/citation-style-language/schema/raw/master/csl-citation.json" }</w:instrText>
      </w:r>
      <w:r>
        <w:fldChar w:fldCharType="separate"/>
      </w:r>
      <w:r>
        <w:t>[4,73]</w:t>
      </w:r>
      <w:r>
        <w:fldChar w:fldCharType="end"/>
      </w:r>
      <w:r>
        <w:rPr>
          <w:highlight w:val="red"/>
        </w:rPr>
        <w:t xml:space="preserve">; however, gall-inducers suffer high mortality rates from parasitoids and additional studies are needed to determine the role of induced volatile changes </w:t>
      </w:r>
      <w:r>
        <w:rPr>
          <w:highlight w:val="red"/>
        </w:rPr>
        <w:fldChar w:fldCharType="begin" w:fldLock="1"/>
      </w:r>
      <w:r>
        <w:rPr>
          <w:highlight w:val="red"/>
        </w:rPr>
        <w:instrText xml:space="preserve">ADDIN CSL_CITATION { "citationItems" : [ { "id" : "ITEM-1", "itemData" : { "DOI" : "10.1016/S0169-5347(03)00247-7", "ISSN" : "01695347", "author" : [ { "dropping-particle" : "", "family" : "Stone", "given" : "Graham N.", "non-dropping-particle" : "", "parse-names" : false, "suffix" : "" }, { "dropping-particle" : "", "family" : "Sch\u00f6nrogge", "given" : "Karsten", "non-dropping-particle" : "", "parse-names" : false, "suffix" : "" } ], "container-title" : "Trends in Ecology &amp; Evolution", "id" : "ITEM-1", "issue" : "10", "issued" : { "date-parts" : [ [ "2003", "10" ] ] }, "note" : "Discusses three primary hypotheses about the adaptive significance of insect gall morphology. Nutrition, Microenvironment and Enemies hypotheses.\n\n\nMany examples.", "page" : "512-522", "title" : "The adaptive significance of insect gall morphology", "type" : "article-journal", "volume" : "18" }, "uris" : [ "http://www.mendeley.com/documents/?uuid=e5d10388-e525-4f41-9532-cae87e53c754" ] } ], "mendeley" : { "formattedCitation" : "[1]", "plainTextFormattedCitation" : "[1]", "previouslyFormattedCitation" : "[1]" }, "properties" : { "noteIndex" : 0 }, "schema" : "https://github.com/citation-style-language/schema/raw/master/csl-citation.json" }</w:instrText>
      </w:r>
      <w:r>
        <w:rPr>
          <w:highlight w:val="red"/>
        </w:rPr>
        <w:fldChar w:fldCharType="separate"/>
      </w:r>
      <w:r>
        <w:rPr>
          <w:highlight w:val="red"/>
        </w:rPr>
        <w:t>[1]</w:t>
      </w:r>
      <w:r>
        <w:rPr>
          <w:highlight w:val="red"/>
        </w:rPr>
        <w:fldChar w:fldCharType="end"/>
      </w:r>
      <w:r>
        <w:rPr>
          <w:highlight w:val="red"/>
        </w:rPr>
        <w:t>.</w:t>
      </w:r>
    </w:p>
    <w:p>
      <w:pPr>
        <w:pStyle w:val="35"/>
      </w:pPr>
      <w:r>
        <w:t xml:space="preserve">To date, there are relatively few studies that have examined plant responses to infestation by galling insects. These studies have provided information on putative defence mechanisms that are employed by the plant during resistance and, as discussed earlier, possible pathways that are targeted by the insect during susceptibility. However, there is extremely limited information regarding the direct interactions between the pest and its host. The availability of more datasets as well as more detailed experiments, for example a time series analysis of the earliest interaction between the organisms, will </w:t>
      </w:r>
      <w:r>
        <w:rPr>
          <w:highlight w:val="red"/>
        </w:rPr>
        <w:t>allow for the development of a model plant-galling insect interaction network. This will</w:t>
      </w:r>
      <w:r>
        <w:t xml:space="preserve"> significantly improve our understanding of the plant-galling insect interaction </w:t>
      </w:r>
      <w:r>
        <w:rPr>
          <w:highlight w:val="red"/>
        </w:rPr>
        <w:t>by facilitating comparative analyses of galling systems where limited data is available.</w:t>
      </w:r>
    </w:p>
    <w:p>
      <w:pPr>
        <w:pStyle w:val="150"/>
        <w:rPr>
          <w:lang w:val="en-GB"/>
        </w:rPr>
      </w:pPr>
      <w:r>
        <w:t xml:space="preserve">5. </w:t>
      </w:r>
      <w:r>
        <w:rPr>
          <w:lang w:val="en-GB"/>
        </w:rPr>
        <w:t>Host-Pest Interactions: Enter Systems Biology</w:t>
      </w:r>
    </w:p>
    <w:p>
      <w:pPr>
        <w:pStyle w:val="35"/>
        <w:rPr>
          <w:lang w:val="en-GB"/>
        </w:rPr>
      </w:pPr>
      <w:r>
        <w:rPr>
          <w:lang w:val="en-GB"/>
        </w:rPr>
        <w:t xml:space="preserve">The interaction between a plant and a pest involves complex networks of molecular and physiological processes within and between each organism (interactome). These processes are multi-layered, stretching from molecular to organismal (Figure 1a) that all contribute to the outcome of the interaction, i.e. whether the plant launches a successful defence response, or whether the pest launches a successful infestation. Natural systems introduce a multitude of additional complicating factors to the relationship ranging from the pest’s level of specialisation and feeding guild to the ecological community and abiotic factors. Understanding plant-pest interactions at a systems level is indispensable to elucidating the mechanisms behind the interactions. However, a combined understanding of how systems components interact to determine the outcome is required for a holistic view of such a complex, multidimensional system and is becoming increasingly important for developing strategies to control existing and emerging pests </w:t>
      </w:r>
      <w:r>
        <w:rPr>
          <w:lang w:val="en-GB"/>
        </w:rPr>
        <w:fldChar w:fldCharType="begin" w:fldLock="1"/>
      </w:r>
      <w:r>
        <w:rPr>
          <w:lang w:val="en-GB"/>
        </w:rPr>
        <w:instrText xml:space="preserve">ADDIN CSL_CITATION { "citationItems" : [ { "id" : "ITEM-1", "itemData" : { "DOI" : "10.1093/jxb/eru489", "author" : [ { "dropping-particle" : "", "family" : "Barah", "given" : "Pankaj", "non-dropping-particle" : "", "parse-names" : false, "suffix" : "" }, { "dropping-particle" : "", "family" : "Bones", "given" : "Atle M", "non-dropping-particle" : "", "parse-names" : false, "suffix" : "" } ], "container-title" : "Journal of experimental botany", "id" : "ITEM-1", "issue" : "2", "issued" : { "date-parts" : [ [ "2015" ] ] }, "page" : "479-493", "title" : "Multidimensional approaches for studying plant defence against insects : from ecology to omics and synthetic biology", "type" : "article-journal", "volume" : "66" }, "uris" : [ "http://www.mendeley.com/documents/?uuid=06565a90-ff69-45af-b8d2-14a842f46322" ] }, { "id" : "ITEM-2", "itemData" : { "DOI" : "10.1016/j.tim.2011.07.007", "ISSN" : "0966-842X", "author" : [ { "dropping-particle" : "", "family" : "Rizzetto", "given" : "Lisa", "non-dropping-particle" : "", "parse-names" : false, "suffix" : "" }, { "dropping-particle" : "", "family" : "Cavalieri", "given" : "Duccio", "non-dropping-particle" : "", "parse-names" : false, "suffix" : "" } ], "container-title" : "Trends in Microbiology", "id" : "ITEM-2", "issue" : "10", "issued" : { "date-parts" : [ [ "2011" ] ] }, "page" : "509-515", "publisher" : "Elsevier Ltd", "title" : "Friend or foe : using systems biology to elucidate interactions between fungi and their hosts", "type" : "article-journal", "volume" : "19" }, "uris" : [ "http://www.mendeley.com/documents/?uuid=d5189fd6-1173-4f51-bae5-6ffd91fd3f8c" ] } ], "mendeley" : { "formattedCitation" : "[6,74]", "plainTextFormattedCitation" : "[6,74]", "previouslyFormattedCitation" : "[6,73]" }, "properties" : { "noteIndex" : 0 }, "schema" : "https://github.com/citation-style-language/schema/raw/master/csl-citation.json" }</w:instrText>
      </w:r>
      <w:r>
        <w:rPr>
          <w:lang w:val="en-GB"/>
        </w:rPr>
        <w:fldChar w:fldCharType="separate"/>
      </w:r>
      <w:r>
        <w:rPr>
          <w:lang w:val="en-GB"/>
        </w:rPr>
        <w:t>[6,74]</w:t>
      </w:r>
      <w:r>
        <w:fldChar w:fldCharType="end"/>
      </w:r>
      <w:r>
        <w:rPr>
          <w:lang w:val="en-GB"/>
        </w:rPr>
        <w:t>.</w:t>
      </w:r>
    </w:p>
    <w:p>
      <w:pPr>
        <w:pStyle w:val="35"/>
        <w:rPr>
          <w:lang w:val="en-GB"/>
        </w:rPr>
      </w:pPr>
      <w:r>
        <w:rPr>
          <w:lang w:val="en-GB"/>
        </w:rPr>
        <w:t xml:space="preserve">Systems biology is the study of complex biological systems. The field is defined by an iterative cycle of multi-layered omics data generation and modelling of data that generates new hypotheses that are tested in the laboratory and used to refine the model (Figure 1b) </w:t>
      </w:r>
      <w:r>
        <w:rPr>
          <w:lang w:val="en-GB"/>
        </w:rPr>
        <w:fldChar w:fldCharType="begin" w:fldLock="1"/>
      </w:r>
      <w:r>
        <w:rPr>
          <w:lang w:val="en-GB"/>
        </w:rPr>
        <w:instrText xml:space="preserve">ADDIN CSL_CITATION { "citationItems" : [ { "id" : "ITEM-1", "itemData" : { "DOI" : "10.1016/j.cmi.2016.04.014", "ISSN" : "1198-743X", "author" : [ { "dropping-particle" : "", "family" : "Dix", "given" : "A", "non-dropping-particle" : "", "parse-names" : false, "suffix" : "" }, { "dropping-particle" : "", "family" : "Vlaic", "given" : "S", "non-dropping-particle" : "", "parse-names" : false, "suffix" : "" }, { "dropping-particle" : "", "family" : "Guthke", "given" : "R", "non-dropping-particle" : "", "parse-names" : false, "suffix" : "" }, { "dropping-particle" : "", "family" : "Linde", "given" : "J", "non-dropping-particle" : "", "parse-names" : false, "suffix" : "" } ], "container-title" : "Clinical Microbiology and Infection", "id" : "ITEM-1", "issued" : { "date-parts" : [ [ "2016" ] ] }, "page" : "1-7", "publisher" : "Elsevier Ltd", "title" : "Use of systems biology to decipher host e pathogen interaction networks and predict biomarkers", "type" : "article-journal" }, "uris" : [ "http://www.mendeley.com/documents/?uuid=70759442-5105-4a47-ab77-1d3f5fc287fa" ] }, { "id" : "ITEM-2", "itemData" : { "DOI" : "10.1007/s00425-014-2059-5", "author" : [ { "dropping-particle" : "", "family" : "Sheth", "given" : "Bhavisha P", "non-dropping-particle" : "", "parse-names" : false, "suffix" : "" }, { "dropping-particle" : "", "family" : "Thaker", "given" : "Vrinda S", "non-dropping-particle" : "", "parse-names" : false, "suffix" : "" } ], "id" : "ITEM-2", "issued" : { "date-parts" : [ [ "2014" ] ] }, "page" : "33-54", "title" : "Plant systems biology : insights , advances and challenges", "type" : "article-journal" }, "uris" : [ "http://www.mendeley.com/documents/?uuid=ca6132e5-8dc3-467e-b589-b13cab1c5c61" ] } ], "mendeley" : { "formattedCitation" : "[60,75]", "plainTextFormattedCitation" : "[60,75]", "previouslyFormattedCitation" : "[59,74]" }, "properties" : { "noteIndex" : 0 }, "schema" : "https://github.com/citation-style-language/schema/raw/master/csl-citation.json" }</w:instrText>
      </w:r>
      <w:r>
        <w:rPr>
          <w:lang w:val="en-GB"/>
        </w:rPr>
        <w:fldChar w:fldCharType="separate"/>
      </w:r>
      <w:r>
        <w:rPr>
          <w:lang w:val="en-GB"/>
        </w:rPr>
        <w:t>[60,75]</w:t>
      </w:r>
      <w:r>
        <w:fldChar w:fldCharType="end"/>
      </w:r>
      <w:r>
        <w:rPr>
          <w:lang w:val="en-GB"/>
        </w:rPr>
        <w:t xml:space="preserve">. Biological systems models are frequently displayed as networks, which is a useful way of understanding how the system is organised </w:t>
      </w:r>
      <w:r>
        <w:rPr>
          <w:lang w:val="en-GB"/>
        </w:rPr>
        <w:fldChar w:fldCharType="begin" w:fldLock="1"/>
      </w:r>
      <w:r>
        <w:rPr>
          <w:lang w:val="en-GB"/>
        </w:rPr>
        <w:instrText xml:space="preserve">ADDIN CSL_CITATION { "citationItems" : [ { "id" : "ITEM-1", "itemData" : { "DOI" : "10.1038/nrg1272", "ISSN" : "1471-0056", "PMID" : "14735121", "author" : [ { "dropping-particle" : "", "family" : "Barab\u00e1si", "given" : "Albert-l\u00e1szl\u00f3", "non-dropping-particle" : "", "parse-names" : false, "suffix" : "" }, { "dropping-particle" : "", "family" : "Oltvai", "given" : "Z.N.", "non-dropping-particle" : "", "parse-names" : false, "suffix" : "" } ], "container-title" : "Nature Reviews Genetics", "id" : "ITEM-1", "issue" : "2", "issued" : { "date-parts" : [ [ "2004" ] ] }, "page" : "101\u2013113", "title" : "Network biology: understanding the cell's functional organization", "type" : "article-journal", "volume" : "5" }, "uris" : [ "http://www.mendeley.com/documents/?uuid=cc99895d-1284-4f2c-bbff-6b140be33a27" ] } ], "mendeley" : { "formattedCitation" : "[76]", "plainTextFormattedCitation" : "[76]", "previouslyFormattedCitation" : "[75]" }, "properties" : { "noteIndex" : 0 }, "schema" : "https://github.com/citation-style-language/schema/raw/master/csl-citation.json" }</w:instrText>
      </w:r>
      <w:r>
        <w:rPr>
          <w:lang w:val="en-GB"/>
        </w:rPr>
        <w:fldChar w:fldCharType="separate"/>
      </w:r>
      <w:r>
        <w:rPr>
          <w:lang w:val="en-GB"/>
        </w:rPr>
        <w:t>[76]</w:t>
      </w:r>
      <w:r>
        <w:fldChar w:fldCharType="end"/>
      </w:r>
      <w:r>
        <w:rPr>
          <w:lang w:val="en-GB"/>
        </w:rPr>
        <w:t xml:space="preserve">. Systems biology approaches can be categorised as bottom-up and top-down, where the bottom describes the molecular interactions of molecules and the top is the holistic view of the system which is generally created by genome-wide analysis of omics data </w:t>
      </w:r>
      <w:r>
        <w:rPr>
          <w:lang w:val="en-GB"/>
        </w:rPr>
        <w:fldChar w:fldCharType="begin" w:fldLock="1"/>
      </w:r>
      <w:r>
        <w:rPr>
          <w:lang w:val="en-GB"/>
        </w:rPr>
        <w:instrText xml:space="preserve">ADDIN CSL_CITATION { "citationItems" : [ { "id" : "ITEM-1", "itemData" : { "DOI" : "10.1016/j.cmi.2016.04.014", "ISSN" : "1198-743X", "author" : [ { "dropping-particle" : "", "family" : "Dix", "given" : "A", "non-dropping-particle" : "", "parse-names" : false, "suffix" : "" }, { "dropping-particle" : "", "family" : "Vlaic", "given" : "S", "non-dropping-particle" : "", "parse-names" : false, "suffix" : "" }, { "dropping-particle" : "", "family" : "Guthke", "given" : "R", "non-dropping-particle" : "", "parse-names" : false, "suffix" : "" }, { "dropping-particle" : "", "family" : "Linde", "given" : "J", "non-dropping-particle" : "", "parse-names" : false, "suffix" : "" } ], "container-title" : "Clinical Microbiology and Infection", "id" : "ITEM-1", "issued" : { "date-parts" : [ [ "2016" ] ] }, "page" : "1-7", "publisher" : "Elsevier Ltd", "title" : "Use of systems biology to decipher host e pathogen interaction networks and predict biomarkers", "type" : "article-journal" }, "uris" : [ "http://www.mendeley.com/documents/?uuid=70759442-5105-4a47-ab77-1d3f5fc287fa" ] } ], "mendeley" : { "formattedCitation" : "[75]", "plainTextFormattedCitation" : "[75]", "previouslyFormattedCitation" : "[74]" }, "properties" : { "noteIndex" : 0 }, "schema" : "https://github.com/citation-style-language/schema/raw/master/csl-citation.json" }</w:instrText>
      </w:r>
      <w:r>
        <w:rPr>
          <w:lang w:val="en-GB"/>
        </w:rPr>
        <w:fldChar w:fldCharType="separate"/>
      </w:r>
      <w:r>
        <w:rPr>
          <w:lang w:val="en-GB"/>
        </w:rPr>
        <w:t>[75]</w:t>
      </w:r>
      <w:r>
        <w:fldChar w:fldCharType="end"/>
      </w:r>
      <w:r>
        <w:rPr>
          <w:lang w:val="en-GB"/>
        </w:rPr>
        <w:t xml:space="preserve">. Integrating information from various datasets and types, for example gene expression and protein-protein interaction data, is a powerful method of capturing the dynamics, complexity and emergent properties of a system </w:t>
      </w:r>
      <w:r>
        <w:rPr>
          <w:lang w:val="en-GB"/>
        </w:rPr>
        <w:fldChar w:fldCharType="begin" w:fldLock="1"/>
      </w:r>
      <w:r>
        <w:rPr>
          <w:lang w:val="en-GB"/>
        </w:rPr>
        <w:instrText xml:space="preserve">ADDIN CSL_CITATION { "citationItems" : [ { "id" : "ITEM-1", "itemData" : { "DOI" : "10.1104/pp.114.254292", "ISSN" : "0032-0889", "author" : [ { "dropping-particle" : "", "family" : "Dong", "given" : "Xiaobao", "non-dropping-particle" : "", "parse-names" : false, "suffix" : "" }, { "dropping-particle" : "", "family" : "Jiang", "given" : "Zhenhong", "non-dropping-particle" : "", "parse-names" : false, "suffix" : "" }, { "dropping-particle" : "", "family" : "Peng", "given" : "You-Liang", "non-dropping-particle" : "", "parse-names" : false, "suffix" : "" }, { "dropping-particle" : "", "family" : "Zhang", "given" : "Ziding", "non-dropping-particle" : "", "parse-names" : false, "suffix" : "" } ], "container-title" : "Plant Physiology", "id" : "ITEM-1", "issued" : { "date-parts" : [ [ "2015" ] ] }, "page" : "pp.114.254292", "title" : "Revealing Shared and Distinct Gene Network Organization in Arabidopsis Immune Responses by Integrative Analysis", "type" : "article-journal" }, "uris" : [ "http://www.mendeley.com/documents/?uuid=24a217cf-f109-419e-afba-87b7ed017703" ] }, { "id" : "ITEM-2", "itemData" : { "DOI" : "10.1007/s00425-014-2059-5", "author" : [ { "dropping-particle" : "", "family" : "Sheth", "given" : "Bhavisha P", "non-dropping-particle" : "", "parse-names" : false, "suffix" : "" }, { "dropping-particle" : "", "family" : "Thaker", "given" : "Vrinda S", "non-dropping-particle" : "", "parse-names" : false, "suffix" : "" } ], "id" : "ITEM-2", "issued" : { "date-parts" : [ [ "2014" ] ] }, "page" : "33-54", "title" : "Plant systems biology : insights , advances and challenges", "type" : "article-journal" }, "uris" : [ "http://www.mendeley.com/documents/?uuid=ca6132e5-8dc3-467e-b589-b13cab1c5c61" ] } ], "mendeley" : { "formattedCitation" : "[56,60]", "plainTextFormattedCitation" : "[56,60]", "previouslyFormattedCitation" : "[55,59]" }, "properties" : { "noteIndex" : 0 }, "schema" : "https://github.com/citation-style-language/schema/raw/master/csl-citation.json" }</w:instrText>
      </w:r>
      <w:r>
        <w:rPr>
          <w:lang w:val="en-GB"/>
        </w:rPr>
        <w:fldChar w:fldCharType="separate"/>
      </w:r>
      <w:r>
        <w:rPr>
          <w:lang w:val="en-GB"/>
        </w:rPr>
        <w:t>[56,60]</w:t>
      </w:r>
      <w:r>
        <w:fldChar w:fldCharType="end"/>
      </w:r>
      <w:r>
        <w:rPr>
          <w:lang w:val="en-GB"/>
        </w:rPr>
        <w:t>.</w:t>
      </w:r>
    </w:p>
    <w:p>
      <w:pPr>
        <w:pStyle w:val="138"/>
        <w:rPr>
          <w:lang w:val="en-GB"/>
        </w:rPr>
      </w:pPr>
      <w:r>
        <w:rPr>
          <w:lang w:eastAsia="en-US" w:bidi="ar-SA"/>
        </w:rPr>
        <w:drawing>
          <wp:inline distT="0" distB="0" distL="0" distR="0">
            <wp:extent cx="46101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10100" cy="1828800"/>
                    </a:xfrm>
                    <a:prstGeom prst="rect">
                      <a:avLst/>
                    </a:prstGeom>
                    <a:noFill/>
                    <a:ln>
                      <a:noFill/>
                    </a:ln>
                  </pic:spPr>
                </pic:pic>
              </a:graphicData>
            </a:graphic>
          </wp:inline>
        </w:drawing>
      </w:r>
    </w:p>
    <w:p>
      <w:pPr>
        <w:pStyle w:val="137"/>
        <w:rPr>
          <w:lang w:val="en-GB"/>
        </w:rPr>
      </w:pPr>
      <w:r>
        <w:rPr>
          <w:b/>
          <w:lang w:val="en-GB"/>
        </w:rPr>
        <w:t xml:space="preserve">Figure 1. </w:t>
      </w:r>
      <w:r>
        <w:rPr>
          <w:lang w:val="en-GB"/>
        </w:rPr>
        <w:t>Concepts in systems biology approaches. (a) Holistic (top-down) versus reductionist (bottom-up) approaches to study and integrate the various levels of biological systems. (b) Iterative process that is used to generate data and model a biological system.</w:t>
      </w:r>
    </w:p>
    <w:p>
      <w:pPr>
        <w:pStyle w:val="35"/>
        <w:rPr>
          <w:lang w:val="en-GB"/>
        </w:rPr>
      </w:pPr>
      <w:r>
        <w:rPr>
          <w:lang w:val="en-GB"/>
        </w:rPr>
        <w:t xml:space="preserve">Plant-insect interactions are increasingly being investigated using omics technologies </w:t>
      </w:r>
      <w:r>
        <w:rPr>
          <w:lang w:val="en-GB"/>
        </w:rPr>
        <w:fldChar w:fldCharType="begin" w:fldLock="1"/>
      </w:r>
      <w:r>
        <w:rPr>
          <w:lang w:val="en-GB"/>
        </w:rPr>
        <w:instrText xml:space="preserve">ADDIN CSL_CITATION { "citationItems" : [ { "id" : "ITEM-1", "itemData" : { "DOI" : "10.1093/jxb/eru489", "author" : [ { "dropping-particle" : "", "family" : "Barah", "given" : "Pankaj", "non-dropping-particle" : "", "parse-names" : false, "suffix" : "" }, { "dropping-particle" : "", "family" : "Bones", "given" : "Atle M", "non-dropping-particle" : "", "parse-names" : false, "suffix" : "" } ], "container-title" : "Journal of experimental botany", "id" : "ITEM-1", "issue" : "2", "issued" : { "date-parts" : [ [ "2015" ] ] }, "page" : "479-493", "title" : "Multidimensional approaches for studying plant defence against insects : from ecology to omics and synthetic biology", "type" : "article-journal", "volume" : "66" }, "uris" : [ "http://www.mendeley.com/documents/?uuid=06565a90-ff69-45af-b8d2-14a842f46322" ] } ], "mendeley" : { "formattedCitation" : "[6]", "plainTextFormattedCitation" : "[6]", "previouslyFormattedCitation" : "[6]" }, "properties" : { "noteIndex" : 0 }, "schema" : "https://github.com/citation-style-language/schema/raw/master/csl-citation.json" }</w:instrText>
      </w:r>
      <w:r>
        <w:rPr>
          <w:lang w:val="en-GB"/>
        </w:rPr>
        <w:fldChar w:fldCharType="separate"/>
      </w:r>
      <w:r>
        <w:rPr>
          <w:lang w:val="en-GB"/>
        </w:rPr>
        <w:t>[6]</w:t>
      </w:r>
      <w:r>
        <w:fldChar w:fldCharType="end"/>
      </w:r>
      <w:r>
        <w:rPr>
          <w:lang w:val="en-GB"/>
        </w:rPr>
        <w:t xml:space="preserve">. One of the benefits of omics data is that it facilitates analysis of non-model organisms, even in cases where little or no prior knowledge of the system exists </w:t>
      </w:r>
      <w:r>
        <w:rPr>
          <w:lang w:val="en-GB"/>
        </w:rPr>
        <w:fldChar w:fldCharType="begin" w:fldLock="1"/>
      </w:r>
      <w:r>
        <w:rPr>
          <w:lang w:val="en-GB"/>
        </w:rPr>
        <w:instrText xml:space="preserve">ADDIN CSL_CITATION { "citationItems" : [ { "id" : "ITEM-1", "itemData" : { "DOI" : "10.1146/annurev-phyto-102313-050103", "ISSN" : "0066-4286", "PMID" : "24821185", "abstract" : "Deciphering the networks that underpin complex biological processes using experimental data remains a significant, but promising, challenge, a task made all the harder by the added complexity of host-pathogen interactions. The aim of this article is to review the progress in understanding plant immunity made so far by applying network modeling algorithms and to show how this computational/mathematical strategy is facilitating a systems view of plant defense. We review the different types of network modeling that have been used, the data required, and the type of insight that such modeling can provide. We discuss the current challenges in modeling the regulatory networks that underlie plant defense and the future developments that may help address these challenges. Expected final online publication date for the Annual Review of Phytopathology Volume 52 is August 04, 2014. Please see http://www.annualreviews.org/catalog/pubdates.aspx for revised estimates.", "author" : [ { "dropping-particle" : "", "family" : "Windram", "given" : "Oliver", "non-dropping-particle" : "", "parse-names" : false, "suffix" : "" }, { "dropping-particle" : "", "family" : "Penfold", "given" : "Christopher a", "non-dropping-particle" : "", "parse-names" : false, "suffix" : "" }, { "dropping-particle" : "", "family" : "Denby", "given" : "Katherine J", "non-dropping-particle" : "", "parse-names" : false, "suffix" : "" } ], "container-title" : "Annual review of phytopathology", "id" : "ITEM-1", "issue" : "April", "issued" : { "date-parts" : [ [ "2014", "5", "5" ] ] }, "page" : "1-20", "title" : "Network Modeling to Understand Plant Immunity.", "type" : "article-journal" }, "uris" : [ "http://www.mendeley.com/documents/?uuid=773d252f-6e59-44db-965b-6c890293d6eb" ] } ], "mendeley" : { "formattedCitation" : "[7]", "plainTextFormattedCitation" : "[7]", "previouslyFormattedCitation" : "[7]" }, "properties" : { "noteIndex" : 0 }, "schema" : "https://github.com/citation-style-language/schema/raw/master/csl-citation.json" }</w:instrText>
      </w:r>
      <w:r>
        <w:rPr>
          <w:lang w:val="en-GB"/>
        </w:rPr>
        <w:fldChar w:fldCharType="separate"/>
      </w:r>
      <w:r>
        <w:rPr>
          <w:lang w:val="en-GB"/>
        </w:rPr>
        <w:t>[7]</w:t>
      </w:r>
      <w:r>
        <w:fldChar w:fldCharType="end"/>
      </w:r>
      <w:r>
        <w:rPr>
          <w:lang w:val="en-GB"/>
        </w:rPr>
        <w:t xml:space="preserve">. A systems level understanding of the interactions between plants and herbivorous arthropods is currently at a relatively early stage </w:t>
      </w:r>
      <w:r>
        <w:rPr>
          <w:lang w:val="en-GB"/>
        </w:rPr>
        <w:fldChar w:fldCharType="begin" w:fldLock="1"/>
      </w:r>
      <w:r>
        <w:rPr>
          <w:lang w:val="en-GB"/>
        </w:rPr>
        <w:instrText xml:space="preserve">ADDIN CSL_CITATION { "citationItems" : [ { "id" : "ITEM-1", "itemData" : { "DOI" : "10.1093/jxb/eru489", "author" : [ { "dropping-particle" : "", "family" : "Barah", "given" : "Pankaj", "non-dropping-particle" : "", "parse-names" : false, "suffix" : "" }, { "dropping-particle" : "", "family" : "Bones", "given" : "Atle M", "non-dropping-particle" : "", "parse-names" : false, "suffix" : "" } ], "container-title" : "Journal of experimental botany", "id" : "ITEM-1", "issue" : "2", "issued" : { "date-parts" : [ [ "2015" ] ] }, "page" : "479-493", "title" : "Multidimensional approaches for studying plant defence against insects : from ecology to omics and synthetic biology", "type" : "article-journal", "volume" : "66" }, "uris" : [ "http://www.mendeley.com/documents/?uuid=06565a90-ff69-45af-b8d2-14a842f46322" ] } ], "mendeley" : { "formattedCitation" : "[6]", "plainTextFormattedCitation" : "[6]", "previouslyFormattedCitation" : "[6]" }, "properties" : { "noteIndex" : 0 }, "schema" : "https://github.com/citation-style-language/schema/raw/master/csl-citation.json" }</w:instrText>
      </w:r>
      <w:r>
        <w:rPr>
          <w:lang w:val="en-GB"/>
        </w:rPr>
        <w:fldChar w:fldCharType="separate"/>
      </w:r>
      <w:r>
        <w:rPr>
          <w:lang w:val="en-GB"/>
        </w:rPr>
        <w:t>[6]</w:t>
      </w:r>
      <w:r>
        <w:fldChar w:fldCharType="end"/>
      </w:r>
      <w:r>
        <w:rPr>
          <w:lang w:val="en-GB"/>
        </w:rPr>
        <w:t>, perhaps few more so than the interaction between gall-inducers and their hosts. Employing a top-down systems approach to understand these interactions is key to identifying important components in the interaction and, by extension, identifying biotechnological targets aimed at improving plant resistance against insect pests.</w:t>
      </w:r>
    </w:p>
    <w:p>
      <w:pPr>
        <w:pStyle w:val="150"/>
        <w:rPr>
          <w:lang w:val="en-GB"/>
        </w:rPr>
      </w:pPr>
      <w:r>
        <w:rPr>
          <w:lang w:val="en-GB"/>
        </w:rPr>
        <w:t>6. Questions to be Addressed Using Systems Biology Approaches for Plant-Galler Interactions</w:t>
      </w:r>
    </w:p>
    <w:p>
      <w:pPr>
        <w:pStyle w:val="35"/>
        <w:rPr>
          <w:lang w:val="en-GB"/>
        </w:rPr>
      </w:pPr>
      <w:r>
        <w:rPr>
          <w:lang w:val="en-GB"/>
        </w:rPr>
        <w:t xml:space="preserve">In the last decade omics technologies have provided a new and potent means for improving the knowledge of plant-galling insect interactions. In order to initiate gall induction, it is essential that the insect assume control of its host’s cellular machinery. There is a growing body of evidence supporting the involvement of a diverse array of effector proteins and induced phytohormonal imbalances in galling. </w:t>
      </w:r>
      <w:r>
        <w:rPr>
          <w:highlight w:val="red"/>
          <w:lang w:val="en-GB"/>
        </w:rPr>
        <w:t xml:space="preserve">However; to </w:t>
      </w:r>
      <w:r>
        <w:rPr>
          <w:highlight w:val="red"/>
        </w:rPr>
        <w:t xml:space="preserve">interrogate an interaction, a controlled and reliable plant-pest system must be developed (Figure 2a). Microscopy will be a useful tool in identifying important time points during gall or insect development that can be queried using omics approaches (Figure 2a). The development of such a model system will fill an important gap in plant-galling insect research where there is currently a </w:t>
      </w:r>
      <w:r>
        <w:rPr>
          <w:highlight w:val="red"/>
          <w:lang w:val="en-GB"/>
        </w:rPr>
        <w:t>paucity of information linking different biological levels into a coherent system (Figure 1a, Figure 2a). The</w:t>
      </w:r>
      <w:r>
        <w:rPr>
          <w:lang w:val="en-GB"/>
        </w:rPr>
        <w:t xml:space="preserve"> studies discussed herein typically comprised pairwise interactions between host and pest, whilst this is rarely the case under natural conditions. Investigating the targets of effectors and phytohormones, where and how they act during infestation, as well as the contribution of microbial associates to gall induction will be important questions for future studies exploring plant-galling insect interactions (Figure 2b).</w:t>
      </w:r>
    </w:p>
    <w:p>
      <w:pPr>
        <w:pStyle w:val="138"/>
        <w:rPr>
          <w:lang w:val="en-GB"/>
        </w:rPr>
      </w:pPr>
      <w:r>
        <w:drawing>
          <wp:inline distT="0" distB="0" distL="0" distR="0">
            <wp:extent cx="4279900" cy="1828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280482" cy="1828800"/>
                    </a:xfrm>
                    <a:prstGeom prst="rect">
                      <a:avLst/>
                    </a:prstGeom>
                    <a:noFill/>
                    <a:ln>
                      <a:noFill/>
                    </a:ln>
                  </pic:spPr>
                </pic:pic>
              </a:graphicData>
            </a:graphic>
          </wp:inline>
        </w:drawing>
      </w:r>
    </w:p>
    <w:p>
      <w:pPr>
        <w:pStyle w:val="137"/>
        <w:rPr>
          <w:lang w:val="en-GB"/>
        </w:rPr>
      </w:pPr>
      <w:r>
        <w:rPr>
          <w:b/>
          <w:highlight w:val="red"/>
          <w:lang w:val="en-GB"/>
        </w:rPr>
        <w:t xml:space="preserve">Figure 2. </w:t>
      </w:r>
      <w:r>
        <w:rPr>
          <w:highlight w:val="red"/>
          <w:lang w:val="en-GB"/>
        </w:rPr>
        <w:t>Simplified setup of a model plant-galling insect interaction and integration of multi-omics data to interrogate the interactome within and between plant-insect-microbial players during gall formation. (a) The development of a model system enables predictions of important candidates that are subsequently validated and used to improve the model. This resource subsequently facilitates non-model research by enabling comparative analyses. (b) The integration of multiple omics datasets provides a means of interrogating the interactome within and between plant-insect-microbial players during gall formation.</w:t>
      </w:r>
    </w:p>
    <w:p>
      <w:pPr>
        <w:pStyle w:val="35"/>
        <w:rPr>
          <w:lang w:val="en-GB"/>
        </w:rPr>
      </w:pPr>
      <w:r>
        <w:rPr>
          <w:lang w:val="en-GB"/>
        </w:rPr>
        <w:t xml:space="preserve">A key focus for future studies is a better understanding of putative effectors that provide a means for such a wide array of insects to achieve the level of manipulation required to produce a gall. A large proportion of the Hessian fly genome is thought to encode effectors; it will be interesting to compare whether other galler genomes also encode such large effector repertoires. Similarly, it is important to understand the overlap in the targets of insect effectors. A landmark study by </w:t>
      </w:r>
      <w:r>
        <w:rPr>
          <w:lang w:val="en-GB"/>
        </w:rPr>
        <w:fldChar w:fldCharType="begin" w:fldLock="1"/>
      </w:r>
      <w:r>
        <w:rPr>
          <w:lang w:val="en-GB"/>
        </w:rPr>
        <w:instrText xml:space="preserve">ADDIN CSL_CITATION { "citationItems" : [ { "id" : "ITEM-1", "itemData" : { "DOI" : "10.1126/science.1203659", "ISSN" : "1095-9203", "PMID" : "21798943", "abstract" : "Plants generate effective responses to infection by recognizing both conserved and variable pathogen-encoded molecules. Pathogens deploy virulence effector proteins into host cells, where they interact physically with host proteins to modulate defense. We generated an interaction network of plant-pathogen effectors from two pathogens spanning the eukaryote-eubacteria divergence, three classes of Arabidopsis immune system proteins, and ~8000 other Arabidopsis proteins. We noted convergence of effectors onto highly interconnected host proteins and indirect, rather than direct, connections between effectors and plant immune receptors. We demonstrated plant immune system functions for 15 of 17 tested host proteins that interact with effectors from both pathogens. Thus, pathogens from different kingdoms deploy independently evolved virulence proteins that interact with a limited set of highly connected cellular hubs to facilitate their diverse life-cycle strategies.", "author" : [ { "dropping-particle" : "", "family" : "Mukhtar", "given" : "M Shahid", "non-dropping-particle" : "", "parse-names" : false, "suffix" : "" }, { "dropping-particle" : "", "family" : "Carvunis", "given" : "Anne-Ruxandra", "non-dropping-particle" : "", "parse-names" : false, "suffix" : "" }, { "dropping-particle" : "", "family" : "Dreze", "given" : "Matija", "non-dropping-particle" : "", "parse-names" : false, "suffix" : "" }, { "dropping-particle" : "", "family" : "Epple", "given" : "Petra", "non-dropping-particle" : "", "parse-names" : false, "suffix" : "" }, { "dropping-particle" : "", "family" : "Steinbrenner", "given" : "Jens", "non-dropping-particle" : "", "parse-names" : false, "suffix" : "" }, { "dropping-particle" : "", "family" : "Moore", "given" : "Jonathan", "non-dropping-particle" : "", "parse-names" : false, "suffix" : "" }, { "dropping-particle" : "", "family" : "Tasan", "given" : "Murat", "non-dropping-particle" : "", "parse-names" : false, "suffix" : "" }, { "dropping-particle" : "", "family" : "Galli", "given" : "Mary", "non-dropping-particle" : "", "parse-names" : false, "suffix" : "" }, { "dropping-particle" : "", "family" : "Hao", "given" : "Tong", "non-dropping-particle" : "", "parse-names" : false, "suffix" : "" }, { "dropping-particle" : "", "family" : "Nishimura", "given" : "Marc T", "non-dropping-particle" : "", "parse-names" : false, "suffix" : "" }, { "dropping-particle" : "", "family" : "Pevzner", "given" : "Samuel J", "non-dropping-particle" : "", "parse-names" : false, "suffix" : "" }, { "dropping-particle" : "", "family" : "Donovan", "given" : "Susan E", "non-dropping-particle" : "", "parse-names" : false, "suffix" : "" }, { "dropping-particle" : "", "family" : "Ghamsari", "given" : "Lila", "non-dropping-particle" : "", "parse-names" : false, "suffix" : "" }, { "dropping-particle" : "", "family" : "Santhanam", "given" : "Balaji", "non-dropping-particle" : "", "parse-names" : false, "suffix" : "" }, { "dropping-particle" : "", "family" : "Romero", "given" : "Viviana", "non-dropping-particle" : "", "parse-names" : false, "suffix" : "" }, { "dropping-particle" : "", "family" : "Poulin", "given" : "Matthew M", "non-dropping-particle" : "", "parse-names" : false, "suffix" : "" }, { "dropping-particle" : "", "family" : "Gebreab", "given" : "Fana", "non-dropping-particle" : "", "parse-names" : false, "suffix" : "" }, { "dropping-particle" : "", "family" : "Gutierrez", "given" : "Bryan J", "non-dropping-particle" : "", "parse-names" : false, "suffix" : "" }, { "dropping-particle" : "", "family" : "Tam", "given" : "Stanley", "non-dropping-particle" : "", "parse-names" : false, "suffix" : "" }, { "dropping-particle" : "", "family" : "Monachello", "given" : "Dario", "non-dropping-particle" : "", "parse-names" : false, "suffix" : "" }, { "dropping-particle" : "", "family" : "Boxem", "given" : "Mike", "non-dropping-particle" : "", "parse-names" : false, "suffix" : "" }, { "dropping-particle" : "", "family" : "Harbort", "given" : "Christopher J", "non-dropping-particle" : "", "parse-names" : false, "suffix" : "" }, { "dropping-particle" : "", "family" : "McDonald", "given" : "Nathan", "non-dropping-particle" : "", "parse-names" : false, "suffix" : "" }, { "dropping-particle" : "", "family" : "Gai", "given" : "Lantian", "non-dropping-particle" : "", "parse-names" : false, "suffix" : "" }, { "dropping-particle" : "", "family" : "Chen", "given" : "Huaming", "non-dropping-particle" : "", "parse-names" : false, "suffix" : "" }, { "dropping-particle" : "", "family" : "He", "given" : "Yijian", "non-dropping-particle" : "", "parse-names" : false, "suffix" : "" }, { "dropping-particle" : "", "family" : "Vandenhaute", "given" : "Jean", "non-dropping-particle" : "", "parse-names" : false, "suffix" : "" }, { "dropping-particle" : "", "family" : "Roth", "given" : "Frederick P", "non-dropping-particle" : "", "parse-names" : false, "suffix" : "" }, { "dropping-particle" : "", "family" : "Hill", "given" : "David E", "non-dropping-particle" : "", "parse-names" : false, "suffix" : "" }, { "dropping-particle" : "", "family" : "Ecker", "given" : "Joseph R", "non-dropping-particle" : "", "parse-names" : false, "suffix" : "" }, { "dropping-particle" : "", "family" : "Vidal", "given" : "Marc", "non-dropping-particle" : "", "parse-names" : false, "suffix" : "" }, { "dropping-particle" : "", "family" : "Beynon", "given" : "Jim", "non-dropping-particle" : "", "parse-names" : false, "suffix" : "" }, { "dropping-particle" : "", "family" : "Braun", "given" : "Pascal", "non-dropping-particle" : "", "parse-names" : false, "suffix" : "" }, { "dropping-particle" : "", "family" : "Dangl", "given" : "Jeffery L", "non-dropping-particle" : "", "parse-names" : false, "suffix" : "" } ], "container-title" : "Science (New York, N.Y.)", "id" : "ITEM-1", "issue" : "6042", "issued" : { "date-parts" : [ [ "2011", "7", "29" ] ] }, "page" : "596-601", "title" : "Independently evolved virulence effectors converge onto hubs in a plant immune system network.", "type" : "article-journal", "volume" : "333" }, "uris" : [ "http://www.mendeley.com/documents/?uuid=ddc8e126-ce41-4a2f-8813-ec7f72ff1938" ] } ], "mendeley" : { "formattedCitation" : "[55]", "manualFormatting" : "Mukhtar et al. (2011)", "plainTextFormattedCitation" : "[55]", "previouslyFormattedCitation" : "[54]" }, "properties" : { "noteIndex" : 0 }, "schema" : "https://github.com/citation-style-language/schema/raw/master/csl-citation.json" }</w:instrText>
      </w:r>
      <w:r>
        <w:rPr>
          <w:lang w:val="en-GB"/>
        </w:rPr>
        <w:fldChar w:fldCharType="separate"/>
      </w:r>
      <w:r>
        <w:rPr>
          <w:lang w:val="en-GB"/>
        </w:rPr>
        <w:t>Mukhtar et al. (2011)</w:t>
      </w:r>
      <w:r>
        <w:rPr>
          <w:lang w:val="en-GB"/>
        </w:rPr>
        <w:fldChar w:fldCharType="end"/>
      </w:r>
      <w:r>
        <w:rPr>
          <w:lang w:val="en-GB"/>
        </w:rPr>
        <w:t xml:space="preserve"> used proteomic data from </w:t>
      </w:r>
      <w:r>
        <w:rPr>
          <w:i/>
          <w:lang w:val="en-GB"/>
        </w:rPr>
        <w:t xml:space="preserve">A. thaliana </w:t>
      </w:r>
      <w:r>
        <w:rPr>
          <w:lang w:val="en-GB"/>
        </w:rPr>
        <w:t xml:space="preserve">and two pathogens to demonstrate that pathogen effectors tend to target hubs in the plant immune response network. A similar approach (Figure 2a, b) can be used to investigate whether insect effectors act similarly. </w:t>
      </w:r>
      <w:r>
        <w:rPr>
          <w:highlight w:val="red"/>
          <w:lang w:val="en-GB"/>
        </w:rPr>
        <w:t>Networks generated from omics data will allow for predictions of effector targets and hubs in the plant-galler interaction as well as comparisons between different systems. Although these networks may act as a guideline in comparative research, each predicted interaction must independently be validated using functional approaches in every system (Figure 2a).</w:t>
      </w:r>
      <w:r>
        <w:rPr>
          <w:lang w:val="en-GB"/>
        </w:rPr>
        <w:t xml:space="preserve"> Plant defences are dynamic and robust; therefore, producing a large effector suit would allow gallers to target a range of host biological processes aimed suppressing defence and redirecting certain developmental pathways towards gall production. Understanding where and how these effectors act will help researchers develop robust, resistant plants through genetic modification or synthetic biology approaches.</w:t>
      </w:r>
    </w:p>
    <w:p>
      <w:pPr>
        <w:pStyle w:val="35"/>
        <w:rPr>
          <w:lang w:val="en-GB"/>
        </w:rPr>
      </w:pPr>
      <w:r>
        <w:rPr>
          <w:lang w:val="en-GB"/>
        </w:rPr>
        <w:t xml:space="preserve">While studies have demonstrated differential expression of hormone synthesis and responsive genes, as well as hormone concentrations, the regulatory functions of the hormones in many plant-galling insect interactions remain unknown </w:t>
      </w:r>
      <w:r>
        <w:rPr>
          <w:lang w:val="en-GB"/>
        </w:rPr>
        <w:fldChar w:fldCharType="begin" w:fldLock="1"/>
      </w:r>
      <w:r>
        <w:rPr>
          <w:lang w:val="en-GB"/>
        </w:rPr>
        <w:instrText xml:space="preserve">ADDIN CSL_CITATION { "citationItems" : [ { "id" : "ITEM-1", "itemData" : { "author" : [ { "dropping-particle" : "", "family" : "Giron", "given" : "David", "non-dropping-particle" : "", "parse-names" : false, "suffix" : "" }, { "dropping-particle" : "", "family" : "Huguet", "given" : "Elisabeth", "non-dropping-particle" : "", "parse-names" : false, "suffix" : "" }, { "dropping-particle" : "", "family" : "Stone", "given" : "Graham N", "non-dropping-particle" : "", "parse-names" : false, "suffix" : "" }, { "dropping-particle" : "", "family" : "Body", "given" : "M\u00e9lanie", "non-dropping-particle" : "", "parse-names" : false, "suffix" : "" } ], "id" : "ITEM-1", "issued" : { "date-parts" : [ [ "2016" ] ] }, "page" : "70-89", "title" : "Insect-induced effects on plants and possible effectors used by galling and leaf-mining insects to manipulate their host-plant", "type" : "article-journal", "volume" : "84" }, "uris" : [ "http://www.mendeley.com/documents/?uuid=8d41ed37-82fe-4726-8afd-de09cdd44010" ] }, { "id" : "ITEM-2", "itemData" : { "DOI" : "10.1111/mec.12421", "author" : [ { "dropping-particle" : "", "family" : "Hansen", "given" : "Allison K.", "non-dropping-particle" : "", "parse-names" : false, "suffix" : "" }, { "dropping-particle" : "", "family" : "Moran", "given" : "Nancy A.", "non-dropping-particle" : "", "parse-names" : false, "suffix" : "" } ], "container-title" : "Molecular Ecology", "id" : "ITEM-2", "issued" : { "date-parts" : [ [ "2014" ] ] }, "page" : "1473-1496", "title" : "The impact of microbial symbionts on host plant utilization by herbivorous insects", "type" : "article-journal", "volume" : "23" }, "uris" : [ "http://www.mendeley.com/documents/?uuid=f114c6b7-24a0-48f5-be3e-90d30988f4e6" ] }, { "id" : "ITEM-3", "itemData" : { "DOI" : "10.1007/s10886-014-0457-6", "ISSN" : "15731561", "PMID" : "25027764", "author" : [ { "dropping-particle" : "", "family" : "Tooker", "given" : "John F.", "non-dropping-particle" : "", "parse-names" : false, "suffix" : "" }, { "dropping-particle" : "", "family" : "Helms", "given" : "Anjel M.", "non-dropping-particle" : "", "parse-names" : false, "suffix" : "" } ], "container-title" : "Journal of Chemical Ecology", "id" : "ITEM-3", "issue" : "7", "issued" : { "date-parts" : [ [ "2014" ] ] }, "page" : "742-753", "title" : "Phytohormone Dynamics Associated with Gall Insects, and their Potential Role in the Evolution of the Gall-Inducing Habit", "type" : "article-journal", "volume" : "40" }, "uris" : [ "http://www.mendeley.com/documents/?uuid=22c3ad32-5452-4b05-adea-9a39d8dd7a37" ] } ], "mendeley" : { "formattedCitation" : "[15,16,31]", "plainTextFormattedCitation" : "[15,16,31]", "previouslyFormattedCitation" : "[15,16,31]" }, "properties" : { "noteIndex" : 0 }, "schema" : "https://github.com/citation-style-language/schema/raw/master/csl-citation.json" }</w:instrText>
      </w:r>
      <w:r>
        <w:rPr>
          <w:lang w:val="en-GB"/>
        </w:rPr>
        <w:fldChar w:fldCharType="separate"/>
      </w:r>
      <w:r>
        <w:rPr>
          <w:lang w:val="en-GB"/>
        </w:rPr>
        <w:t>[15,16,31]</w:t>
      </w:r>
      <w:r>
        <w:rPr>
          <w:lang w:val="en-GB"/>
        </w:rPr>
        <w:fldChar w:fldCharType="end"/>
      </w:r>
      <w:r>
        <w:rPr>
          <w:lang w:val="en-GB"/>
        </w:rPr>
        <w:t xml:space="preserve">. Multi-omics data integration will play an important </w:t>
      </w:r>
      <w:r>
        <w:rPr>
          <w:highlight w:val="red"/>
          <w:lang w:val="en-GB"/>
        </w:rPr>
        <w:t>part</w:t>
      </w:r>
      <w:r>
        <w:rPr>
          <w:lang w:val="en-GB"/>
        </w:rPr>
        <w:t xml:space="preserve"> in identifying the molecular mechanisms involved (Figure 2b). </w:t>
      </w:r>
      <w:r>
        <w:rPr>
          <w:highlight w:val="red"/>
          <w:lang w:val="en-GB"/>
        </w:rPr>
        <w:t>Functional studies that make use of knockout lines or hormone signalling mutants will provide a means for validating the role of the various components in the system.</w:t>
      </w:r>
      <w:r>
        <w:rPr>
          <w:lang w:val="en-GB"/>
        </w:rPr>
        <w:t xml:space="preserve"> The ability of galling insects to independently produce phytohormones is also a long-standing hypothesis </w:t>
      </w:r>
      <w:r>
        <w:rPr>
          <w:highlight w:val="red"/>
          <w:lang w:val="en-GB"/>
        </w:rPr>
        <w:fldChar w:fldCharType="begin" w:fldLock="1"/>
      </w:r>
      <w:r>
        <w:rPr>
          <w:highlight w:val="red"/>
          <w:lang w:val="en-GB"/>
        </w:rPr>
        <w:instrText xml:space="preserve">ADDIN CSL_CITATION { "citationItems" : [ { "id" : "ITEM-1", "itemData" : { "author" : [ { "dropping-particle" : "", "family" : "Giron", "given" : "David", "non-dropping-particle" : "", "parse-names" : false, "suffix" : "" }, { "dropping-particle" : "", "family" : "Huguet", "given" : "Elisabeth", "non-dropping-particle" : "", "parse-names" : false, "suffix" : "" }, { "dropping-particle" : "", "family" : "Stone", "given" : "Graham N", "non-dropping-particle" : "", "parse-names" : false, "suffix" : "" }, { "dropping-particle" : "", "family" : "Body", "given" : "M\u00e9lanie", "non-dropping-particle" : "", "parse-names" : false, "suffix" : "" } ], "id" : "ITEM-1", "issued" : { "date-parts" : [ [ "2016" ] ] }, "page" : "70-89", "title" : "Insect-induced effects on plants and possible effectors used by galling and leaf-mining insects to manipulate their host-plant", "type" : "article-journal", "volume" : "84" }, "uris" : [ "http://www.mendeley.com/documents/?uuid=8d41ed37-82fe-4726-8afd-de09cdd44010" ] }, { "id" : "ITEM-2", "itemData" : { "DOI" : "10.1111/mec.12421", "author" : [ { "dropping-particle" : "", "family" : "Hansen", "given" : "Allison K.", "non-dropping-particle" : "", "parse-names" : false, "suffix" : "" }, { "dropping-particle" : "", "family" : "Moran", "given" : "Nancy A.", "non-dropping-particle" : "", "parse-names" : false, "suffix" : "" } ], "container-title" : "Molecular Ecology", "id" : "ITEM-2", "issued" : { "date-parts" : [ [ "2014" ] ] }, "page" : "1473-1496", "title" : "The impact of microbial symbionts on host plant utilization by herbivorous insects", "type" : "article-journal", "volume" : "23" }, "uris" : [ "http://www.mendeley.com/documents/?uuid=f114c6b7-24a0-48f5-be3e-90d30988f4e6" ] }, { "id" : "ITEM-3", "itemData" : { "DOI" : "10.1007/s10886-014-0457-6", "ISSN" : "15731561", "PMID" : "25027764", "author" : [ { "dropping-particle" : "", "family" : "Tooker", "given" : "John F.", "non-dropping-particle" : "", "parse-names" : false, "suffix" : "" }, { "dropping-particle" : "", "family" : "Helms", "given" : "Anjel M.", "non-dropping-particle" : "", "parse-names" : false, "suffix" : "" } ], "container-title" : "Journal of Chemical Ecology", "id" : "ITEM-3", "issue" : "7", "issued" : { "date-parts" : [ [ "2014" ] ] }, "page" : "742-753", "title" : "Phytohormone Dynamics Associated with Gall Insects, and their Potential Role in the Evolution of the Gall-Inducing Habit", "type" : "article-journal", "volume" : "40" }, "uris" : [ "http://www.mendeley.com/documents/?uuid=22c3ad32-5452-4b05-adea-9a39d8dd7a37" ] } ], "mendeley" : { "formattedCitation" : "[15,16,31]", "plainTextFormattedCitation" : "[15,16,31]", "previouslyFormattedCitation" : "[15,16,31]" }, "properties" : { "noteIndex" : 0 }, "schema" : "https://github.com/citation-style-language/schema/raw/master/csl-citation.json" }</w:instrText>
      </w:r>
      <w:r>
        <w:rPr>
          <w:highlight w:val="red"/>
          <w:lang w:val="en-GB"/>
        </w:rPr>
        <w:fldChar w:fldCharType="separate"/>
      </w:r>
      <w:r>
        <w:rPr>
          <w:highlight w:val="red"/>
          <w:lang w:val="en-GB"/>
        </w:rPr>
        <w:t>[15,16,31]</w:t>
      </w:r>
      <w:r>
        <w:rPr>
          <w:highlight w:val="red"/>
          <w:lang w:val="en-GB"/>
        </w:rPr>
        <w:fldChar w:fldCharType="end"/>
      </w:r>
      <w:r>
        <w:rPr>
          <w:lang w:val="en-GB"/>
        </w:rPr>
        <w:t>. The observation that the gall-inducing sawfly (</w:t>
      </w:r>
      <w:r>
        <w:rPr>
          <w:i/>
          <w:lang w:val="en-GB"/>
        </w:rPr>
        <w:t xml:space="preserve">Pontania </w:t>
      </w:r>
      <w:r>
        <w:rPr>
          <w:lang w:val="en-GB"/>
        </w:rPr>
        <w:t xml:space="preserve">spp.) could synthesise IAA and cytokinin precursors was a significant breakthrough in this field </w:t>
      </w:r>
      <w:r>
        <w:rPr>
          <w:lang w:val="en-GB"/>
        </w:rPr>
        <w:fldChar w:fldCharType="begin" w:fldLock="1"/>
      </w:r>
      <w:r>
        <w:rPr>
          <w:lang w:val="en-GB"/>
        </w:rPr>
        <w:instrText xml:space="preserve">ADDIN CSL_CITATION { "citationItems" : [ { "id" : "ITEM-1", "itemData" : { "DOI" : "10.1111/j.1469-8137.2012.04264.x", "ISBN" : "1469-8137", "ISSN" : "0028646X", "PMID" : "22913630", "abstract" : "* A variety of insect species induce galls on host plants. Several studies have implicated phytohormones in insect-induced gall formation. However, it has not been determined whether insects can synthesize phytohormones. It has also never been established that phytohormones function in gall tissues. * Liquid chromatography and tandem mass spectrometry (LC/MS/MS) were used to analyse concentrations of endogenous cytokinins and the active auxin IAA in the gall-inducing sawfly (Pontania sp.) and its host plant, Salix japonica. Feeding experiments demonstrated the ability of sawfly larvae to synthesize IAA from tryptophan. Gene expression analysis was used to characterize hormonal signalling in galls. * Sawfly larvae contain high concentrations of IAA and t-zeatin, and produce IAA from tryptophan. The glands of adult sawflies, the contents of which are injected into leaves upon oviposition and are involved in the initial stages of gall formation, contain an extraordinarily high concentration of t-zeatin riboside. Transcript levels of some auxin- and cytokinin-responsive genes are significantly higher in gall tissue than in leaves. * The abnormally high concentration of t-zeatin riboside in the glands strongly suggests that the sawfly can synthesize cytokinins as well as IAA. Gene expression profiles indicate high levels of auxin and cytokinin activities in growing galls.", "author" : [ { "dropping-particle" : "", "family" : "Yamaguchi", "given" : "Hiroki", "non-dropping-particle" : "", "parse-names" : false, "suffix" : "" }, { "dropping-particle" : "", "family" : "Tanaka", "given" : "Hiroki", "non-dropping-particle" : "", "parse-names" : false, "suffix" : "" }, { "dropping-particle" : "", "family" : "Hasegawa", "given" : "Morifumi", "non-dropping-particle" : "", "parse-names" : false, "suffix" : "" }, { "dropping-particle" : "", "family" : "Tokuda", "given" : "Makoto", "non-dropping-particle" : "", "parse-names" : false, "suffix" : "" }, { "dropping-particle" : "", "family" : "Asami", "given" : "Tadao", "non-dropping-particle" : "", "parse-names" : false, "suffix" : "" }, { "dropping-particle" : "", "family" : "Suzuki", "given" : "Yoshihito", "non-dropping-particle" : "", "parse-names" : false, "suffix" : "" } ], "container-title" : "New Phytologist", "id" : "ITEM-1", "issue" : "2", "issued" : { "date-parts" : [ [ "2012" ] ] }, "page" : "586-595", "title" : "Phytohormones and willow gall induction by a gall-inducing sawfly", "type" : "article-journal", "volume" : "196" }, "uris" : [ "http://www.mendeley.com/documents/?uuid=e336551b-88fc-45dc-a41b-2182336c6028" ] } ], "mendeley" : { "formattedCitation" : "[59]", "manualFormatting" : "[56]", "plainTextFormattedCitation" : "[59]", "previouslyFormattedCitation" : "[58]" }, "properties" : { "noteIndex" : 0 }, "schema" : "https://github.com/citation-style-language/schema/raw/master/csl-citation.json" }</w:instrText>
      </w:r>
      <w:r>
        <w:rPr>
          <w:lang w:val="en-GB"/>
        </w:rPr>
        <w:fldChar w:fldCharType="separate"/>
      </w:r>
      <w:r>
        <w:rPr>
          <w:lang w:val="en-GB"/>
        </w:rPr>
        <w:t>[56]</w:t>
      </w:r>
      <w:r>
        <w:rPr>
          <w:lang w:val="en-GB"/>
        </w:rPr>
        <w:fldChar w:fldCharType="end"/>
      </w:r>
      <w:r>
        <w:rPr>
          <w:lang w:val="en-GB"/>
        </w:rPr>
        <w:t>. Whether this is a widespread trait amongst galling insects is currently unknown, but will be an interesting comparison in the future.</w:t>
      </w:r>
    </w:p>
    <w:p>
      <w:pPr>
        <w:pStyle w:val="35"/>
        <w:rPr>
          <w:lang w:val="en-GB"/>
        </w:rPr>
      </w:pPr>
      <w:r>
        <w:rPr>
          <w:lang w:val="en-GB"/>
        </w:rPr>
        <w:t xml:space="preserve">Studies exploring the role of microbial associates in insect galler lifecycles are rare. Symbiotic relationships between gall-inducing insects and microbes have been hypothesised to be involved in gall development, host plant use and the evolution of the galling trait </w:t>
      </w:r>
      <w:r>
        <w:rPr>
          <w:lang w:val="en-GB"/>
        </w:rPr>
        <w:fldChar w:fldCharType="begin" w:fldLock="1"/>
      </w:r>
      <w:r>
        <w:rPr>
          <w:lang w:val="en-GB"/>
        </w:rPr>
        <w:instrText xml:space="preserve">ADDIN CSL_CITATION { "citationItems" : [ { "id" : "ITEM-1", "itemData" : { "DOI" : "10.1111/mec.12421", "author" : [ { "dropping-particle" : "", "family" : "Hansen", "given" : "Allison K.", "non-dropping-particle" : "", "parse-names" : false, "suffix" : "" }, { "dropping-particle" : "", "family" : "Moran", "given" : "Nancy A.", "non-dropping-particle" : "", "parse-names" : false, "suffix" : "" } ], "container-title" : "Molecular Ecology", "id" : "ITEM-1", "issued" : { "date-parts" : [ [ "2014" ] ] }, "page" : "1473-1496", "title" : "The impact of microbial symbionts on host plant utilization by herbivorous insects", "type" : "article-journal", "volume" : "23" }, "uris" : [ "http://www.mendeley.com/documents/?uuid=f114c6b7-24a0-48f5-be3e-90d30988f4e6" ] }, { "id" : "ITEM-2", "itemData" : { "DOI" : "10.1007/s10886-014-0457-6", "ISSN" : "15731561", "PMID" : "25027764", "author" : [ { "dropping-particle" : "", "family" : "Tooker", "given" : "John F.", "non-dropping-particle" : "", "parse-names" : false, "suffix" : "" }, { "dropping-particle" : "", "family" : "Helms", "given" : "Anjel M.", "non-dropping-particle" : "", "parse-names" : false, "suffix" : "" } ], "container-title" : "Journal of Chemical Ecology", "id" : "ITEM-2", "issue" : "7", "issued" : { "date-parts" : [ [ "2014" ] ] }, "page" : "742-753", "title" : "Phytohormone Dynamics Associated with Gall Insects, and their Potential Role in the Evolution of the Gall-Inducing Habit", "type" : "article-journal", "volume" : "40" }, "uris" : [ "http://www.mendeley.com/documents/?uuid=22c3ad32-5452-4b05-adea-9a39d8dd7a37" ] } ], "mendeley" : { "formattedCitation" : "[15,31]", "plainTextFormattedCitation" : "[15,31]", "previouslyFormattedCitation" : "[15,31]" }, "properties" : { "noteIndex" : 0 }, "schema" : "https://github.com/citation-style-language/schema/raw/master/csl-citation.json" }</w:instrText>
      </w:r>
      <w:r>
        <w:rPr>
          <w:lang w:val="en-GB"/>
        </w:rPr>
        <w:fldChar w:fldCharType="separate"/>
      </w:r>
      <w:r>
        <w:rPr>
          <w:lang w:val="en-GB"/>
        </w:rPr>
        <w:t>[15,31]</w:t>
      </w:r>
      <w:r>
        <w:rPr>
          <w:lang w:val="en-GB"/>
        </w:rPr>
        <w:fldChar w:fldCharType="end"/>
      </w:r>
      <w:r>
        <w:rPr>
          <w:lang w:val="en-GB"/>
        </w:rPr>
        <w:t xml:space="preserve">. The microbes undoubtedly influence plant-galling insect interactions; however, the mechanisms involved in this three-way relationship are essentially unknown. </w:t>
      </w:r>
      <w:r>
        <w:rPr>
          <w:highlight w:val="red"/>
          <w:lang w:val="en-GB"/>
        </w:rPr>
        <w:t xml:space="preserve">Furthermore, plant-associated microbes will also influence the system. For instance, an unknown pathogen of </w:t>
      </w:r>
      <w:r>
        <w:rPr>
          <w:i/>
          <w:highlight w:val="red"/>
          <w:lang w:val="en-GB"/>
        </w:rPr>
        <w:t xml:space="preserve">Castanea </w:t>
      </w:r>
      <w:r>
        <w:rPr>
          <w:highlight w:val="red"/>
          <w:lang w:val="en-GB"/>
        </w:rPr>
        <w:t>species was recently reported to cause extensive mortality in Asian chestnut gall wasp (</w:t>
      </w:r>
      <w:r>
        <w:rPr>
          <w:i/>
          <w:highlight w:val="red"/>
          <w:lang w:val="en-GB"/>
        </w:rPr>
        <w:t>Dryocosmus kuriphilus</w:t>
      </w:r>
      <w:r>
        <w:rPr>
          <w:highlight w:val="red"/>
          <w:lang w:val="en-GB"/>
        </w:rPr>
        <w:t xml:space="preserve">) populations </w:t>
      </w:r>
      <w:r>
        <w:rPr>
          <w:highlight w:val="red"/>
          <w:lang w:val="en-GB"/>
        </w:rPr>
        <w:fldChar w:fldCharType="begin" w:fldLock="1"/>
      </w:r>
      <w:r>
        <w:rPr>
          <w:highlight w:val="red"/>
          <w:lang w:val="en-GB"/>
        </w:rPr>
        <w:instrText xml:space="preserve">ADDIN CSL_CITATION { "citationItems" : [ { "id" : "ITEM-1", "itemData" : { "DOI" : "10.1111/afe.12116", "author" : [ { "dropping-particle" : "", "family" : "Graziosi", "given" : "Ignazio", "non-dropping-particle" : "", "parse-names" : false, "suffix" : "" }, { "dropping-particle" : "", "family" : "Rieske", "given" : "Lynne K", "non-dropping-particle" : "", "parse-names" : false, "suffix" : "" } ], "id" : "ITEM-1", "issued" : { "date-parts" : [ [ "2015" ] ] }, "page" : "366-374", "title" : "A plant pathogen causes extensive mortality in an invasive insect herbivore", "type" : "article-journal" }, "uris" : [ "http://www.mendeley.com/documents/?uuid=5e4dd6b7-4052-4563-8d5a-b807d36c80ea" ] } ], "mendeley" : { "formattedCitation" : "[77]", "plainTextFormattedCitation" : "[77]", "previouslyFormattedCitation" : "[76]" }, "properties" : { "noteIndex" : 0 }, "schema" : "https://github.com/citation-style-language/schema/raw/master/csl-citation.json" }</w:instrText>
      </w:r>
      <w:r>
        <w:rPr>
          <w:highlight w:val="red"/>
          <w:lang w:val="en-GB"/>
        </w:rPr>
        <w:fldChar w:fldCharType="separate"/>
      </w:r>
      <w:r>
        <w:rPr>
          <w:highlight w:val="red"/>
          <w:lang w:val="en-GB"/>
        </w:rPr>
        <w:t>[77]</w:t>
      </w:r>
      <w:r>
        <w:rPr>
          <w:highlight w:val="red"/>
          <w:lang w:val="en-GB"/>
        </w:rPr>
        <w:fldChar w:fldCharType="end"/>
      </w:r>
      <w:r>
        <w:rPr>
          <w:highlight w:val="red"/>
          <w:lang w:val="en-GB"/>
        </w:rPr>
        <w:t xml:space="preserve">. Metatranscriptomics has been successfully employed to investigate bacterial associates of honey bees </w:t>
      </w:r>
      <w:r>
        <w:rPr>
          <w:highlight w:val="red"/>
          <w:lang w:val="en-GB"/>
        </w:rPr>
        <w:fldChar w:fldCharType="begin" w:fldLock="1"/>
      </w:r>
      <w:r>
        <w:rPr>
          <w:highlight w:val="red"/>
          <w:lang w:val="en-GB"/>
        </w:rPr>
        <w:instrText xml:space="preserve">ADDIN CSL_CITATION { "citationItems" : [ { "id" : "ITEM-1", "itemData" : { "DOI" : "10.3389/fgene.2015.00100", "author" : [ { "dropping-particle" : "", "family" : "Tozkar", "given" : "Cansu \u00d6", "non-dropping-particle" : "", "parse-names" : false, "suffix" : "" }, { "dropping-particle" : "", "family" : "Kence", "given" : "Meral", "non-dropping-particle" : "", "parse-names" : false, "suffix" : "" }, { "dropping-particle" : "", "family" : "Kence", "given" : "Aykut", "non-dropping-particle" : "", "parse-names" : false, "suffix" : "" }, { "dropping-particle" : "", "family" : "Huang", "given" : "Qiang", "non-dropping-particle" : "", "parse-names" : false, "suffix" : "" }, { "dropping-particle" : "", "family" : "Evans", "given" : "Jay D", "non-dropping-particle" : "", "parse-names" : false, "suffix" : "" } ], "id" : "ITEM-1", "issue" : "March", "issued" : { "date-parts" : [ [ "2015" ] ] }, "page" : "1-12", "title" : "Metatranscriptomic analyses of honey bee colonies", "type" : "article-journal", "volume" : "6" }, "uris" : [ "http://www.mendeley.com/documents/?uuid=bde780b4-b95f-4aa4-af82-2cd5f5e407d4" ] } ], "mendeley" : { "formattedCitation" : "[78]", "plainTextFormattedCitation" : "[78]", "previouslyFormattedCitation" : "[77]" }, "properties" : { "noteIndex" : 0 }, "schema" : "https://github.com/citation-style-language/schema/raw/master/csl-citation.json" }</w:instrText>
      </w:r>
      <w:r>
        <w:rPr>
          <w:highlight w:val="red"/>
          <w:lang w:val="en-GB"/>
        </w:rPr>
        <w:fldChar w:fldCharType="separate"/>
      </w:r>
      <w:r>
        <w:rPr>
          <w:highlight w:val="red"/>
          <w:lang w:val="en-GB"/>
        </w:rPr>
        <w:t>[78]</w:t>
      </w:r>
      <w:r>
        <w:rPr>
          <w:highlight w:val="red"/>
          <w:lang w:val="en-GB"/>
        </w:rPr>
        <w:fldChar w:fldCharType="end"/>
      </w:r>
      <w:r>
        <w:rPr>
          <w:highlight w:val="red"/>
          <w:lang w:val="en-GB"/>
        </w:rPr>
        <w:t xml:space="preserve"> and termites </w:t>
      </w:r>
      <w:r>
        <w:rPr>
          <w:highlight w:val="red"/>
          <w:lang w:val="en-GB"/>
        </w:rPr>
        <w:fldChar w:fldCharType="begin" w:fldLock="1"/>
      </w:r>
      <w:r>
        <w:rPr>
          <w:highlight w:val="red"/>
          <w:lang w:val="en-GB"/>
        </w:rPr>
        <w:instrText xml:space="preserve">ADDIN CSL_CITATION { "citationItems" : [ { "id" : "ITEM-1", "itemData" : { "DOI" : "10.1186/s12864-016-3126-z", "ISBN" : "1286401631", "ISSN" : "1471-2164", "author" : [ { "dropping-particle" : "", "family" : "Peterson", "given" : "Brittany F", "non-dropping-particle" : "", "parse-names" : false, "suffix" : "" }, { "dropping-particle" : "", "family" : "Scharf", "given" : "Michael E", "non-dropping-particle" : "", "parse-names" : false, "suffix" : "" } ], "container-title" : "BMC Genomics", "id" : "ITEM-1", "issued" : { "date-parts" : [ [ "2016" ] ] }, "page" : "1-12", "publisher" : "BMC Genomics", "title" : "Metatranscriptome analysis reveals bacterial symbiont contributions to lower termite physiology and potential immune functions", "type" : "article-journal" }, "uris" : [ "http://www.mendeley.com/documents/?uuid=2b92ebc3-ebe9-49d9-9d4b-c052352cbd83" ] } ], "mendeley" : { "formattedCitation" : "[79]", "plainTextFormattedCitation" : "[79]", "previouslyFormattedCitation" : "[78]" }, "properties" : { "noteIndex" : 0 }, "schema" : "https://github.com/citation-style-language/schema/raw/master/csl-citation.json" }</w:instrText>
      </w:r>
      <w:r>
        <w:rPr>
          <w:highlight w:val="red"/>
          <w:lang w:val="en-GB"/>
        </w:rPr>
        <w:fldChar w:fldCharType="separate"/>
      </w:r>
      <w:r>
        <w:rPr>
          <w:highlight w:val="red"/>
          <w:lang w:val="en-GB"/>
        </w:rPr>
        <w:t>[79]</w:t>
      </w:r>
      <w:r>
        <w:rPr>
          <w:highlight w:val="red"/>
          <w:lang w:val="en-GB"/>
        </w:rPr>
        <w:fldChar w:fldCharType="end"/>
      </w:r>
      <w:r>
        <w:rPr>
          <w:highlight w:val="red"/>
          <w:lang w:val="en-GB"/>
        </w:rPr>
        <w:t xml:space="preserve">, as well as mutualistic behaviour between figs and fig wasps </w:t>
      </w:r>
      <w:r>
        <w:rPr>
          <w:highlight w:val="red"/>
          <w:lang w:val="en-GB"/>
        </w:rPr>
        <w:fldChar w:fldCharType="begin" w:fldLock="1"/>
      </w:r>
      <w:r>
        <w:rPr>
          <w:highlight w:val="red"/>
          <w:lang w:val="en-GB"/>
        </w:rPr>
        <w:instrText xml:space="preserve">ADDIN CSL_CITATION { "citationItems" : [ { "id" : "ITEM-1", "itemData" : { "DOI" : "10.1371/journal.pone.0130745", "author" : [ { "dropping-particle" : "", "family" : "Martinson", "given" : "Ellen O", "non-dropping-particle" : "", "parse-names" : false, "suffix" : "" }, { "dropping-particle" : "", "family" : "Hackett", "given" : "Jeremiah D", "non-dropping-particle" : "", "parse-names" : false, "suffix" : "" }, { "dropping-particle" : "", "family" : "Machado", "given" : "Carlos A", "non-dropping-particle" : "", "parse-names" : false, "suffix" : "" }, { "dropping-particle" : "", "family" : "Arnold", "given" : "A Elizabeth", "non-dropping-particle" : "", "parse-names" : false, "suffix" : "" } ], "id" : "ITEM-1", "issued" : { "date-parts" : [ [ "2015" ] ] }, "page" : "1-14", "title" : "Metatranscriptome Analysis of Fig Flowers Provides Insights into Potential Mechanisms for Mutualism Stability and Gall Induction", "type" : "article-journal" }, "uris" : [ "http://www.mendeley.com/documents/?uuid=5af43f44-f9a1-4fbc-89f9-5dc76575e22e" ] } ], "mendeley" : { "formattedCitation" : "[80]", "plainTextFormattedCitation" : "[80]", "previouslyFormattedCitation" : "[79]" }, "properties" : { "noteIndex" : 0 }, "schema" : "https://github.com/citation-style-language/schema/raw/master/csl-citation.json" }</w:instrText>
      </w:r>
      <w:r>
        <w:rPr>
          <w:highlight w:val="red"/>
          <w:lang w:val="en-GB"/>
        </w:rPr>
        <w:fldChar w:fldCharType="separate"/>
      </w:r>
      <w:r>
        <w:rPr>
          <w:highlight w:val="red"/>
          <w:lang w:val="en-GB"/>
        </w:rPr>
        <w:t>[80]</w:t>
      </w:r>
      <w:r>
        <w:rPr>
          <w:highlight w:val="red"/>
          <w:lang w:val="en-GB"/>
        </w:rPr>
        <w:fldChar w:fldCharType="end"/>
      </w:r>
      <w:r>
        <w:rPr>
          <w:highlight w:val="red"/>
          <w:lang w:val="en-GB"/>
        </w:rPr>
        <w:t xml:space="preserve">. Spatial transcriptomics </w:t>
      </w:r>
      <w:r>
        <w:rPr>
          <w:highlight w:val="red"/>
          <w:lang w:val="en-GB"/>
        </w:rPr>
        <w:fldChar w:fldCharType="begin" w:fldLock="1"/>
      </w:r>
      <w:r>
        <w:rPr>
          <w:highlight w:val="red"/>
          <w:lang w:val="en-GB"/>
        </w:rPr>
        <w:instrText xml:space="preserve">ADDIN CSL_CITATION { "citationItems" : [ { "id" : "ITEM-1", "itemData" : { "author" : [ { "dropping-particle" : "", "family" : "St\u00e5hl", "given" : "Patrik L.", "non-dropping-particle" : "", "parse-names" : false, "suffix" : "" }, { "dropping-particle" : "", "family" : "Salm\u00e9n", "given" : "Frederik", "non-dropping-particle" : "", "parse-names" : false, "suffix" : "" }, { "dropping-particle" : "", "family" : "Vickovic", "given" : "Sanja", "non-dropping-particle" : "", "parse-names" : false, "suffix" : "" }, { "dropping-particle" : "", "family" : "Lundmark", "given" : "Anna", "non-dropping-particle" : "", "parse-names" : false, "suffix" : "" }, { "dropping-particle" : "", "family" : "Navarro", "given" : "Jos\u00e9 Fern\u00e1ndez", "non-dropping-particle" : "", "parse-names" : false, "suffix" : "" }, { "dropping-particle" : "", "family" : "Magnusson", "given" : "Jens", "non-dropping-particle" : "", "parse-names" : false, "suffix" : "" }, { "dropping-particle" : "", "family" : "Giacomello", "given" : "Stefania", "non-dropping-particle" : "", "parse-names" : false, "suffix" : "" }, { "dropping-particle" : "", "family" : "Asp", "given" : "Michaela", "non-dropping-particle" : "", "parse-names" : false, "suffix" : "" }, { "dropping-particle" : "", "family" : "Westholm", "given" : "Jakub O.", "non-dropping-particle" : "", "parse-names" : false, "suffix" : "" }, { "dropping-particle" : "", "family" : "Huss", "given" : "Mikael", "non-dropping-particle" : "", "parse-names" : false, "suffix" : "" }, { "dropping-particle" : "", "family" : "Mollbrink", "given" : "Annelie", "non-dropping-particle" : "", "parse-names" : false, "suffix" : "" }, { "dropping-particle" : "", "family" : "Linnarsson", "given" : "Sten", "non-dropping-particle" : "", "parse-names" : false, "suffix" : "" } ], "container-title" : "Science", "id" : "ITEM-1", "issue" : "6294", "issued" : { "date-parts" : [ [ "2016" ] ] }, "title" : "Visualization and analysis of gene expression in tissue sections by spatial transcriptomics", "type" : "article-journal", "volume" : "353" }, "uris" : [ "http://www.mendeley.com/documents/?uuid=91d16327-e620-49a7-bacf-51038c66c1a1" ] } ], "mendeley" : { "formattedCitation" : "[81]", "plainTextFormattedCitation" : "[81]", "previouslyFormattedCitation" : "[80]" }, "properties" : { "noteIndex" : 0 }, "schema" : "https://github.com/citation-style-language/schema/raw/master/csl-citation.json" }</w:instrText>
      </w:r>
      <w:r>
        <w:rPr>
          <w:highlight w:val="red"/>
          <w:lang w:val="en-GB"/>
        </w:rPr>
        <w:fldChar w:fldCharType="separate"/>
      </w:r>
      <w:r>
        <w:rPr>
          <w:highlight w:val="red"/>
          <w:lang w:val="en-GB"/>
        </w:rPr>
        <w:t>[81]</w:t>
      </w:r>
      <w:r>
        <w:rPr>
          <w:highlight w:val="red"/>
          <w:lang w:val="en-GB"/>
        </w:rPr>
        <w:fldChar w:fldCharType="end"/>
      </w:r>
      <w:r>
        <w:rPr>
          <w:highlight w:val="red"/>
          <w:lang w:val="en-GB"/>
        </w:rPr>
        <w:t xml:space="preserve"> may also have important applications in future studies in order to obtain a more comprehensive model of the interaction.</w:t>
      </w:r>
    </w:p>
    <w:p>
      <w:pPr>
        <w:pStyle w:val="35"/>
        <w:rPr>
          <w:lang w:val="en-GB"/>
        </w:rPr>
      </w:pPr>
      <w:r>
        <w:rPr>
          <w:lang w:val="en-GB"/>
        </w:rPr>
        <w:t xml:space="preserve">An important future aim of investigating the plant defence system is to generate a model that accurately simulates the infection or infestation which will allow for the identification of important components </w:t>
      </w:r>
      <w:r>
        <w:rPr>
          <w:lang w:val="en-GB"/>
        </w:rPr>
        <w:fldChar w:fldCharType="begin" w:fldLock="1"/>
      </w:r>
      <w:r>
        <w:rPr>
          <w:lang w:val="en-GB"/>
        </w:rPr>
        <w:instrText xml:space="preserve">ADDIN CSL_CITATION { "citationItems" : [ { "id" : "ITEM-1", "itemData" : { "DOI" : "10.1146/annurev-phyto-102313-050103", "ISSN" : "0066-4286", "PMID" : "24821185", "abstract" : "Deciphering the networks that underpin complex biological processes using experimental data remains a significant, but promising, challenge, a task made all the harder by the added complexity of host-pathogen interactions. The aim of this article is to review the progress in understanding plant immunity made so far by applying network modeling algorithms and to show how this computational/mathematical strategy is facilitating a systems view of plant defense. We review the different types of network modeling that have been used, the data required, and the type of insight that such modeling can provide. We discuss the current challenges in modeling the regulatory networks that underlie plant defense and the future developments that may help address these challenges. Expected final online publication date for the Annual Review of Phytopathology Volume 52 is August 04, 2014. Please see http://www.annualreviews.org/catalog/pubdates.aspx for revised estimates.", "author" : [ { "dropping-particle" : "", "family" : "Windram", "given" : "Oliver", "non-dropping-particle" : "", "parse-names" : false, "suffix" : "" }, { "dropping-particle" : "", "family" : "Penfold", "given" : "Christopher a", "non-dropping-particle" : "", "parse-names" : false, "suffix" : "" }, { "dropping-particle" : "", "family" : "Denby", "given" : "Katherine J", "non-dropping-particle" : "", "parse-names" : false, "suffix" : "" } ], "container-title" : "Annual review of phytopathology", "id" : "ITEM-1", "issue" : "April", "issued" : { "date-parts" : [ [ "2014", "5", "5" ] ] }, "page" : "1-20", "title" : "Network Modeling to Understand Plant Immunity.", "type" : "article-journal" }, "uris" : [ "http://www.mendeley.com/documents/?uuid=773d252f-6e59-44db-965b-6c890293d6eb" ] } ], "mendeley" : { "formattedCitation" : "[7]", "plainTextFormattedCitation" : "[7]", "previouslyFormattedCitation" : "[7]" }, "properties" : { "noteIndex" : 0 }, "schema" : "https://github.com/citation-style-language/schema/raw/master/csl-citation.json" }</w:instrText>
      </w:r>
      <w:r>
        <w:rPr>
          <w:lang w:val="en-GB"/>
        </w:rPr>
        <w:fldChar w:fldCharType="separate"/>
      </w:r>
      <w:r>
        <w:rPr>
          <w:lang w:val="en-GB"/>
        </w:rPr>
        <w:t>[7]</w:t>
      </w:r>
      <w:r>
        <w:rPr>
          <w:lang w:val="en-GB"/>
        </w:rPr>
        <w:fldChar w:fldCharType="end"/>
      </w:r>
      <w:r>
        <w:rPr>
          <w:lang w:val="en-GB"/>
        </w:rPr>
        <w:t xml:space="preserve">. Current information and datasets do not yet allow this </w:t>
      </w:r>
      <w:r>
        <w:rPr>
          <w:highlight w:val="red"/>
          <w:lang w:val="en-GB"/>
        </w:rPr>
        <w:t>and are predominantly snapshots of single time points</w:t>
      </w:r>
      <w:r>
        <w:rPr>
          <w:lang w:val="en-GB"/>
        </w:rPr>
        <w:t xml:space="preserve">. Using dual RNA-Seq </w:t>
      </w:r>
      <w:r>
        <w:rPr>
          <w:highlight w:val="red"/>
          <w:lang w:val="en-GB"/>
        </w:rPr>
        <w:t>or metatranscriptomics</w:t>
      </w:r>
      <w:r>
        <w:rPr>
          <w:lang w:val="en-GB"/>
        </w:rPr>
        <w:t xml:space="preserve"> in a high-resolution time course during gall development in both resistant and susceptible plant genotypes would be a powerful method to generate gene regulatory networks </w:t>
      </w:r>
      <w:r>
        <w:rPr>
          <w:highlight w:val="red"/>
          <w:lang w:val="en-GB"/>
        </w:rPr>
        <w:t>for host, pests and associates</w:t>
      </w:r>
      <w:r>
        <w:rPr>
          <w:lang w:val="en-GB"/>
        </w:rPr>
        <w:t xml:space="preserve">. Time series analyses allow for the examination of the sequence of events during an infestation through gene expression dynamics which enables modelling of causal interactions and prediction of master regulators </w:t>
      </w:r>
      <w:r>
        <w:rPr>
          <w:lang w:val="en-GB"/>
        </w:rPr>
        <w:fldChar w:fldCharType="begin" w:fldLock="1"/>
      </w:r>
      <w:r>
        <w:rPr>
          <w:lang w:val="en-GB"/>
        </w:rPr>
        <w:instrText xml:space="preserve">ADDIN CSL_CITATION { "citationItems" : [ { "id" : "ITEM-1", "itemData" : { "DOI" : "10.1093/bioinformatics/btt728", "author" : [ { "dropping-particle" : "", "family" : "Polanski", "given" : "Krzysztof", "non-dropping-particle" : "", "parse-names" : false, "suffix" : "" }, { "dropping-particle" : "", "family" : "Rhodes", "given" : "Johanna", "non-dropping-particle" : "", "parse-names" : false, "suffix" : "" }, { "dropping-particle" : "", "family" : "Hill", "given" : "Claire", "non-dropping-particle" : "", "parse-names" : false, "suffix" : "" }, { "dropping-particle" : "", "family" : "Zhang", "given" : "Peijun", "non-dropping-particle" : "", "parse-names" : false, "suffix" : "" }, { "dropping-particle" : "", "family" : "Jenkins", "given" : "Dafyd J", "non-dropping-particle" : "", "parse-names" : false, "suffix" : "" }, { "dropping-particle" : "", "family" : "Kiddle", "given" : "Steven J", "non-dropping-particle" : "", "parse-names" : false, "suffix" : "" }, { "dropping-particle" : "", "family" : "Jironkin", "given" : "Aleksey", "non-dropping-particle" : "", "parse-names" : false, "suffix" : "" }, { "dropping-particle" : "", "family" : "Beynon", "given" : "Jim", "non-dropping-particle" : "", "parse-names" : false, "suffix" : "" }, { "dropping-particle" : "", "family" : "Buchanan-wollaston", "given" : "Vicky", "non-dropping-particle" : "", "parse-names" : false, "suffix" : "" }, { "dropping-particle" : "", "family" : "Ott", "given" : "Sascha", "non-dropping-particle" : "", "parse-names" : false, "suffix" : "" }, { "dropping-particle" : "", "family" : "Denby", "given" : "Katherine J", "non-dropping-particle" : "", "parse-names" : false, "suffix" : "" } ], "id" : "ITEM-1", "issue" : "7", "issued" : { "date-parts" : [ [ "2014" ] ] }, "page" : "962-970", "title" : "Gene expression Wigwams : identifying gene modules co-regulated across multiple biological conditions", "type" : "article-journal", "volume" : "30" }, "uris" : [ "http://www.mendeley.com/documents/?uuid=18078354-9b06-4ae4-a0e5-1cc68807693c" ] }, { "id" : "ITEM-2", "itemData" : { "DOI" : "10.1146/annurev-phyto-102313-050103", "ISSN" : "0066-4286", "PMID" : "24821185", "abstract" : "Deciphering the networks that underpin complex biological processes using experimental data remains a significant, but promising, challenge, a task made all the harder by the added complexity of host-pathogen interactions. The aim of this article is to review the progress in understanding plant immunity made so far by applying network modeling algorithms and to show how this computational/mathematical strategy is facilitating a systems view of plant defense. We review the different types of network modeling that have been used, the data required, and the type of insight that such modeling can provide. We discuss the current challenges in modeling the regulatory networks that underlie plant defense and the future developments that may help address these challenges. Expected final online publication date for the Annual Review of Phytopathology Volume 52 is August 04, 2014. Please see http://www.annualreviews.org/catalog/pubdates.aspx for revised estimates.", "author" : [ { "dropping-particle" : "", "family" : "Windram", "given" : "Oliver", "non-dropping-particle" : "", "parse-names" : false, "suffix" : "" }, { "dropping-particle" : "", "family" : "Penfold", "given" : "Christopher a", "non-dropping-particle" : "", "parse-names" : false, "suffix" : "" }, { "dropping-particle" : "", "family" : "Denby", "given" : "Katherine J", "non-dropping-particle" : "", "parse-names" : false, "suffix" : "" } ], "container-title" : "Annual review of phytopathology", "id" : "ITEM-2", "issue" : "April", "issued" : { "date-parts" : [ [ "2014", "5", "5" ] ] }, "page" : "1-20", "title" : "Network Modeling to Understand Plant Immunity.", "type" : "article-journal" }, "uris" : [ "http://www.mendeley.com/documents/?uuid=773d252f-6e59-44db-965b-6c890293d6eb" ] }, { "id" : "ITEM-3", "itemData" : { "DOI" : "10.1105/tpc.112.102046", "ISBN" : "1040-4651\\n1532-298X", "ISSN" : "1040-4651", "PMID" : "23023172", "abstract" : "Transcriptional reprogramming forms a major part of a plant\u2019s response to pathogen infection. Many individual components and pathways operating during plant defense have been identified, but our knowledge of how these different components interact is still rudimentary. We generated a high-resolution time series of gene expression profiles from a single Arabidopsis thaliana leaf during infection by the necrotrophic fungal pathogen Botrytis cinerea. Approximately one-third of the Arabidopsis genome is differentially expressed during the first 48 h after infection, with the majority of changes in gene expression occurring before significant lesion development. We used computational tools to obtain a detailed chronology of the defense response against B. cinerea, highlighting the times at which signaling and metabolic processes change, and identify transcription factor families operating at different times after infection. Motif enrichment and network inference predicted regulatory interactions, and testing of one such prediction identified a role for TGA3 in defense against necrotrophic pathogens. These data provide an unprecedented level of detail about transcriptional changes during a defense response and are suited to systems biology analyses to generate predictive models of the gene regulatory networks mediating the Arabidopsis response to B. cinerea.", "author" : [ { "dropping-particle" : "", "family" : "Windram", "given" : "Oliver P.", "non-dropping-particle" : "", "parse-names" : false, "suffix" : "" }, { "dropping-particle" : "", "family" : "Madhou", "given" : "Priyadharshini", "non-dropping-particle" : "", "parse-names" : false, "suffix" : "" }, { "dropping-particle" : "", "family" : "McHattie", "given" : "Stuart", "non-dropping-particle" : "", "parse-names" : false, "suffix" : "" }, { "dropping-particle" : "", "family" : "Hill", "given" : "Claire", "non-dropping-particle" : "", "parse-names" : false, "suffix" : "" }, { "dropping-particle" : "", "family" : "Hickman", "given" : "Richard J.", "non-dropping-particle" : "", "parse-names" : false, "suffix" : "" }, { "dropping-particle" : "", "family" : "Cooke", "given" : "Emma J.", "non-dropping-particle" : "", "parse-names" : false, "suffix" : "" }, { "dropping-particle" : "", "family" : "Jenkins", "given" : "Dafyd J.", "non-dropping-particle" : "", "parse-names" : false, "suffix" : "" }, { "dropping-particle" : "", "family" : "Penfold", "given" : "Christopher a.", "non-dropping-particle" : "", "parse-names" : false, "suffix" : "" }, { "dropping-particle" : "", "family" : "Baxter", "given" : "Laura", "non-dropping-particle" : "", "parse-names" : false, "suffix" : "" }, { "dropping-particle" : "", "family" : "Breeze", "given" : "Emily", "non-dropping-particle" : "", "parse-names" : false, "suffix" : "" }, { "dropping-particle" : "", "family" : "Kiddle", "given" : "Steven J.", "non-dropping-particle" : "", "parse-names" : false, "suffix" : "" }, { "dropping-particle" : "", "family" : "Rhodes", "given" : "Johanna", "non-dropping-particle" : "", "parse-names" : false, "suffix" : "" }, { "dropping-particle" : "", "family" : "Atwell", "given" : "Susanna", "non-dropping-particle" : "", "parse-names" : false, "suffix" : "" }, { "dropping-particle" : "", "family" : "Kim", "given" : "Youn-sung", "non-dropping-particle" : "", "parse-names" : false, "suffix" : "" }, { "dropping-particle" : "", "family" : "Stegle", "given" : "Oliver", "non-dropping-particle" : "", "parse-names" : false, "suffix" : "" }, { "dropping-particle" : "", "family" : "Borgwardt", "given" : "Karsten M.", "non-dropping-particle" : "", "parse-names" : false, "suffix" : "" }, { "dropping-particle" : "", "family" : "Zhang", "given" : "Cunjin", "non-dropping-particle" : "", "parse-names" : false, "suffix" : "" }, { "dropping-particle" : "", "family" : "Tabrett", "given" : "Alex", "non-dropping-particle" : "", "parse-names" : false, "suffix" : "" }, { "dropping-particle" : "", "family" : "Legaie", "given" : "Roxane", "non-dropping-particle" : "", "parse-names" : false, "suffix" : "" }, { "dropping-particle" : "", "family" : "Moore", "given" : "Jonathan D.", "non-dropping-particle" : "", "parse-names" : false, "suffix" : "" }, { "dropping-particle" : "", "family" : "Finkenst\u00e4dt", "given" : "B\u00e4rbel", "non-dropping-particle" : "", "parse-names" : false, "suffix" : "" }, { "dropping-particle" : "", "family" : "Wild", "given" : "David L.", "non-dropping-particle" : "", "parse-names" : false, "suffix" : "" }, { "dropping-particle" : "", "family" : "Mead", "given" : "a.", "non-dropping-particle" : "", "parse-names" : false, "suffix" : "" }, { "dropping-particle" : "", "family" : "Rand", "given" : "D. a.", "non-dropping-particle" : "", "parse-names" : false, "suffix" : "" }, { "dropping-particle" : "", "family" : "Ott", "given" : "Sascha", "non-dropping-particle" : "", "parse-names" : false, "suffix" : "" }, { "dropping-particle" : "", "family" : "Buchanan-Wollaston", "given" : "Vicky", "non-dropping-particle" : "", "parse-names" : false, "suffix" : "" }, { "dropping-particle" : "", "family" : "Denby", "given" : "Katherine J.", "non-dropping-particle" : "", "parse-names" : false, "suffix" : "" } ], "id" : "ITEM-3", "issued" : { "date-parts" : [ [ "2012" ] ] }, "page" : "1-29", "title" : "Arabidopsis defense against Botrytis cinerea : chronology and regulation deciphered by high-resolution temporal transcriptomic analysis", "type" : "article-journal" }, "uris" : [ "http://www.mendeley.com/documents/?uuid=0fa1ebb1-8e67-44b0-bf36-fd7f69b452f7" ] } ], "mendeley" : { "formattedCitation" : "[7,82,83]", "plainTextFormattedCitation" : "[7,82,83]", "previouslyFormattedCitation" : "[7,81,82]" }, "properties" : { "noteIndex" : 0 }, "schema" : "https://github.com/citation-style-language/schema/raw/master/csl-citation.json" }</w:instrText>
      </w:r>
      <w:r>
        <w:rPr>
          <w:lang w:val="en-GB"/>
        </w:rPr>
        <w:fldChar w:fldCharType="separate"/>
      </w:r>
      <w:r>
        <w:rPr>
          <w:lang w:val="en-GB"/>
        </w:rPr>
        <w:t>[7,82,83]</w:t>
      </w:r>
      <w:r>
        <w:rPr>
          <w:lang w:val="en-GB"/>
        </w:rPr>
        <w:fldChar w:fldCharType="end"/>
      </w:r>
      <w:r>
        <w:rPr>
          <w:lang w:val="en-GB"/>
        </w:rPr>
        <w:t xml:space="preserve">. Furthermore, this approach is readily applicable to non-model systems and will be an invaluable step towards elucidating the interactome in the plant-galling insect interaction (Figure 2). </w:t>
      </w:r>
      <w:r>
        <w:rPr>
          <w:highlight w:val="red"/>
          <w:lang w:val="en-GB"/>
        </w:rPr>
        <w:t>Once a model system has been generated, studies that are limited to a single or few datasets can make use of comparative analyses to gain biological insight.</w:t>
      </w:r>
    </w:p>
    <w:p>
      <w:pPr>
        <w:pStyle w:val="35"/>
        <w:rPr>
          <w:lang w:val="en-GB"/>
        </w:rPr>
      </w:pPr>
      <w:r>
        <w:rPr>
          <w:lang w:val="en-GB"/>
        </w:rPr>
        <w:t xml:space="preserve">The integrative nature of systems biology approaches provides more power in prediction of key targets for functional testing. Knowledge of key components in the plant-insect galler system and their behaviour during the interaction will help identify the most beneficial targets for improved pest management programs. For this purpose, the prediction of important candidate genes that can be explored in more targeted functional genetics experiments will be important. Pending functional characterisation, such targets could be screened for in breeding populations to identify potentially resistant material or adopted as targets of genetic modification using genome editing or RNAi approaches </w:t>
      </w:r>
      <w:r>
        <w:rPr>
          <w:lang w:val="en-GB"/>
        </w:rPr>
        <w:fldChar w:fldCharType="begin" w:fldLock="1"/>
      </w:r>
      <w:r>
        <w:rPr>
          <w:lang w:val="en-GB"/>
        </w:rPr>
        <w:instrText xml:space="preserve">ADDIN CSL_CITATION { "citationItems" : [ { "id" : "ITEM-1", "itemData" : { "DOI" : "10.1126/science.1258096", "ISBN" : "1095-9203 (Electronic) 0036-8075 (Linking)", "ISSN" : "0036-8075", "PMID" : "25430774", "abstract" : "The advent of facile genome engineering using the bacterial RNA-guided CRISPR-Cas9 system in animals and plants is transforming biology. We review the history of CRISPR (clustered regularly interspaced palindromic repeat) biology from its initial discovery through the elucidation of the CRISPR-Cas9 enzyme mechanism, which has set the stage for remarkable developments using this technology to modify, regulate, or mark genomic loci in a wide variety of cells and organisms from all three domains of life. These results highlight a new era in which genomic manipulation is no longer a bottleneck to experiments, paving the way toward fundamental discoveries in biology, with applications in all branches of biotechnology, as well as strategies for human therapeutics.", "author" : [ { "dropping-particle" : "", "family" : "Doudna", "given" : "J. A.", "non-dropping-particle" : "", "parse-names" : false, "suffix" : "" }, { "dropping-particle" : "", "family" : "Charpentier", "given" : "E.", "non-dropping-particle" : "", "parse-names" : false, "suffix" : "" } ], "container-title" : "Science", "id" : "ITEM-1", "issue" : "6213", "issued" : { "date-parts" : [ [ "2014" ] ] }, "page" : "1258096-1258096", "title" : "The new frontier of genome engineering with CRISPR-Cas9", "type" : "article-journal", "volume" : "346" }, "uris" : [ "http://www.mendeley.com/documents/?uuid=a924df6c-4455-4d0a-868f-d26f9ec4e681" ] }, { "id" : "ITEM-2", "itemData" : { "DOI" : "10.1186/1753-6561-5-S7-P98", "ISBN" : "1753-6561", "ISSN" : "1753-6561", "PMID" : "70730065", "abstract" : "Background: Eucalyptus is grown in around 3.9 Mha in India. Leptocybe invasa Fisher &amp; La Salle (Hymenoptera: Eulophidae) has emerged as a serious pest in Eucalyptus causing considerable loss of quality planting materials besides loss in productivity and quality of timber. Current strategies for its control include selected deployment of Eucalyptus clones tolerant to the pest resulting in several productive Eucalyptus genetic resources, not being considered for plantation programmes, as in the case of the widely planted Eucalyptus clone, ITC 10, and ITC 271. The securely ensconced grub within the gall for a period of around 4 months post oviposition makes it refractory to pesticide applications. This feature, however, makes plant- incorporated protectants, via RNAi approaches a potential strategy for engineering resistance [1-3]. However, application of RNAi technology requires determination of sequence information of insect-specific genes so that off-target effects in plants as well as human beings are avoided. Methods: Grubs were collected from the galls of E. camaldulensis clones, APNP 1.1 and ITC 351, infested with L .invasa from the nursery of the Institute of Forest Genetics and Tree Breeding, Coimbatore, India. Genomic DNA was isolated from the grubs homogenized in liquid nitrogen using a modified CTAB protocol [4]. RNA was isolated from the grubs using Qiagen RNeasy plant mini kit, followed by cDNA synthesis using SmartScribe reverse transcriptase. Grubs were also directly used for PCR amplification circumventing DNA isolation. Furthermore, to enable multiple PCR analysis, a single grub was collected into 50 mul of sterile distilled water, vigorously vortexed for 2 min followed by brief denaturation at 95oc for 10 min and centrifugation at 10,000 rpm for 10 min. The supernatant was used for PCR analysis. The PCR mix consisted either 100 ng genomic DNA or 100 ng cDNA or a single grub or 2 mul of supernatant from denatured grub, in 1X PCR buffer, 0.8 mM dNTPs, 1 muM of each primer, 2.5 U Pfu polymerase (Fermentas). The PCR conditions used were initial denaturation at 94oc for 5 min, cycle denaturation at 94oc for 40s; annealing at 60oc for 40s; extension at 72oc for 2 min for 30 cycles, and a final extension of 72oc for 5 min. In case of grub PCR, initial denaturation was for 10 min at 950C. The PCR products were resolved on a 1.0% Agarose gel in 1X TAE. When multiple bands were obtained, the products were gel eluted and either directly sequenced o\u2026", "author" : [ { "dropping-particle" : "", "family" : "Nambiar-Veetil", "given" : "Mathish", "non-dropping-particle" : "", "parse-names" : false, "suffix" : "" }, { "dropping-particle" : "", "family" : "Sangeetha", "given" : "Manoharan", "non-dropping-particle" : "", "parse-names" : false, "suffix" : "" }, { "dropping-particle" : "", "family" : "Sowmiya Rani", "given" : "K S", "non-dropping-particle" : "", "parse-names" : false, "suffix" : "" }, { "dropping-particle" : "", "family" : "Aravinthakumar", "given" : "V", "non-dropping-particle" : "", "parse-names" : false, "suffix" : "" }, { "dropping-particle" : "", "family" : "Selvakesavan", "given" : "R K", "non-dropping-particle" : "", "parse-names" : false, "suffix" : "" }, { "dropping-particle" : "", "family" : "Balasubramanian", "given" : "Aiyar", "non-dropping-particle" : "", "parse-names" : false, "suffix" : "" }, { "dropping-particle" : "", "family" : "Venkatachalam", "given" : "R", "non-dropping-particle" : "", "parse-names" : false, "suffix" : "" }, { "dropping-particle" : "", "family" : "Mary", "given" : "Abraham", "non-dropping-particle" : "", "parse-names" : false, "suffix" : "" }, { "dropping-particle" : "", "family" : "Jacob", "given" : "John", "non-dropping-particle" : "", "parse-names" : false, "suffix" : "" }, { "dropping-particle" : "", "family" : "Krishna Kumar", "given" : "N", "non-dropping-particle" : "", "parse-names" : false, "suffix" : "" } ], "container-title" : "BMC Proceedings", "id" : "ITEM-2", "issue" : "Suppl 7", "issued" : { "date-parts" : [ [ "2011" ] ] }, "page" : "P98", "title" : "Identification of insect-specific target genes for development of RNAi based control of the Eucalyptus gall pest Leptocybe invasa Fisher &amp; La Salle (Hymenoptera: Eulophidae)", "type" : "article-journal", "volume" : "5" }, "uris" : [ "http://www.mendeley.com/documents/?uuid=ec5a0c47-9e74-4ff1-81d0-ca7d4500ab35" ] } ], "mendeley" : { "formattedCitation" : "[84,85]", "plainTextFormattedCitation" : "[84,85]", "previouslyFormattedCitation" : "[83,84]" }, "properties" : { "noteIndex" : 0 }, "schema" : "https://github.com/citation-style-language/schema/raw/master/csl-citation.json" }</w:instrText>
      </w:r>
      <w:r>
        <w:rPr>
          <w:lang w:val="en-GB"/>
        </w:rPr>
        <w:fldChar w:fldCharType="separate"/>
      </w:r>
      <w:r>
        <w:rPr>
          <w:lang w:val="en-GB"/>
        </w:rPr>
        <w:t>[84,85]</w:t>
      </w:r>
      <w:r>
        <w:rPr>
          <w:lang w:val="en-GB"/>
        </w:rPr>
        <w:fldChar w:fldCharType="end"/>
      </w:r>
      <w:r>
        <w:rPr>
          <w:lang w:val="en-GB"/>
        </w:rPr>
        <w:t>.</w:t>
      </w:r>
    </w:p>
    <w:p>
      <w:pPr>
        <w:pStyle w:val="39"/>
        <w:spacing w:before="240"/>
        <w:rPr>
          <w:b/>
          <w:lang w:val="en-GB"/>
        </w:rPr>
      </w:pPr>
      <w:r>
        <w:rPr>
          <w:b/>
          <w:lang w:val="en-GB"/>
        </w:rPr>
        <w:t xml:space="preserve">Acknowledgements: </w:t>
      </w:r>
      <w:r>
        <w:t>We acknowledge the following funding bodies for their contributions to the study; the Department of Science and Technology of South Africa and the University of Pretoria Postgraduate Study Abroad Bursary Program. This work is based on the research supported in part by the National Research Foundation of South Africa for the grant, Unique Grant No. 87912, and the Scarce Skills Doctoral Scholarship, Unique Grant No. 88789. Any opinion, finding and conclusion or recommendation expressed in this material is that of the authors and the National Research Foundation does not accept any liability in this regard.</w:t>
      </w:r>
    </w:p>
    <w:p>
      <w:pPr>
        <w:pStyle w:val="39"/>
        <w:rPr>
          <w:b/>
        </w:rPr>
      </w:pPr>
      <w:r>
        <w:rPr>
          <w:b/>
        </w:rPr>
        <w:t xml:space="preserve">Author Contributions: </w:t>
      </w:r>
      <w:r>
        <w:t>C.O. and S.N. conceived the premise for this review. C.O. wrote the paper with input from K.D., Z.M., B.S. and S.N.</w:t>
      </w:r>
    </w:p>
    <w:p>
      <w:pPr>
        <w:pStyle w:val="39"/>
        <w:rPr>
          <w:b/>
        </w:rPr>
      </w:pPr>
      <w:r>
        <w:rPr>
          <w:b/>
        </w:rPr>
        <w:t xml:space="preserve">Conflicts of Interest: </w:t>
      </w:r>
      <w:r>
        <w:t>The authors declare no conflict of interest.</w:t>
      </w:r>
    </w:p>
    <w:p>
      <w:pPr>
        <w:pStyle w:val="150"/>
      </w:pPr>
      <w:r>
        <w:t>Abbreviations</w:t>
      </w:r>
    </w:p>
    <w:tbl>
      <w:tblPr>
        <w:tblStyle w:val="31"/>
        <w:tblW w:w="8949" w:type="dxa"/>
        <w:tblInd w:w="0" w:type="dxa"/>
        <w:tblLayout w:type="fixed"/>
        <w:tblCellMar>
          <w:top w:w="0" w:type="dxa"/>
          <w:left w:w="108" w:type="dxa"/>
          <w:bottom w:w="0" w:type="dxa"/>
          <w:right w:w="108" w:type="dxa"/>
        </w:tblCellMar>
      </w:tblPr>
      <w:tblGrid>
        <w:gridCol w:w="1103"/>
        <w:gridCol w:w="7846"/>
      </w:tblGrid>
      <w:tr>
        <w:tblPrEx>
          <w:tblLayout w:type="fixed"/>
          <w:tblCellMar>
            <w:top w:w="0" w:type="dxa"/>
            <w:left w:w="108" w:type="dxa"/>
            <w:bottom w:w="0" w:type="dxa"/>
            <w:right w:w="108" w:type="dxa"/>
          </w:tblCellMar>
        </w:tblPrEx>
        <w:tc>
          <w:tcPr>
            <w:tcW w:w="1103" w:type="dxa"/>
            <w:shd w:val="clear" w:color="auto" w:fill="auto"/>
          </w:tcPr>
          <w:p>
            <w:pPr>
              <w:pStyle w:val="143"/>
              <w:numPr>
                <w:ilvl w:val="0"/>
                <w:numId w:val="0"/>
              </w:numPr>
            </w:pPr>
            <w:r>
              <w:t>R</w:t>
            </w:r>
          </w:p>
        </w:tc>
        <w:tc>
          <w:tcPr>
            <w:tcW w:w="7846" w:type="dxa"/>
            <w:shd w:val="clear" w:color="auto" w:fill="auto"/>
          </w:tcPr>
          <w:p>
            <w:pPr>
              <w:pStyle w:val="143"/>
              <w:numPr>
                <w:ilvl w:val="0"/>
                <w:numId w:val="0"/>
              </w:numPr>
            </w:pPr>
            <w:r>
              <w:t>Resistance</w:t>
            </w:r>
          </w:p>
        </w:tc>
      </w:tr>
      <w:tr>
        <w:tblPrEx>
          <w:tblLayout w:type="fixed"/>
          <w:tblCellMar>
            <w:top w:w="0" w:type="dxa"/>
            <w:left w:w="108" w:type="dxa"/>
            <w:bottom w:w="0" w:type="dxa"/>
            <w:right w:w="108" w:type="dxa"/>
          </w:tblCellMar>
        </w:tblPrEx>
        <w:tc>
          <w:tcPr>
            <w:tcW w:w="1103" w:type="dxa"/>
            <w:shd w:val="clear" w:color="auto" w:fill="auto"/>
          </w:tcPr>
          <w:p>
            <w:pPr>
              <w:pStyle w:val="143"/>
              <w:numPr>
                <w:ilvl w:val="0"/>
                <w:numId w:val="0"/>
              </w:numPr>
            </w:pPr>
            <w:r>
              <w:t>PTI</w:t>
            </w:r>
          </w:p>
        </w:tc>
        <w:tc>
          <w:tcPr>
            <w:tcW w:w="7846" w:type="dxa"/>
            <w:shd w:val="clear" w:color="auto" w:fill="auto"/>
          </w:tcPr>
          <w:p>
            <w:pPr>
              <w:pStyle w:val="143"/>
              <w:numPr>
                <w:ilvl w:val="0"/>
                <w:numId w:val="0"/>
              </w:numPr>
            </w:pPr>
            <w:r>
              <w:t>Pattern-triggered immunity</w:t>
            </w:r>
          </w:p>
        </w:tc>
      </w:tr>
      <w:tr>
        <w:tblPrEx>
          <w:tblLayout w:type="fixed"/>
          <w:tblCellMar>
            <w:top w:w="0" w:type="dxa"/>
            <w:left w:w="108" w:type="dxa"/>
            <w:bottom w:w="0" w:type="dxa"/>
            <w:right w:w="108" w:type="dxa"/>
          </w:tblCellMar>
        </w:tblPrEx>
        <w:tc>
          <w:tcPr>
            <w:tcW w:w="1103" w:type="dxa"/>
            <w:shd w:val="clear" w:color="auto" w:fill="auto"/>
          </w:tcPr>
          <w:p>
            <w:pPr>
              <w:pStyle w:val="143"/>
              <w:numPr>
                <w:ilvl w:val="0"/>
                <w:numId w:val="0"/>
              </w:numPr>
            </w:pPr>
            <w:r>
              <w:t>MAMPs</w:t>
            </w:r>
          </w:p>
        </w:tc>
        <w:tc>
          <w:tcPr>
            <w:tcW w:w="7846" w:type="dxa"/>
            <w:shd w:val="clear" w:color="auto" w:fill="auto"/>
          </w:tcPr>
          <w:p>
            <w:pPr>
              <w:pStyle w:val="143"/>
              <w:numPr>
                <w:ilvl w:val="0"/>
                <w:numId w:val="0"/>
              </w:numPr>
            </w:pPr>
            <w:r>
              <w:t>Microbe-associated molecular patterns</w:t>
            </w:r>
          </w:p>
        </w:tc>
      </w:tr>
      <w:tr>
        <w:tblPrEx>
          <w:tblLayout w:type="fixed"/>
          <w:tblCellMar>
            <w:top w:w="0" w:type="dxa"/>
            <w:left w:w="108" w:type="dxa"/>
            <w:bottom w:w="0" w:type="dxa"/>
            <w:right w:w="108" w:type="dxa"/>
          </w:tblCellMar>
        </w:tblPrEx>
        <w:tc>
          <w:tcPr>
            <w:tcW w:w="1103" w:type="dxa"/>
            <w:shd w:val="clear" w:color="auto" w:fill="auto"/>
          </w:tcPr>
          <w:p>
            <w:pPr>
              <w:pStyle w:val="143"/>
              <w:numPr>
                <w:ilvl w:val="0"/>
                <w:numId w:val="0"/>
              </w:numPr>
            </w:pPr>
            <w:r>
              <w:t>ETS</w:t>
            </w:r>
          </w:p>
        </w:tc>
        <w:tc>
          <w:tcPr>
            <w:tcW w:w="7846" w:type="dxa"/>
            <w:shd w:val="clear" w:color="auto" w:fill="auto"/>
          </w:tcPr>
          <w:p>
            <w:pPr>
              <w:pStyle w:val="143"/>
              <w:numPr>
                <w:ilvl w:val="0"/>
                <w:numId w:val="0"/>
              </w:numPr>
            </w:pPr>
            <w:r>
              <w:t>Effector-triggered susceptibility</w:t>
            </w:r>
          </w:p>
        </w:tc>
      </w:tr>
      <w:tr>
        <w:tblPrEx>
          <w:tblLayout w:type="fixed"/>
          <w:tblCellMar>
            <w:top w:w="0" w:type="dxa"/>
            <w:left w:w="108" w:type="dxa"/>
            <w:bottom w:w="0" w:type="dxa"/>
            <w:right w:w="108" w:type="dxa"/>
          </w:tblCellMar>
        </w:tblPrEx>
        <w:tc>
          <w:tcPr>
            <w:tcW w:w="1103" w:type="dxa"/>
            <w:shd w:val="clear" w:color="auto" w:fill="auto"/>
          </w:tcPr>
          <w:p>
            <w:pPr>
              <w:pStyle w:val="143"/>
              <w:numPr>
                <w:ilvl w:val="0"/>
                <w:numId w:val="0"/>
              </w:numPr>
            </w:pPr>
            <w:r>
              <w:t>ETI</w:t>
            </w:r>
          </w:p>
        </w:tc>
        <w:tc>
          <w:tcPr>
            <w:tcW w:w="7846" w:type="dxa"/>
            <w:shd w:val="clear" w:color="auto" w:fill="auto"/>
          </w:tcPr>
          <w:p>
            <w:pPr>
              <w:pStyle w:val="143"/>
              <w:numPr>
                <w:ilvl w:val="0"/>
                <w:numId w:val="0"/>
              </w:numPr>
            </w:pPr>
            <w:r>
              <w:t>Effector-triggered immunity</w:t>
            </w:r>
          </w:p>
        </w:tc>
      </w:tr>
      <w:tr>
        <w:tblPrEx>
          <w:tblLayout w:type="fixed"/>
          <w:tblCellMar>
            <w:top w:w="0" w:type="dxa"/>
            <w:left w:w="108" w:type="dxa"/>
            <w:bottom w:w="0" w:type="dxa"/>
            <w:right w:w="108" w:type="dxa"/>
          </w:tblCellMar>
        </w:tblPrEx>
        <w:tc>
          <w:tcPr>
            <w:tcW w:w="1103" w:type="dxa"/>
            <w:shd w:val="clear" w:color="auto" w:fill="auto"/>
          </w:tcPr>
          <w:p>
            <w:pPr>
              <w:pStyle w:val="143"/>
              <w:numPr>
                <w:ilvl w:val="0"/>
                <w:numId w:val="0"/>
              </w:numPr>
            </w:pPr>
            <w:r>
              <w:t>HAMPs</w:t>
            </w:r>
          </w:p>
        </w:tc>
        <w:tc>
          <w:tcPr>
            <w:tcW w:w="7846" w:type="dxa"/>
            <w:shd w:val="clear" w:color="auto" w:fill="auto"/>
          </w:tcPr>
          <w:p>
            <w:pPr>
              <w:pStyle w:val="143"/>
              <w:numPr>
                <w:ilvl w:val="0"/>
                <w:numId w:val="0"/>
              </w:numPr>
            </w:pPr>
            <w:r>
              <w:t>Herbivore-associated molecular patterns</w:t>
            </w:r>
          </w:p>
        </w:tc>
      </w:tr>
      <w:tr>
        <w:tblPrEx>
          <w:tblLayout w:type="fixed"/>
          <w:tblCellMar>
            <w:top w:w="0" w:type="dxa"/>
            <w:left w:w="108" w:type="dxa"/>
            <w:bottom w:w="0" w:type="dxa"/>
            <w:right w:w="108" w:type="dxa"/>
          </w:tblCellMar>
        </w:tblPrEx>
        <w:tc>
          <w:tcPr>
            <w:tcW w:w="1103" w:type="dxa"/>
            <w:shd w:val="clear" w:color="auto" w:fill="auto"/>
          </w:tcPr>
          <w:p>
            <w:pPr>
              <w:pStyle w:val="143"/>
              <w:numPr>
                <w:ilvl w:val="0"/>
                <w:numId w:val="0"/>
              </w:numPr>
            </w:pPr>
            <w:r>
              <w:t>EAMPs</w:t>
            </w:r>
          </w:p>
        </w:tc>
        <w:tc>
          <w:tcPr>
            <w:tcW w:w="7846" w:type="dxa"/>
            <w:shd w:val="clear" w:color="auto" w:fill="auto"/>
          </w:tcPr>
          <w:p>
            <w:pPr>
              <w:pStyle w:val="143"/>
              <w:numPr>
                <w:ilvl w:val="0"/>
                <w:numId w:val="0"/>
              </w:numPr>
            </w:pPr>
            <w:r>
              <w:t>Egg-associated molecular patterns</w:t>
            </w:r>
          </w:p>
        </w:tc>
      </w:tr>
      <w:tr>
        <w:tblPrEx>
          <w:tblLayout w:type="fixed"/>
          <w:tblCellMar>
            <w:top w:w="0" w:type="dxa"/>
            <w:left w:w="108" w:type="dxa"/>
            <w:bottom w:w="0" w:type="dxa"/>
            <w:right w:w="108" w:type="dxa"/>
          </w:tblCellMar>
        </w:tblPrEx>
        <w:tc>
          <w:tcPr>
            <w:tcW w:w="1103" w:type="dxa"/>
            <w:shd w:val="clear" w:color="auto" w:fill="auto"/>
          </w:tcPr>
          <w:p>
            <w:pPr>
              <w:pStyle w:val="143"/>
              <w:numPr>
                <w:ilvl w:val="0"/>
                <w:numId w:val="0"/>
              </w:numPr>
            </w:pPr>
            <w:r>
              <w:t>SSGP</w:t>
            </w:r>
          </w:p>
        </w:tc>
        <w:tc>
          <w:tcPr>
            <w:tcW w:w="7846" w:type="dxa"/>
            <w:shd w:val="clear" w:color="auto" w:fill="auto"/>
          </w:tcPr>
          <w:p>
            <w:pPr>
              <w:pStyle w:val="143"/>
              <w:numPr>
                <w:ilvl w:val="0"/>
                <w:numId w:val="0"/>
              </w:numPr>
            </w:pPr>
            <w:r>
              <w:t>Secreted salivary gland protein</w:t>
            </w:r>
          </w:p>
        </w:tc>
      </w:tr>
      <w:tr>
        <w:tblPrEx>
          <w:tblLayout w:type="fixed"/>
          <w:tblCellMar>
            <w:top w:w="0" w:type="dxa"/>
            <w:left w:w="108" w:type="dxa"/>
            <w:bottom w:w="0" w:type="dxa"/>
            <w:right w:w="108" w:type="dxa"/>
          </w:tblCellMar>
        </w:tblPrEx>
        <w:tc>
          <w:tcPr>
            <w:tcW w:w="1103" w:type="dxa"/>
            <w:shd w:val="clear" w:color="auto" w:fill="auto"/>
          </w:tcPr>
          <w:p>
            <w:pPr>
              <w:pStyle w:val="143"/>
              <w:numPr>
                <w:ilvl w:val="0"/>
                <w:numId w:val="0"/>
              </w:numPr>
            </w:pPr>
            <w:r>
              <w:t>miRNA</w:t>
            </w:r>
          </w:p>
        </w:tc>
        <w:tc>
          <w:tcPr>
            <w:tcW w:w="7846" w:type="dxa"/>
            <w:shd w:val="clear" w:color="auto" w:fill="auto"/>
          </w:tcPr>
          <w:p>
            <w:pPr>
              <w:pStyle w:val="143"/>
              <w:numPr>
                <w:ilvl w:val="0"/>
                <w:numId w:val="0"/>
              </w:numPr>
            </w:pPr>
            <w:r>
              <w:t>microRNA</w:t>
            </w:r>
          </w:p>
        </w:tc>
      </w:tr>
      <w:tr>
        <w:tblPrEx>
          <w:tblLayout w:type="fixed"/>
          <w:tblCellMar>
            <w:top w:w="0" w:type="dxa"/>
            <w:left w:w="108" w:type="dxa"/>
            <w:bottom w:w="0" w:type="dxa"/>
            <w:right w:w="108" w:type="dxa"/>
          </w:tblCellMar>
        </w:tblPrEx>
        <w:tc>
          <w:tcPr>
            <w:tcW w:w="1103" w:type="dxa"/>
            <w:shd w:val="clear" w:color="auto" w:fill="auto"/>
          </w:tcPr>
          <w:p>
            <w:pPr>
              <w:pStyle w:val="143"/>
              <w:numPr>
                <w:ilvl w:val="0"/>
                <w:numId w:val="0"/>
              </w:numPr>
            </w:pPr>
            <w:r>
              <w:t>IAA</w:t>
            </w:r>
          </w:p>
        </w:tc>
        <w:tc>
          <w:tcPr>
            <w:tcW w:w="7846" w:type="dxa"/>
            <w:shd w:val="clear" w:color="auto" w:fill="auto"/>
          </w:tcPr>
          <w:p>
            <w:pPr>
              <w:pStyle w:val="143"/>
              <w:numPr>
                <w:ilvl w:val="0"/>
                <w:numId w:val="0"/>
              </w:numPr>
            </w:pPr>
            <w:r>
              <w:t>Indole acetic acid</w:t>
            </w:r>
          </w:p>
        </w:tc>
      </w:tr>
      <w:tr>
        <w:tblPrEx>
          <w:tblLayout w:type="fixed"/>
          <w:tblCellMar>
            <w:top w:w="0" w:type="dxa"/>
            <w:left w:w="108" w:type="dxa"/>
            <w:bottom w:w="0" w:type="dxa"/>
            <w:right w:w="108" w:type="dxa"/>
          </w:tblCellMar>
        </w:tblPrEx>
        <w:tc>
          <w:tcPr>
            <w:tcW w:w="1103" w:type="dxa"/>
            <w:shd w:val="clear" w:color="auto" w:fill="auto"/>
          </w:tcPr>
          <w:p>
            <w:pPr>
              <w:pStyle w:val="143"/>
              <w:numPr>
                <w:ilvl w:val="0"/>
                <w:numId w:val="0"/>
              </w:numPr>
            </w:pPr>
            <w:r>
              <w:t>LC-MS-MS</w:t>
            </w:r>
          </w:p>
        </w:tc>
        <w:tc>
          <w:tcPr>
            <w:tcW w:w="7846" w:type="dxa"/>
            <w:shd w:val="clear" w:color="auto" w:fill="auto"/>
          </w:tcPr>
          <w:p>
            <w:pPr>
              <w:pStyle w:val="143"/>
              <w:numPr>
                <w:ilvl w:val="0"/>
                <w:numId w:val="0"/>
              </w:numPr>
            </w:pPr>
            <w:r>
              <w:rPr>
                <w:lang w:val="en-GB"/>
              </w:rPr>
              <w:t>Liquid chromatography coupled to tandem mass spectrometry</w:t>
            </w:r>
          </w:p>
        </w:tc>
      </w:tr>
      <w:bookmarkEnd w:id="0"/>
      <w:bookmarkEnd w:id="1"/>
    </w:tbl>
    <w:p>
      <w:pPr>
        <w:pStyle w:val="150"/>
      </w:pPr>
      <w:r>
        <w:t>References</w:t>
      </w:r>
    </w:p>
    <w:p>
      <w:pPr>
        <w:widowControl w:val="0"/>
        <w:autoSpaceDE w:val="0"/>
        <w:autoSpaceDN w:val="0"/>
        <w:adjustRightInd w:val="0"/>
        <w:spacing w:line="240" w:lineRule="atLeast"/>
        <w:rPr>
          <w:rFonts w:ascii="Palatino Linotype" w:hAnsi="Palatino Linotype"/>
          <w:sz w:val="18"/>
          <w:szCs w:val="24"/>
        </w:rPr>
      </w:pPr>
      <w:r>
        <w:fldChar w:fldCharType="begin" w:fldLock="1"/>
      </w:r>
      <w:r>
        <w:instrText xml:space="preserve">ADDIN Mendeley Bibliography CSL_BIBLIOGRAPHY </w:instrText>
      </w:r>
      <w:r>
        <w:fldChar w:fldCharType="separate"/>
      </w:r>
      <w:r>
        <w:rPr>
          <w:rFonts w:ascii="Palatino Linotype" w:hAnsi="Palatino Linotype"/>
          <w:sz w:val="18"/>
          <w:szCs w:val="24"/>
        </w:rPr>
        <w:t xml:space="preserve">1. Stone, G. N.; Schönrogge, K. The adaptive significance of insect gall morphology. </w:t>
      </w:r>
      <w:r>
        <w:rPr>
          <w:rFonts w:ascii="Palatino Linotype" w:hAnsi="Palatino Linotype"/>
          <w:i/>
          <w:iCs/>
          <w:sz w:val="18"/>
          <w:szCs w:val="24"/>
        </w:rPr>
        <w:t>Trends Ecol. Evol.</w:t>
      </w:r>
      <w:r>
        <w:rPr>
          <w:rFonts w:ascii="Palatino Linotype" w:hAnsi="Palatino Linotype"/>
          <w:sz w:val="18"/>
          <w:szCs w:val="24"/>
        </w:rPr>
        <w:t xml:space="preserve"> </w:t>
      </w:r>
      <w:r>
        <w:rPr>
          <w:rFonts w:ascii="Palatino Linotype" w:hAnsi="Palatino Linotype"/>
          <w:b/>
          <w:bCs/>
          <w:sz w:val="18"/>
          <w:szCs w:val="24"/>
        </w:rPr>
        <w:t>2003</w:t>
      </w:r>
      <w:r>
        <w:rPr>
          <w:rFonts w:ascii="Palatino Linotype" w:hAnsi="Palatino Linotype"/>
          <w:sz w:val="18"/>
          <w:szCs w:val="24"/>
        </w:rPr>
        <w:t xml:space="preserve">, </w:t>
      </w:r>
      <w:r>
        <w:rPr>
          <w:rFonts w:ascii="Palatino Linotype" w:hAnsi="Palatino Linotype"/>
          <w:i/>
          <w:iCs/>
          <w:sz w:val="18"/>
          <w:szCs w:val="24"/>
        </w:rPr>
        <w:t>18</w:t>
      </w:r>
      <w:r>
        <w:rPr>
          <w:rFonts w:ascii="Palatino Linotype" w:hAnsi="Palatino Linotype"/>
          <w:sz w:val="18"/>
          <w:szCs w:val="24"/>
        </w:rPr>
        <w:t>, 512–522.</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2. Inbar, M.; Izhaki, I.; Koplovich,  a.; Lupo, I.; Silanikove, N.; Glasser, T.; Gerchman, Y.; Perevolotsky,  a.; Lev-Yadun, S. Why do many galls have conspicuous colors? A new hypothesis. </w:t>
      </w:r>
      <w:r>
        <w:rPr>
          <w:rFonts w:ascii="Palatino Linotype" w:hAnsi="Palatino Linotype"/>
          <w:i/>
          <w:iCs/>
          <w:sz w:val="18"/>
          <w:szCs w:val="24"/>
        </w:rPr>
        <w:t>Arthropod. Plant. Interact.</w:t>
      </w:r>
      <w:r>
        <w:rPr>
          <w:rFonts w:ascii="Palatino Linotype" w:hAnsi="Palatino Linotype"/>
          <w:sz w:val="18"/>
          <w:szCs w:val="24"/>
        </w:rPr>
        <w:t xml:space="preserve"> </w:t>
      </w:r>
      <w:r>
        <w:rPr>
          <w:rFonts w:ascii="Palatino Linotype" w:hAnsi="Palatino Linotype"/>
          <w:b/>
          <w:bCs/>
          <w:sz w:val="18"/>
          <w:szCs w:val="24"/>
        </w:rPr>
        <w:t>2010</w:t>
      </w:r>
      <w:r>
        <w:rPr>
          <w:rFonts w:ascii="Palatino Linotype" w:hAnsi="Palatino Linotype"/>
          <w:sz w:val="18"/>
          <w:szCs w:val="24"/>
        </w:rPr>
        <w:t xml:space="preserve">, </w:t>
      </w:r>
      <w:r>
        <w:rPr>
          <w:rFonts w:ascii="Palatino Linotype" w:hAnsi="Palatino Linotype"/>
          <w:i/>
          <w:iCs/>
          <w:sz w:val="18"/>
          <w:szCs w:val="24"/>
        </w:rPr>
        <w:t>4</w:t>
      </w:r>
      <w:r>
        <w:rPr>
          <w:rFonts w:ascii="Palatino Linotype" w:hAnsi="Palatino Linotype"/>
          <w:sz w:val="18"/>
          <w:szCs w:val="24"/>
        </w:rPr>
        <w:t>, 1–6.</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3. Oliveira, D. C.; Isaias, R. M. S. Redifferentiation of leaflet tissues during midrib gall development in Copaifera langsdorffii (Fabaceae). </w:t>
      </w:r>
      <w:r>
        <w:rPr>
          <w:rFonts w:ascii="Palatino Linotype" w:hAnsi="Palatino Linotype"/>
          <w:i/>
          <w:iCs/>
          <w:sz w:val="18"/>
          <w:szCs w:val="24"/>
        </w:rPr>
        <w:t>South African J. Bot.</w:t>
      </w:r>
      <w:r>
        <w:rPr>
          <w:rFonts w:ascii="Palatino Linotype" w:hAnsi="Palatino Linotype"/>
          <w:sz w:val="18"/>
          <w:szCs w:val="24"/>
        </w:rPr>
        <w:t xml:space="preserve"> </w:t>
      </w:r>
      <w:r>
        <w:rPr>
          <w:rFonts w:ascii="Palatino Linotype" w:hAnsi="Palatino Linotype"/>
          <w:b/>
          <w:bCs/>
          <w:sz w:val="18"/>
          <w:szCs w:val="24"/>
        </w:rPr>
        <w:t>2010</w:t>
      </w:r>
      <w:r>
        <w:rPr>
          <w:rFonts w:ascii="Palatino Linotype" w:hAnsi="Palatino Linotype"/>
          <w:sz w:val="18"/>
          <w:szCs w:val="24"/>
        </w:rPr>
        <w:t xml:space="preserve">, </w:t>
      </w:r>
      <w:r>
        <w:rPr>
          <w:rFonts w:ascii="Palatino Linotype" w:hAnsi="Palatino Linotype"/>
          <w:i/>
          <w:iCs/>
          <w:sz w:val="18"/>
          <w:szCs w:val="24"/>
        </w:rPr>
        <w:t>76</w:t>
      </w:r>
      <w:r>
        <w:rPr>
          <w:rFonts w:ascii="Palatino Linotype" w:hAnsi="Palatino Linotype"/>
          <w:sz w:val="18"/>
          <w:szCs w:val="24"/>
        </w:rPr>
        <w:t>, 239–248.</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4. Tooker, J. F.; Rohr, J. R.; Abrahamson, W. G.; De Moraes, C. M. Gall insects can avoid and alter indirect plant defenses. </w:t>
      </w:r>
      <w:r>
        <w:rPr>
          <w:rFonts w:ascii="Palatino Linotype" w:hAnsi="Palatino Linotype"/>
          <w:i/>
          <w:iCs/>
          <w:sz w:val="18"/>
          <w:szCs w:val="24"/>
        </w:rPr>
        <w:t>New Phytol.</w:t>
      </w:r>
      <w:r>
        <w:rPr>
          <w:rFonts w:ascii="Palatino Linotype" w:hAnsi="Palatino Linotype"/>
          <w:sz w:val="18"/>
          <w:szCs w:val="24"/>
        </w:rPr>
        <w:t xml:space="preserve"> </w:t>
      </w:r>
      <w:r>
        <w:rPr>
          <w:rFonts w:ascii="Palatino Linotype" w:hAnsi="Palatino Linotype"/>
          <w:b/>
          <w:bCs/>
          <w:sz w:val="18"/>
          <w:szCs w:val="24"/>
        </w:rPr>
        <w:t>2008</w:t>
      </w:r>
      <w:r>
        <w:rPr>
          <w:rFonts w:ascii="Palatino Linotype" w:hAnsi="Palatino Linotype"/>
          <w:sz w:val="18"/>
          <w:szCs w:val="24"/>
        </w:rPr>
        <w:t xml:space="preserve">, </w:t>
      </w:r>
      <w:r>
        <w:rPr>
          <w:rFonts w:ascii="Palatino Linotype" w:hAnsi="Palatino Linotype"/>
          <w:i/>
          <w:iCs/>
          <w:sz w:val="18"/>
          <w:szCs w:val="24"/>
        </w:rPr>
        <w:t>178</w:t>
      </w:r>
      <w:r>
        <w:rPr>
          <w:rFonts w:ascii="Palatino Linotype" w:hAnsi="Palatino Linotype"/>
          <w:sz w:val="18"/>
          <w:szCs w:val="24"/>
        </w:rPr>
        <w:t>, 657–671.</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5. Zhan, J.; Thrall, P. H.; Papa, J.; Xie, L.; Burdon, J. J. Playing on a Pathogen ’ s Weakness</w:t>
      </w:r>
      <w:r>
        <w:rPr>
          <w:sz w:val="18"/>
          <w:szCs w:val="24"/>
        </w:rPr>
        <w:t> </w:t>
      </w:r>
      <w:r>
        <w:rPr>
          <w:rFonts w:ascii="Palatino Linotype" w:hAnsi="Palatino Linotype"/>
          <w:sz w:val="18"/>
          <w:szCs w:val="24"/>
        </w:rPr>
        <w:t xml:space="preserve">: Using Evolution to Guide Sustainable Plant Disease Control Strategies. </w:t>
      </w:r>
      <w:r>
        <w:rPr>
          <w:rFonts w:ascii="Palatino Linotype" w:hAnsi="Palatino Linotype"/>
          <w:i/>
          <w:iCs/>
          <w:sz w:val="18"/>
          <w:szCs w:val="24"/>
        </w:rPr>
        <w:t>Annu. Rev. Phytopathol.</w:t>
      </w:r>
      <w:r>
        <w:rPr>
          <w:rFonts w:ascii="Palatino Linotype" w:hAnsi="Palatino Linotype"/>
          <w:sz w:val="18"/>
          <w:szCs w:val="24"/>
        </w:rPr>
        <w:t xml:space="preserve"> </w:t>
      </w:r>
      <w:r>
        <w:rPr>
          <w:rFonts w:ascii="Palatino Linotype" w:hAnsi="Palatino Linotype"/>
          <w:b/>
          <w:bCs/>
          <w:sz w:val="18"/>
          <w:szCs w:val="24"/>
        </w:rPr>
        <w:t>2015</w:t>
      </w:r>
      <w:r>
        <w:rPr>
          <w:rFonts w:ascii="Palatino Linotype" w:hAnsi="Palatino Linotype"/>
          <w:sz w:val="18"/>
          <w:szCs w:val="24"/>
        </w:rPr>
        <w:t xml:space="preserve">, </w:t>
      </w:r>
      <w:r>
        <w:rPr>
          <w:rFonts w:ascii="Palatino Linotype" w:hAnsi="Palatino Linotype"/>
          <w:i/>
          <w:iCs/>
          <w:sz w:val="18"/>
          <w:szCs w:val="24"/>
        </w:rPr>
        <w:t>53</w:t>
      </w:r>
      <w:r>
        <w:rPr>
          <w:rFonts w:ascii="Palatino Linotype" w:hAnsi="Palatino Linotype"/>
          <w:sz w:val="18"/>
          <w:szCs w:val="24"/>
        </w:rPr>
        <w:t>, 19–43.</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6. Barah, P.; Bones, A. M. Multidimensional approaches for studying plant defence against insects</w:t>
      </w:r>
      <w:r>
        <w:rPr>
          <w:sz w:val="18"/>
          <w:szCs w:val="24"/>
        </w:rPr>
        <w:t> </w:t>
      </w:r>
      <w:r>
        <w:rPr>
          <w:rFonts w:ascii="Palatino Linotype" w:hAnsi="Palatino Linotype"/>
          <w:sz w:val="18"/>
          <w:szCs w:val="24"/>
        </w:rPr>
        <w:t xml:space="preserve">: from ecology to omics and synthetic biology. </w:t>
      </w:r>
      <w:r>
        <w:rPr>
          <w:rFonts w:ascii="Palatino Linotype" w:hAnsi="Palatino Linotype"/>
          <w:i/>
          <w:iCs/>
          <w:sz w:val="18"/>
          <w:szCs w:val="24"/>
        </w:rPr>
        <w:t>J. Exp. Bot.</w:t>
      </w:r>
      <w:r>
        <w:rPr>
          <w:rFonts w:ascii="Palatino Linotype" w:hAnsi="Palatino Linotype"/>
          <w:sz w:val="18"/>
          <w:szCs w:val="24"/>
        </w:rPr>
        <w:t xml:space="preserve"> </w:t>
      </w:r>
      <w:r>
        <w:rPr>
          <w:rFonts w:ascii="Palatino Linotype" w:hAnsi="Palatino Linotype"/>
          <w:b/>
          <w:bCs/>
          <w:sz w:val="18"/>
          <w:szCs w:val="24"/>
        </w:rPr>
        <w:t>2015</w:t>
      </w:r>
      <w:r>
        <w:rPr>
          <w:rFonts w:ascii="Palatino Linotype" w:hAnsi="Palatino Linotype"/>
          <w:sz w:val="18"/>
          <w:szCs w:val="24"/>
        </w:rPr>
        <w:t xml:space="preserve">, </w:t>
      </w:r>
      <w:r>
        <w:rPr>
          <w:rFonts w:ascii="Palatino Linotype" w:hAnsi="Palatino Linotype"/>
          <w:i/>
          <w:iCs/>
          <w:sz w:val="18"/>
          <w:szCs w:val="24"/>
        </w:rPr>
        <w:t>66</w:t>
      </w:r>
      <w:r>
        <w:rPr>
          <w:rFonts w:ascii="Palatino Linotype" w:hAnsi="Palatino Linotype"/>
          <w:sz w:val="18"/>
          <w:szCs w:val="24"/>
        </w:rPr>
        <w:t>, 479–493.</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7. Windram, O.; Penfold, C. a; Denby, K. J. Network Modeling to Understand Plant Immunity. </w:t>
      </w:r>
      <w:r>
        <w:rPr>
          <w:rFonts w:ascii="Palatino Linotype" w:hAnsi="Palatino Linotype"/>
          <w:i/>
          <w:iCs/>
          <w:sz w:val="18"/>
          <w:szCs w:val="24"/>
        </w:rPr>
        <w:t>Annu. Rev. Phytopathol.</w:t>
      </w:r>
      <w:r>
        <w:rPr>
          <w:rFonts w:ascii="Palatino Linotype" w:hAnsi="Palatino Linotype"/>
          <w:sz w:val="18"/>
          <w:szCs w:val="24"/>
        </w:rPr>
        <w:t xml:space="preserve"> </w:t>
      </w:r>
      <w:r>
        <w:rPr>
          <w:rFonts w:ascii="Palatino Linotype" w:hAnsi="Palatino Linotype"/>
          <w:b/>
          <w:bCs/>
          <w:sz w:val="18"/>
          <w:szCs w:val="24"/>
        </w:rPr>
        <w:t>2014</w:t>
      </w:r>
      <w:r>
        <w:rPr>
          <w:rFonts w:ascii="Palatino Linotype" w:hAnsi="Palatino Linotype"/>
          <w:sz w:val="18"/>
          <w:szCs w:val="24"/>
        </w:rPr>
        <w:t>, 1–20.</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8. Schachat, S. R.; Labandeira, C. C. Evolution of a complex behavior: the origin and initial diversification of foliar galling by Permian insects. </w:t>
      </w:r>
      <w:r>
        <w:rPr>
          <w:rFonts w:ascii="Palatino Linotype" w:hAnsi="Palatino Linotype"/>
          <w:i/>
          <w:iCs/>
          <w:sz w:val="18"/>
          <w:szCs w:val="24"/>
        </w:rPr>
        <w:t>Sci. Nat.</w:t>
      </w:r>
      <w:r>
        <w:rPr>
          <w:rFonts w:ascii="Palatino Linotype" w:hAnsi="Palatino Linotype"/>
          <w:sz w:val="18"/>
          <w:szCs w:val="24"/>
        </w:rPr>
        <w:t xml:space="preserve"> </w:t>
      </w:r>
      <w:r>
        <w:rPr>
          <w:rFonts w:ascii="Palatino Linotype" w:hAnsi="Palatino Linotype"/>
          <w:b/>
          <w:bCs/>
          <w:sz w:val="18"/>
          <w:szCs w:val="24"/>
        </w:rPr>
        <w:t>2015</w:t>
      </w:r>
      <w:r>
        <w:rPr>
          <w:rFonts w:ascii="Palatino Linotype" w:hAnsi="Palatino Linotype"/>
          <w:sz w:val="18"/>
          <w:szCs w:val="24"/>
        </w:rPr>
        <w:t xml:space="preserve">, </w:t>
      </w:r>
      <w:r>
        <w:rPr>
          <w:rFonts w:ascii="Palatino Linotype" w:hAnsi="Palatino Linotype"/>
          <w:i/>
          <w:iCs/>
          <w:sz w:val="18"/>
          <w:szCs w:val="24"/>
        </w:rPr>
        <w:t>102</w:t>
      </w:r>
      <w:r>
        <w:rPr>
          <w:rFonts w:ascii="Palatino Linotype" w:hAnsi="Palatino Linotype"/>
          <w:sz w:val="18"/>
          <w:szCs w:val="24"/>
        </w:rPr>
        <w:t>, 14.</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9. Ronquist, F.; Nieves-Aldrey, J.-L.; Buffington, M. L.; Liu, Z.; Liljeblad, J.; Nylander, J. a. a. Phylogeny, Evolution and Classification of Gall Wasps: The Plot Thickens. </w:t>
      </w:r>
      <w:r>
        <w:rPr>
          <w:rFonts w:ascii="Palatino Linotype" w:hAnsi="Palatino Linotype"/>
          <w:i/>
          <w:iCs/>
          <w:sz w:val="18"/>
          <w:szCs w:val="24"/>
        </w:rPr>
        <w:t>PLoS One</w:t>
      </w:r>
      <w:r>
        <w:rPr>
          <w:rFonts w:ascii="Palatino Linotype" w:hAnsi="Palatino Linotype"/>
          <w:sz w:val="18"/>
          <w:szCs w:val="24"/>
        </w:rPr>
        <w:t xml:space="preserve"> </w:t>
      </w:r>
      <w:r>
        <w:rPr>
          <w:rFonts w:ascii="Palatino Linotype" w:hAnsi="Palatino Linotype"/>
          <w:b/>
          <w:bCs/>
          <w:sz w:val="18"/>
          <w:szCs w:val="24"/>
        </w:rPr>
        <w:t>2015</w:t>
      </w:r>
      <w:r>
        <w:rPr>
          <w:rFonts w:ascii="Palatino Linotype" w:hAnsi="Palatino Linotype"/>
          <w:sz w:val="18"/>
          <w:szCs w:val="24"/>
        </w:rPr>
        <w:t xml:space="preserve">, </w:t>
      </w:r>
      <w:r>
        <w:rPr>
          <w:rFonts w:ascii="Palatino Linotype" w:hAnsi="Palatino Linotype"/>
          <w:i/>
          <w:iCs/>
          <w:sz w:val="18"/>
          <w:szCs w:val="24"/>
        </w:rPr>
        <w:t>10</w:t>
      </w:r>
      <w:r>
        <w:rPr>
          <w:rFonts w:ascii="Palatino Linotype" w:hAnsi="Palatino Linotype"/>
          <w:sz w:val="18"/>
          <w:szCs w:val="24"/>
        </w:rPr>
        <w:t>, e0123301.</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10. Giron, D.; Glevarec, G. Cytokinin-Induced Phenotypes in Plant-Insect Interactions: Learning from the Bacterial World. </w:t>
      </w:r>
      <w:r>
        <w:rPr>
          <w:rFonts w:ascii="Palatino Linotype" w:hAnsi="Palatino Linotype"/>
          <w:i/>
          <w:iCs/>
          <w:sz w:val="18"/>
          <w:szCs w:val="24"/>
        </w:rPr>
        <w:t>J. Chem. Ecol.</w:t>
      </w:r>
      <w:r>
        <w:rPr>
          <w:rFonts w:ascii="Palatino Linotype" w:hAnsi="Palatino Linotype"/>
          <w:sz w:val="18"/>
          <w:szCs w:val="24"/>
        </w:rPr>
        <w:t xml:space="preserve"> </w:t>
      </w:r>
      <w:r>
        <w:rPr>
          <w:rFonts w:ascii="Palatino Linotype" w:hAnsi="Palatino Linotype"/>
          <w:b/>
          <w:bCs/>
          <w:sz w:val="18"/>
          <w:szCs w:val="24"/>
        </w:rPr>
        <w:t>2014</w:t>
      </w:r>
      <w:r>
        <w:rPr>
          <w:rFonts w:ascii="Palatino Linotype" w:hAnsi="Palatino Linotype"/>
          <w:sz w:val="18"/>
          <w:szCs w:val="24"/>
        </w:rPr>
        <w:t xml:space="preserve">, </w:t>
      </w:r>
      <w:r>
        <w:rPr>
          <w:rFonts w:ascii="Palatino Linotype" w:hAnsi="Palatino Linotype"/>
          <w:i/>
          <w:iCs/>
          <w:sz w:val="18"/>
          <w:szCs w:val="24"/>
        </w:rPr>
        <w:t>40</w:t>
      </w:r>
      <w:r>
        <w:rPr>
          <w:rFonts w:ascii="Palatino Linotype" w:hAnsi="Palatino Linotype"/>
          <w:sz w:val="18"/>
          <w:szCs w:val="24"/>
        </w:rPr>
        <w:t>, 826–835.</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11. Spíchal, L. Cytokinins – recent news and views of evolutionally old molecules. </w:t>
      </w:r>
      <w:r>
        <w:rPr>
          <w:rFonts w:ascii="Palatino Linotype" w:hAnsi="Palatino Linotype"/>
          <w:i/>
          <w:iCs/>
          <w:sz w:val="18"/>
          <w:szCs w:val="24"/>
        </w:rPr>
        <w:t>Funct. Plant Biol.</w:t>
      </w:r>
      <w:r>
        <w:rPr>
          <w:rFonts w:ascii="Palatino Linotype" w:hAnsi="Palatino Linotype"/>
          <w:sz w:val="18"/>
          <w:szCs w:val="24"/>
        </w:rPr>
        <w:t xml:space="preserve"> </w:t>
      </w:r>
      <w:r>
        <w:rPr>
          <w:rFonts w:ascii="Palatino Linotype" w:hAnsi="Palatino Linotype"/>
          <w:b/>
          <w:bCs/>
          <w:sz w:val="18"/>
          <w:szCs w:val="24"/>
        </w:rPr>
        <w:t>2012</w:t>
      </w:r>
      <w:r>
        <w:rPr>
          <w:rFonts w:ascii="Palatino Linotype" w:hAnsi="Palatino Linotype"/>
          <w:sz w:val="18"/>
          <w:szCs w:val="24"/>
        </w:rPr>
        <w:t xml:space="preserve">, </w:t>
      </w:r>
      <w:r>
        <w:rPr>
          <w:rFonts w:ascii="Palatino Linotype" w:hAnsi="Palatino Linotype"/>
          <w:i/>
          <w:iCs/>
          <w:sz w:val="18"/>
          <w:szCs w:val="24"/>
        </w:rPr>
        <w:t>39</w:t>
      </w:r>
      <w:r>
        <w:rPr>
          <w:rFonts w:ascii="Palatino Linotype" w:hAnsi="Palatino Linotype"/>
          <w:sz w:val="18"/>
          <w:szCs w:val="24"/>
        </w:rPr>
        <w:t>, 267–284.</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12. Kaiser, W.; Huguet, E.; Giron, D. Plant green-island phenotype induced by leaf-miners is mediated by bacterial symbionts. </w:t>
      </w:r>
      <w:r>
        <w:rPr>
          <w:rFonts w:ascii="Palatino Linotype" w:hAnsi="Palatino Linotype"/>
          <w:i/>
          <w:iCs/>
          <w:sz w:val="18"/>
          <w:szCs w:val="24"/>
        </w:rPr>
        <w:t>Proc. R. Soc.</w:t>
      </w:r>
      <w:r>
        <w:rPr>
          <w:rFonts w:ascii="Palatino Linotype" w:hAnsi="Palatino Linotype"/>
          <w:sz w:val="18"/>
          <w:szCs w:val="24"/>
        </w:rPr>
        <w:t xml:space="preserve"> </w:t>
      </w:r>
      <w:r>
        <w:rPr>
          <w:rFonts w:ascii="Palatino Linotype" w:hAnsi="Palatino Linotype"/>
          <w:b/>
          <w:bCs/>
          <w:sz w:val="18"/>
          <w:szCs w:val="24"/>
        </w:rPr>
        <w:t>2010</w:t>
      </w:r>
      <w:r>
        <w:rPr>
          <w:rFonts w:ascii="Palatino Linotype" w:hAnsi="Palatino Linotype"/>
          <w:sz w:val="18"/>
          <w:szCs w:val="24"/>
        </w:rPr>
        <w:t>.</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13. Giron, D.; Kaiser, W.; Imbault, N. Cytokinin-mediated leaf manipulation by a leafminer caterpillar. </w:t>
      </w:r>
      <w:r>
        <w:rPr>
          <w:rFonts w:ascii="Palatino Linotype" w:hAnsi="Palatino Linotype"/>
          <w:i/>
          <w:iCs/>
          <w:sz w:val="18"/>
          <w:szCs w:val="24"/>
        </w:rPr>
        <w:t>Biol. Lett.</w:t>
      </w:r>
      <w:r>
        <w:rPr>
          <w:rFonts w:ascii="Palatino Linotype" w:hAnsi="Palatino Linotype"/>
          <w:sz w:val="18"/>
          <w:szCs w:val="24"/>
        </w:rPr>
        <w:t xml:space="preserve"> </w:t>
      </w:r>
      <w:r>
        <w:rPr>
          <w:rFonts w:ascii="Palatino Linotype" w:hAnsi="Palatino Linotype"/>
          <w:b/>
          <w:bCs/>
          <w:sz w:val="18"/>
          <w:szCs w:val="24"/>
        </w:rPr>
        <w:t>2007</w:t>
      </w:r>
      <w:r>
        <w:rPr>
          <w:rFonts w:ascii="Palatino Linotype" w:hAnsi="Palatino Linotype"/>
          <w:sz w:val="18"/>
          <w:szCs w:val="24"/>
        </w:rPr>
        <w:t xml:space="preserve">, </w:t>
      </w:r>
      <w:r>
        <w:rPr>
          <w:rFonts w:ascii="Palatino Linotype" w:hAnsi="Palatino Linotype"/>
          <w:i/>
          <w:iCs/>
          <w:sz w:val="18"/>
          <w:szCs w:val="24"/>
        </w:rPr>
        <w:t>3</w:t>
      </w:r>
      <w:r>
        <w:rPr>
          <w:rFonts w:ascii="Palatino Linotype" w:hAnsi="Palatino Linotype"/>
          <w:sz w:val="18"/>
          <w:szCs w:val="24"/>
        </w:rPr>
        <w:t>, 340–343.</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14. Huang, M.-Y.; Huang, W.-D.; Chou, H.-M.; Chen, C.-C.; Chen, P.-J.; Chang, Y.-T.; Yang, C.-M. Structural, biochemical, and physiological characterization of photosynthesis in  leaf-derived cup-shaped galls on Litsea acuminata. </w:t>
      </w:r>
      <w:r>
        <w:rPr>
          <w:rFonts w:ascii="Palatino Linotype" w:hAnsi="Palatino Linotype"/>
          <w:i/>
          <w:iCs/>
          <w:sz w:val="18"/>
          <w:szCs w:val="24"/>
        </w:rPr>
        <w:t>BMC Plant Biol.</w:t>
      </w:r>
      <w:r>
        <w:rPr>
          <w:rFonts w:ascii="Palatino Linotype" w:hAnsi="Palatino Linotype"/>
          <w:sz w:val="18"/>
          <w:szCs w:val="24"/>
        </w:rPr>
        <w:t xml:space="preserve"> </w:t>
      </w:r>
      <w:r>
        <w:rPr>
          <w:rFonts w:ascii="Palatino Linotype" w:hAnsi="Palatino Linotype"/>
          <w:b/>
          <w:bCs/>
          <w:sz w:val="18"/>
          <w:szCs w:val="24"/>
        </w:rPr>
        <w:t>2015</w:t>
      </w:r>
      <w:r>
        <w:rPr>
          <w:rFonts w:ascii="Palatino Linotype" w:hAnsi="Palatino Linotype"/>
          <w:sz w:val="18"/>
          <w:szCs w:val="24"/>
        </w:rPr>
        <w:t xml:space="preserve">, </w:t>
      </w:r>
      <w:r>
        <w:rPr>
          <w:rFonts w:ascii="Palatino Linotype" w:hAnsi="Palatino Linotype"/>
          <w:i/>
          <w:iCs/>
          <w:sz w:val="18"/>
          <w:szCs w:val="24"/>
        </w:rPr>
        <w:t>15</w:t>
      </w:r>
      <w:r>
        <w:rPr>
          <w:rFonts w:ascii="Palatino Linotype" w:hAnsi="Palatino Linotype"/>
          <w:sz w:val="18"/>
          <w:szCs w:val="24"/>
        </w:rPr>
        <w:t>, 61.</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15. Hansen, A. K.; Moran, N. A. The impact of microbial symbionts on host plant utilization by herbivorous insects. </w:t>
      </w:r>
      <w:r>
        <w:rPr>
          <w:rFonts w:ascii="Palatino Linotype" w:hAnsi="Palatino Linotype"/>
          <w:i/>
          <w:iCs/>
          <w:sz w:val="18"/>
          <w:szCs w:val="24"/>
        </w:rPr>
        <w:t>Mol. Ecol.</w:t>
      </w:r>
      <w:r>
        <w:rPr>
          <w:rFonts w:ascii="Palatino Linotype" w:hAnsi="Palatino Linotype"/>
          <w:sz w:val="18"/>
          <w:szCs w:val="24"/>
        </w:rPr>
        <w:t xml:space="preserve"> </w:t>
      </w:r>
      <w:r>
        <w:rPr>
          <w:rFonts w:ascii="Palatino Linotype" w:hAnsi="Palatino Linotype"/>
          <w:b/>
          <w:bCs/>
          <w:sz w:val="18"/>
          <w:szCs w:val="24"/>
        </w:rPr>
        <w:t>2014</w:t>
      </w:r>
      <w:r>
        <w:rPr>
          <w:rFonts w:ascii="Palatino Linotype" w:hAnsi="Palatino Linotype"/>
          <w:sz w:val="18"/>
          <w:szCs w:val="24"/>
        </w:rPr>
        <w:t xml:space="preserve">, </w:t>
      </w:r>
      <w:r>
        <w:rPr>
          <w:rFonts w:ascii="Palatino Linotype" w:hAnsi="Palatino Linotype"/>
          <w:i/>
          <w:iCs/>
          <w:sz w:val="18"/>
          <w:szCs w:val="24"/>
        </w:rPr>
        <w:t>23</w:t>
      </w:r>
      <w:r>
        <w:rPr>
          <w:rFonts w:ascii="Palatino Linotype" w:hAnsi="Palatino Linotype"/>
          <w:sz w:val="18"/>
          <w:szCs w:val="24"/>
        </w:rPr>
        <w:t>, 1473–1496.</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16. Giron, D.; Huguet, E.; Stone, G. N.; Body, M. Insect-induced effects on plants and possible effectors used by galling and leaf-mining insects to manipulate their host-plant. </w:t>
      </w:r>
      <w:r>
        <w:rPr>
          <w:rFonts w:ascii="Palatino Linotype" w:hAnsi="Palatino Linotype"/>
          <w:b/>
          <w:bCs/>
          <w:sz w:val="18"/>
          <w:szCs w:val="24"/>
        </w:rPr>
        <w:t>2016</w:t>
      </w:r>
      <w:r>
        <w:rPr>
          <w:rFonts w:ascii="Palatino Linotype" w:hAnsi="Palatino Linotype"/>
          <w:sz w:val="18"/>
          <w:szCs w:val="24"/>
        </w:rPr>
        <w:t xml:space="preserve">, </w:t>
      </w:r>
      <w:r>
        <w:rPr>
          <w:rFonts w:ascii="Palatino Linotype" w:hAnsi="Palatino Linotype"/>
          <w:i/>
          <w:iCs/>
          <w:sz w:val="18"/>
          <w:szCs w:val="24"/>
        </w:rPr>
        <w:t>84</w:t>
      </w:r>
      <w:r>
        <w:rPr>
          <w:rFonts w:ascii="Palatino Linotype" w:hAnsi="Palatino Linotype"/>
          <w:sz w:val="18"/>
          <w:szCs w:val="24"/>
        </w:rPr>
        <w:t>, 70–89.</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17. Dardeau, F.; Deprost, E.; Laurans, F.; Lainé, V.; Lieutier, F.; Sallé, A. Resistant poplar genotypes inhibit pseudogall formation by the wooly poplar aphid, phloeomyzus passerinii sign. </w:t>
      </w:r>
      <w:r>
        <w:rPr>
          <w:rFonts w:ascii="Palatino Linotype" w:hAnsi="Palatino Linotype"/>
          <w:i/>
          <w:iCs/>
          <w:sz w:val="18"/>
          <w:szCs w:val="24"/>
        </w:rPr>
        <w:t>Trees</w:t>
      </w:r>
      <w:r>
        <w:rPr>
          <w:rFonts w:ascii="Palatino Linotype" w:hAnsi="Palatino Linotype"/>
          <w:sz w:val="18"/>
          <w:szCs w:val="24"/>
        </w:rPr>
        <w:t xml:space="preserve"> </w:t>
      </w:r>
      <w:r>
        <w:rPr>
          <w:rFonts w:ascii="Palatino Linotype" w:hAnsi="Palatino Linotype"/>
          <w:b/>
          <w:bCs/>
          <w:sz w:val="18"/>
          <w:szCs w:val="24"/>
        </w:rPr>
        <w:t>2014</w:t>
      </w:r>
      <w:r>
        <w:rPr>
          <w:rFonts w:ascii="Palatino Linotype" w:hAnsi="Palatino Linotype"/>
          <w:sz w:val="18"/>
          <w:szCs w:val="24"/>
        </w:rPr>
        <w:t xml:space="preserve">, </w:t>
      </w:r>
      <w:r>
        <w:rPr>
          <w:rFonts w:ascii="Palatino Linotype" w:hAnsi="Palatino Linotype"/>
          <w:i/>
          <w:iCs/>
          <w:sz w:val="18"/>
          <w:szCs w:val="24"/>
        </w:rPr>
        <w:t>28</w:t>
      </w:r>
      <w:r>
        <w:rPr>
          <w:rFonts w:ascii="Palatino Linotype" w:hAnsi="Palatino Linotype"/>
          <w:sz w:val="18"/>
          <w:szCs w:val="24"/>
        </w:rPr>
        <w:t>, 1007–1019.</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18. Ferreira, B. G.; Teixeira, C. T.; Isaias, R. M. S. Efficiency of the Polyethylene-Glycol (PEG) Embedding Medium for Plant Histochemistry. </w:t>
      </w:r>
      <w:r>
        <w:rPr>
          <w:rFonts w:ascii="Palatino Linotype" w:hAnsi="Palatino Linotype"/>
          <w:i/>
          <w:iCs/>
          <w:sz w:val="18"/>
          <w:szCs w:val="24"/>
        </w:rPr>
        <w:t>J. Histochem. Cytochem.</w:t>
      </w:r>
      <w:r>
        <w:rPr>
          <w:rFonts w:ascii="Palatino Linotype" w:hAnsi="Palatino Linotype"/>
          <w:sz w:val="18"/>
          <w:szCs w:val="24"/>
        </w:rPr>
        <w:t xml:space="preserve"> </w:t>
      </w:r>
      <w:r>
        <w:rPr>
          <w:rFonts w:ascii="Palatino Linotype" w:hAnsi="Palatino Linotype"/>
          <w:b/>
          <w:bCs/>
          <w:sz w:val="18"/>
          <w:szCs w:val="24"/>
        </w:rPr>
        <w:t>2014</w:t>
      </w:r>
      <w:r>
        <w:rPr>
          <w:rFonts w:ascii="Palatino Linotype" w:hAnsi="Palatino Linotype"/>
          <w:sz w:val="18"/>
          <w:szCs w:val="24"/>
        </w:rPr>
        <w:t xml:space="preserve">, </w:t>
      </w:r>
      <w:r>
        <w:rPr>
          <w:rFonts w:ascii="Palatino Linotype" w:hAnsi="Palatino Linotype"/>
          <w:i/>
          <w:iCs/>
          <w:sz w:val="18"/>
          <w:szCs w:val="24"/>
        </w:rPr>
        <w:t>62</w:t>
      </w:r>
      <w:r>
        <w:rPr>
          <w:rFonts w:ascii="Palatino Linotype" w:hAnsi="Palatino Linotype"/>
          <w:sz w:val="18"/>
          <w:szCs w:val="24"/>
        </w:rPr>
        <w:t>, 577–583.</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19. Ferreira, B. G.; Isaias, R. M. S. Developmental stem anatomy and tissue redifferentiation induced by a galling Lepidoptera on Marcetia taxifolia. </w:t>
      </w:r>
      <w:r>
        <w:rPr>
          <w:rFonts w:ascii="Palatino Linotype" w:hAnsi="Palatino Linotype"/>
          <w:i/>
          <w:iCs/>
          <w:sz w:val="18"/>
          <w:szCs w:val="24"/>
        </w:rPr>
        <w:t>Botany</w:t>
      </w:r>
      <w:r>
        <w:rPr>
          <w:rFonts w:ascii="Palatino Linotype" w:hAnsi="Palatino Linotype"/>
          <w:sz w:val="18"/>
          <w:szCs w:val="24"/>
        </w:rPr>
        <w:t xml:space="preserve"> </w:t>
      </w:r>
      <w:r>
        <w:rPr>
          <w:rFonts w:ascii="Palatino Linotype" w:hAnsi="Palatino Linotype"/>
          <w:b/>
          <w:bCs/>
          <w:sz w:val="18"/>
          <w:szCs w:val="24"/>
        </w:rPr>
        <w:t>2013</w:t>
      </w:r>
      <w:r>
        <w:rPr>
          <w:rFonts w:ascii="Palatino Linotype" w:hAnsi="Palatino Linotype"/>
          <w:sz w:val="18"/>
          <w:szCs w:val="24"/>
        </w:rPr>
        <w:t xml:space="preserve">, </w:t>
      </w:r>
      <w:r>
        <w:rPr>
          <w:rFonts w:ascii="Palatino Linotype" w:hAnsi="Palatino Linotype"/>
          <w:i/>
          <w:iCs/>
          <w:sz w:val="18"/>
          <w:szCs w:val="24"/>
        </w:rPr>
        <w:t>760</w:t>
      </w:r>
      <w:r>
        <w:rPr>
          <w:rFonts w:ascii="Palatino Linotype" w:hAnsi="Palatino Linotype"/>
          <w:sz w:val="18"/>
          <w:szCs w:val="24"/>
        </w:rPr>
        <w:t>, 752–760.</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20. Vecchi, C.; Menezes, N. L.; Oliveira, D. C.; Ferreira, B. G.; Isaias, R. M. S. The redifferentiation of nutritive cells in galls induced by Lepidoptera on Tibouchina pulchra (Cham.) Cogn. reveals predefined patterns of plant development. </w:t>
      </w:r>
      <w:r>
        <w:rPr>
          <w:rFonts w:ascii="Palatino Linotype" w:hAnsi="Palatino Linotype"/>
          <w:i/>
          <w:iCs/>
          <w:sz w:val="18"/>
          <w:szCs w:val="24"/>
        </w:rPr>
        <w:t>Protoplasma</w:t>
      </w:r>
      <w:r>
        <w:rPr>
          <w:rFonts w:ascii="Palatino Linotype" w:hAnsi="Palatino Linotype"/>
          <w:sz w:val="18"/>
          <w:szCs w:val="24"/>
        </w:rPr>
        <w:t xml:space="preserve"> </w:t>
      </w:r>
      <w:r>
        <w:rPr>
          <w:rFonts w:ascii="Palatino Linotype" w:hAnsi="Palatino Linotype"/>
          <w:b/>
          <w:bCs/>
          <w:sz w:val="18"/>
          <w:szCs w:val="24"/>
        </w:rPr>
        <w:t>2013</w:t>
      </w:r>
      <w:r>
        <w:rPr>
          <w:rFonts w:ascii="Palatino Linotype" w:hAnsi="Palatino Linotype"/>
          <w:sz w:val="18"/>
          <w:szCs w:val="24"/>
        </w:rPr>
        <w:t xml:space="preserve">, </w:t>
      </w:r>
      <w:r>
        <w:rPr>
          <w:rFonts w:ascii="Palatino Linotype" w:hAnsi="Palatino Linotype"/>
          <w:i/>
          <w:iCs/>
          <w:sz w:val="18"/>
          <w:szCs w:val="24"/>
        </w:rPr>
        <w:t>250</w:t>
      </w:r>
      <w:r>
        <w:rPr>
          <w:rFonts w:ascii="Palatino Linotype" w:hAnsi="Palatino Linotype"/>
          <w:sz w:val="18"/>
          <w:szCs w:val="24"/>
        </w:rPr>
        <w:t>, 1363–8.</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21. Richardson, R. A.; Body, M.; Warmund, M. R.; Schultz, J. C.; Appel, H. M. Morphometric analysis of young petiole galls on the narrow-leaf cottonwood, Populus angustifolia, by the sugarbeet root aphid, Pemphigus betae. </w:t>
      </w:r>
      <w:r>
        <w:rPr>
          <w:rFonts w:ascii="Palatino Linotype" w:hAnsi="Palatino Linotype"/>
          <w:i/>
          <w:iCs/>
          <w:sz w:val="18"/>
          <w:szCs w:val="24"/>
        </w:rPr>
        <w:t>Protoplasma</w:t>
      </w:r>
      <w:r>
        <w:rPr>
          <w:rFonts w:ascii="Palatino Linotype" w:hAnsi="Palatino Linotype"/>
          <w:sz w:val="18"/>
          <w:szCs w:val="24"/>
        </w:rPr>
        <w:t xml:space="preserve"> </w:t>
      </w:r>
      <w:r>
        <w:rPr>
          <w:rFonts w:ascii="Palatino Linotype" w:hAnsi="Palatino Linotype"/>
          <w:b/>
          <w:bCs/>
          <w:sz w:val="18"/>
          <w:szCs w:val="24"/>
        </w:rPr>
        <w:t>2016</w:t>
      </w:r>
      <w:r>
        <w:rPr>
          <w:rFonts w:ascii="Palatino Linotype" w:hAnsi="Palatino Linotype"/>
          <w:sz w:val="18"/>
          <w:szCs w:val="24"/>
        </w:rPr>
        <w:t>, 1–14.</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22. Ferreira, B. G.; Carneiro, R. G. S.; Isaias, R. M. S. Multivesicular bodies differentiate exclusively in nutritive fast-dividing cells in Marcetia taxifolia galls. </w:t>
      </w:r>
      <w:r>
        <w:rPr>
          <w:rFonts w:ascii="Palatino Linotype" w:hAnsi="Palatino Linotype"/>
          <w:i/>
          <w:iCs/>
          <w:sz w:val="18"/>
          <w:szCs w:val="24"/>
        </w:rPr>
        <w:t>Protoplasma</w:t>
      </w:r>
      <w:r>
        <w:rPr>
          <w:rFonts w:ascii="Palatino Linotype" w:hAnsi="Palatino Linotype"/>
          <w:sz w:val="18"/>
          <w:szCs w:val="24"/>
        </w:rPr>
        <w:t xml:space="preserve"> </w:t>
      </w:r>
      <w:r>
        <w:rPr>
          <w:rFonts w:ascii="Palatino Linotype" w:hAnsi="Palatino Linotype"/>
          <w:b/>
          <w:bCs/>
          <w:sz w:val="18"/>
          <w:szCs w:val="24"/>
        </w:rPr>
        <w:t>2015</w:t>
      </w:r>
      <w:r>
        <w:rPr>
          <w:rFonts w:ascii="Palatino Linotype" w:hAnsi="Palatino Linotype"/>
          <w:sz w:val="18"/>
          <w:szCs w:val="24"/>
        </w:rPr>
        <w:t>.</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23. Oates, C. N.; Külheim, C.; Myburg, A. A.; Slippers, B.; Naidoo, S. The transcriptome and terpene profile of Eucalyptus grandis reveals mechanisms of defense against the insect pest, Leptocybe invasa. </w:t>
      </w:r>
      <w:r>
        <w:rPr>
          <w:rFonts w:ascii="Palatino Linotype" w:hAnsi="Palatino Linotype"/>
          <w:i/>
          <w:iCs/>
          <w:sz w:val="18"/>
          <w:szCs w:val="24"/>
        </w:rPr>
        <w:t>Plant Cell Physiol.</w:t>
      </w:r>
      <w:r>
        <w:rPr>
          <w:rFonts w:ascii="Palatino Linotype" w:hAnsi="Palatino Linotype"/>
          <w:sz w:val="18"/>
          <w:szCs w:val="24"/>
        </w:rPr>
        <w:t xml:space="preserve"> </w:t>
      </w:r>
      <w:r>
        <w:rPr>
          <w:rFonts w:ascii="Palatino Linotype" w:hAnsi="Palatino Linotype"/>
          <w:b/>
          <w:bCs/>
          <w:sz w:val="18"/>
          <w:szCs w:val="24"/>
        </w:rPr>
        <w:t>2015</w:t>
      </w:r>
      <w:r>
        <w:rPr>
          <w:rFonts w:ascii="Palatino Linotype" w:hAnsi="Palatino Linotype"/>
          <w:sz w:val="18"/>
          <w:szCs w:val="24"/>
        </w:rPr>
        <w:t xml:space="preserve">, </w:t>
      </w:r>
      <w:r>
        <w:rPr>
          <w:rFonts w:ascii="Palatino Linotype" w:hAnsi="Palatino Linotype"/>
          <w:i/>
          <w:iCs/>
          <w:sz w:val="18"/>
          <w:szCs w:val="24"/>
        </w:rPr>
        <w:t>56</w:t>
      </w:r>
      <w:r>
        <w:rPr>
          <w:rFonts w:ascii="Palatino Linotype" w:hAnsi="Palatino Linotype"/>
          <w:sz w:val="18"/>
          <w:szCs w:val="24"/>
        </w:rPr>
        <w:t>, 1418–1428.</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24. Huang, M.-Y.; Huang, W.-D.; Chou, H.-M.; Lin, K.-H.; Chen, C.-C.; Chen, P.-J.; Chang, Y.-T.; Yang, C.-M. Leaf-derived cecidomyiid galls are sinks in Machilus thunbergii (Lauraceae) leaves. </w:t>
      </w:r>
      <w:r>
        <w:rPr>
          <w:rFonts w:ascii="Palatino Linotype" w:hAnsi="Palatino Linotype"/>
          <w:i/>
          <w:iCs/>
          <w:sz w:val="18"/>
          <w:szCs w:val="24"/>
        </w:rPr>
        <w:t>Physiol. Plant.</w:t>
      </w:r>
      <w:r>
        <w:rPr>
          <w:rFonts w:ascii="Palatino Linotype" w:hAnsi="Palatino Linotype"/>
          <w:sz w:val="18"/>
          <w:szCs w:val="24"/>
        </w:rPr>
        <w:t xml:space="preserve"> </w:t>
      </w:r>
      <w:r>
        <w:rPr>
          <w:rFonts w:ascii="Palatino Linotype" w:hAnsi="Palatino Linotype"/>
          <w:b/>
          <w:bCs/>
          <w:sz w:val="18"/>
          <w:szCs w:val="24"/>
        </w:rPr>
        <w:t>2014</w:t>
      </w:r>
      <w:r>
        <w:rPr>
          <w:rFonts w:ascii="Palatino Linotype" w:hAnsi="Palatino Linotype"/>
          <w:sz w:val="18"/>
          <w:szCs w:val="24"/>
        </w:rPr>
        <w:t>.</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25. Nabity, P. D.; Haus, M. J.; Berenbaum, M. R.; DeLucia, E. H. Leaf-galling phylloxera on grapes reprograms host metabolism and morphology. </w:t>
      </w:r>
      <w:r>
        <w:rPr>
          <w:rFonts w:ascii="Palatino Linotype" w:hAnsi="Palatino Linotype"/>
          <w:i/>
          <w:iCs/>
          <w:sz w:val="18"/>
          <w:szCs w:val="24"/>
        </w:rPr>
        <w:t>Proc. Natl. Acad. Sci. U. S. A.</w:t>
      </w:r>
      <w:r>
        <w:rPr>
          <w:rFonts w:ascii="Palatino Linotype" w:hAnsi="Palatino Linotype"/>
          <w:sz w:val="18"/>
          <w:szCs w:val="24"/>
        </w:rPr>
        <w:t xml:space="preserve"> </w:t>
      </w:r>
      <w:r>
        <w:rPr>
          <w:rFonts w:ascii="Palatino Linotype" w:hAnsi="Palatino Linotype"/>
          <w:b/>
          <w:bCs/>
          <w:sz w:val="18"/>
          <w:szCs w:val="24"/>
        </w:rPr>
        <w:t>2013</w:t>
      </w:r>
      <w:r>
        <w:rPr>
          <w:rFonts w:ascii="Palatino Linotype" w:hAnsi="Palatino Linotype"/>
          <w:sz w:val="18"/>
          <w:szCs w:val="24"/>
        </w:rPr>
        <w:t xml:space="preserve">, </w:t>
      </w:r>
      <w:r>
        <w:rPr>
          <w:rFonts w:ascii="Palatino Linotype" w:hAnsi="Palatino Linotype"/>
          <w:i/>
          <w:iCs/>
          <w:sz w:val="18"/>
          <w:szCs w:val="24"/>
        </w:rPr>
        <w:t>110</w:t>
      </w:r>
      <w:r>
        <w:rPr>
          <w:rFonts w:ascii="Palatino Linotype" w:hAnsi="Palatino Linotype"/>
          <w:sz w:val="18"/>
          <w:szCs w:val="24"/>
        </w:rPr>
        <w:t>, 16663–8.</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26. Rawat, N.; Neeraja, C. N.; Nair, S.; Bentur, J. S. Differential gene expression in gall midge susceptible rice genotypes revealed by suppressive subtraction hybridization ( SSH ) cDNA libraries and microarray analysis. </w:t>
      </w:r>
      <w:r>
        <w:rPr>
          <w:rFonts w:ascii="Palatino Linotype" w:hAnsi="Palatino Linotype"/>
          <w:b/>
          <w:bCs/>
          <w:sz w:val="18"/>
          <w:szCs w:val="24"/>
        </w:rPr>
        <w:t>2012</w:t>
      </w:r>
      <w:r>
        <w:rPr>
          <w:rFonts w:ascii="Palatino Linotype" w:hAnsi="Palatino Linotype"/>
          <w:sz w:val="18"/>
          <w:szCs w:val="24"/>
        </w:rPr>
        <w:t>, 1–16.</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27. Compson, Z. G.; Larson, K. C.; Zinkgraf, M. S.; Whitham, T. G. A genetic basis for the manipulation of sink-source relationships by the galling aphid Pemphigus batae. </w:t>
      </w:r>
      <w:r>
        <w:rPr>
          <w:rFonts w:ascii="Palatino Linotype" w:hAnsi="Palatino Linotype"/>
          <w:i/>
          <w:iCs/>
          <w:sz w:val="18"/>
          <w:szCs w:val="24"/>
        </w:rPr>
        <w:t>Oecologia</w:t>
      </w:r>
      <w:r>
        <w:rPr>
          <w:rFonts w:ascii="Palatino Linotype" w:hAnsi="Palatino Linotype"/>
          <w:sz w:val="18"/>
          <w:szCs w:val="24"/>
        </w:rPr>
        <w:t xml:space="preserve"> </w:t>
      </w:r>
      <w:r>
        <w:rPr>
          <w:rFonts w:ascii="Palatino Linotype" w:hAnsi="Palatino Linotype"/>
          <w:b/>
          <w:bCs/>
          <w:sz w:val="18"/>
          <w:szCs w:val="24"/>
        </w:rPr>
        <w:t>2011</w:t>
      </w:r>
      <w:r>
        <w:rPr>
          <w:rFonts w:ascii="Palatino Linotype" w:hAnsi="Palatino Linotype"/>
          <w:sz w:val="18"/>
          <w:szCs w:val="24"/>
        </w:rPr>
        <w:t xml:space="preserve">, </w:t>
      </w:r>
      <w:r>
        <w:rPr>
          <w:rFonts w:ascii="Palatino Linotype" w:hAnsi="Palatino Linotype"/>
          <w:i/>
          <w:iCs/>
          <w:sz w:val="18"/>
          <w:szCs w:val="24"/>
        </w:rPr>
        <w:t>167</w:t>
      </w:r>
      <w:r>
        <w:rPr>
          <w:rFonts w:ascii="Palatino Linotype" w:hAnsi="Palatino Linotype"/>
          <w:sz w:val="18"/>
          <w:szCs w:val="24"/>
        </w:rPr>
        <w:t>, 711–721.</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28. Liu, X.; Bai, J.; Huang, L.; Zhu, L.; Liu, X.; Weng, N.; Reese, J. C.; Harris, M.; Stuart, J. J.; Chen, M. S. Gene expression of different wheat genotypes during attack by virulent and avirulent Hessian fly (Mayetiola destructor) larvae. </w:t>
      </w:r>
      <w:r>
        <w:rPr>
          <w:rFonts w:ascii="Palatino Linotype" w:hAnsi="Palatino Linotype"/>
          <w:i/>
          <w:iCs/>
          <w:sz w:val="18"/>
          <w:szCs w:val="24"/>
        </w:rPr>
        <w:t>J. Chem. Ecol.</w:t>
      </w:r>
      <w:r>
        <w:rPr>
          <w:rFonts w:ascii="Palatino Linotype" w:hAnsi="Palatino Linotype"/>
          <w:sz w:val="18"/>
          <w:szCs w:val="24"/>
        </w:rPr>
        <w:t xml:space="preserve"> </w:t>
      </w:r>
      <w:r>
        <w:rPr>
          <w:rFonts w:ascii="Palatino Linotype" w:hAnsi="Palatino Linotype"/>
          <w:b/>
          <w:bCs/>
          <w:sz w:val="18"/>
          <w:szCs w:val="24"/>
        </w:rPr>
        <w:t>2007</w:t>
      </w:r>
      <w:r>
        <w:rPr>
          <w:rFonts w:ascii="Palatino Linotype" w:hAnsi="Palatino Linotype"/>
          <w:sz w:val="18"/>
          <w:szCs w:val="24"/>
        </w:rPr>
        <w:t xml:space="preserve">, </w:t>
      </w:r>
      <w:r>
        <w:rPr>
          <w:rFonts w:ascii="Palatino Linotype" w:hAnsi="Palatino Linotype"/>
          <w:i/>
          <w:iCs/>
          <w:sz w:val="18"/>
          <w:szCs w:val="24"/>
        </w:rPr>
        <w:t>33</w:t>
      </w:r>
      <w:r>
        <w:rPr>
          <w:rFonts w:ascii="Palatino Linotype" w:hAnsi="Palatino Linotype"/>
          <w:sz w:val="18"/>
          <w:szCs w:val="24"/>
        </w:rPr>
        <w:t>, 2171–2194.</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29. Saltzmann, K. D.; Giovanini, M. P.; Zheng, C.; Williams, C. E. Virulent hessian fly larvae manipulate the free amino acid content of host wheat plants. </w:t>
      </w:r>
      <w:r>
        <w:rPr>
          <w:rFonts w:ascii="Palatino Linotype" w:hAnsi="Palatino Linotype"/>
          <w:i/>
          <w:iCs/>
          <w:sz w:val="18"/>
          <w:szCs w:val="24"/>
        </w:rPr>
        <w:t>J. Chem. Ecol.</w:t>
      </w:r>
      <w:r>
        <w:rPr>
          <w:rFonts w:ascii="Palatino Linotype" w:hAnsi="Palatino Linotype"/>
          <w:sz w:val="18"/>
          <w:szCs w:val="24"/>
        </w:rPr>
        <w:t xml:space="preserve"> </w:t>
      </w:r>
      <w:r>
        <w:rPr>
          <w:rFonts w:ascii="Palatino Linotype" w:hAnsi="Palatino Linotype"/>
          <w:b/>
          <w:bCs/>
          <w:sz w:val="18"/>
          <w:szCs w:val="24"/>
        </w:rPr>
        <w:t>2008</w:t>
      </w:r>
      <w:r>
        <w:rPr>
          <w:rFonts w:ascii="Palatino Linotype" w:hAnsi="Palatino Linotype"/>
          <w:sz w:val="18"/>
          <w:szCs w:val="24"/>
        </w:rPr>
        <w:t xml:space="preserve">, </w:t>
      </w:r>
      <w:r>
        <w:rPr>
          <w:rFonts w:ascii="Palatino Linotype" w:hAnsi="Palatino Linotype"/>
          <w:i/>
          <w:iCs/>
          <w:sz w:val="18"/>
          <w:szCs w:val="24"/>
        </w:rPr>
        <w:t>34</w:t>
      </w:r>
      <w:r>
        <w:rPr>
          <w:rFonts w:ascii="Palatino Linotype" w:hAnsi="Palatino Linotype"/>
          <w:sz w:val="18"/>
          <w:szCs w:val="24"/>
        </w:rPr>
        <w:t>, 1401–1410.</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30. Suzuki, A. Y. M.; Bedetti, C. S.; Isaias, R. M. dos S. Detection and distribution of cell growth regulators and cellulose microfibrils during the development of Lopesia sp . galls on Lonchocarpus cultratus ( Fabaceae ). </w:t>
      </w:r>
      <w:r>
        <w:rPr>
          <w:rFonts w:ascii="Palatino Linotype" w:hAnsi="Palatino Linotype"/>
          <w:b/>
          <w:bCs/>
          <w:sz w:val="18"/>
          <w:szCs w:val="24"/>
        </w:rPr>
        <w:t>2015</w:t>
      </w:r>
      <w:r>
        <w:rPr>
          <w:rFonts w:ascii="Palatino Linotype" w:hAnsi="Palatino Linotype"/>
          <w:sz w:val="18"/>
          <w:szCs w:val="24"/>
        </w:rPr>
        <w:t xml:space="preserve">, </w:t>
      </w:r>
      <w:r>
        <w:rPr>
          <w:rFonts w:ascii="Palatino Linotype" w:hAnsi="Palatino Linotype"/>
          <w:i/>
          <w:iCs/>
          <w:sz w:val="18"/>
          <w:szCs w:val="24"/>
        </w:rPr>
        <w:t>444</w:t>
      </w:r>
      <w:r>
        <w:rPr>
          <w:rFonts w:ascii="Palatino Linotype" w:hAnsi="Palatino Linotype"/>
          <w:sz w:val="18"/>
          <w:szCs w:val="24"/>
        </w:rPr>
        <w:t>, 435–444.</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31. Tooker, J. F.; Helms, A. M. Phytohormone Dynamics Associated with Gall Insects, and their Potential Role in the Evolution of the Gall-Inducing Habit. </w:t>
      </w:r>
      <w:r>
        <w:rPr>
          <w:rFonts w:ascii="Palatino Linotype" w:hAnsi="Palatino Linotype"/>
          <w:i/>
          <w:iCs/>
          <w:sz w:val="18"/>
          <w:szCs w:val="24"/>
        </w:rPr>
        <w:t>J. Chem. Ecol.</w:t>
      </w:r>
      <w:r>
        <w:rPr>
          <w:rFonts w:ascii="Palatino Linotype" w:hAnsi="Palatino Linotype"/>
          <w:sz w:val="18"/>
          <w:szCs w:val="24"/>
        </w:rPr>
        <w:t xml:space="preserve"> </w:t>
      </w:r>
      <w:r>
        <w:rPr>
          <w:rFonts w:ascii="Palatino Linotype" w:hAnsi="Palatino Linotype"/>
          <w:b/>
          <w:bCs/>
          <w:sz w:val="18"/>
          <w:szCs w:val="24"/>
        </w:rPr>
        <w:t>2014</w:t>
      </w:r>
      <w:r>
        <w:rPr>
          <w:rFonts w:ascii="Palatino Linotype" w:hAnsi="Palatino Linotype"/>
          <w:sz w:val="18"/>
          <w:szCs w:val="24"/>
        </w:rPr>
        <w:t xml:space="preserve">, </w:t>
      </w:r>
      <w:r>
        <w:rPr>
          <w:rFonts w:ascii="Palatino Linotype" w:hAnsi="Palatino Linotype"/>
          <w:i/>
          <w:iCs/>
          <w:sz w:val="18"/>
          <w:szCs w:val="24"/>
        </w:rPr>
        <w:t>40</w:t>
      </w:r>
      <w:r>
        <w:rPr>
          <w:rFonts w:ascii="Palatino Linotype" w:hAnsi="Palatino Linotype"/>
          <w:sz w:val="18"/>
          <w:szCs w:val="24"/>
        </w:rPr>
        <w:t>, 742–753.</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32. Favery, B.; Quentin, M.; Jaubert-Possamai, S.; Abad, P. Gall-forming root-knot nematodes hijack key plant cellular functions to induce multinucleate and hypertrophied feeding cells. </w:t>
      </w:r>
      <w:r>
        <w:rPr>
          <w:rFonts w:ascii="Palatino Linotype" w:hAnsi="Palatino Linotype"/>
          <w:i/>
          <w:iCs/>
          <w:sz w:val="18"/>
          <w:szCs w:val="24"/>
        </w:rPr>
        <w:t>J. Insect Physiol.</w:t>
      </w:r>
      <w:r>
        <w:rPr>
          <w:rFonts w:ascii="Palatino Linotype" w:hAnsi="Palatino Linotype"/>
          <w:sz w:val="18"/>
          <w:szCs w:val="24"/>
        </w:rPr>
        <w:t xml:space="preserve"> </w:t>
      </w:r>
      <w:r>
        <w:rPr>
          <w:rFonts w:ascii="Palatino Linotype" w:hAnsi="Palatino Linotype"/>
          <w:b/>
          <w:bCs/>
          <w:sz w:val="18"/>
          <w:szCs w:val="24"/>
        </w:rPr>
        <w:t>2015</w:t>
      </w:r>
      <w:r>
        <w:rPr>
          <w:rFonts w:ascii="Palatino Linotype" w:hAnsi="Palatino Linotype"/>
          <w:sz w:val="18"/>
          <w:szCs w:val="24"/>
        </w:rPr>
        <w:t xml:space="preserve">, </w:t>
      </w:r>
      <w:r>
        <w:rPr>
          <w:rFonts w:ascii="Palatino Linotype" w:hAnsi="Palatino Linotype"/>
          <w:i/>
          <w:iCs/>
          <w:sz w:val="18"/>
          <w:szCs w:val="24"/>
        </w:rPr>
        <w:t>84</w:t>
      </w:r>
      <w:r>
        <w:rPr>
          <w:rFonts w:ascii="Palatino Linotype" w:hAnsi="Palatino Linotype"/>
          <w:sz w:val="18"/>
          <w:szCs w:val="24"/>
        </w:rPr>
        <w:t>, 60–69.</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33. Gheysen, G.; Mitchum, M. G. How nematodes manipulate plant development pathways for infection. </w:t>
      </w:r>
      <w:r>
        <w:rPr>
          <w:rFonts w:ascii="Palatino Linotype" w:hAnsi="Palatino Linotype"/>
          <w:i/>
          <w:iCs/>
          <w:sz w:val="18"/>
          <w:szCs w:val="24"/>
        </w:rPr>
        <w:t>Curr. Opin. Plant Biol.</w:t>
      </w:r>
      <w:r>
        <w:rPr>
          <w:rFonts w:ascii="Palatino Linotype" w:hAnsi="Palatino Linotype"/>
          <w:sz w:val="18"/>
          <w:szCs w:val="24"/>
        </w:rPr>
        <w:t xml:space="preserve"> </w:t>
      </w:r>
      <w:r>
        <w:rPr>
          <w:rFonts w:ascii="Palatino Linotype" w:hAnsi="Palatino Linotype"/>
          <w:b/>
          <w:bCs/>
          <w:sz w:val="18"/>
          <w:szCs w:val="24"/>
        </w:rPr>
        <w:t>2011</w:t>
      </w:r>
      <w:r>
        <w:rPr>
          <w:rFonts w:ascii="Palatino Linotype" w:hAnsi="Palatino Linotype"/>
          <w:sz w:val="18"/>
          <w:szCs w:val="24"/>
        </w:rPr>
        <w:t xml:space="preserve">, </w:t>
      </w:r>
      <w:r>
        <w:rPr>
          <w:rFonts w:ascii="Palatino Linotype" w:hAnsi="Palatino Linotype"/>
          <w:i/>
          <w:iCs/>
          <w:sz w:val="18"/>
          <w:szCs w:val="24"/>
        </w:rPr>
        <w:t>14</w:t>
      </w:r>
      <w:r>
        <w:rPr>
          <w:rFonts w:ascii="Palatino Linotype" w:hAnsi="Palatino Linotype"/>
          <w:sz w:val="18"/>
          <w:szCs w:val="24"/>
        </w:rPr>
        <w:t>, 415–421.</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34. Formiga, A. T.; de Oliveira, D. C.; Ferreira, B. G.; Magalhães, T. A.; de Castro, A. C.; Fernandes, G. W.; Isaias, R. M. dos S. The role of pectic composition of cell walls in the determination of the new shape-functional design in galls of Baccharis reticularia (Asteraceae). </w:t>
      </w:r>
      <w:r>
        <w:rPr>
          <w:rFonts w:ascii="Palatino Linotype" w:hAnsi="Palatino Linotype"/>
          <w:i/>
          <w:iCs/>
          <w:sz w:val="18"/>
          <w:szCs w:val="24"/>
        </w:rPr>
        <w:t>Protoplasma</w:t>
      </w:r>
      <w:r>
        <w:rPr>
          <w:rFonts w:ascii="Palatino Linotype" w:hAnsi="Palatino Linotype"/>
          <w:sz w:val="18"/>
          <w:szCs w:val="24"/>
        </w:rPr>
        <w:t xml:space="preserve"> </w:t>
      </w:r>
      <w:r>
        <w:rPr>
          <w:rFonts w:ascii="Palatino Linotype" w:hAnsi="Palatino Linotype"/>
          <w:b/>
          <w:bCs/>
          <w:sz w:val="18"/>
          <w:szCs w:val="24"/>
        </w:rPr>
        <w:t>2013</w:t>
      </w:r>
      <w:r>
        <w:rPr>
          <w:rFonts w:ascii="Palatino Linotype" w:hAnsi="Palatino Linotype"/>
          <w:sz w:val="18"/>
          <w:szCs w:val="24"/>
        </w:rPr>
        <w:t xml:space="preserve">, </w:t>
      </w:r>
      <w:r>
        <w:rPr>
          <w:rFonts w:ascii="Palatino Linotype" w:hAnsi="Palatino Linotype"/>
          <w:i/>
          <w:iCs/>
          <w:sz w:val="18"/>
          <w:szCs w:val="24"/>
        </w:rPr>
        <w:t>250</w:t>
      </w:r>
      <w:r>
        <w:rPr>
          <w:rFonts w:ascii="Palatino Linotype" w:hAnsi="Palatino Linotype"/>
          <w:sz w:val="18"/>
          <w:szCs w:val="24"/>
        </w:rPr>
        <w:t>, 899–908.</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35. Carneiro, R. G. S.; Oliveira, D. C.; Isaias, R. M. S. Developmental anatomy and immunocytochemistry reveal the neo-ontogenesis of the leaf tissues of Psidium myrtoides (Myrtaceae) towards the globoid galls of Nothotrioza myrtoidis (Triozidae). </w:t>
      </w:r>
      <w:r>
        <w:rPr>
          <w:rFonts w:ascii="Palatino Linotype" w:hAnsi="Palatino Linotype"/>
          <w:i/>
          <w:iCs/>
          <w:sz w:val="18"/>
          <w:szCs w:val="24"/>
        </w:rPr>
        <w:t>Plant Cell Rep.</w:t>
      </w:r>
      <w:r>
        <w:rPr>
          <w:rFonts w:ascii="Palatino Linotype" w:hAnsi="Palatino Linotype"/>
          <w:sz w:val="18"/>
          <w:szCs w:val="24"/>
        </w:rPr>
        <w:t xml:space="preserve"> </w:t>
      </w:r>
      <w:r>
        <w:rPr>
          <w:rFonts w:ascii="Palatino Linotype" w:hAnsi="Palatino Linotype"/>
          <w:b/>
          <w:bCs/>
          <w:sz w:val="18"/>
          <w:szCs w:val="24"/>
        </w:rPr>
        <w:t>2014</w:t>
      </w:r>
      <w:r>
        <w:rPr>
          <w:rFonts w:ascii="Palatino Linotype" w:hAnsi="Palatino Linotype"/>
          <w:sz w:val="18"/>
          <w:szCs w:val="24"/>
        </w:rPr>
        <w:t xml:space="preserve">, </w:t>
      </w:r>
      <w:r>
        <w:rPr>
          <w:rFonts w:ascii="Palatino Linotype" w:hAnsi="Palatino Linotype"/>
          <w:i/>
          <w:iCs/>
          <w:sz w:val="18"/>
          <w:szCs w:val="24"/>
        </w:rPr>
        <w:t>33</w:t>
      </w:r>
      <w:r>
        <w:rPr>
          <w:rFonts w:ascii="Palatino Linotype" w:hAnsi="Palatino Linotype"/>
          <w:sz w:val="18"/>
          <w:szCs w:val="24"/>
        </w:rPr>
        <w:t>, 2093–2106.</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36. Oliveira, D. C.; Isaias, R. M. S.; Fernandes, G. W.; Ferreira, B. G.; Carneiro, R. G. S.; Fuzaro, L. Manipulation of host plant cells and tissues by gall-inducing insects and adaptive strategies used by different feeding guilds. </w:t>
      </w:r>
      <w:r>
        <w:rPr>
          <w:rFonts w:ascii="Palatino Linotype" w:hAnsi="Palatino Linotype"/>
          <w:i/>
          <w:iCs/>
          <w:sz w:val="18"/>
          <w:szCs w:val="24"/>
        </w:rPr>
        <w:t>J. Insect Physiol.</w:t>
      </w:r>
      <w:r>
        <w:rPr>
          <w:rFonts w:ascii="Palatino Linotype" w:hAnsi="Palatino Linotype"/>
          <w:sz w:val="18"/>
          <w:szCs w:val="24"/>
        </w:rPr>
        <w:t xml:space="preserve"> </w:t>
      </w:r>
      <w:r>
        <w:rPr>
          <w:rFonts w:ascii="Palatino Linotype" w:hAnsi="Palatino Linotype"/>
          <w:b/>
          <w:bCs/>
          <w:sz w:val="18"/>
          <w:szCs w:val="24"/>
        </w:rPr>
        <w:t>2016</w:t>
      </w:r>
      <w:r>
        <w:rPr>
          <w:rFonts w:ascii="Palatino Linotype" w:hAnsi="Palatino Linotype"/>
          <w:sz w:val="18"/>
          <w:szCs w:val="24"/>
        </w:rPr>
        <w:t xml:space="preserve">, </w:t>
      </w:r>
      <w:r>
        <w:rPr>
          <w:rFonts w:ascii="Palatino Linotype" w:hAnsi="Palatino Linotype"/>
          <w:i/>
          <w:iCs/>
          <w:sz w:val="18"/>
          <w:szCs w:val="24"/>
        </w:rPr>
        <w:t>84</w:t>
      </w:r>
      <w:r>
        <w:rPr>
          <w:rFonts w:ascii="Palatino Linotype" w:hAnsi="Palatino Linotype"/>
          <w:sz w:val="18"/>
          <w:szCs w:val="24"/>
        </w:rPr>
        <w:t>, 103–113.</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37. Deslandes, L.; Rivas, S. Catch me if you can: Bacterial effectors and plant targets. </w:t>
      </w:r>
      <w:r>
        <w:rPr>
          <w:rFonts w:ascii="Palatino Linotype" w:hAnsi="Palatino Linotype"/>
          <w:i/>
          <w:iCs/>
          <w:sz w:val="18"/>
          <w:szCs w:val="24"/>
        </w:rPr>
        <w:t>Trends Plant Sci.</w:t>
      </w:r>
      <w:r>
        <w:rPr>
          <w:rFonts w:ascii="Palatino Linotype" w:hAnsi="Palatino Linotype"/>
          <w:sz w:val="18"/>
          <w:szCs w:val="24"/>
        </w:rPr>
        <w:t xml:space="preserve"> </w:t>
      </w:r>
      <w:r>
        <w:rPr>
          <w:rFonts w:ascii="Palatino Linotype" w:hAnsi="Palatino Linotype"/>
          <w:b/>
          <w:bCs/>
          <w:sz w:val="18"/>
          <w:szCs w:val="24"/>
        </w:rPr>
        <w:t>2012</w:t>
      </w:r>
      <w:r>
        <w:rPr>
          <w:rFonts w:ascii="Palatino Linotype" w:hAnsi="Palatino Linotype"/>
          <w:sz w:val="18"/>
          <w:szCs w:val="24"/>
        </w:rPr>
        <w:t xml:space="preserve">, </w:t>
      </w:r>
      <w:r>
        <w:rPr>
          <w:rFonts w:ascii="Palatino Linotype" w:hAnsi="Palatino Linotype"/>
          <w:i/>
          <w:iCs/>
          <w:sz w:val="18"/>
          <w:szCs w:val="24"/>
        </w:rPr>
        <w:t>17</w:t>
      </w:r>
      <w:r>
        <w:rPr>
          <w:rFonts w:ascii="Palatino Linotype" w:hAnsi="Palatino Linotype"/>
          <w:sz w:val="18"/>
          <w:szCs w:val="24"/>
        </w:rPr>
        <w:t>, 644–655.</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38. Jones, J. D. G.; Dangl, J. L. The plant immune system. </w:t>
      </w:r>
      <w:r>
        <w:rPr>
          <w:rFonts w:ascii="Palatino Linotype" w:hAnsi="Palatino Linotype"/>
          <w:i/>
          <w:iCs/>
          <w:sz w:val="18"/>
          <w:szCs w:val="24"/>
        </w:rPr>
        <w:t>Nature</w:t>
      </w:r>
      <w:r>
        <w:rPr>
          <w:rFonts w:ascii="Palatino Linotype" w:hAnsi="Palatino Linotype"/>
          <w:sz w:val="18"/>
          <w:szCs w:val="24"/>
        </w:rPr>
        <w:t xml:space="preserve"> </w:t>
      </w:r>
      <w:r>
        <w:rPr>
          <w:rFonts w:ascii="Palatino Linotype" w:hAnsi="Palatino Linotype"/>
          <w:b/>
          <w:bCs/>
          <w:sz w:val="18"/>
          <w:szCs w:val="24"/>
        </w:rPr>
        <w:t>2006</w:t>
      </w:r>
      <w:r>
        <w:rPr>
          <w:rFonts w:ascii="Palatino Linotype" w:hAnsi="Palatino Linotype"/>
          <w:sz w:val="18"/>
          <w:szCs w:val="24"/>
        </w:rPr>
        <w:t xml:space="preserve">, </w:t>
      </w:r>
      <w:r>
        <w:rPr>
          <w:rFonts w:ascii="Palatino Linotype" w:hAnsi="Palatino Linotype"/>
          <w:i/>
          <w:iCs/>
          <w:sz w:val="18"/>
          <w:szCs w:val="24"/>
        </w:rPr>
        <w:t>444</w:t>
      </w:r>
      <w:r>
        <w:rPr>
          <w:rFonts w:ascii="Palatino Linotype" w:hAnsi="Palatino Linotype"/>
          <w:sz w:val="18"/>
          <w:szCs w:val="24"/>
        </w:rPr>
        <w:t>, 323–329.</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39. Stuart, J. Insect effectors and gene-for-gene interactions with host plants. </w:t>
      </w:r>
      <w:r>
        <w:rPr>
          <w:rFonts w:ascii="Palatino Linotype" w:hAnsi="Palatino Linotype"/>
          <w:i/>
          <w:iCs/>
          <w:sz w:val="18"/>
          <w:szCs w:val="24"/>
        </w:rPr>
        <w:t>Curr. Opin. Insect Sci.</w:t>
      </w:r>
      <w:r>
        <w:rPr>
          <w:rFonts w:ascii="Palatino Linotype" w:hAnsi="Palatino Linotype"/>
          <w:sz w:val="18"/>
          <w:szCs w:val="24"/>
        </w:rPr>
        <w:t xml:space="preserve"> </w:t>
      </w:r>
      <w:r>
        <w:rPr>
          <w:rFonts w:ascii="Palatino Linotype" w:hAnsi="Palatino Linotype"/>
          <w:b/>
          <w:bCs/>
          <w:sz w:val="18"/>
          <w:szCs w:val="24"/>
        </w:rPr>
        <w:t>2015</w:t>
      </w:r>
      <w:r>
        <w:rPr>
          <w:rFonts w:ascii="Palatino Linotype" w:hAnsi="Palatino Linotype"/>
          <w:sz w:val="18"/>
          <w:szCs w:val="24"/>
        </w:rPr>
        <w:t>.</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40. Villarroel, C. A.; Jonckheere, W.; Alba, J. M.; Glas, J. J.; Dermauw, W.; Haring, M. A.; Van, T.; Schuurink, R. C.; Kant, M. R. Salivary proteins of spider mites suppress defenses in Nicotiana benthamiana and promote mite reproduction. </w:t>
      </w:r>
      <w:r>
        <w:rPr>
          <w:rFonts w:ascii="Palatino Linotype" w:hAnsi="Palatino Linotype"/>
          <w:b/>
          <w:bCs/>
          <w:sz w:val="18"/>
          <w:szCs w:val="24"/>
        </w:rPr>
        <w:t>2016</w:t>
      </w:r>
      <w:r>
        <w:rPr>
          <w:rFonts w:ascii="Palatino Linotype" w:hAnsi="Palatino Linotype"/>
          <w:sz w:val="18"/>
          <w:szCs w:val="24"/>
        </w:rPr>
        <w:t>, 119–131.</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41. Yoshinaga, N.; Alborn, H. T.; Nakanishi, T.; Suckling, D. M.; Nishida, R.; Tumlinson, J. H.; Mori, N. Fatty acid-amino acid conjugates diversification in lepidopteran caterpillars. </w:t>
      </w:r>
      <w:r>
        <w:rPr>
          <w:rFonts w:ascii="Palatino Linotype" w:hAnsi="Palatino Linotype"/>
          <w:i/>
          <w:iCs/>
          <w:sz w:val="18"/>
          <w:szCs w:val="24"/>
        </w:rPr>
        <w:t>J. Chem. Ecol.</w:t>
      </w:r>
      <w:r>
        <w:rPr>
          <w:rFonts w:ascii="Palatino Linotype" w:hAnsi="Palatino Linotype"/>
          <w:sz w:val="18"/>
          <w:szCs w:val="24"/>
        </w:rPr>
        <w:t xml:space="preserve"> </w:t>
      </w:r>
      <w:r>
        <w:rPr>
          <w:rFonts w:ascii="Palatino Linotype" w:hAnsi="Palatino Linotype"/>
          <w:b/>
          <w:bCs/>
          <w:sz w:val="18"/>
          <w:szCs w:val="24"/>
        </w:rPr>
        <w:t>2010</w:t>
      </w:r>
      <w:r>
        <w:rPr>
          <w:rFonts w:ascii="Palatino Linotype" w:hAnsi="Palatino Linotype"/>
          <w:sz w:val="18"/>
          <w:szCs w:val="24"/>
        </w:rPr>
        <w:t xml:space="preserve">, </w:t>
      </w:r>
      <w:r>
        <w:rPr>
          <w:rFonts w:ascii="Palatino Linotype" w:hAnsi="Palatino Linotype"/>
          <w:i/>
          <w:iCs/>
          <w:sz w:val="18"/>
          <w:szCs w:val="24"/>
        </w:rPr>
        <w:t>36</w:t>
      </w:r>
      <w:r>
        <w:rPr>
          <w:rFonts w:ascii="Palatino Linotype" w:hAnsi="Palatino Linotype"/>
          <w:sz w:val="18"/>
          <w:szCs w:val="24"/>
        </w:rPr>
        <w:t>, 319–325.</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42. Schmelz, E. A.; Leclere, S.; Carroll, M. J.; Alborn, H. T.; Teal, P. E. A. Cowpea Chloroplastic ATP Synthase Is the Source of Multiple Plant Defense Elicitors during Insect Herbivory. </w:t>
      </w:r>
      <w:r>
        <w:rPr>
          <w:rFonts w:ascii="Palatino Linotype" w:hAnsi="Palatino Linotype"/>
          <w:i/>
          <w:iCs/>
          <w:sz w:val="18"/>
          <w:szCs w:val="24"/>
        </w:rPr>
        <w:t>Plant Physiol.</w:t>
      </w:r>
      <w:r>
        <w:rPr>
          <w:rFonts w:ascii="Palatino Linotype" w:hAnsi="Palatino Linotype"/>
          <w:sz w:val="18"/>
          <w:szCs w:val="24"/>
        </w:rPr>
        <w:t xml:space="preserve"> </w:t>
      </w:r>
      <w:r>
        <w:rPr>
          <w:rFonts w:ascii="Palatino Linotype" w:hAnsi="Palatino Linotype"/>
          <w:b/>
          <w:bCs/>
          <w:sz w:val="18"/>
          <w:szCs w:val="24"/>
        </w:rPr>
        <w:t>2007</w:t>
      </w:r>
      <w:r>
        <w:rPr>
          <w:rFonts w:ascii="Palatino Linotype" w:hAnsi="Palatino Linotype"/>
          <w:sz w:val="18"/>
          <w:szCs w:val="24"/>
        </w:rPr>
        <w:t xml:space="preserve">, </w:t>
      </w:r>
      <w:r>
        <w:rPr>
          <w:rFonts w:ascii="Palatino Linotype" w:hAnsi="Palatino Linotype"/>
          <w:i/>
          <w:iCs/>
          <w:sz w:val="18"/>
          <w:szCs w:val="24"/>
        </w:rPr>
        <w:t>144</w:t>
      </w:r>
      <w:r>
        <w:rPr>
          <w:rFonts w:ascii="Palatino Linotype" w:hAnsi="Palatino Linotype"/>
          <w:sz w:val="18"/>
          <w:szCs w:val="24"/>
        </w:rPr>
        <w:t>, 793–805.</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43. Doss, R. P.; Oliver, J. E.; Proebsting, W. M.; Potter, S. W.; Kuy, S.; Clement, S. L.; Williamson, R. T.; Carney, J. R.; DeVilbiss, E. D. Bruchins: Insect-derived plant regulators that stimulate neoplasm formation. </w:t>
      </w:r>
      <w:r>
        <w:rPr>
          <w:rFonts w:ascii="Palatino Linotype" w:hAnsi="Palatino Linotype"/>
          <w:i/>
          <w:iCs/>
          <w:sz w:val="18"/>
          <w:szCs w:val="24"/>
        </w:rPr>
        <w:t>Proc. Natl. Acad. Sci.</w:t>
      </w:r>
      <w:r>
        <w:rPr>
          <w:rFonts w:ascii="Palatino Linotype" w:hAnsi="Palatino Linotype"/>
          <w:sz w:val="18"/>
          <w:szCs w:val="24"/>
        </w:rPr>
        <w:t xml:space="preserve"> </w:t>
      </w:r>
      <w:r>
        <w:rPr>
          <w:rFonts w:ascii="Palatino Linotype" w:hAnsi="Palatino Linotype"/>
          <w:b/>
          <w:bCs/>
          <w:sz w:val="18"/>
          <w:szCs w:val="24"/>
        </w:rPr>
        <w:t>2000</w:t>
      </w:r>
      <w:r>
        <w:rPr>
          <w:rFonts w:ascii="Palatino Linotype" w:hAnsi="Palatino Linotype"/>
          <w:sz w:val="18"/>
          <w:szCs w:val="24"/>
        </w:rPr>
        <w:t xml:space="preserve">, </w:t>
      </w:r>
      <w:r>
        <w:rPr>
          <w:rFonts w:ascii="Palatino Linotype" w:hAnsi="Palatino Linotype"/>
          <w:i/>
          <w:iCs/>
          <w:sz w:val="18"/>
          <w:szCs w:val="24"/>
        </w:rPr>
        <w:t>97</w:t>
      </w:r>
      <w:r>
        <w:rPr>
          <w:rFonts w:ascii="Palatino Linotype" w:hAnsi="Palatino Linotype"/>
          <w:sz w:val="18"/>
          <w:szCs w:val="24"/>
        </w:rPr>
        <w:t>, 6218–6223.</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44. Alborn, H. T. An Elicitor of Plant Volatiles from Beet Armyworm Oral Secretion. </w:t>
      </w:r>
      <w:r>
        <w:rPr>
          <w:rFonts w:ascii="Palatino Linotype" w:hAnsi="Palatino Linotype"/>
          <w:i/>
          <w:iCs/>
          <w:sz w:val="18"/>
          <w:szCs w:val="24"/>
        </w:rPr>
        <w:t>Science (80-. ).</w:t>
      </w:r>
      <w:r>
        <w:rPr>
          <w:rFonts w:ascii="Palatino Linotype" w:hAnsi="Palatino Linotype"/>
          <w:sz w:val="18"/>
          <w:szCs w:val="24"/>
        </w:rPr>
        <w:t xml:space="preserve"> </w:t>
      </w:r>
      <w:r>
        <w:rPr>
          <w:rFonts w:ascii="Palatino Linotype" w:hAnsi="Palatino Linotype"/>
          <w:b/>
          <w:bCs/>
          <w:sz w:val="18"/>
          <w:szCs w:val="24"/>
        </w:rPr>
        <w:t>1997</w:t>
      </w:r>
      <w:r>
        <w:rPr>
          <w:rFonts w:ascii="Palatino Linotype" w:hAnsi="Palatino Linotype"/>
          <w:sz w:val="18"/>
          <w:szCs w:val="24"/>
        </w:rPr>
        <w:t xml:space="preserve">, </w:t>
      </w:r>
      <w:r>
        <w:rPr>
          <w:rFonts w:ascii="Palatino Linotype" w:hAnsi="Palatino Linotype"/>
          <w:i/>
          <w:iCs/>
          <w:sz w:val="18"/>
          <w:szCs w:val="24"/>
        </w:rPr>
        <w:t>276</w:t>
      </w:r>
      <w:r>
        <w:rPr>
          <w:rFonts w:ascii="Palatino Linotype" w:hAnsi="Palatino Linotype"/>
          <w:sz w:val="18"/>
          <w:szCs w:val="24"/>
        </w:rPr>
        <w:t>, 945–949.</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45. Aggarwal, R.; Subramanyam, S.; Zhao, C.; Chen, M. S.; Harris, M. O.; Stuart, J. J. Avirulence effector discovery in a plant galling and plant parasitic arthropod, the Hessian fly (Mayetiola destructor). </w:t>
      </w:r>
      <w:r>
        <w:rPr>
          <w:rFonts w:ascii="Palatino Linotype" w:hAnsi="Palatino Linotype"/>
          <w:i/>
          <w:iCs/>
          <w:sz w:val="18"/>
          <w:szCs w:val="24"/>
        </w:rPr>
        <w:t>PLoS One</w:t>
      </w:r>
      <w:r>
        <w:rPr>
          <w:rFonts w:ascii="Palatino Linotype" w:hAnsi="Palatino Linotype"/>
          <w:sz w:val="18"/>
          <w:szCs w:val="24"/>
        </w:rPr>
        <w:t xml:space="preserve"> </w:t>
      </w:r>
      <w:r>
        <w:rPr>
          <w:rFonts w:ascii="Palatino Linotype" w:hAnsi="Palatino Linotype"/>
          <w:b/>
          <w:bCs/>
          <w:sz w:val="18"/>
          <w:szCs w:val="24"/>
        </w:rPr>
        <w:t>2014</w:t>
      </w:r>
      <w:r>
        <w:rPr>
          <w:rFonts w:ascii="Palatino Linotype" w:hAnsi="Palatino Linotype"/>
          <w:sz w:val="18"/>
          <w:szCs w:val="24"/>
        </w:rPr>
        <w:t xml:space="preserve">, </w:t>
      </w:r>
      <w:r>
        <w:rPr>
          <w:rFonts w:ascii="Palatino Linotype" w:hAnsi="Palatino Linotype"/>
          <w:i/>
          <w:iCs/>
          <w:sz w:val="18"/>
          <w:szCs w:val="24"/>
        </w:rPr>
        <w:t>9</w:t>
      </w:r>
      <w:r>
        <w:rPr>
          <w:rFonts w:ascii="Palatino Linotype" w:hAnsi="Palatino Linotype"/>
          <w:sz w:val="18"/>
          <w:szCs w:val="24"/>
        </w:rPr>
        <w:t>.</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46. Thorpe, P.; Cock, P. J. A.; Bos, J. Comparative transcriptomics and proteomics of three different aphid species identifies core and diverse effector sets. </w:t>
      </w:r>
      <w:r>
        <w:rPr>
          <w:rFonts w:ascii="Palatino Linotype" w:hAnsi="Palatino Linotype"/>
          <w:i/>
          <w:iCs/>
          <w:sz w:val="18"/>
          <w:szCs w:val="24"/>
        </w:rPr>
        <w:t>BMC Genomics</w:t>
      </w:r>
      <w:r>
        <w:rPr>
          <w:rFonts w:ascii="Palatino Linotype" w:hAnsi="Palatino Linotype"/>
          <w:sz w:val="18"/>
          <w:szCs w:val="24"/>
        </w:rPr>
        <w:t xml:space="preserve"> </w:t>
      </w:r>
      <w:r>
        <w:rPr>
          <w:rFonts w:ascii="Palatino Linotype" w:hAnsi="Palatino Linotype"/>
          <w:b/>
          <w:bCs/>
          <w:sz w:val="18"/>
          <w:szCs w:val="24"/>
        </w:rPr>
        <w:t>2016</w:t>
      </w:r>
      <w:r>
        <w:rPr>
          <w:rFonts w:ascii="Palatino Linotype" w:hAnsi="Palatino Linotype"/>
          <w:sz w:val="18"/>
          <w:szCs w:val="24"/>
        </w:rPr>
        <w:t xml:space="preserve">, </w:t>
      </w:r>
      <w:r>
        <w:rPr>
          <w:rFonts w:ascii="Palatino Linotype" w:hAnsi="Palatino Linotype"/>
          <w:i/>
          <w:iCs/>
          <w:sz w:val="18"/>
          <w:szCs w:val="24"/>
        </w:rPr>
        <w:t>17</w:t>
      </w:r>
      <w:r>
        <w:rPr>
          <w:rFonts w:ascii="Palatino Linotype" w:hAnsi="Palatino Linotype"/>
          <w:sz w:val="18"/>
          <w:szCs w:val="24"/>
        </w:rPr>
        <w:t>, 172.</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47. Zhao, C.; Escalante, L. N.; Chen, H.; Benatti, T. R.; Qu, J.; Chellapilla, S.; Waterhouse, R. M.; Wheeler, D.; Andersson, M. N.; Bao, R.; Batterton, M.; Behura, S. K. Zhao_A massive expansion of effector genes underlies gall formation in HF_2015.pdf. </w:t>
      </w:r>
      <w:r>
        <w:rPr>
          <w:rFonts w:ascii="Palatino Linotype" w:hAnsi="Palatino Linotype"/>
          <w:i/>
          <w:iCs/>
          <w:sz w:val="18"/>
          <w:szCs w:val="24"/>
        </w:rPr>
        <w:t>Curr. Biol.</w:t>
      </w:r>
      <w:r>
        <w:rPr>
          <w:rFonts w:ascii="Palatino Linotype" w:hAnsi="Palatino Linotype"/>
          <w:sz w:val="18"/>
          <w:szCs w:val="24"/>
        </w:rPr>
        <w:t xml:space="preserve"> </w:t>
      </w:r>
      <w:r>
        <w:rPr>
          <w:rFonts w:ascii="Palatino Linotype" w:hAnsi="Palatino Linotype"/>
          <w:b/>
          <w:bCs/>
          <w:sz w:val="18"/>
          <w:szCs w:val="24"/>
        </w:rPr>
        <w:t>2015</w:t>
      </w:r>
      <w:r>
        <w:rPr>
          <w:rFonts w:ascii="Palatino Linotype" w:hAnsi="Palatino Linotype"/>
          <w:sz w:val="18"/>
          <w:szCs w:val="24"/>
        </w:rPr>
        <w:t xml:space="preserve">, </w:t>
      </w:r>
      <w:r>
        <w:rPr>
          <w:rFonts w:ascii="Palatino Linotype" w:hAnsi="Palatino Linotype"/>
          <w:i/>
          <w:iCs/>
          <w:sz w:val="18"/>
          <w:szCs w:val="24"/>
        </w:rPr>
        <w:t>25</w:t>
      </w:r>
      <w:r>
        <w:rPr>
          <w:rFonts w:ascii="Palatino Linotype" w:hAnsi="Palatino Linotype"/>
          <w:sz w:val="18"/>
          <w:szCs w:val="24"/>
        </w:rPr>
        <w:t>, 613–620.</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48. Khajuria, C.; Williams, C. E.; El Bouhssini, M.; Whitworth, R. J.; Richards, S.; Stuart, J. J.; Chen, M.-S. Deep sequencing and genome-wide analysis reveals the expansion of MicroRNA genes in the gall midge Mayetiola destructor. </w:t>
      </w:r>
      <w:r>
        <w:rPr>
          <w:rFonts w:ascii="Palatino Linotype" w:hAnsi="Palatino Linotype"/>
          <w:i/>
          <w:iCs/>
          <w:sz w:val="18"/>
          <w:szCs w:val="24"/>
        </w:rPr>
        <w:t>BMC Genomics</w:t>
      </w:r>
      <w:r>
        <w:rPr>
          <w:rFonts w:ascii="Palatino Linotype" w:hAnsi="Palatino Linotype"/>
          <w:sz w:val="18"/>
          <w:szCs w:val="24"/>
        </w:rPr>
        <w:t xml:space="preserve"> </w:t>
      </w:r>
      <w:r>
        <w:rPr>
          <w:rFonts w:ascii="Palatino Linotype" w:hAnsi="Palatino Linotype"/>
          <w:b/>
          <w:bCs/>
          <w:sz w:val="18"/>
          <w:szCs w:val="24"/>
        </w:rPr>
        <w:t>2013</w:t>
      </w:r>
      <w:r>
        <w:rPr>
          <w:rFonts w:ascii="Palatino Linotype" w:hAnsi="Palatino Linotype"/>
          <w:sz w:val="18"/>
          <w:szCs w:val="24"/>
        </w:rPr>
        <w:t xml:space="preserve">, </w:t>
      </w:r>
      <w:r>
        <w:rPr>
          <w:rFonts w:ascii="Palatino Linotype" w:hAnsi="Palatino Linotype"/>
          <w:i/>
          <w:iCs/>
          <w:sz w:val="18"/>
          <w:szCs w:val="24"/>
        </w:rPr>
        <w:t>14</w:t>
      </w:r>
      <w:r>
        <w:rPr>
          <w:rFonts w:ascii="Palatino Linotype" w:hAnsi="Palatino Linotype"/>
          <w:sz w:val="18"/>
          <w:szCs w:val="24"/>
        </w:rPr>
        <w:t>, 187.</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49. Kaloshian, I.; Walling, L. L.; Walling, L. L. Hemipteran and dipteran pests</w:t>
      </w:r>
      <w:r>
        <w:rPr>
          <w:sz w:val="18"/>
          <w:szCs w:val="24"/>
        </w:rPr>
        <w:t> </w:t>
      </w:r>
      <w:r>
        <w:rPr>
          <w:rFonts w:ascii="Palatino Linotype" w:hAnsi="Palatino Linotype"/>
          <w:sz w:val="18"/>
          <w:szCs w:val="24"/>
        </w:rPr>
        <w:t xml:space="preserve">: Effectors and plant host immune regulators. </w:t>
      </w:r>
      <w:r>
        <w:rPr>
          <w:rFonts w:ascii="Palatino Linotype" w:hAnsi="Palatino Linotype"/>
          <w:b/>
          <w:bCs/>
          <w:sz w:val="18"/>
          <w:szCs w:val="24"/>
        </w:rPr>
        <w:t>2014</w:t>
      </w:r>
      <w:r>
        <w:rPr>
          <w:rFonts w:ascii="Palatino Linotype" w:hAnsi="Palatino Linotype"/>
          <w:sz w:val="18"/>
          <w:szCs w:val="24"/>
        </w:rPr>
        <w:t>.</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50. Hogenhout, S. A.; Bos, J. I. B. Effector proteins that modulate plant-insect interactions. </w:t>
      </w:r>
      <w:r>
        <w:rPr>
          <w:rFonts w:ascii="Palatino Linotype" w:hAnsi="Palatino Linotype"/>
          <w:i/>
          <w:iCs/>
          <w:sz w:val="18"/>
          <w:szCs w:val="24"/>
        </w:rPr>
        <w:t>Curr. Opin. Plant Biol.</w:t>
      </w:r>
      <w:r>
        <w:rPr>
          <w:rFonts w:ascii="Palatino Linotype" w:hAnsi="Palatino Linotype"/>
          <w:sz w:val="18"/>
          <w:szCs w:val="24"/>
        </w:rPr>
        <w:t xml:space="preserve"> </w:t>
      </w:r>
      <w:r>
        <w:rPr>
          <w:rFonts w:ascii="Palatino Linotype" w:hAnsi="Palatino Linotype"/>
          <w:b/>
          <w:bCs/>
          <w:sz w:val="18"/>
          <w:szCs w:val="24"/>
        </w:rPr>
        <w:t>2011</w:t>
      </w:r>
      <w:r>
        <w:rPr>
          <w:rFonts w:ascii="Palatino Linotype" w:hAnsi="Palatino Linotype"/>
          <w:sz w:val="18"/>
          <w:szCs w:val="24"/>
        </w:rPr>
        <w:t xml:space="preserve">, </w:t>
      </w:r>
      <w:r>
        <w:rPr>
          <w:rFonts w:ascii="Palatino Linotype" w:hAnsi="Palatino Linotype"/>
          <w:i/>
          <w:iCs/>
          <w:sz w:val="18"/>
          <w:szCs w:val="24"/>
        </w:rPr>
        <w:t>14</w:t>
      </w:r>
      <w:r>
        <w:rPr>
          <w:rFonts w:ascii="Palatino Linotype" w:hAnsi="Palatino Linotype"/>
          <w:sz w:val="18"/>
          <w:szCs w:val="24"/>
        </w:rPr>
        <w:t>, 422–428.</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51. Hilker, M.; Fatouros, N. E. Plant Responses to Insect Egg Deposition. </w:t>
      </w:r>
      <w:r>
        <w:rPr>
          <w:rFonts w:ascii="Palatino Linotype" w:hAnsi="Palatino Linotype"/>
          <w:b/>
          <w:bCs/>
          <w:sz w:val="18"/>
          <w:szCs w:val="24"/>
        </w:rPr>
        <w:t>2014</w:t>
      </w:r>
      <w:r>
        <w:rPr>
          <w:rFonts w:ascii="Palatino Linotype" w:hAnsi="Palatino Linotype"/>
          <w:sz w:val="18"/>
          <w:szCs w:val="24"/>
        </w:rPr>
        <w:t>.</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52. Chen, M. S.; Fellers, J. P.; Stuart, J. J.; Reese, J. C.; Liu, X. A group of related cDNAs encoding secreted proteins from Hessian fly [Mayetiola destructor (Say)] salivary glands. </w:t>
      </w:r>
      <w:r>
        <w:rPr>
          <w:rFonts w:ascii="Palatino Linotype" w:hAnsi="Palatino Linotype"/>
          <w:i/>
          <w:iCs/>
          <w:sz w:val="18"/>
          <w:szCs w:val="24"/>
        </w:rPr>
        <w:t>Insect Mol. Biol.</w:t>
      </w:r>
      <w:r>
        <w:rPr>
          <w:rFonts w:ascii="Palatino Linotype" w:hAnsi="Palatino Linotype"/>
          <w:sz w:val="18"/>
          <w:szCs w:val="24"/>
        </w:rPr>
        <w:t xml:space="preserve"> </w:t>
      </w:r>
      <w:r>
        <w:rPr>
          <w:rFonts w:ascii="Palatino Linotype" w:hAnsi="Palatino Linotype"/>
          <w:b/>
          <w:bCs/>
          <w:sz w:val="18"/>
          <w:szCs w:val="24"/>
        </w:rPr>
        <w:t>2004</w:t>
      </w:r>
      <w:r>
        <w:rPr>
          <w:rFonts w:ascii="Palatino Linotype" w:hAnsi="Palatino Linotype"/>
          <w:sz w:val="18"/>
          <w:szCs w:val="24"/>
        </w:rPr>
        <w:t xml:space="preserve">, </w:t>
      </w:r>
      <w:r>
        <w:rPr>
          <w:rFonts w:ascii="Palatino Linotype" w:hAnsi="Palatino Linotype"/>
          <w:i/>
          <w:iCs/>
          <w:sz w:val="18"/>
          <w:szCs w:val="24"/>
        </w:rPr>
        <w:t>13</w:t>
      </w:r>
      <w:r>
        <w:rPr>
          <w:rFonts w:ascii="Palatino Linotype" w:hAnsi="Palatino Linotype"/>
          <w:sz w:val="18"/>
          <w:szCs w:val="24"/>
        </w:rPr>
        <w:t>, 101–108.</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53. Chen, M.; Zhao, H.; Cheng, Y.; Scheffler, B.; Liu, X.; Liu, X.; Hulbert, S.; Stuart, J. J. Analysis of transcripts and proteins expressed in the salivary glands of Hessian fly ( Mayetiola destructor ) larvae $. </w:t>
      </w:r>
      <w:r>
        <w:rPr>
          <w:rFonts w:ascii="Palatino Linotype" w:hAnsi="Palatino Linotype"/>
          <w:b/>
          <w:bCs/>
          <w:sz w:val="18"/>
          <w:szCs w:val="24"/>
        </w:rPr>
        <w:t>2008</w:t>
      </w:r>
      <w:r>
        <w:rPr>
          <w:rFonts w:ascii="Palatino Linotype" w:hAnsi="Palatino Linotype"/>
          <w:sz w:val="18"/>
          <w:szCs w:val="24"/>
        </w:rPr>
        <w:t xml:space="preserve">, </w:t>
      </w:r>
      <w:r>
        <w:rPr>
          <w:rFonts w:ascii="Palatino Linotype" w:hAnsi="Palatino Linotype"/>
          <w:i/>
          <w:iCs/>
          <w:sz w:val="18"/>
          <w:szCs w:val="24"/>
        </w:rPr>
        <w:t>54</w:t>
      </w:r>
      <w:r>
        <w:rPr>
          <w:rFonts w:ascii="Palatino Linotype" w:hAnsi="Palatino Linotype"/>
          <w:sz w:val="18"/>
          <w:szCs w:val="24"/>
        </w:rPr>
        <w:t>, 1–16.</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54. Johnson,  a. J.; Shukle, R. H.; Chen, M.-S.; Srivastava, S.; Subramanyam, S.; Schemerhorn, B. J.; Weintraub, P. G.; Abdel Moniem, H. E. M.; Flanders, K. L.; Buntin, G. D.; Williams, C. E. Differential expression of candidate salivary effector proteins in field collections of Hessian fly,              Mayetiola destructor. </w:t>
      </w:r>
      <w:r>
        <w:rPr>
          <w:rFonts w:ascii="Palatino Linotype" w:hAnsi="Palatino Linotype"/>
          <w:i/>
          <w:iCs/>
          <w:sz w:val="18"/>
          <w:szCs w:val="24"/>
        </w:rPr>
        <w:t>Insect Mol. Biol.</w:t>
      </w:r>
      <w:r>
        <w:rPr>
          <w:rFonts w:ascii="Palatino Linotype" w:hAnsi="Palatino Linotype"/>
          <w:sz w:val="18"/>
          <w:szCs w:val="24"/>
        </w:rPr>
        <w:t xml:space="preserve"> </w:t>
      </w:r>
      <w:r>
        <w:rPr>
          <w:rFonts w:ascii="Palatino Linotype" w:hAnsi="Palatino Linotype"/>
          <w:b/>
          <w:bCs/>
          <w:sz w:val="18"/>
          <w:szCs w:val="24"/>
        </w:rPr>
        <w:t>2015</w:t>
      </w:r>
      <w:r>
        <w:rPr>
          <w:rFonts w:ascii="Palatino Linotype" w:hAnsi="Palatino Linotype"/>
          <w:sz w:val="18"/>
          <w:szCs w:val="24"/>
        </w:rPr>
        <w:t xml:space="preserve">, </w:t>
      </w:r>
      <w:r>
        <w:rPr>
          <w:rFonts w:ascii="Palatino Linotype" w:hAnsi="Palatino Linotype"/>
          <w:i/>
          <w:iCs/>
          <w:sz w:val="18"/>
          <w:szCs w:val="24"/>
        </w:rPr>
        <w:t>24</w:t>
      </w:r>
      <w:r>
        <w:rPr>
          <w:rFonts w:ascii="Palatino Linotype" w:hAnsi="Palatino Linotype"/>
          <w:sz w:val="18"/>
          <w:szCs w:val="24"/>
        </w:rPr>
        <w:t>, n/a-n/a.</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55. Mukhtar, M. S.; Carvunis, A.-R.; Dreze, M.; Epple, P.; Steinbrenner, J.; Moore, J.; Tasan, M.; Galli, M.; Hao, T.; Nishimura, M. T.; Pevzner, S. J.; Donovan, S. E.; Ghamsari, L.; Santhanam, B.; Romero, V.; Poulin, M. M.; Gebreab, F.; Gutierrez, B. J.; Tam, S.; Monachello, D.; Boxem, M.; Harbort, C. J.; McDonald, N.; Gai, L.; Chen, H.; He, Y.; Vandenhaute, J.; Roth, F. P.; Hill, D. E.; Ecker, J. R.; Vidal, M.; Beynon, J.; Braun, P.; Dangl, J. L. Independently evolved virulence effectors converge onto hubs in a plant immune system network. </w:t>
      </w:r>
      <w:r>
        <w:rPr>
          <w:rFonts w:ascii="Palatino Linotype" w:hAnsi="Palatino Linotype"/>
          <w:i/>
          <w:iCs/>
          <w:sz w:val="18"/>
          <w:szCs w:val="24"/>
        </w:rPr>
        <w:t>Science</w:t>
      </w:r>
      <w:r>
        <w:rPr>
          <w:rFonts w:ascii="Palatino Linotype" w:hAnsi="Palatino Linotype"/>
          <w:sz w:val="18"/>
          <w:szCs w:val="24"/>
        </w:rPr>
        <w:t xml:space="preserve"> </w:t>
      </w:r>
      <w:r>
        <w:rPr>
          <w:rFonts w:ascii="Palatino Linotype" w:hAnsi="Palatino Linotype"/>
          <w:b/>
          <w:bCs/>
          <w:sz w:val="18"/>
          <w:szCs w:val="24"/>
        </w:rPr>
        <w:t>2011</w:t>
      </w:r>
      <w:r>
        <w:rPr>
          <w:rFonts w:ascii="Palatino Linotype" w:hAnsi="Palatino Linotype"/>
          <w:sz w:val="18"/>
          <w:szCs w:val="24"/>
        </w:rPr>
        <w:t xml:space="preserve">, </w:t>
      </w:r>
      <w:r>
        <w:rPr>
          <w:rFonts w:ascii="Palatino Linotype" w:hAnsi="Palatino Linotype"/>
          <w:i/>
          <w:iCs/>
          <w:sz w:val="18"/>
          <w:szCs w:val="24"/>
        </w:rPr>
        <w:t>333</w:t>
      </w:r>
      <w:r>
        <w:rPr>
          <w:rFonts w:ascii="Palatino Linotype" w:hAnsi="Palatino Linotype"/>
          <w:sz w:val="18"/>
          <w:szCs w:val="24"/>
        </w:rPr>
        <w:t>, 596–601.</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56. Dong, X.; Jiang, Z.; Peng, Y.-L.; Zhang, Z. Revealing Shared and Distinct Gene Network Organization in Arabidopsis Immune Responses by Integrative Analysis. </w:t>
      </w:r>
      <w:r>
        <w:rPr>
          <w:rFonts w:ascii="Palatino Linotype" w:hAnsi="Palatino Linotype"/>
          <w:i/>
          <w:iCs/>
          <w:sz w:val="18"/>
          <w:szCs w:val="24"/>
        </w:rPr>
        <w:t>Plant Physiol.</w:t>
      </w:r>
      <w:r>
        <w:rPr>
          <w:rFonts w:ascii="Palatino Linotype" w:hAnsi="Palatino Linotype"/>
          <w:sz w:val="18"/>
          <w:szCs w:val="24"/>
        </w:rPr>
        <w:t xml:space="preserve"> </w:t>
      </w:r>
      <w:r>
        <w:rPr>
          <w:rFonts w:ascii="Palatino Linotype" w:hAnsi="Palatino Linotype"/>
          <w:b/>
          <w:bCs/>
          <w:sz w:val="18"/>
          <w:szCs w:val="24"/>
        </w:rPr>
        <w:t>2015</w:t>
      </w:r>
      <w:r>
        <w:rPr>
          <w:rFonts w:ascii="Palatino Linotype" w:hAnsi="Palatino Linotype"/>
          <w:sz w:val="18"/>
          <w:szCs w:val="24"/>
        </w:rPr>
        <w:t>, pp.114.254292.</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57. Bailey, S.; Percy, D. M.; Hefer, C. A.; Cronk, Q. C. B. The transcriptional landscape of insect galls</w:t>
      </w:r>
      <w:r>
        <w:rPr>
          <w:sz w:val="18"/>
          <w:szCs w:val="24"/>
        </w:rPr>
        <w:t> </w:t>
      </w:r>
      <w:r>
        <w:rPr>
          <w:rFonts w:ascii="Palatino Linotype" w:hAnsi="Palatino Linotype"/>
          <w:sz w:val="18"/>
          <w:szCs w:val="24"/>
        </w:rPr>
        <w:t>: psyllid ( Hemiptera ) gall formation in Hawaiian Bailey, S., Percy, D. M., Hefer, C. A., &amp; Cronk, Q. C. B. (2015). The transcriptional landscape of insect galls</w:t>
      </w:r>
      <w:r>
        <w:rPr>
          <w:sz w:val="18"/>
          <w:szCs w:val="24"/>
        </w:rPr>
        <w:t> </w:t>
      </w:r>
      <w:r>
        <w:rPr>
          <w:rFonts w:ascii="Palatino Linotype" w:hAnsi="Palatino Linotype"/>
          <w:sz w:val="18"/>
          <w:szCs w:val="24"/>
        </w:rPr>
        <w:t xml:space="preserve">: psyllid ( Hemiptera ) gall formation in Hawa. </w:t>
      </w:r>
      <w:r>
        <w:rPr>
          <w:rFonts w:ascii="Palatino Linotype" w:hAnsi="Palatino Linotype"/>
          <w:i/>
          <w:iCs/>
          <w:sz w:val="18"/>
          <w:szCs w:val="24"/>
        </w:rPr>
        <w:t>BMC Genomics</w:t>
      </w:r>
      <w:r>
        <w:rPr>
          <w:rFonts w:ascii="Palatino Linotype" w:hAnsi="Palatino Linotype"/>
          <w:sz w:val="18"/>
          <w:szCs w:val="24"/>
        </w:rPr>
        <w:t xml:space="preserve"> </w:t>
      </w:r>
      <w:r>
        <w:rPr>
          <w:rFonts w:ascii="Palatino Linotype" w:hAnsi="Palatino Linotype"/>
          <w:b/>
          <w:bCs/>
          <w:sz w:val="18"/>
          <w:szCs w:val="24"/>
        </w:rPr>
        <w:t>2015</w:t>
      </w:r>
      <w:r>
        <w:rPr>
          <w:rFonts w:ascii="Palatino Linotype" w:hAnsi="Palatino Linotype"/>
          <w:sz w:val="18"/>
          <w:szCs w:val="24"/>
        </w:rPr>
        <w:t>, 1–9.</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58. Hui, Z.; Bernonville, D. De; Mélanie, B.; Gaëlle, G.; Michael, R.; Sybille, U.; Maryline, B.; Jean-pierre, R.; Elisabeth, H.; Géraldine, D.; David, G. Leaf-mining by Phyllonorycter blancardella reprograms the host-leaf transcriptome to modulate phytohormones associated with nutrient mobilization and plant defense. </w:t>
      </w:r>
      <w:r>
        <w:rPr>
          <w:rFonts w:ascii="Palatino Linotype" w:hAnsi="Palatino Linotype"/>
          <w:i/>
          <w:iCs/>
          <w:sz w:val="18"/>
          <w:szCs w:val="24"/>
        </w:rPr>
        <w:t>J. Insect Physiol.</w:t>
      </w:r>
      <w:r>
        <w:rPr>
          <w:rFonts w:ascii="Palatino Linotype" w:hAnsi="Palatino Linotype"/>
          <w:sz w:val="18"/>
          <w:szCs w:val="24"/>
        </w:rPr>
        <w:t xml:space="preserve"> </w:t>
      </w:r>
      <w:r>
        <w:rPr>
          <w:rFonts w:ascii="Palatino Linotype" w:hAnsi="Palatino Linotype"/>
          <w:b/>
          <w:bCs/>
          <w:sz w:val="18"/>
          <w:szCs w:val="24"/>
        </w:rPr>
        <w:t>2015</w:t>
      </w:r>
      <w:r>
        <w:rPr>
          <w:rFonts w:ascii="Palatino Linotype" w:hAnsi="Palatino Linotype"/>
          <w:sz w:val="18"/>
          <w:szCs w:val="24"/>
        </w:rPr>
        <w:t>.</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59. Yamaguchi, H.; Tanaka, H.; Hasegawa, M.; Tokuda, M.; Asami, T.; Suzuki, Y. Phytohormones and willow gall induction by a gall-inducing sawfly. </w:t>
      </w:r>
      <w:r>
        <w:rPr>
          <w:rFonts w:ascii="Palatino Linotype" w:hAnsi="Palatino Linotype"/>
          <w:i/>
          <w:iCs/>
          <w:sz w:val="18"/>
          <w:szCs w:val="24"/>
        </w:rPr>
        <w:t>New Phytol.</w:t>
      </w:r>
      <w:r>
        <w:rPr>
          <w:rFonts w:ascii="Palatino Linotype" w:hAnsi="Palatino Linotype"/>
          <w:sz w:val="18"/>
          <w:szCs w:val="24"/>
        </w:rPr>
        <w:t xml:space="preserve"> </w:t>
      </w:r>
      <w:r>
        <w:rPr>
          <w:rFonts w:ascii="Palatino Linotype" w:hAnsi="Palatino Linotype"/>
          <w:b/>
          <w:bCs/>
          <w:sz w:val="18"/>
          <w:szCs w:val="24"/>
        </w:rPr>
        <w:t>2012</w:t>
      </w:r>
      <w:r>
        <w:rPr>
          <w:rFonts w:ascii="Palatino Linotype" w:hAnsi="Palatino Linotype"/>
          <w:sz w:val="18"/>
          <w:szCs w:val="24"/>
        </w:rPr>
        <w:t xml:space="preserve">, </w:t>
      </w:r>
      <w:r>
        <w:rPr>
          <w:rFonts w:ascii="Palatino Linotype" w:hAnsi="Palatino Linotype"/>
          <w:i/>
          <w:iCs/>
          <w:sz w:val="18"/>
          <w:szCs w:val="24"/>
        </w:rPr>
        <w:t>196</w:t>
      </w:r>
      <w:r>
        <w:rPr>
          <w:rFonts w:ascii="Palatino Linotype" w:hAnsi="Palatino Linotype"/>
          <w:sz w:val="18"/>
          <w:szCs w:val="24"/>
        </w:rPr>
        <w:t>, 586–595.</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60. Sheth, B. P.; Thaker, V. S. Plant systems biology</w:t>
      </w:r>
      <w:r>
        <w:rPr>
          <w:sz w:val="18"/>
          <w:szCs w:val="24"/>
        </w:rPr>
        <w:t> </w:t>
      </w:r>
      <w:r>
        <w:rPr>
          <w:rFonts w:ascii="Palatino Linotype" w:hAnsi="Palatino Linotype"/>
          <w:sz w:val="18"/>
          <w:szCs w:val="24"/>
        </w:rPr>
        <w:t xml:space="preserve">: insights , advances and challenges. </w:t>
      </w:r>
      <w:r>
        <w:rPr>
          <w:rFonts w:ascii="Palatino Linotype" w:hAnsi="Palatino Linotype"/>
          <w:b/>
          <w:bCs/>
          <w:sz w:val="18"/>
          <w:szCs w:val="24"/>
        </w:rPr>
        <w:t>2014</w:t>
      </w:r>
      <w:r>
        <w:rPr>
          <w:rFonts w:ascii="Palatino Linotype" w:hAnsi="Palatino Linotype"/>
          <w:sz w:val="18"/>
          <w:szCs w:val="24"/>
        </w:rPr>
        <w:t>, 33–54.</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61. Fürstenberg-Hägg, J.; Zagrobelny, M.; Bak, S. </w:t>
      </w:r>
      <w:r>
        <w:rPr>
          <w:rFonts w:ascii="Palatino Linotype" w:hAnsi="Palatino Linotype"/>
          <w:i/>
          <w:iCs/>
          <w:sz w:val="18"/>
          <w:szCs w:val="24"/>
        </w:rPr>
        <w:t>Plant defense against insect herbivores</w:t>
      </w:r>
      <w:r>
        <w:rPr>
          <w:rFonts w:ascii="Palatino Linotype" w:hAnsi="Palatino Linotype"/>
          <w:sz w:val="18"/>
          <w:szCs w:val="24"/>
        </w:rPr>
        <w:t>; 2013; Vol. 14.</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62. Unsicker, S. B.; Kunert, G.; Gershenzon, J. Protective perfumes: the role of vegetative volatiles in plant defense against herbivores. </w:t>
      </w:r>
      <w:r>
        <w:rPr>
          <w:rFonts w:ascii="Palatino Linotype" w:hAnsi="Palatino Linotype"/>
          <w:i/>
          <w:iCs/>
          <w:sz w:val="18"/>
          <w:szCs w:val="24"/>
        </w:rPr>
        <w:t>Curr. Opin. Plant Biol.</w:t>
      </w:r>
      <w:r>
        <w:rPr>
          <w:rFonts w:ascii="Palatino Linotype" w:hAnsi="Palatino Linotype"/>
          <w:sz w:val="18"/>
          <w:szCs w:val="24"/>
        </w:rPr>
        <w:t xml:space="preserve"> </w:t>
      </w:r>
      <w:r>
        <w:rPr>
          <w:rFonts w:ascii="Palatino Linotype" w:hAnsi="Palatino Linotype"/>
          <w:b/>
          <w:bCs/>
          <w:sz w:val="18"/>
          <w:szCs w:val="24"/>
        </w:rPr>
        <w:t>2009</w:t>
      </w:r>
      <w:r>
        <w:rPr>
          <w:rFonts w:ascii="Palatino Linotype" w:hAnsi="Palatino Linotype"/>
          <w:sz w:val="18"/>
          <w:szCs w:val="24"/>
        </w:rPr>
        <w:t xml:space="preserve">, </w:t>
      </w:r>
      <w:r>
        <w:rPr>
          <w:rFonts w:ascii="Palatino Linotype" w:hAnsi="Palatino Linotype"/>
          <w:i/>
          <w:iCs/>
          <w:sz w:val="18"/>
          <w:szCs w:val="24"/>
        </w:rPr>
        <w:t>12</w:t>
      </w:r>
      <w:r>
        <w:rPr>
          <w:rFonts w:ascii="Palatino Linotype" w:hAnsi="Palatino Linotype"/>
          <w:sz w:val="18"/>
          <w:szCs w:val="24"/>
        </w:rPr>
        <w:t>, 479–485.</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63. Büchel, K.; McDowell, E.; Nelson, W.; Descour, A.; Gershenzon, J.; Hilker, M.; Soderlund, C.; Gang, D. R.; Fenning, T.; Meiners, T. An elm EST database for identifying leaf beetle egg-induced defense genes. </w:t>
      </w:r>
      <w:r>
        <w:rPr>
          <w:rFonts w:ascii="Palatino Linotype" w:hAnsi="Palatino Linotype"/>
          <w:i/>
          <w:iCs/>
          <w:sz w:val="18"/>
          <w:szCs w:val="24"/>
        </w:rPr>
        <w:t>BMC Genomics</w:t>
      </w:r>
      <w:r>
        <w:rPr>
          <w:rFonts w:ascii="Palatino Linotype" w:hAnsi="Palatino Linotype"/>
          <w:sz w:val="18"/>
          <w:szCs w:val="24"/>
        </w:rPr>
        <w:t xml:space="preserve"> </w:t>
      </w:r>
      <w:r>
        <w:rPr>
          <w:rFonts w:ascii="Palatino Linotype" w:hAnsi="Palatino Linotype"/>
          <w:b/>
          <w:bCs/>
          <w:sz w:val="18"/>
          <w:szCs w:val="24"/>
        </w:rPr>
        <w:t>2012</w:t>
      </w:r>
      <w:r>
        <w:rPr>
          <w:rFonts w:ascii="Palatino Linotype" w:hAnsi="Palatino Linotype"/>
          <w:sz w:val="18"/>
          <w:szCs w:val="24"/>
        </w:rPr>
        <w:t xml:space="preserve">, </w:t>
      </w:r>
      <w:r>
        <w:rPr>
          <w:rFonts w:ascii="Palatino Linotype" w:hAnsi="Palatino Linotype"/>
          <w:i/>
          <w:iCs/>
          <w:sz w:val="18"/>
          <w:szCs w:val="24"/>
        </w:rPr>
        <w:t>13</w:t>
      </w:r>
      <w:r>
        <w:rPr>
          <w:rFonts w:ascii="Palatino Linotype" w:hAnsi="Palatino Linotype"/>
          <w:sz w:val="18"/>
          <w:szCs w:val="24"/>
        </w:rPr>
        <w:t>, 242.</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64. Major, I. T.; Constabel, C. P. Molecular analysis of poplar defense against herbivory: Comparison of wound- and insect elicitor-induced gene expression. </w:t>
      </w:r>
      <w:r>
        <w:rPr>
          <w:rFonts w:ascii="Palatino Linotype" w:hAnsi="Palatino Linotype"/>
          <w:i/>
          <w:iCs/>
          <w:sz w:val="18"/>
          <w:szCs w:val="24"/>
        </w:rPr>
        <w:t>New Phytol.</w:t>
      </w:r>
      <w:r>
        <w:rPr>
          <w:rFonts w:ascii="Palatino Linotype" w:hAnsi="Palatino Linotype"/>
          <w:sz w:val="18"/>
          <w:szCs w:val="24"/>
        </w:rPr>
        <w:t xml:space="preserve"> </w:t>
      </w:r>
      <w:r>
        <w:rPr>
          <w:rFonts w:ascii="Palatino Linotype" w:hAnsi="Palatino Linotype"/>
          <w:b/>
          <w:bCs/>
          <w:sz w:val="18"/>
          <w:szCs w:val="24"/>
        </w:rPr>
        <w:t>2006</w:t>
      </w:r>
      <w:r>
        <w:rPr>
          <w:rFonts w:ascii="Palatino Linotype" w:hAnsi="Palatino Linotype"/>
          <w:sz w:val="18"/>
          <w:szCs w:val="24"/>
        </w:rPr>
        <w:t xml:space="preserve">, </w:t>
      </w:r>
      <w:r>
        <w:rPr>
          <w:rFonts w:ascii="Palatino Linotype" w:hAnsi="Palatino Linotype"/>
          <w:i/>
          <w:iCs/>
          <w:sz w:val="18"/>
          <w:szCs w:val="24"/>
        </w:rPr>
        <w:t>172</w:t>
      </w:r>
      <w:r>
        <w:rPr>
          <w:rFonts w:ascii="Palatino Linotype" w:hAnsi="Palatino Linotype"/>
          <w:sz w:val="18"/>
          <w:szCs w:val="24"/>
        </w:rPr>
        <w:t>, 617–635.</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65. Shukle, R. H.; Subramanyam, S.; Saltzmann, K. A.; Williams, C. E. Ultrastructural changes in the midguts of Hessian fly larvae feeding on resistant wheat. </w:t>
      </w:r>
      <w:r>
        <w:rPr>
          <w:rFonts w:ascii="Palatino Linotype" w:hAnsi="Palatino Linotype"/>
          <w:i/>
          <w:iCs/>
          <w:sz w:val="18"/>
          <w:szCs w:val="24"/>
        </w:rPr>
        <w:t>J. Insect Physiol.</w:t>
      </w:r>
      <w:r>
        <w:rPr>
          <w:rFonts w:ascii="Palatino Linotype" w:hAnsi="Palatino Linotype"/>
          <w:sz w:val="18"/>
          <w:szCs w:val="24"/>
        </w:rPr>
        <w:t xml:space="preserve"> </w:t>
      </w:r>
      <w:r>
        <w:rPr>
          <w:rFonts w:ascii="Palatino Linotype" w:hAnsi="Palatino Linotype"/>
          <w:b/>
          <w:bCs/>
          <w:sz w:val="18"/>
          <w:szCs w:val="24"/>
        </w:rPr>
        <w:t>2010</w:t>
      </w:r>
      <w:r>
        <w:rPr>
          <w:rFonts w:ascii="Palatino Linotype" w:hAnsi="Palatino Linotype"/>
          <w:sz w:val="18"/>
          <w:szCs w:val="24"/>
        </w:rPr>
        <w:t xml:space="preserve">, </w:t>
      </w:r>
      <w:r>
        <w:rPr>
          <w:rFonts w:ascii="Palatino Linotype" w:hAnsi="Palatino Linotype"/>
          <w:i/>
          <w:iCs/>
          <w:sz w:val="18"/>
          <w:szCs w:val="24"/>
        </w:rPr>
        <w:t>56</w:t>
      </w:r>
      <w:r>
        <w:rPr>
          <w:rFonts w:ascii="Palatino Linotype" w:hAnsi="Palatino Linotype"/>
          <w:sz w:val="18"/>
          <w:szCs w:val="24"/>
        </w:rPr>
        <w:t>, 754–760.</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66. Bode, R. F.; Halitschke, R. Herbivore damage-induced production and specific anti-digestive function of serine and cysteine protease inhibitors in tall goldenrod , Solidago altissima L . ( Asteraceae ). </w:t>
      </w:r>
      <w:r>
        <w:rPr>
          <w:rFonts w:ascii="Palatino Linotype" w:hAnsi="Palatino Linotype"/>
          <w:b/>
          <w:bCs/>
          <w:sz w:val="18"/>
          <w:szCs w:val="24"/>
        </w:rPr>
        <w:t>2013</w:t>
      </w:r>
      <w:r>
        <w:rPr>
          <w:rFonts w:ascii="Palatino Linotype" w:hAnsi="Palatino Linotype"/>
          <w:sz w:val="18"/>
          <w:szCs w:val="24"/>
        </w:rPr>
        <w:t>, 1287–1296.</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67. Wu, J.; Liu, X.; Zhang, S.; Zhu, Y. C.; Whitworth, R. J.; Chen, M. S. Differential responses of wheat inhibitor-like genes to Hessian fly, Mayetiola destructor, attacks during compatible and incompatible interactions. </w:t>
      </w:r>
      <w:r>
        <w:rPr>
          <w:rFonts w:ascii="Palatino Linotype" w:hAnsi="Palatino Linotype"/>
          <w:i/>
          <w:iCs/>
          <w:sz w:val="18"/>
          <w:szCs w:val="24"/>
        </w:rPr>
        <w:t>J. Chem. Ecol.</w:t>
      </w:r>
      <w:r>
        <w:rPr>
          <w:rFonts w:ascii="Palatino Linotype" w:hAnsi="Palatino Linotype"/>
          <w:sz w:val="18"/>
          <w:szCs w:val="24"/>
        </w:rPr>
        <w:t xml:space="preserve"> </w:t>
      </w:r>
      <w:r>
        <w:rPr>
          <w:rFonts w:ascii="Palatino Linotype" w:hAnsi="Palatino Linotype"/>
          <w:b/>
          <w:bCs/>
          <w:sz w:val="18"/>
          <w:szCs w:val="24"/>
        </w:rPr>
        <w:t>2008</w:t>
      </w:r>
      <w:r>
        <w:rPr>
          <w:rFonts w:ascii="Palatino Linotype" w:hAnsi="Palatino Linotype"/>
          <w:sz w:val="18"/>
          <w:szCs w:val="24"/>
        </w:rPr>
        <w:t xml:space="preserve">, </w:t>
      </w:r>
      <w:r>
        <w:rPr>
          <w:rFonts w:ascii="Palatino Linotype" w:hAnsi="Palatino Linotype"/>
          <w:i/>
          <w:iCs/>
          <w:sz w:val="18"/>
          <w:szCs w:val="24"/>
        </w:rPr>
        <w:t>34</w:t>
      </w:r>
      <w:r>
        <w:rPr>
          <w:rFonts w:ascii="Palatino Linotype" w:hAnsi="Palatino Linotype"/>
          <w:sz w:val="18"/>
          <w:szCs w:val="24"/>
        </w:rPr>
        <w:t>, 1005–1012.</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68. Zhang, S.; Shukle, R.; Mittapalli, O.; Cheng, Y.; Reese, J. C.; Wang, H.; Hua, B.; Chen, M. The gut transcriptome of a gall midge , Mayetiola destructor §. </w:t>
      </w:r>
      <w:r>
        <w:rPr>
          <w:rFonts w:ascii="Palatino Linotype" w:hAnsi="Palatino Linotype"/>
          <w:i/>
          <w:iCs/>
          <w:sz w:val="18"/>
          <w:szCs w:val="24"/>
        </w:rPr>
        <w:t>J. Insect Physiol.</w:t>
      </w:r>
      <w:r>
        <w:rPr>
          <w:rFonts w:ascii="Palatino Linotype" w:hAnsi="Palatino Linotype"/>
          <w:sz w:val="18"/>
          <w:szCs w:val="24"/>
        </w:rPr>
        <w:t xml:space="preserve"> </w:t>
      </w:r>
      <w:r>
        <w:rPr>
          <w:rFonts w:ascii="Palatino Linotype" w:hAnsi="Palatino Linotype"/>
          <w:b/>
          <w:bCs/>
          <w:sz w:val="18"/>
          <w:szCs w:val="24"/>
        </w:rPr>
        <w:t>2010</w:t>
      </w:r>
      <w:r>
        <w:rPr>
          <w:rFonts w:ascii="Palatino Linotype" w:hAnsi="Palatino Linotype"/>
          <w:sz w:val="18"/>
          <w:szCs w:val="24"/>
        </w:rPr>
        <w:t xml:space="preserve">, </w:t>
      </w:r>
      <w:r>
        <w:rPr>
          <w:rFonts w:ascii="Palatino Linotype" w:hAnsi="Palatino Linotype"/>
          <w:i/>
          <w:iCs/>
          <w:sz w:val="18"/>
          <w:szCs w:val="24"/>
        </w:rPr>
        <w:t>56</w:t>
      </w:r>
      <w:r>
        <w:rPr>
          <w:rFonts w:ascii="Palatino Linotype" w:hAnsi="Palatino Linotype"/>
          <w:sz w:val="18"/>
          <w:szCs w:val="24"/>
        </w:rPr>
        <w:t>, 1198–1206.</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69. Nyman, T.; Julkunen-tiitto, R. Manipulation of the phenolic chemistry of willows by gall-inducing sawflies. </w:t>
      </w:r>
      <w:r>
        <w:rPr>
          <w:rFonts w:ascii="Palatino Linotype" w:hAnsi="Palatino Linotype"/>
          <w:b/>
          <w:bCs/>
          <w:sz w:val="18"/>
          <w:szCs w:val="24"/>
        </w:rPr>
        <w:t>2000</w:t>
      </w:r>
      <w:r>
        <w:rPr>
          <w:rFonts w:ascii="Palatino Linotype" w:hAnsi="Palatino Linotype"/>
          <w:sz w:val="18"/>
          <w:szCs w:val="24"/>
        </w:rPr>
        <w:t xml:space="preserve">, </w:t>
      </w:r>
      <w:r>
        <w:rPr>
          <w:rFonts w:ascii="Palatino Linotype" w:hAnsi="Palatino Linotype"/>
          <w:i/>
          <w:iCs/>
          <w:sz w:val="18"/>
          <w:szCs w:val="24"/>
        </w:rPr>
        <w:t>2000</w:t>
      </w:r>
      <w:r>
        <w:rPr>
          <w:rFonts w:ascii="Palatino Linotype" w:hAnsi="Palatino Linotype"/>
          <w:sz w:val="18"/>
          <w:szCs w:val="24"/>
        </w:rPr>
        <w:t>.</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70. Bruinsma, M.; Posthumus, M. a.; Mumm, R.; Mueller, M. J.; Van Loon, J. J. a; Dicke, M. Jasmonic acid-induced volatiles of Brassica oleracea attract parasitoids: Effects of time and dose, and comparison with induction by herbivores. </w:t>
      </w:r>
      <w:r>
        <w:rPr>
          <w:rFonts w:ascii="Palatino Linotype" w:hAnsi="Palatino Linotype"/>
          <w:i/>
          <w:iCs/>
          <w:sz w:val="18"/>
          <w:szCs w:val="24"/>
        </w:rPr>
        <w:t>J. Exp. Bot.</w:t>
      </w:r>
      <w:r>
        <w:rPr>
          <w:rFonts w:ascii="Palatino Linotype" w:hAnsi="Palatino Linotype"/>
          <w:sz w:val="18"/>
          <w:szCs w:val="24"/>
        </w:rPr>
        <w:t xml:space="preserve"> </w:t>
      </w:r>
      <w:r>
        <w:rPr>
          <w:rFonts w:ascii="Palatino Linotype" w:hAnsi="Palatino Linotype"/>
          <w:b/>
          <w:bCs/>
          <w:sz w:val="18"/>
          <w:szCs w:val="24"/>
        </w:rPr>
        <w:t>2009</w:t>
      </w:r>
      <w:r>
        <w:rPr>
          <w:rFonts w:ascii="Palatino Linotype" w:hAnsi="Palatino Linotype"/>
          <w:sz w:val="18"/>
          <w:szCs w:val="24"/>
        </w:rPr>
        <w:t xml:space="preserve">, </w:t>
      </w:r>
      <w:r>
        <w:rPr>
          <w:rFonts w:ascii="Palatino Linotype" w:hAnsi="Palatino Linotype"/>
          <w:i/>
          <w:iCs/>
          <w:sz w:val="18"/>
          <w:szCs w:val="24"/>
        </w:rPr>
        <w:t>60</w:t>
      </w:r>
      <w:r>
        <w:rPr>
          <w:rFonts w:ascii="Palatino Linotype" w:hAnsi="Palatino Linotype"/>
          <w:sz w:val="18"/>
          <w:szCs w:val="24"/>
        </w:rPr>
        <w:t>, 2575–2587.</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71. Troncoso, C.; Becerra, J.; Perez, C.; Hernandez, V.; Martin,  a S.; Sanchez-olate, M.; Rios, D. Induction of defensive responses in Eucalyptus globulus (Labill) plants, against Ctenarytaina eucalypti (Maskell) (Hemiptera</w:t>
      </w:r>
      <w:r>
        <w:rPr>
          <w:sz w:val="18"/>
          <w:szCs w:val="24"/>
        </w:rPr>
        <w:t> </w:t>
      </w:r>
      <w:r>
        <w:rPr>
          <w:rFonts w:ascii="Palatino Linotype" w:hAnsi="Palatino Linotype"/>
          <w:sz w:val="18"/>
          <w:szCs w:val="24"/>
        </w:rPr>
        <w:t xml:space="preserve">: Psyllidae). </w:t>
      </w:r>
      <w:r>
        <w:rPr>
          <w:rFonts w:ascii="Palatino Linotype" w:hAnsi="Palatino Linotype"/>
          <w:i/>
          <w:iCs/>
          <w:sz w:val="18"/>
          <w:szCs w:val="24"/>
        </w:rPr>
        <w:t>Am. J. Plant Sci.</w:t>
      </w:r>
      <w:r>
        <w:rPr>
          <w:rFonts w:ascii="Palatino Linotype" w:hAnsi="Palatino Linotype"/>
          <w:sz w:val="18"/>
          <w:szCs w:val="24"/>
        </w:rPr>
        <w:t xml:space="preserve"> </w:t>
      </w:r>
      <w:r>
        <w:rPr>
          <w:rFonts w:ascii="Palatino Linotype" w:hAnsi="Palatino Linotype"/>
          <w:b/>
          <w:bCs/>
          <w:sz w:val="18"/>
          <w:szCs w:val="24"/>
        </w:rPr>
        <w:t>2012</w:t>
      </w:r>
      <w:r>
        <w:rPr>
          <w:rFonts w:ascii="Palatino Linotype" w:hAnsi="Palatino Linotype"/>
          <w:sz w:val="18"/>
          <w:szCs w:val="24"/>
        </w:rPr>
        <w:t xml:space="preserve">, </w:t>
      </w:r>
      <w:r>
        <w:rPr>
          <w:rFonts w:ascii="Palatino Linotype" w:hAnsi="Palatino Linotype"/>
          <w:i/>
          <w:iCs/>
          <w:sz w:val="18"/>
          <w:szCs w:val="24"/>
        </w:rPr>
        <w:t>2012</w:t>
      </w:r>
      <w:r>
        <w:rPr>
          <w:rFonts w:ascii="Palatino Linotype" w:hAnsi="Palatino Linotype"/>
          <w:sz w:val="18"/>
          <w:szCs w:val="24"/>
        </w:rPr>
        <w:t>, 589–595.</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72. Damasceno, F. C.; Nicolli, K. P.; Caram̃o, E. B.; Soares, G. L. G.; Zini, C. A. Changes in the volatile organic profile of schinus polygamus (Anacardiaceae) and Baccharis spicata (Asteraceae) induced by galling psyllids. </w:t>
      </w:r>
      <w:r>
        <w:rPr>
          <w:rFonts w:ascii="Palatino Linotype" w:hAnsi="Palatino Linotype"/>
          <w:i/>
          <w:iCs/>
          <w:sz w:val="18"/>
          <w:szCs w:val="24"/>
        </w:rPr>
        <w:t>J. Braz. Chem. Soc.</w:t>
      </w:r>
      <w:r>
        <w:rPr>
          <w:rFonts w:ascii="Palatino Linotype" w:hAnsi="Palatino Linotype"/>
          <w:sz w:val="18"/>
          <w:szCs w:val="24"/>
        </w:rPr>
        <w:t xml:space="preserve"> </w:t>
      </w:r>
      <w:r>
        <w:rPr>
          <w:rFonts w:ascii="Palatino Linotype" w:hAnsi="Palatino Linotype"/>
          <w:b/>
          <w:bCs/>
          <w:sz w:val="18"/>
          <w:szCs w:val="24"/>
        </w:rPr>
        <w:t>2010</w:t>
      </w:r>
      <w:r>
        <w:rPr>
          <w:rFonts w:ascii="Palatino Linotype" w:hAnsi="Palatino Linotype"/>
          <w:sz w:val="18"/>
          <w:szCs w:val="24"/>
        </w:rPr>
        <w:t xml:space="preserve">, </w:t>
      </w:r>
      <w:r>
        <w:rPr>
          <w:rFonts w:ascii="Palatino Linotype" w:hAnsi="Palatino Linotype"/>
          <w:i/>
          <w:iCs/>
          <w:sz w:val="18"/>
          <w:szCs w:val="24"/>
        </w:rPr>
        <w:t>21</w:t>
      </w:r>
      <w:r>
        <w:rPr>
          <w:rFonts w:ascii="Palatino Linotype" w:hAnsi="Palatino Linotype"/>
          <w:sz w:val="18"/>
          <w:szCs w:val="24"/>
        </w:rPr>
        <w:t>, 556–563.</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73. Tooker, J. F.; De Moraes, C. M. Feeding by Hessian fly [Mayetiola destructor (Say)] larvae does not induce plant indirect defences. </w:t>
      </w:r>
      <w:r>
        <w:rPr>
          <w:rFonts w:ascii="Palatino Linotype" w:hAnsi="Palatino Linotype"/>
          <w:i/>
          <w:iCs/>
          <w:sz w:val="18"/>
          <w:szCs w:val="24"/>
        </w:rPr>
        <w:t>Ecol. Entomol.</w:t>
      </w:r>
      <w:r>
        <w:rPr>
          <w:rFonts w:ascii="Palatino Linotype" w:hAnsi="Palatino Linotype"/>
          <w:sz w:val="18"/>
          <w:szCs w:val="24"/>
        </w:rPr>
        <w:t xml:space="preserve"> </w:t>
      </w:r>
      <w:r>
        <w:rPr>
          <w:rFonts w:ascii="Palatino Linotype" w:hAnsi="Palatino Linotype"/>
          <w:b/>
          <w:bCs/>
          <w:sz w:val="18"/>
          <w:szCs w:val="24"/>
        </w:rPr>
        <w:t>2007</w:t>
      </w:r>
      <w:r>
        <w:rPr>
          <w:rFonts w:ascii="Palatino Linotype" w:hAnsi="Palatino Linotype"/>
          <w:sz w:val="18"/>
          <w:szCs w:val="24"/>
        </w:rPr>
        <w:t xml:space="preserve">, </w:t>
      </w:r>
      <w:r>
        <w:rPr>
          <w:rFonts w:ascii="Palatino Linotype" w:hAnsi="Palatino Linotype"/>
          <w:i/>
          <w:iCs/>
          <w:sz w:val="18"/>
          <w:szCs w:val="24"/>
        </w:rPr>
        <w:t>32</w:t>
      </w:r>
      <w:r>
        <w:rPr>
          <w:rFonts w:ascii="Palatino Linotype" w:hAnsi="Palatino Linotype"/>
          <w:sz w:val="18"/>
          <w:szCs w:val="24"/>
        </w:rPr>
        <w:t>, 153–161.</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74. Rizzetto, L.; Cavalieri, D. Friend or foe</w:t>
      </w:r>
      <w:r>
        <w:rPr>
          <w:sz w:val="18"/>
          <w:szCs w:val="24"/>
        </w:rPr>
        <w:t> </w:t>
      </w:r>
      <w:r>
        <w:rPr>
          <w:rFonts w:ascii="Palatino Linotype" w:hAnsi="Palatino Linotype"/>
          <w:sz w:val="18"/>
          <w:szCs w:val="24"/>
        </w:rPr>
        <w:t xml:space="preserve">: using systems biology to elucidate interactions between fungi and their hosts. </w:t>
      </w:r>
      <w:r>
        <w:rPr>
          <w:rFonts w:ascii="Palatino Linotype" w:hAnsi="Palatino Linotype"/>
          <w:i/>
          <w:iCs/>
          <w:sz w:val="18"/>
          <w:szCs w:val="24"/>
        </w:rPr>
        <w:t>Trends Microbiol.</w:t>
      </w:r>
      <w:r>
        <w:rPr>
          <w:rFonts w:ascii="Palatino Linotype" w:hAnsi="Palatino Linotype"/>
          <w:sz w:val="18"/>
          <w:szCs w:val="24"/>
        </w:rPr>
        <w:t xml:space="preserve"> </w:t>
      </w:r>
      <w:r>
        <w:rPr>
          <w:rFonts w:ascii="Palatino Linotype" w:hAnsi="Palatino Linotype"/>
          <w:b/>
          <w:bCs/>
          <w:sz w:val="18"/>
          <w:szCs w:val="24"/>
        </w:rPr>
        <w:t>2011</w:t>
      </w:r>
      <w:r>
        <w:rPr>
          <w:rFonts w:ascii="Palatino Linotype" w:hAnsi="Palatino Linotype"/>
          <w:sz w:val="18"/>
          <w:szCs w:val="24"/>
        </w:rPr>
        <w:t xml:space="preserve">, </w:t>
      </w:r>
      <w:r>
        <w:rPr>
          <w:rFonts w:ascii="Palatino Linotype" w:hAnsi="Palatino Linotype"/>
          <w:i/>
          <w:iCs/>
          <w:sz w:val="18"/>
          <w:szCs w:val="24"/>
        </w:rPr>
        <w:t>19</w:t>
      </w:r>
      <w:r>
        <w:rPr>
          <w:rFonts w:ascii="Palatino Linotype" w:hAnsi="Palatino Linotype"/>
          <w:sz w:val="18"/>
          <w:szCs w:val="24"/>
        </w:rPr>
        <w:t>, 509–515.</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75. Dix, A.; Vlaic, S.; Guthke, R.; Linde, J. Use of systems biology to decipher host e pathogen interaction networks and predict biomarkers. </w:t>
      </w:r>
      <w:r>
        <w:rPr>
          <w:rFonts w:ascii="Palatino Linotype" w:hAnsi="Palatino Linotype"/>
          <w:i/>
          <w:iCs/>
          <w:sz w:val="18"/>
          <w:szCs w:val="24"/>
        </w:rPr>
        <w:t>Clin. Microbiol. Infect.</w:t>
      </w:r>
      <w:r>
        <w:rPr>
          <w:rFonts w:ascii="Palatino Linotype" w:hAnsi="Palatino Linotype"/>
          <w:sz w:val="18"/>
          <w:szCs w:val="24"/>
        </w:rPr>
        <w:t xml:space="preserve"> </w:t>
      </w:r>
      <w:r>
        <w:rPr>
          <w:rFonts w:ascii="Palatino Linotype" w:hAnsi="Palatino Linotype"/>
          <w:b/>
          <w:bCs/>
          <w:sz w:val="18"/>
          <w:szCs w:val="24"/>
        </w:rPr>
        <w:t>2016</w:t>
      </w:r>
      <w:r>
        <w:rPr>
          <w:rFonts w:ascii="Palatino Linotype" w:hAnsi="Palatino Linotype"/>
          <w:sz w:val="18"/>
          <w:szCs w:val="24"/>
        </w:rPr>
        <w:t>, 1–7.</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76. Barabási, A.; Oltvai, Z. N. Network biology: understanding the cell’s functional organization. </w:t>
      </w:r>
      <w:r>
        <w:rPr>
          <w:rFonts w:ascii="Palatino Linotype" w:hAnsi="Palatino Linotype"/>
          <w:i/>
          <w:iCs/>
          <w:sz w:val="18"/>
          <w:szCs w:val="24"/>
        </w:rPr>
        <w:t>Nat. Rev. Genet.</w:t>
      </w:r>
      <w:r>
        <w:rPr>
          <w:rFonts w:ascii="Palatino Linotype" w:hAnsi="Palatino Linotype"/>
          <w:sz w:val="18"/>
          <w:szCs w:val="24"/>
        </w:rPr>
        <w:t xml:space="preserve"> </w:t>
      </w:r>
      <w:r>
        <w:rPr>
          <w:rFonts w:ascii="Palatino Linotype" w:hAnsi="Palatino Linotype"/>
          <w:b/>
          <w:bCs/>
          <w:sz w:val="18"/>
          <w:szCs w:val="24"/>
        </w:rPr>
        <w:t>2004</w:t>
      </w:r>
      <w:r>
        <w:rPr>
          <w:rFonts w:ascii="Palatino Linotype" w:hAnsi="Palatino Linotype"/>
          <w:sz w:val="18"/>
          <w:szCs w:val="24"/>
        </w:rPr>
        <w:t xml:space="preserve">, </w:t>
      </w:r>
      <w:r>
        <w:rPr>
          <w:rFonts w:ascii="Palatino Linotype" w:hAnsi="Palatino Linotype"/>
          <w:i/>
          <w:iCs/>
          <w:sz w:val="18"/>
          <w:szCs w:val="24"/>
        </w:rPr>
        <w:t>5</w:t>
      </w:r>
      <w:r>
        <w:rPr>
          <w:rFonts w:ascii="Palatino Linotype" w:hAnsi="Palatino Linotype"/>
          <w:sz w:val="18"/>
          <w:szCs w:val="24"/>
        </w:rPr>
        <w:t>, 101–113.</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77. Graziosi, I.; Rieske, L. K. A plant pathogen causes extensive mortality in an invasive insect herbivore. </w:t>
      </w:r>
      <w:r>
        <w:rPr>
          <w:rFonts w:ascii="Palatino Linotype" w:hAnsi="Palatino Linotype"/>
          <w:b/>
          <w:bCs/>
          <w:sz w:val="18"/>
          <w:szCs w:val="24"/>
        </w:rPr>
        <w:t>2015</w:t>
      </w:r>
      <w:r>
        <w:rPr>
          <w:rFonts w:ascii="Palatino Linotype" w:hAnsi="Palatino Linotype"/>
          <w:sz w:val="18"/>
          <w:szCs w:val="24"/>
        </w:rPr>
        <w:t>, 366–374.</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78. Tozkar, C. Ö.; Kence, M.; Kence, A.; Huang, Q.; Evans, J. D. Metatranscriptomic analyses of honey bee colonies. </w:t>
      </w:r>
      <w:r>
        <w:rPr>
          <w:rFonts w:ascii="Palatino Linotype" w:hAnsi="Palatino Linotype"/>
          <w:b/>
          <w:bCs/>
          <w:sz w:val="18"/>
          <w:szCs w:val="24"/>
        </w:rPr>
        <w:t>2015</w:t>
      </w:r>
      <w:r>
        <w:rPr>
          <w:rFonts w:ascii="Palatino Linotype" w:hAnsi="Palatino Linotype"/>
          <w:sz w:val="18"/>
          <w:szCs w:val="24"/>
        </w:rPr>
        <w:t xml:space="preserve">, </w:t>
      </w:r>
      <w:r>
        <w:rPr>
          <w:rFonts w:ascii="Palatino Linotype" w:hAnsi="Palatino Linotype"/>
          <w:i/>
          <w:iCs/>
          <w:sz w:val="18"/>
          <w:szCs w:val="24"/>
        </w:rPr>
        <w:t>6</w:t>
      </w:r>
      <w:r>
        <w:rPr>
          <w:rFonts w:ascii="Palatino Linotype" w:hAnsi="Palatino Linotype"/>
          <w:sz w:val="18"/>
          <w:szCs w:val="24"/>
        </w:rPr>
        <w:t>, 1–12.</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79. Peterson, B. F.; Scharf, M. E. Metatranscriptome analysis reveals bacterial symbiont contributions to lower termite physiology and potential immune functions. </w:t>
      </w:r>
      <w:r>
        <w:rPr>
          <w:rFonts w:ascii="Palatino Linotype" w:hAnsi="Palatino Linotype"/>
          <w:i/>
          <w:iCs/>
          <w:sz w:val="18"/>
          <w:szCs w:val="24"/>
        </w:rPr>
        <w:t>BMC Genomics</w:t>
      </w:r>
      <w:r>
        <w:rPr>
          <w:rFonts w:ascii="Palatino Linotype" w:hAnsi="Palatino Linotype"/>
          <w:sz w:val="18"/>
          <w:szCs w:val="24"/>
        </w:rPr>
        <w:t xml:space="preserve"> </w:t>
      </w:r>
      <w:r>
        <w:rPr>
          <w:rFonts w:ascii="Palatino Linotype" w:hAnsi="Palatino Linotype"/>
          <w:b/>
          <w:bCs/>
          <w:sz w:val="18"/>
          <w:szCs w:val="24"/>
        </w:rPr>
        <w:t>2016</w:t>
      </w:r>
      <w:r>
        <w:rPr>
          <w:rFonts w:ascii="Palatino Linotype" w:hAnsi="Palatino Linotype"/>
          <w:sz w:val="18"/>
          <w:szCs w:val="24"/>
        </w:rPr>
        <w:t>, 1–12.</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80. Martinson, E. O.; Hackett, J. D.; Machado, C. A.; Arnold, A. E. Metatranscriptome Analysis of Fig Flowers Provides Insights into Potential Mechanisms for Mutualism Stability and Gall Induction. </w:t>
      </w:r>
      <w:r>
        <w:rPr>
          <w:rFonts w:ascii="Palatino Linotype" w:hAnsi="Palatino Linotype"/>
          <w:b/>
          <w:bCs/>
          <w:sz w:val="18"/>
          <w:szCs w:val="24"/>
        </w:rPr>
        <w:t>2015</w:t>
      </w:r>
      <w:r>
        <w:rPr>
          <w:rFonts w:ascii="Palatino Linotype" w:hAnsi="Palatino Linotype"/>
          <w:sz w:val="18"/>
          <w:szCs w:val="24"/>
        </w:rPr>
        <w:t>, 1–14.</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81. Ståhl, P. L.; Salmén, F.; Vickovic, S.; Lundmark, A.; Navarro, J. F.; Magnusson, J.; Giacomello, S.; Asp, M.; Westholm, J. O.; Huss, M.; Mollbrink, A.; Linnarsson, S. Visualization and analysis of gene expression in tissue sections by spatial transcriptomics. </w:t>
      </w:r>
      <w:r>
        <w:rPr>
          <w:rFonts w:ascii="Palatino Linotype" w:hAnsi="Palatino Linotype"/>
          <w:i/>
          <w:iCs/>
          <w:sz w:val="18"/>
          <w:szCs w:val="24"/>
        </w:rPr>
        <w:t>Science (80-. ).</w:t>
      </w:r>
      <w:r>
        <w:rPr>
          <w:rFonts w:ascii="Palatino Linotype" w:hAnsi="Palatino Linotype"/>
          <w:sz w:val="18"/>
          <w:szCs w:val="24"/>
        </w:rPr>
        <w:t xml:space="preserve"> </w:t>
      </w:r>
      <w:r>
        <w:rPr>
          <w:rFonts w:ascii="Palatino Linotype" w:hAnsi="Palatino Linotype"/>
          <w:b/>
          <w:bCs/>
          <w:sz w:val="18"/>
          <w:szCs w:val="24"/>
        </w:rPr>
        <w:t>2016</w:t>
      </w:r>
      <w:r>
        <w:rPr>
          <w:rFonts w:ascii="Palatino Linotype" w:hAnsi="Palatino Linotype"/>
          <w:sz w:val="18"/>
          <w:szCs w:val="24"/>
        </w:rPr>
        <w:t xml:space="preserve">, </w:t>
      </w:r>
      <w:r>
        <w:rPr>
          <w:rFonts w:ascii="Palatino Linotype" w:hAnsi="Palatino Linotype"/>
          <w:i/>
          <w:iCs/>
          <w:sz w:val="18"/>
          <w:szCs w:val="24"/>
        </w:rPr>
        <w:t>353</w:t>
      </w:r>
      <w:r>
        <w:rPr>
          <w:rFonts w:ascii="Palatino Linotype" w:hAnsi="Palatino Linotype"/>
          <w:sz w:val="18"/>
          <w:szCs w:val="24"/>
        </w:rPr>
        <w:t>.</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82. Polanski, K.; Rhodes, J.; Hill, C.; Zhang, P.; Jenkins, D. J.; Kiddle, S. J.; Jironkin, A.; Beynon, J.; Buchanan-wollaston, V.; Ott, S.; Denby, K. J. Gene expression Wigwams</w:t>
      </w:r>
      <w:r>
        <w:rPr>
          <w:sz w:val="18"/>
          <w:szCs w:val="24"/>
        </w:rPr>
        <w:t> </w:t>
      </w:r>
      <w:r>
        <w:rPr>
          <w:rFonts w:ascii="Palatino Linotype" w:hAnsi="Palatino Linotype"/>
          <w:sz w:val="18"/>
          <w:szCs w:val="24"/>
        </w:rPr>
        <w:t xml:space="preserve">: identifying gene modules co-regulated across multiple biological conditions. </w:t>
      </w:r>
      <w:r>
        <w:rPr>
          <w:rFonts w:ascii="Palatino Linotype" w:hAnsi="Palatino Linotype"/>
          <w:b/>
          <w:bCs/>
          <w:sz w:val="18"/>
          <w:szCs w:val="24"/>
        </w:rPr>
        <w:t>2014</w:t>
      </w:r>
      <w:r>
        <w:rPr>
          <w:rFonts w:ascii="Palatino Linotype" w:hAnsi="Palatino Linotype"/>
          <w:sz w:val="18"/>
          <w:szCs w:val="24"/>
        </w:rPr>
        <w:t xml:space="preserve">, </w:t>
      </w:r>
      <w:r>
        <w:rPr>
          <w:rFonts w:ascii="Palatino Linotype" w:hAnsi="Palatino Linotype"/>
          <w:i/>
          <w:iCs/>
          <w:sz w:val="18"/>
          <w:szCs w:val="24"/>
        </w:rPr>
        <w:t>30</w:t>
      </w:r>
      <w:r>
        <w:rPr>
          <w:rFonts w:ascii="Palatino Linotype" w:hAnsi="Palatino Linotype"/>
          <w:sz w:val="18"/>
          <w:szCs w:val="24"/>
        </w:rPr>
        <w:t>, 962–970.</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83. Windram, O. P.; Madhou, P.; McHattie, S.; Hill, C.; Hickman, R. J.; Cooke, E. J.; Jenkins, D. J.; Penfold, C. a.; Baxter, L.; Breeze, E.; Kiddle, S. J.; Rhodes, J.; Atwell, S.; Kim, Y.; Stegle, O.; Borgwardt, K. M.; Zhang, C.; Tabrett, A.; Legaie, R.; Moore, J. D.; Finkenstädt, B.; Wild, D. L.; Mead,  a.; Rand, D. a.; Ott, S.; Buchanan-Wollaston, V.; Denby, K. J. Arabidopsis defense against Botrytis cinerea</w:t>
      </w:r>
      <w:r>
        <w:rPr>
          <w:sz w:val="18"/>
          <w:szCs w:val="24"/>
        </w:rPr>
        <w:t> </w:t>
      </w:r>
      <w:r>
        <w:rPr>
          <w:rFonts w:ascii="Palatino Linotype" w:hAnsi="Palatino Linotype"/>
          <w:sz w:val="18"/>
          <w:szCs w:val="24"/>
        </w:rPr>
        <w:t xml:space="preserve">: chronology and regulation deciphered by high-resolution temporal transcriptomic analysis. </w:t>
      </w:r>
      <w:r>
        <w:rPr>
          <w:rFonts w:ascii="Palatino Linotype" w:hAnsi="Palatino Linotype"/>
          <w:b/>
          <w:bCs/>
          <w:sz w:val="18"/>
          <w:szCs w:val="24"/>
        </w:rPr>
        <w:t>2012</w:t>
      </w:r>
      <w:r>
        <w:rPr>
          <w:rFonts w:ascii="Palatino Linotype" w:hAnsi="Palatino Linotype"/>
          <w:sz w:val="18"/>
          <w:szCs w:val="24"/>
        </w:rPr>
        <w:t>, 1–29.</w:t>
      </w:r>
    </w:p>
    <w:p>
      <w:pPr>
        <w:widowControl w:val="0"/>
        <w:autoSpaceDE w:val="0"/>
        <w:autoSpaceDN w:val="0"/>
        <w:adjustRightInd w:val="0"/>
        <w:spacing w:line="240" w:lineRule="atLeast"/>
        <w:rPr>
          <w:rFonts w:ascii="Palatino Linotype" w:hAnsi="Palatino Linotype"/>
          <w:sz w:val="18"/>
          <w:szCs w:val="24"/>
        </w:rPr>
      </w:pPr>
      <w:r>
        <w:rPr>
          <w:rFonts w:ascii="Palatino Linotype" w:hAnsi="Palatino Linotype"/>
          <w:sz w:val="18"/>
          <w:szCs w:val="24"/>
        </w:rPr>
        <w:t xml:space="preserve">84. Doudna, J. A.; Charpentier, E. The new frontier of genome engineering with CRISPR-Cas9. </w:t>
      </w:r>
      <w:r>
        <w:rPr>
          <w:rFonts w:ascii="Palatino Linotype" w:hAnsi="Palatino Linotype"/>
          <w:i/>
          <w:iCs/>
          <w:sz w:val="18"/>
          <w:szCs w:val="24"/>
        </w:rPr>
        <w:t>Science (80-. ).</w:t>
      </w:r>
      <w:r>
        <w:rPr>
          <w:rFonts w:ascii="Palatino Linotype" w:hAnsi="Palatino Linotype"/>
          <w:sz w:val="18"/>
          <w:szCs w:val="24"/>
        </w:rPr>
        <w:t xml:space="preserve"> </w:t>
      </w:r>
      <w:r>
        <w:rPr>
          <w:rFonts w:ascii="Palatino Linotype" w:hAnsi="Palatino Linotype"/>
          <w:b/>
          <w:bCs/>
          <w:sz w:val="18"/>
          <w:szCs w:val="24"/>
        </w:rPr>
        <w:t>2014</w:t>
      </w:r>
      <w:r>
        <w:rPr>
          <w:rFonts w:ascii="Palatino Linotype" w:hAnsi="Palatino Linotype"/>
          <w:sz w:val="18"/>
          <w:szCs w:val="24"/>
        </w:rPr>
        <w:t xml:space="preserve">, </w:t>
      </w:r>
      <w:r>
        <w:rPr>
          <w:rFonts w:ascii="Palatino Linotype" w:hAnsi="Palatino Linotype"/>
          <w:i/>
          <w:iCs/>
          <w:sz w:val="18"/>
          <w:szCs w:val="24"/>
        </w:rPr>
        <w:t>346</w:t>
      </w:r>
      <w:r>
        <w:rPr>
          <w:rFonts w:ascii="Palatino Linotype" w:hAnsi="Palatino Linotype"/>
          <w:sz w:val="18"/>
          <w:szCs w:val="24"/>
        </w:rPr>
        <w:t>, 1258096–1258096.</w:t>
      </w:r>
    </w:p>
    <w:p>
      <w:pPr>
        <w:widowControl w:val="0"/>
        <w:autoSpaceDE w:val="0"/>
        <w:autoSpaceDN w:val="0"/>
        <w:adjustRightInd w:val="0"/>
        <w:spacing w:line="240" w:lineRule="atLeast"/>
        <w:rPr>
          <w:rFonts w:ascii="Palatino Linotype" w:hAnsi="Palatino Linotype"/>
          <w:sz w:val="18"/>
        </w:rPr>
      </w:pPr>
      <w:r>
        <w:rPr>
          <w:rFonts w:ascii="Palatino Linotype" w:hAnsi="Palatino Linotype"/>
          <w:sz w:val="18"/>
          <w:szCs w:val="24"/>
        </w:rPr>
        <w:t xml:space="preserve">85. Nambiar-Veetil, M.; Sangeetha, M.; Sowmiya Rani, K. S.; Aravinthakumar, V.; Selvakesavan, R. K.; Balasubramanian, A.; Venkatachalam, R.; Mary, A.; Jacob, J.; Krishna Kumar, N. Identification of insect-specific target genes for development of RNAi based control of the Eucalyptus gall pest Leptocybe invasa Fisher &amp; La Salle (Hymenoptera: Eulophidae). </w:t>
      </w:r>
      <w:r>
        <w:rPr>
          <w:rFonts w:ascii="Palatino Linotype" w:hAnsi="Palatino Linotype"/>
          <w:i/>
          <w:iCs/>
          <w:sz w:val="18"/>
          <w:szCs w:val="24"/>
        </w:rPr>
        <w:t>BMC Proc.</w:t>
      </w:r>
      <w:r>
        <w:rPr>
          <w:rFonts w:ascii="Palatino Linotype" w:hAnsi="Palatino Linotype"/>
          <w:sz w:val="18"/>
          <w:szCs w:val="24"/>
        </w:rPr>
        <w:t xml:space="preserve"> </w:t>
      </w:r>
      <w:r>
        <w:rPr>
          <w:rFonts w:ascii="Palatino Linotype" w:hAnsi="Palatino Linotype"/>
          <w:b/>
          <w:bCs/>
          <w:sz w:val="18"/>
          <w:szCs w:val="24"/>
        </w:rPr>
        <w:t>2011</w:t>
      </w:r>
      <w:r>
        <w:rPr>
          <w:rFonts w:ascii="Palatino Linotype" w:hAnsi="Palatino Linotype"/>
          <w:sz w:val="18"/>
          <w:szCs w:val="24"/>
        </w:rPr>
        <w:t xml:space="preserve">, </w:t>
      </w:r>
      <w:r>
        <w:rPr>
          <w:rFonts w:ascii="Palatino Linotype" w:hAnsi="Palatino Linotype"/>
          <w:i/>
          <w:iCs/>
          <w:sz w:val="18"/>
          <w:szCs w:val="24"/>
        </w:rPr>
        <w:t>5</w:t>
      </w:r>
      <w:r>
        <w:rPr>
          <w:rFonts w:ascii="Palatino Linotype" w:hAnsi="Palatino Linotype"/>
          <w:sz w:val="18"/>
          <w:szCs w:val="24"/>
        </w:rPr>
        <w:t>, P98.</w:t>
      </w:r>
    </w:p>
    <w:p>
      <w:pPr>
        <w:widowControl w:val="0"/>
        <w:autoSpaceDE w:val="0"/>
        <w:autoSpaceDN w:val="0"/>
        <w:adjustRightInd w:val="0"/>
        <w:spacing w:line="240" w:lineRule="atLeast"/>
        <w:rPr>
          <w:rFonts w:eastAsiaTheme="minorEastAsia"/>
        </w:rPr>
      </w:pPr>
      <w:r>
        <w:fldChar w:fldCharType="end"/>
      </w:r>
      <w:bookmarkStart w:id="2" w:name="OLE_LINK3"/>
      <w:r>
        <w:rPr>
          <w:rFonts w:ascii="Palatino Linotype" w:hAnsi="Palatino Linotype"/>
          <w:snapToGrid w:val="0"/>
          <w:sz w:val="18"/>
          <w:szCs w:val="18"/>
          <w:lang w:eastAsia="en-US"/>
        </w:rPr>
        <w:drawing>
          <wp:anchor distT="0" distB="0" distL="114300" distR="114300" simplePos="0" relativeHeight="251659264" behindDoc="1" locked="0" layoutInCell="1" allowOverlap="1">
            <wp:simplePos x="0" y="0"/>
            <wp:positionH relativeFrom="margin">
              <wp:align>left</wp:align>
            </wp:positionH>
            <wp:positionV relativeFrom="paragraph">
              <wp:posOffset>205740</wp:posOffset>
            </wp:positionV>
            <wp:extent cx="1000760" cy="360045"/>
            <wp:effectExtent l="0" t="0" r="0" b="2540"/>
            <wp:wrapTight wrapText="bothSides">
              <wp:wrapPolygon>
                <wp:start x="0" y="0"/>
                <wp:lineTo x="0" y="20608"/>
                <wp:lineTo x="20970" y="20608"/>
                <wp:lineTo x="20970" y="0"/>
                <wp:lineTo x="0" y="0"/>
              </wp:wrapPolygon>
            </wp:wrapTight>
            <wp:docPr id="4"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documents\layout\new template June 2014\figures\CC-BY logo original v1.wmf"/>
                    <pic:cNvPicPr>
                      <a:picLocks noChangeAspect="1" noChangeArrowheads="1"/>
                    </pic:cNvPicPr>
                  </pic:nvPicPr>
                  <pic:blipFill>
                    <a:blip r:embed="rId11" cstate="print">
                      <a:extLst>
                        <a:ext uri="{28A0092B-C50C-407E-A947-70E740481C1C}">
                          <a14:useLocalDpi xmlns:a14="http://schemas.microsoft.com/office/drawing/2010/main" val="0"/>
                        </a:ext>
                      </a:extLst>
                    </a:blip>
                    <a:srcRect l="2530" r="1488"/>
                    <a:stretch>
                      <a:fillRect/>
                    </a:stretch>
                  </pic:blipFill>
                  <pic:spPr>
                    <a:xfrm>
                      <a:off x="0" y="0"/>
                      <a:ext cx="1000800" cy="360000"/>
                    </a:xfrm>
                    <a:prstGeom prst="rect">
                      <a:avLst/>
                    </a:prstGeom>
                    <a:noFill/>
                    <a:ln>
                      <a:noFill/>
                    </a:ln>
                  </pic:spPr>
                </pic:pic>
              </a:graphicData>
            </a:graphic>
          </wp:anchor>
        </w:drawing>
      </w:r>
      <w:r>
        <w:rPr>
          <w:rFonts w:ascii="Palatino Linotype" w:hAnsi="Palatino Linotype"/>
          <w:snapToGrid w:val="0"/>
          <w:sz w:val="18"/>
          <w:szCs w:val="18"/>
          <w:lang w:bidi="en-US"/>
        </w:rPr>
        <w:t>© 201</w:t>
      </w:r>
      <w:r>
        <w:rPr>
          <w:rFonts w:ascii="Palatino Linotype" w:hAnsi="Palatino Linotype" w:eastAsia="SimSun"/>
          <w:snapToGrid w:val="0"/>
          <w:sz w:val="18"/>
          <w:szCs w:val="18"/>
          <w:lang w:eastAsia="zh-CN" w:bidi="en-US"/>
        </w:rPr>
        <w:t>6</w:t>
      </w:r>
      <w:r>
        <w:rPr>
          <w:rFonts w:ascii="Palatino Linotype" w:hAnsi="Palatino Linotype"/>
          <w:snapToGrid w:val="0"/>
          <w:sz w:val="18"/>
          <w:szCs w:val="18"/>
          <w:lang w:bidi="en-US"/>
        </w:rPr>
        <w:t xml:space="preserve"> by the authors. Submitted for possible open access publication under the </w:t>
      </w:r>
      <w:r>
        <w:rPr>
          <w:rFonts w:ascii="Palatino Linotype" w:hAnsi="Palatino Linotype"/>
          <w:snapToGrid w:val="0"/>
          <w:sz w:val="18"/>
          <w:szCs w:val="18"/>
          <w:lang w:bidi="en-US"/>
        </w:rPr>
        <w:br w:type="textWrapping"/>
      </w:r>
      <w:r>
        <w:rPr>
          <w:rFonts w:ascii="Palatino Linotype" w:hAnsi="Palatino Linotype"/>
          <w:snapToGrid w:val="0"/>
          <w:sz w:val="18"/>
          <w:szCs w:val="18"/>
          <w:lang w:bidi="en-US"/>
        </w:rPr>
        <w:t>terms and conditions of the Creative Commons Attribution (CC-BY) license (http://creativecommons.org/licenses/by/4.0/).</w:t>
      </w:r>
      <w:bookmarkEnd w:id="2"/>
    </w:p>
    <w:sectPr>
      <w:headerReference r:id="rId5" w:type="first"/>
      <w:footerReference r:id="rId7" w:type="first"/>
      <w:headerReference r:id="rId3" w:type="default"/>
      <w:footerReference r:id="rId6" w:type="default"/>
      <w:headerReference r:id="rId4" w:type="even"/>
      <w:type w:val="continuous"/>
      <w:pgSz w:w="11906" w:h="16838"/>
      <w:pgMar w:top="1417" w:right="1531" w:bottom="1077" w:left="1531" w:header="1020" w:footer="850" w:gutter="0"/>
      <w:lnNumType w:countBy="1" w:restart="continuous"/>
      <w:pgNumType w:start="1"/>
      <w:cols w:space="425" w:num="1"/>
      <w:titlePg/>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Symbol">
    <w:panose1 w:val="05050102010706020507"/>
    <w:charset w:val="02"/>
    <w:family w:val="roman"/>
    <w:pitch w:val="default"/>
    <w:sig w:usb0="00000000" w:usb1="00000000" w:usb2="00000000" w:usb3="00000000" w:csb0="80000000" w:csb1="00000000"/>
  </w:font>
  <w:font w:name="Palatino Linotype">
    <w:panose1 w:val="02040502050505030304"/>
    <w:charset w:val="00"/>
    <w:family w:val="roman"/>
    <w:pitch w:val="default"/>
    <w:sig w:usb0="E0000287" w:usb1="40000013" w:usb2="00000000" w:usb3="00000000" w:csb0="2000019F" w:csb1="00000000"/>
  </w:font>
  <w:font w:name="Minion Pro">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i/>
      </w:rPr>
      <w:id w:val="1717389558"/>
    </w:sdtPr>
    <w:sdtEndPr>
      <w:rPr>
        <w:i w:val="0"/>
      </w:rPr>
    </w:sdtEndPr>
    <w:sdtContent>
      <w:p>
        <w:pPr>
          <w:pStyle w:val="148"/>
          <w:rPr>
            <w:lang w:val="fr-CH"/>
          </w:rPr>
        </w:pPr>
        <w:r>
          <w:rPr>
            <w:i/>
            <w:iCs/>
            <w:lang w:val="fr-CH"/>
          </w:rPr>
          <w:t>Int. J. Mol. Sci.</w:t>
        </w:r>
        <w:r>
          <w:rPr>
            <w:i/>
            <w:lang w:val="fr-CH"/>
          </w:rPr>
          <w:t xml:space="preserve"> </w:t>
        </w:r>
        <w:r>
          <w:rPr>
            <w:b/>
            <w:iCs/>
            <w:lang w:val="fr-CH"/>
          </w:rPr>
          <w:t>201</w:t>
        </w:r>
        <w:r>
          <w:rPr>
            <w:rFonts w:eastAsia="SimSun"/>
            <w:b/>
            <w:iCs/>
            <w:lang w:val="fr-CH" w:eastAsia="zh-CN"/>
          </w:rPr>
          <w:t>6</w:t>
        </w:r>
        <w:r>
          <w:rPr>
            <w:iCs/>
            <w:lang w:val="fr-CH"/>
          </w:rPr>
          <w:t>,</w:t>
        </w:r>
        <w:r>
          <w:rPr>
            <w:i/>
            <w:lang w:val="fr-CH"/>
          </w:rPr>
          <w:t xml:space="preserve"> 1</w:t>
        </w:r>
        <w:r>
          <w:rPr>
            <w:rFonts w:eastAsia="SimSun"/>
            <w:i/>
            <w:lang w:val="fr-CH" w:eastAsia="zh-CN"/>
          </w:rPr>
          <w:t>7</w:t>
        </w:r>
        <w:r>
          <w:rPr>
            <w:rFonts w:eastAsia="SimSun"/>
            <w:lang w:eastAsia="zh-CN"/>
          </w:rPr>
          <w:t>,</w:t>
        </w:r>
        <w:r>
          <w:rPr>
            <w:lang w:val="fr-CH"/>
          </w:rPr>
          <w:t xml:space="preserve"> x; doi:10.3390/</w:t>
        </w:r>
        <w:r>
          <w:rPr>
            <w:lang w:val="fr-CH"/>
          </w:rPr>
          <w:tab/>
        </w:r>
        <w:r>
          <w:rPr>
            <w:lang w:val="fr-CH"/>
          </w:rPr>
          <w:t>www.mdpi.com/journal/</w:t>
        </w:r>
        <w:r>
          <w:t>ijms</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spacing w:after="240" w:line="240" w:lineRule="auto"/>
      <w:rPr>
        <w:rFonts w:ascii="Palatino Linotype" w:hAnsi="Palatino Linotype"/>
        <w:sz w:val="16"/>
      </w:rPr>
    </w:pPr>
    <w:r>
      <w:rPr>
        <w:rFonts w:ascii="Palatino Linotype" w:hAnsi="Palatino Linotype"/>
        <w:i/>
        <w:sz w:val="16"/>
      </w:rPr>
      <w:t xml:space="preserve">Int. J. Mol. Sci. </w:t>
    </w:r>
    <w:r>
      <w:rPr>
        <w:rFonts w:ascii="Palatino Linotype" w:hAnsi="Palatino Linotype"/>
        <w:b/>
        <w:sz w:val="16"/>
      </w:rPr>
      <w:t>2016</w:t>
    </w:r>
    <w:r>
      <w:rPr>
        <w:rFonts w:ascii="Palatino Linotype" w:hAnsi="Palatino Linotype"/>
        <w:sz w:val="16"/>
      </w:rPr>
      <w:t xml:space="preserve">, </w:t>
    </w:r>
    <w:r>
      <w:rPr>
        <w:rFonts w:ascii="Palatino Linotype" w:hAnsi="Palatino Linotype"/>
        <w:i/>
        <w:sz w:val="16"/>
      </w:rPr>
      <w:t>17</w:t>
    </w:r>
    <w:r>
      <w:rPr>
        <w:rFonts w:ascii="Palatino Linotype" w:hAnsi="Palatino Linotype"/>
        <w:sz w:val="16"/>
      </w:rPr>
      <w:t>, x</w:t>
    </w:r>
    <w:r>
      <w:rPr>
        <w:rFonts w:ascii="Palatino Linotype" w:hAnsi="Palatino Linotype"/>
        <w:sz w:val="16"/>
      </w:rPr>
      <w:ptab w:relativeTo="margin" w:alignment="right" w:leader="none"/>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Pr>
        <w:rFonts w:ascii="Palatino Linotype" w:hAnsi="Palatino Linotype"/>
        <w:sz w:val="16"/>
      </w:rPr>
      <w:t>4</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Pr>
        <w:rFonts w:ascii="Palatino Linotype" w:hAnsi="Palatino Linotype"/>
        <w:sz w:val="16"/>
      </w:rPr>
      <w:t>15</w:t>
    </w:r>
    <w:r>
      <w:rPr>
        <w:rFonts w:ascii="Palatino Linotype" w:hAnsi="Palatino Linotype"/>
        <w:sz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0"/>
    </w:pPr>
    <w:r>
      <w:rPr>
        <w:i w:val="0"/>
        <w:szCs w:val="16"/>
        <w:lang w:eastAsia="en-US"/>
      </w:rPr>
      <mc:AlternateContent>
        <mc:Choice Requires="wps">
          <w:drawing>
            <wp:anchor distT="45720" distB="45720" distL="114300" distR="114300" simplePos="0" relativeHeight="251658240" behindDoc="1" locked="0" layoutInCell="1" allowOverlap="1">
              <wp:simplePos x="0" y="0"/>
              <wp:positionH relativeFrom="rightMargin">
                <wp:posOffset>-558165</wp:posOffset>
              </wp:positionH>
              <wp:positionV relativeFrom="paragraph">
                <wp:posOffset>0</wp:posOffset>
              </wp:positionV>
              <wp:extent cx="553085" cy="709295"/>
              <wp:effectExtent l="0" t="0" r="9525" b="0"/>
              <wp:wrapNone/>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553085" cy="709295"/>
                      </a:xfrm>
                      <a:prstGeom prst="rect">
                        <a:avLst/>
                      </a:prstGeom>
                      <a:solidFill>
                        <a:srgbClr val="FFFFFF"/>
                      </a:solidFill>
                      <a:ln w="9525">
                        <a:noFill/>
                        <a:miter lim="800000"/>
                      </a:ln>
                    </wps:spPr>
                    <wps:txbx>
                      <w:txbxContent>
                        <w:p>
                          <w:pPr>
                            <w:pStyle w:val="120"/>
                            <w:jc w:val="center"/>
                            <w:rPr>
                              <w:i w:val="0"/>
                              <w:szCs w:val="16"/>
                            </w:rPr>
                          </w:pPr>
                          <w:r>
                            <w:rPr>
                              <w:i w:val="0"/>
                              <w:szCs w:val="16"/>
                              <w:lang w:eastAsia="en-US"/>
                            </w:rPr>
                            <w:drawing>
                              <wp:inline distT="0" distB="0" distL="0" distR="0">
                                <wp:extent cx="546100" cy="359410"/>
                                <wp:effectExtent l="0" t="0" r="6350" b="254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46216" cy="360000"/>
                                        </a:xfrm>
                                        <a:prstGeom prst="rect">
                                          <a:avLst/>
                                        </a:prstGeom>
                                        <a:noFill/>
                                        <a:ln>
                                          <a:noFill/>
                                        </a:ln>
                                      </pic:spPr>
                                    </pic:pic>
                                  </a:graphicData>
                                </a:graphic>
                              </wp:inline>
                            </w:drawing>
                          </w:r>
                        </w:p>
                      </w:txbxContent>
                    </wps:txbx>
                    <wps:bodyPr rot="0" vert="horz" wrap="none" lIns="0" tIns="0" rIns="0" bIns="0" anchor="t" anchorCtr="0">
                      <a:noAutofit/>
                    </wps:bodyPr>
                  </wps:wsp>
                </a:graphicData>
              </a:graphic>
            </wp:anchor>
          </w:drawing>
        </mc:Choice>
        <mc:Fallback>
          <w:pict>
            <v:shape id="Text Box 2" o:spid="_x0000_s1026" o:spt="202" type="#_x0000_t202" style="position:absolute;left:0pt;margin-left:474.8pt;margin-top:51pt;height:55.85pt;width:43.55pt;mso-position-horizontal-relative:page;mso-position-vertical-relative:page;mso-wrap-style:none;z-index:-251658240;mso-width-relative:page;mso-height-relative:page;" fillcolor="#FFFFFF" filled="t" stroked="f" coordsize="21600,21600" o:gfxdata="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6nxR80wAAAAYBAAAPAAAAAAAAAAEAIAAAACIAAABkcnMvZG93bnJl&#10;di54bWxQSwECFAAUAAAACACHTuJA6lhd1wICAADyAwAADgAAAAAAAAABACAAAAAiAQAAZHJzL2Uy&#10;b0RvYy54bWxQSwUGAAAAAAYABgBZAQAAlgUAAAAA&#10;">
              <v:fill on="t" focussize="0,0"/>
              <v:stroke on="f" miterlimit="8" joinstyle="miter"/>
              <v:imagedata o:title=""/>
              <o:lock v:ext="edit" aspectratio="f"/>
              <v:textbox inset="0mm,0mm,0mm,0mm">
                <w:txbxContent>
                  <w:p>
                    <w:pPr>
                      <w:pStyle w:val="120"/>
                      <w:jc w:val="center"/>
                      <w:rPr>
                        <w:i w:val="0"/>
                        <w:szCs w:val="16"/>
                      </w:rPr>
                    </w:pPr>
                    <w:r>
                      <w:rPr>
                        <w:i w:val="0"/>
                        <w:szCs w:val="16"/>
                        <w:lang w:eastAsia="en-US"/>
                      </w:rPr>
                      <w:drawing>
                        <wp:inline distT="0" distB="0" distL="0" distR="0">
                          <wp:extent cx="546100" cy="359410"/>
                          <wp:effectExtent l="0" t="0" r="6350" b="2540"/>
                          <wp:docPr id="6"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46216" cy="360000"/>
                                  </a:xfrm>
                                  <a:prstGeom prst="rect">
                                    <a:avLst/>
                                  </a:prstGeom>
                                  <a:noFill/>
                                  <a:ln>
                                    <a:noFill/>
                                  </a:ln>
                                </pic:spPr>
                              </pic:pic>
                            </a:graphicData>
                          </a:graphic>
                        </wp:inline>
                      </w:drawing>
                    </w:r>
                  </w:p>
                </w:txbxContent>
              </v:textbox>
            </v:shape>
          </w:pict>
        </mc:Fallback>
      </mc:AlternateContent>
    </w:r>
    <w:r>
      <w:rPr>
        <w:lang w:eastAsia="en-US"/>
      </w:rPr>
      <w:drawing>
        <wp:inline distT="0" distB="0" distL="0" distR="0">
          <wp:extent cx="1669415" cy="436245"/>
          <wp:effectExtent l="0" t="0" r="6985" b="1905"/>
          <wp:docPr id="3" name="Picture 3" descr="C:\Users\home\Desktop\logos\ijm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home\Desktop\logos\ijms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669415" cy="43624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0A245F"/>
    <w:multiLevelType w:val="multilevel"/>
    <w:tmpl w:val="250A245F"/>
    <w:lvl w:ilvl="0" w:tentative="0">
      <w:start w:val="1"/>
      <w:numFmt w:val="decimal"/>
      <w:pStyle w:val="143"/>
      <w:lvlText w:val="%1."/>
      <w:lvlJc w:val="left"/>
      <w:pPr>
        <w:ind w:left="780" w:hanging="4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805051C"/>
    <w:multiLevelType w:val="multilevel"/>
    <w:tmpl w:val="2805051C"/>
    <w:lvl w:ilvl="0" w:tentative="0">
      <w:start w:val="1"/>
      <w:numFmt w:val="decimal"/>
      <w:pStyle w:val="130"/>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2">
    <w:nsid w:val="369A6535"/>
    <w:multiLevelType w:val="multilevel"/>
    <w:tmpl w:val="369A6535"/>
    <w:lvl w:ilvl="0" w:tentative="0">
      <w:start w:val="1"/>
      <w:numFmt w:val="bullet"/>
      <w:pStyle w:val="131"/>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3">
    <w:nsid w:val="430B505B"/>
    <w:multiLevelType w:val="multilevel"/>
    <w:tmpl w:val="430B505B"/>
    <w:lvl w:ilvl="0" w:tentative="0">
      <w:start w:val="1"/>
      <w:numFmt w:val="decimal"/>
      <w:pStyle w:val="55"/>
      <w:lvlText w:val="%1."/>
      <w:lvlJc w:val="left"/>
      <w:pPr>
        <w:ind w:left="782" w:hanging="425"/>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673C370A"/>
    <w:multiLevelType w:val="multilevel"/>
    <w:tmpl w:val="673C370A"/>
    <w:lvl w:ilvl="0" w:tentative="0">
      <w:start w:val="1"/>
      <w:numFmt w:val="bullet"/>
      <w:pStyle w:val="67"/>
      <w:lvlText w:val=""/>
      <w:lvlJc w:val="left"/>
      <w:pPr>
        <w:ind w:left="1429" w:hanging="357"/>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5">
    <w:nsid w:val="6DB20A64"/>
    <w:multiLevelType w:val="multilevel"/>
    <w:tmpl w:val="6DB20A64"/>
    <w:lvl w:ilvl="0" w:tentative="0">
      <w:start w:val="1"/>
      <w:numFmt w:val="decimal"/>
      <w:pStyle w:val="72"/>
      <w:lvlText w:val="%1."/>
      <w:lvlJc w:val="left"/>
      <w:pPr>
        <w:ind w:left="1429" w:hanging="357"/>
      </w:pPr>
      <w:rPr>
        <w:rFonts w:hint="eastAsia"/>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attachedTemplate r:id="rId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9A0"/>
    <w:rsid w:val="00000637"/>
    <w:rsid w:val="000006F8"/>
    <w:rsid w:val="00001CE4"/>
    <w:rsid w:val="000046B6"/>
    <w:rsid w:val="00004BA7"/>
    <w:rsid w:val="00005FC2"/>
    <w:rsid w:val="00011BC3"/>
    <w:rsid w:val="0001283B"/>
    <w:rsid w:val="00016982"/>
    <w:rsid w:val="0002090C"/>
    <w:rsid w:val="00024621"/>
    <w:rsid w:val="0002467B"/>
    <w:rsid w:val="00025C56"/>
    <w:rsid w:val="00025DE8"/>
    <w:rsid w:val="000319B8"/>
    <w:rsid w:val="0003351A"/>
    <w:rsid w:val="00034840"/>
    <w:rsid w:val="00034BF8"/>
    <w:rsid w:val="00035474"/>
    <w:rsid w:val="000361F7"/>
    <w:rsid w:val="00037F00"/>
    <w:rsid w:val="00041A10"/>
    <w:rsid w:val="0004245C"/>
    <w:rsid w:val="00042C12"/>
    <w:rsid w:val="000439F3"/>
    <w:rsid w:val="00043F91"/>
    <w:rsid w:val="00044417"/>
    <w:rsid w:val="0004473F"/>
    <w:rsid w:val="00045898"/>
    <w:rsid w:val="00050716"/>
    <w:rsid w:val="00050C65"/>
    <w:rsid w:val="000520E3"/>
    <w:rsid w:val="000551E0"/>
    <w:rsid w:val="000562B9"/>
    <w:rsid w:val="0005672D"/>
    <w:rsid w:val="00056DBB"/>
    <w:rsid w:val="000578BD"/>
    <w:rsid w:val="000602E4"/>
    <w:rsid w:val="000605CD"/>
    <w:rsid w:val="0006467F"/>
    <w:rsid w:val="00066F82"/>
    <w:rsid w:val="00071D03"/>
    <w:rsid w:val="00073BD9"/>
    <w:rsid w:val="00077A9D"/>
    <w:rsid w:val="00082A09"/>
    <w:rsid w:val="00082D78"/>
    <w:rsid w:val="000833FA"/>
    <w:rsid w:val="000848F9"/>
    <w:rsid w:val="00094176"/>
    <w:rsid w:val="000963B4"/>
    <w:rsid w:val="0009786D"/>
    <w:rsid w:val="000A0E49"/>
    <w:rsid w:val="000A0F29"/>
    <w:rsid w:val="000A3155"/>
    <w:rsid w:val="000A411D"/>
    <w:rsid w:val="000A45A9"/>
    <w:rsid w:val="000A5FAE"/>
    <w:rsid w:val="000B05D0"/>
    <w:rsid w:val="000B15B5"/>
    <w:rsid w:val="000B38AC"/>
    <w:rsid w:val="000B529D"/>
    <w:rsid w:val="000B5482"/>
    <w:rsid w:val="000B7EF6"/>
    <w:rsid w:val="000C299D"/>
    <w:rsid w:val="000C4A82"/>
    <w:rsid w:val="000C4B5D"/>
    <w:rsid w:val="000C4FB6"/>
    <w:rsid w:val="000D0745"/>
    <w:rsid w:val="000D0874"/>
    <w:rsid w:val="000D093A"/>
    <w:rsid w:val="000D166F"/>
    <w:rsid w:val="000D2842"/>
    <w:rsid w:val="000D2F06"/>
    <w:rsid w:val="000D5554"/>
    <w:rsid w:val="000D564E"/>
    <w:rsid w:val="000E08FD"/>
    <w:rsid w:val="000E35FE"/>
    <w:rsid w:val="000E37D1"/>
    <w:rsid w:val="000E4889"/>
    <w:rsid w:val="000E7A5D"/>
    <w:rsid w:val="000F0E85"/>
    <w:rsid w:val="000F0F9F"/>
    <w:rsid w:val="000F4E0E"/>
    <w:rsid w:val="00100FE2"/>
    <w:rsid w:val="00103634"/>
    <w:rsid w:val="001049E8"/>
    <w:rsid w:val="001129BC"/>
    <w:rsid w:val="001170CF"/>
    <w:rsid w:val="0011779E"/>
    <w:rsid w:val="0012125D"/>
    <w:rsid w:val="00123691"/>
    <w:rsid w:val="00124285"/>
    <w:rsid w:val="0012462F"/>
    <w:rsid w:val="001268A0"/>
    <w:rsid w:val="00127B58"/>
    <w:rsid w:val="00130F88"/>
    <w:rsid w:val="00131E4C"/>
    <w:rsid w:val="00131F3D"/>
    <w:rsid w:val="001352B6"/>
    <w:rsid w:val="00135C14"/>
    <w:rsid w:val="00140A39"/>
    <w:rsid w:val="0014158B"/>
    <w:rsid w:val="0014236B"/>
    <w:rsid w:val="00143181"/>
    <w:rsid w:val="00144660"/>
    <w:rsid w:val="00144DC5"/>
    <w:rsid w:val="00144E54"/>
    <w:rsid w:val="00145F5A"/>
    <w:rsid w:val="00150342"/>
    <w:rsid w:val="00151E48"/>
    <w:rsid w:val="00152F85"/>
    <w:rsid w:val="00155401"/>
    <w:rsid w:val="00156006"/>
    <w:rsid w:val="00160C50"/>
    <w:rsid w:val="0016263E"/>
    <w:rsid w:val="001632F9"/>
    <w:rsid w:val="00163372"/>
    <w:rsid w:val="00163ED6"/>
    <w:rsid w:val="00165883"/>
    <w:rsid w:val="00165A01"/>
    <w:rsid w:val="001665A2"/>
    <w:rsid w:val="0016702F"/>
    <w:rsid w:val="001732EE"/>
    <w:rsid w:val="001739FB"/>
    <w:rsid w:val="00173FC0"/>
    <w:rsid w:val="001763AE"/>
    <w:rsid w:val="00176BBA"/>
    <w:rsid w:val="00176DC5"/>
    <w:rsid w:val="00176E73"/>
    <w:rsid w:val="0017709E"/>
    <w:rsid w:val="001812DE"/>
    <w:rsid w:val="00184B65"/>
    <w:rsid w:val="00184ECF"/>
    <w:rsid w:val="001854A7"/>
    <w:rsid w:val="00192141"/>
    <w:rsid w:val="001929BE"/>
    <w:rsid w:val="00193EBD"/>
    <w:rsid w:val="00194DCB"/>
    <w:rsid w:val="001A0D5B"/>
    <w:rsid w:val="001A103B"/>
    <w:rsid w:val="001A3926"/>
    <w:rsid w:val="001A4A0E"/>
    <w:rsid w:val="001A7D08"/>
    <w:rsid w:val="001B09F9"/>
    <w:rsid w:val="001B22D3"/>
    <w:rsid w:val="001B2654"/>
    <w:rsid w:val="001B2E32"/>
    <w:rsid w:val="001B396D"/>
    <w:rsid w:val="001B3A0F"/>
    <w:rsid w:val="001B446E"/>
    <w:rsid w:val="001C0136"/>
    <w:rsid w:val="001C2A2E"/>
    <w:rsid w:val="001C3B86"/>
    <w:rsid w:val="001C6374"/>
    <w:rsid w:val="001D0A2E"/>
    <w:rsid w:val="001D0BD8"/>
    <w:rsid w:val="001D4C88"/>
    <w:rsid w:val="001D4CBF"/>
    <w:rsid w:val="001D5C83"/>
    <w:rsid w:val="001D5CB0"/>
    <w:rsid w:val="001D7118"/>
    <w:rsid w:val="001D7351"/>
    <w:rsid w:val="001E0BFA"/>
    <w:rsid w:val="001E26BA"/>
    <w:rsid w:val="001E3DBC"/>
    <w:rsid w:val="001F2913"/>
    <w:rsid w:val="001F45A9"/>
    <w:rsid w:val="001F55DC"/>
    <w:rsid w:val="001F5A4A"/>
    <w:rsid w:val="0020147D"/>
    <w:rsid w:val="002021CF"/>
    <w:rsid w:val="002026F5"/>
    <w:rsid w:val="00206B4D"/>
    <w:rsid w:val="0021202D"/>
    <w:rsid w:val="00214190"/>
    <w:rsid w:val="00216FA9"/>
    <w:rsid w:val="00220209"/>
    <w:rsid w:val="002220D5"/>
    <w:rsid w:val="00223A64"/>
    <w:rsid w:val="00225217"/>
    <w:rsid w:val="00225F3F"/>
    <w:rsid w:val="00226AB1"/>
    <w:rsid w:val="00233B7B"/>
    <w:rsid w:val="00234505"/>
    <w:rsid w:val="00235077"/>
    <w:rsid w:val="002352B6"/>
    <w:rsid w:val="00235973"/>
    <w:rsid w:val="00236969"/>
    <w:rsid w:val="00236C0D"/>
    <w:rsid w:val="00236D35"/>
    <w:rsid w:val="00236F94"/>
    <w:rsid w:val="0023751F"/>
    <w:rsid w:val="00237EDD"/>
    <w:rsid w:val="0024084D"/>
    <w:rsid w:val="00240C8C"/>
    <w:rsid w:val="00241C14"/>
    <w:rsid w:val="002434C9"/>
    <w:rsid w:val="00246CE0"/>
    <w:rsid w:val="0025127B"/>
    <w:rsid w:val="00251811"/>
    <w:rsid w:val="0025232D"/>
    <w:rsid w:val="00252515"/>
    <w:rsid w:val="0025259B"/>
    <w:rsid w:val="00252BD9"/>
    <w:rsid w:val="00253193"/>
    <w:rsid w:val="00255555"/>
    <w:rsid w:val="00255B5C"/>
    <w:rsid w:val="00257403"/>
    <w:rsid w:val="0025777F"/>
    <w:rsid w:val="00261B77"/>
    <w:rsid w:val="00263890"/>
    <w:rsid w:val="0026479E"/>
    <w:rsid w:val="0026616A"/>
    <w:rsid w:val="002665A2"/>
    <w:rsid w:val="00270CB4"/>
    <w:rsid w:val="00271978"/>
    <w:rsid w:val="00272574"/>
    <w:rsid w:val="00273440"/>
    <w:rsid w:val="0027513B"/>
    <w:rsid w:val="0027593D"/>
    <w:rsid w:val="00275F7E"/>
    <w:rsid w:val="00276B71"/>
    <w:rsid w:val="0027713B"/>
    <w:rsid w:val="002813F6"/>
    <w:rsid w:val="00284C0A"/>
    <w:rsid w:val="00285954"/>
    <w:rsid w:val="0028727D"/>
    <w:rsid w:val="002915B6"/>
    <w:rsid w:val="00291C85"/>
    <w:rsid w:val="0029287A"/>
    <w:rsid w:val="00294C2F"/>
    <w:rsid w:val="0029628E"/>
    <w:rsid w:val="00296EB7"/>
    <w:rsid w:val="002A31E4"/>
    <w:rsid w:val="002A66E9"/>
    <w:rsid w:val="002B0BCA"/>
    <w:rsid w:val="002B37F5"/>
    <w:rsid w:val="002B4981"/>
    <w:rsid w:val="002B75A2"/>
    <w:rsid w:val="002B7893"/>
    <w:rsid w:val="002C0E6A"/>
    <w:rsid w:val="002C28DD"/>
    <w:rsid w:val="002C300A"/>
    <w:rsid w:val="002C5045"/>
    <w:rsid w:val="002C6C5F"/>
    <w:rsid w:val="002C7423"/>
    <w:rsid w:val="002C7CEB"/>
    <w:rsid w:val="002D0834"/>
    <w:rsid w:val="002D2055"/>
    <w:rsid w:val="002D358D"/>
    <w:rsid w:val="002D476D"/>
    <w:rsid w:val="002D4F9D"/>
    <w:rsid w:val="002D7EB2"/>
    <w:rsid w:val="002E0B8D"/>
    <w:rsid w:val="002E11AF"/>
    <w:rsid w:val="002E1F9C"/>
    <w:rsid w:val="002E2696"/>
    <w:rsid w:val="002E39F3"/>
    <w:rsid w:val="002E45FF"/>
    <w:rsid w:val="002E4AE9"/>
    <w:rsid w:val="002E59FA"/>
    <w:rsid w:val="002E699F"/>
    <w:rsid w:val="002F0022"/>
    <w:rsid w:val="002F13C6"/>
    <w:rsid w:val="002F1F90"/>
    <w:rsid w:val="002F30E0"/>
    <w:rsid w:val="002F3A40"/>
    <w:rsid w:val="002F46EF"/>
    <w:rsid w:val="002F6006"/>
    <w:rsid w:val="002F667B"/>
    <w:rsid w:val="002F6728"/>
    <w:rsid w:val="002F6FC8"/>
    <w:rsid w:val="00300F39"/>
    <w:rsid w:val="0030282D"/>
    <w:rsid w:val="0030286C"/>
    <w:rsid w:val="0030379B"/>
    <w:rsid w:val="003053D7"/>
    <w:rsid w:val="00305668"/>
    <w:rsid w:val="003066AC"/>
    <w:rsid w:val="00306771"/>
    <w:rsid w:val="0030792C"/>
    <w:rsid w:val="00307DAD"/>
    <w:rsid w:val="00312F5B"/>
    <w:rsid w:val="0031308C"/>
    <w:rsid w:val="0031392A"/>
    <w:rsid w:val="0031640F"/>
    <w:rsid w:val="003167AC"/>
    <w:rsid w:val="0032250E"/>
    <w:rsid w:val="00322580"/>
    <w:rsid w:val="003229FD"/>
    <w:rsid w:val="003246E2"/>
    <w:rsid w:val="0032589B"/>
    <w:rsid w:val="003260DD"/>
    <w:rsid w:val="0033124F"/>
    <w:rsid w:val="0033164F"/>
    <w:rsid w:val="003324BC"/>
    <w:rsid w:val="00333C2D"/>
    <w:rsid w:val="003352F1"/>
    <w:rsid w:val="00336080"/>
    <w:rsid w:val="00336BEA"/>
    <w:rsid w:val="003379F5"/>
    <w:rsid w:val="00340477"/>
    <w:rsid w:val="00341638"/>
    <w:rsid w:val="00341815"/>
    <w:rsid w:val="00344684"/>
    <w:rsid w:val="00344DFE"/>
    <w:rsid w:val="00346A68"/>
    <w:rsid w:val="00346B1B"/>
    <w:rsid w:val="00347596"/>
    <w:rsid w:val="00352D55"/>
    <w:rsid w:val="0035313A"/>
    <w:rsid w:val="0035340A"/>
    <w:rsid w:val="00353B41"/>
    <w:rsid w:val="0035469E"/>
    <w:rsid w:val="0035521D"/>
    <w:rsid w:val="00357207"/>
    <w:rsid w:val="00363D81"/>
    <w:rsid w:val="00367166"/>
    <w:rsid w:val="00367343"/>
    <w:rsid w:val="003675B2"/>
    <w:rsid w:val="00367C05"/>
    <w:rsid w:val="00370569"/>
    <w:rsid w:val="003709EC"/>
    <w:rsid w:val="003732D8"/>
    <w:rsid w:val="00373D16"/>
    <w:rsid w:val="00373F32"/>
    <w:rsid w:val="00374898"/>
    <w:rsid w:val="00376FA1"/>
    <w:rsid w:val="00377FF2"/>
    <w:rsid w:val="00381C2D"/>
    <w:rsid w:val="00381D89"/>
    <w:rsid w:val="00381FC4"/>
    <w:rsid w:val="003835CE"/>
    <w:rsid w:val="003855CF"/>
    <w:rsid w:val="003902E6"/>
    <w:rsid w:val="00391035"/>
    <w:rsid w:val="003911F6"/>
    <w:rsid w:val="00391F71"/>
    <w:rsid w:val="003938E0"/>
    <w:rsid w:val="00394742"/>
    <w:rsid w:val="003A0FDD"/>
    <w:rsid w:val="003A116E"/>
    <w:rsid w:val="003A1FCC"/>
    <w:rsid w:val="003A2168"/>
    <w:rsid w:val="003A3F7E"/>
    <w:rsid w:val="003A445F"/>
    <w:rsid w:val="003A4FD3"/>
    <w:rsid w:val="003B2A22"/>
    <w:rsid w:val="003B3A7C"/>
    <w:rsid w:val="003B4E63"/>
    <w:rsid w:val="003B559A"/>
    <w:rsid w:val="003B65E3"/>
    <w:rsid w:val="003C014C"/>
    <w:rsid w:val="003C245C"/>
    <w:rsid w:val="003C2C26"/>
    <w:rsid w:val="003C4A20"/>
    <w:rsid w:val="003C4AAF"/>
    <w:rsid w:val="003C53DC"/>
    <w:rsid w:val="003C7C01"/>
    <w:rsid w:val="003D1BCF"/>
    <w:rsid w:val="003D2888"/>
    <w:rsid w:val="003D2BC8"/>
    <w:rsid w:val="003D6836"/>
    <w:rsid w:val="003D6DF8"/>
    <w:rsid w:val="003D740F"/>
    <w:rsid w:val="003E08EB"/>
    <w:rsid w:val="003E0C56"/>
    <w:rsid w:val="003E14E1"/>
    <w:rsid w:val="003E2B81"/>
    <w:rsid w:val="003E5F91"/>
    <w:rsid w:val="003E68A1"/>
    <w:rsid w:val="003F0471"/>
    <w:rsid w:val="003F21C8"/>
    <w:rsid w:val="003F2876"/>
    <w:rsid w:val="003F35A6"/>
    <w:rsid w:val="003F368E"/>
    <w:rsid w:val="003F4AE6"/>
    <w:rsid w:val="003F6004"/>
    <w:rsid w:val="003F6831"/>
    <w:rsid w:val="003F693E"/>
    <w:rsid w:val="003F7403"/>
    <w:rsid w:val="00400EDD"/>
    <w:rsid w:val="00401EA0"/>
    <w:rsid w:val="0040655F"/>
    <w:rsid w:val="00407752"/>
    <w:rsid w:val="00411667"/>
    <w:rsid w:val="004123C0"/>
    <w:rsid w:val="00412F36"/>
    <w:rsid w:val="00412FD3"/>
    <w:rsid w:val="004137AF"/>
    <w:rsid w:val="0041581A"/>
    <w:rsid w:val="00415FB0"/>
    <w:rsid w:val="00416645"/>
    <w:rsid w:val="00417A0D"/>
    <w:rsid w:val="00423429"/>
    <w:rsid w:val="00424882"/>
    <w:rsid w:val="00425AEA"/>
    <w:rsid w:val="0042627E"/>
    <w:rsid w:val="004262FE"/>
    <w:rsid w:val="00427902"/>
    <w:rsid w:val="00427C20"/>
    <w:rsid w:val="0043115A"/>
    <w:rsid w:val="00432800"/>
    <w:rsid w:val="00433837"/>
    <w:rsid w:val="00434423"/>
    <w:rsid w:val="00436BA8"/>
    <w:rsid w:val="0043748F"/>
    <w:rsid w:val="004378B1"/>
    <w:rsid w:val="0044006E"/>
    <w:rsid w:val="00441209"/>
    <w:rsid w:val="00441AF9"/>
    <w:rsid w:val="00441FA3"/>
    <w:rsid w:val="004466AA"/>
    <w:rsid w:val="00446CA3"/>
    <w:rsid w:val="0045011E"/>
    <w:rsid w:val="0045101B"/>
    <w:rsid w:val="004539D4"/>
    <w:rsid w:val="00453CFB"/>
    <w:rsid w:val="0045405C"/>
    <w:rsid w:val="00455021"/>
    <w:rsid w:val="00455648"/>
    <w:rsid w:val="00456BA6"/>
    <w:rsid w:val="00461413"/>
    <w:rsid w:val="004614D9"/>
    <w:rsid w:val="00461DA2"/>
    <w:rsid w:val="00462789"/>
    <w:rsid w:val="00462F89"/>
    <w:rsid w:val="00467F33"/>
    <w:rsid w:val="00471859"/>
    <w:rsid w:val="00475F95"/>
    <w:rsid w:val="00476172"/>
    <w:rsid w:val="00477487"/>
    <w:rsid w:val="0048098C"/>
    <w:rsid w:val="00480BAE"/>
    <w:rsid w:val="00481ADA"/>
    <w:rsid w:val="00483436"/>
    <w:rsid w:val="00484615"/>
    <w:rsid w:val="00484A80"/>
    <w:rsid w:val="00485D37"/>
    <w:rsid w:val="004869B2"/>
    <w:rsid w:val="00492418"/>
    <w:rsid w:val="00492DD6"/>
    <w:rsid w:val="004938FB"/>
    <w:rsid w:val="004971EB"/>
    <w:rsid w:val="004975CF"/>
    <w:rsid w:val="004A070F"/>
    <w:rsid w:val="004A1814"/>
    <w:rsid w:val="004A3D67"/>
    <w:rsid w:val="004A3EEB"/>
    <w:rsid w:val="004A44AE"/>
    <w:rsid w:val="004A485C"/>
    <w:rsid w:val="004A6E3D"/>
    <w:rsid w:val="004A7C02"/>
    <w:rsid w:val="004B1516"/>
    <w:rsid w:val="004B5BD2"/>
    <w:rsid w:val="004B637A"/>
    <w:rsid w:val="004B664F"/>
    <w:rsid w:val="004C16C9"/>
    <w:rsid w:val="004C1961"/>
    <w:rsid w:val="004C1A82"/>
    <w:rsid w:val="004C1AB7"/>
    <w:rsid w:val="004C1B70"/>
    <w:rsid w:val="004C3D4B"/>
    <w:rsid w:val="004C6EE2"/>
    <w:rsid w:val="004C71C5"/>
    <w:rsid w:val="004D0408"/>
    <w:rsid w:val="004D3D30"/>
    <w:rsid w:val="004D464D"/>
    <w:rsid w:val="004D50E0"/>
    <w:rsid w:val="004D575D"/>
    <w:rsid w:val="004D6828"/>
    <w:rsid w:val="004E16F5"/>
    <w:rsid w:val="004E70CE"/>
    <w:rsid w:val="004F1511"/>
    <w:rsid w:val="004F41A3"/>
    <w:rsid w:val="004F7B5B"/>
    <w:rsid w:val="00505235"/>
    <w:rsid w:val="005052F4"/>
    <w:rsid w:val="005055B1"/>
    <w:rsid w:val="0050609E"/>
    <w:rsid w:val="00512281"/>
    <w:rsid w:val="00514D19"/>
    <w:rsid w:val="00516FD5"/>
    <w:rsid w:val="005173DA"/>
    <w:rsid w:val="00520C33"/>
    <w:rsid w:val="00523C06"/>
    <w:rsid w:val="0052577F"/>
    <w:rsid w:val="00525CC6"/>
    <w:rsid w:val="00527BF5"/>
    <w:rsid w:val="00532B9C"/>
    <w:rsid w:val="005332DD"/>
    <w:rsid w:val="00533883"/>
    <w:rsid w:val="00534135"/>
    <w:rsid w:val="00537039"/>
    <w:rsid w:val="005400CD"/>
    <w:rsid w:val="00541DC6"/>
    <w:rsid w:val="00545AB0"/>
    <w:rsid w:val="00546A9B"/>
    <w:rsid w:val="005477D0"/>
    <w:rsid w:val="00547A73"/>
    <w:rsid w:val="00550577"/>
    <w:rsid w:val="00550622"/>
    <w:rsid w:val="005518BE"/>
    <w:rsid w:val="005519F1"/>
    <w:rsid w:val="00552261"/>
    <w:rsid w:val="00554334"/>
    <w:rsid w:val="00554D7C"/>
    <w:rsid w:val="00554DB0"/>
    <w:rsid w:val="005569C6"/>
    <w:rsid w:val="00556FA7"/>
    <w:rsid w:val="005574FA"/>
    <w:rsid w:val="005579F5"/>
    <w:rsid w:val="0056092A"/>
    <w:rsid w:val="0056451B"/>
    <w:rsid w:val="00565398"/>
    <w:rsid w:val="005665B7"/>
    <w:rsid w:val="0056676E"/>
    <w:rsid w:val="00566825"/>
    <w:rsid w:val="00566C4A"/>
    <w:rsid w:val="0056718A"/>
    <w:rsid w:val="00567455"/>
    <w:rsid w:val="00570518"/>
    <w:rsid w:val="00571422"/>
    <w:rsid w:val="00580739"/>
    <w:rsid w:val="00587918"/>
    <w:rsid w:val="005879FB"/>
    <w:rsid w:val="00591118"/>
    <w:rsid w:val="00592174"/>
    <w:rsid w:val="00594675"/>
    <w:rsid w:val="005967E7"/>
    <w:rsid w:val="0059706B"/>
    <w:rsid w:val="0059738E"/>
    <w:rsid w:val="005A1A79"/>
    <w:rsid w:val="005A42BD"/>
    <w:rsid w:val="005A6846"/>
    <w:rsid w:val="005A791C"/>
    <w:rsid w:val="005B372B"/>
    <w:rsid w:val="005C001C"/>
    <w:rsid w:val="005C1C6F"/>
    <w:rsid w:val="005C2A6C"/>
    <w:rsid w:val="005C5730"/>
    <w:rsid w:val="005D196D"/>
    <w:rsid w:val="005D19D4"/>
    <w:rsid w:val="005D2650"/>
    <w:rsid w:val="005D35BB"/>
    <w:rsid w:val="005E1274"/>
    <w:rsid w:val="005E13E0"/>
    <w:rsid w:val="005E36A0"/>
    <w:rsid w:val="005E4EC3"/>
    <w:rsid w:val="005E64B5"/>
    <w:rsid w:val="005E7457"/>
    <w:rsid w:val="005E74D7"/>
    <w:rsid w:val="005E790B"/>
    <w:rsid w:val="005F092A"/>
    <w:rsid w:val="005F1258"/>
    <w:rsid w:val="005F3117"/>
    <w:rsid w:val="005F3F4F"/>
    <w:rsid w:val="005F69DB"/>
    <w:rsid w:val="0060191C"/>
    <w:rsid w:val="00603D46"/>
    <w:rsid w:val="0060502A"/>
    <w:rsid w:val="006054D8"/>
    <w:rsid w:val="00607C65"/>
    <w:rsid w:val="00610143"/>
    <w:rsid w:val="006101B1"/>
    <w:rsid w:val="00610C2F"/>
    <w:rsid w:val="006118C4"/>
    <w:rsid w:val="00612526"/>
    <w:rsid w:val="00612FD7"/>
    <w:rsid w:val="0061322E"/>
    <w:rsid w:val="00614AE8"/>
    <w:rsid w:val="0061539D"/>
    <w:rsid w:val="0061583B"/>
    <w:rsid w:val="00615B18"/>
    <w:rsid w:val="00617294"/>
    <w:rsid w:val="00621703"/>
    <w:rsid w:val="00621836"/>
    <w:rsid w:val="00621F58"/>
    <w:rsid w:val="00622325"/>
    <w:rsid w:val="00622348"/>
    <w:rsid w:val="00625F2E"/>
    <w:rsid w:val="00626100"/>
    <w:rsid w:val="00626476"/>
    <w:rsid w:val="00627115"/>
    <w:rsid w:val="006310D8"/>
    <w:rsid w:val="00632FFF"/>
    <w:rsid w:val="006349FA"/>
    <w:rsid w:val="006378A2"/>
    <w:rsid w:val="00637E6E"/>
    <w:rsid w:val="006402BD"/>
    <w:rsid w:val="006408F0"/>
    <w:rsid w:val="006410D6"/>
    <w:rsid w:val="006411A5"/>
    <w:rsid w:val="00641221"/>
    <w:rsid w:val="00642B45"/>
    <w:rsid w:val="0064371D"/>
    <w:rsid w:val="006440E4"/>
    <w:rsid w:val="00645862"/>
    <w:rsid w:val="006458D8"/>
    <w:rsid w:val="0065221D"/>
    <w:rsid w:val="00652887"/>
    <w:rsid w:val="00652C71"/>
    <w:rsid w:val="00653B88"/>
    <w:rsid w:val="00654659"/>
    <w:rsid w:val="00655087"/>
    <w:rsid w:val="00655F4C"/>
    <w:rsid w:val="0065777B"/>
    <w:rsid w:val="00661780"/>
    <w:rsid w:val="00663D7F"/>
    <w:rsid w:val="00663E23"/>
    <w:rsid w:val="00663FED"/>
    <w:rsid w:val="00667F99"/>
    <w:rsid w:val="006719DE"/>
    <w:rsid w:val="0067272A"/>
    <w:rsid w:val="00673C97"/>
    <w:rsid w:val="00674566"/>
    <w:rsid w:val="006746B1"/>
    <w:rsid w:val="006808E8"/>
    <w:rsid w:val="00682FE2"/>
    <w:rsid w:val="00683001"/>
    <w:rsid w:val="00684284"/>
    <w:rsid w:val="00684579"/>
    <w:rsid w:val="00686750"/>
    <w:rsid w:val="00686CBD"/>
    <w:rsid w:val="00686CC5"/>
    <w:rsid w:val="0068700B"/>
    <w:rsid w:val="0069559D"/>
    <w:rsid w:val="00695D67"/>
    <w:rsid w:val="00696F8C"/>
    <w:rsid w:val="0069700C"/>
    <w:rsid w:val="00697037"/>
    <w:rsid w:val="00697801"/>
    <w:rsid w:val="006A074F"/>
    <w:rsid w:val="006A1F30"/>
    <w:rsid w:val="006A2A17"/>
    <w:rsid w:val="006A54E3"/>
    <w:rsid w:val="006A55D7"/>
    <w:rsid w:val="006A7AD1"/>
    <w:rsid w:val="006B20CA"/>
    <w:rsid w:val="006B440B"/>
    <w:rsid w:val="006B5189"/>
    <w:rsid w:val="006C0950"/>
    <w:rsid w:val="006C09DE"/>
    <w:rsid w:val="006C1055"/>
    <w:rsid w:val="006C3E9D"/>
    <w:rsid w:val="006C44B9"/>
    <w:rsid w:val="006C4FA4"/>
    <w:rsid w:val="006C6552"/>
    <w:rsid w:val="006C67DC"/>
    <w:rsid w:val="006C7D91"/>
    <w:rsid w:val="006C7FED"/>
    <w:rsid w:val="006D0C85"/>
    <w:rsid w:val="006D2ED9"/>
    <w:rsid w:val="006D4052"/>
    <w:rsid w:val="006D425B"/>
    <w:rsid w:val="006D6F56"/>
    <w:rsid w:val="006D7D80"/>
    <w:rsid w:val="006E17AC"/>
    <w:rsid w:val="006E24C6"/>
    <w:rsid w:val="006E32F6"/>
    <w:rsid w:val="006E5F9E"/>
    <w:rsid w:val="006E60D8"/>
    <w:rsid w:val="006E60E5"/>
    <w:rsid w:val="006F0B83"/>
    <w:rsid w:val="006F5034"/>
    <w:rsid w:val="00701836"/>
    <w:rsid w:val="00701F70"/>
    <w:rsid w:val="00702650"/>
    <w:rsid w:val="0070284D"/>
    <w:rsid w:val="007062E3"/>
    <w:rsid w:val="00706936"/>
    <w:rsid w:val="00707514"/>
    <w:rsid w:val="0070769C"/>
    <w:rsid w:val="00715914"/>
    <w:rsid w:val="00715FD3"/>
    <w:rsid w:val="00716CC2"/>
    <w:rsid w:val="0071759D"/>
    <w:rsid w:val="0072079B"/>
    <w:rsid w:val="007219C4"/>
    <w:rsid w:val="00722184"/>
    <w:rsid w:val="007229D7"/>
    <w:rsid w:val="0072401B"/>
    <w:rsid w:val="00724474"/>
    <w:rsid w:val="007269A0"/>
    <w:rsid w:val="00730EDD"/>
    <w:rsid w:val="00734C7C"/>
    <w:rsid w:val="00736FD6"/>
    <w:rsid w:val="0073714D"/>
    <w:rsid w:val="00737F17"/>
    <w:rsid w:val="0074264B"/>
    <w:rsid w:val="0074415C"/>
    <w:rsid w:val="00746790"/>
    <w:rsid w:val="0074696F"/>
    <w:rsid w:val="00746DFC"/>
    <w:rsid w:val="00747BD5"/>
    <w:rsid w:val="007512D0"/>
    <w:rsid w:val="0075223F"/>
    <w:rsid w:val="00752DCE"/>
    <w:rsid w:val="00753727"/>
    <w:rsid w:val="00755404"/>
    <w:rsid w:val="00755676"/>
    <w:rsid w:val="00760E65"/>
    <w:rsid w:val="00763B07"/>
    <w:rsid w:val="00763D41"/>
    <w:rsid w:val="0076688C"/>
    <w:rsid w:val="00766CD4"/>
    <w:rsid w:val="0077147D"/>
    <w:rsid w:val="007814A1"/>
    <w:rsid w:val="00783503"/>
    <w:rsid w:val="00786C6C"/>
    <w:rsid w:val="00790072"/>
    <w:rsid w:val="00792569"/>
    <w:rsid w:val="007936E5"/>
    <w:rsid w:val="00793A96"/>
    <w:rsid w:val="007A29C5"/>
    <w:rsid w:val="007B0185"/>
    <w:rsid w:val="007B0A56"/>
    <w:rsid w:val="007B4B9B"/>
    <w:rsid w:val="007B7493"/>
    <w:rsid w:val="007C2A5B"/>
    <w:rsid w:val="007C425D"/>
    <w:rsid w:val="007C431E"/>
    <w:rsid w:val="007C7E77"/>
    <w:rsid w:val="007D40E6"/>
    <w:rsid w:val="007D6401"/>
    <w:rsid w:val="007D76D3"/>
    <w:rsid w:val="007D7ECD"/>
    <w:rsid w:val="007E1C66"/>
    <w:rsid w:val="007E250D"/>
    <w:rsid w:val="007E25C6"/>
    <w:rsid w:val="007E3C59"/>
    <w:rsid w:val="007E3F1E"/>
    <w:rsid w:val="007E52C3"/>
    <w:rsid w:val="007E5564"/>
    <w:rsid w:val="007E596F"/>
    <w:rsid w:val="007E70AC"/>
    <w:rsid w:val="007E735C"/>
    <w:rsid w:val="007E7A85"/>
    <w:rsid w:val="007F0197"/>
    <w:rsid w:val="007F0281"/>
    <w:rsid w:val="007F1923"/>
    <w:rsid w:val="007F1FB0"/>
    <w:rsid w:val="007F263B"/>
    <w:rsid w:val="007F2DC8"/>
    <w:rsid w:val="007F5437"/>
    <w:rsid w:val="007F5BE2"/>
    <w:rsid w:val="007F7723"/>
    <w:rsid w:val="0080057F"/>
    <w:rsid w:val="008005B3"/>
    <w:rsid w:val="0080262B"/>
    <w:rsid w:val="0080381D"/>
    <w:rsid w:val="00803BBF"/>
    <w:rsid w:val="008045A7"/>
    <w:rsid w:val="00804F2A"/>
    <w:rsid w:val="00806F80"/>
    <w:rsid w:val="008111C0"/>
    <w:rsid w:val="00811217"/>
    <w:rsid w:val="00814E34"/>
    <w:rsid w:val="008156EB"/>
    <w:rsid w:val="008158EE"/>
    <w:rsid w:val="0081603E"/>
    <w:rsid w:val="00816EB3"/>
    <w:rsid w:val="008252B3"/>
    <w:rsid w:val="00826339"/>
    <w:rsid w:val="00826661"/>
    <w:rsid w:val="008277BB"/>
    <w:rsid w:val="00831D40"/>
    <w:rsid w:val="00832530"/>
    <w:rsid w:val="0083491C"/>
    <w:rsid w:val="00834DFD"/>
    <w:rsid w:val="00837B94"/>
    <w:rsid w:val="00837BC3"/>
    <w:rsid w:val="00840C66"/>
    <w:rsid w:val="008417F4"/>
    <w:rsid w:val="008418F1"/>
    <w:rsid w:val="008434A1"/>
    <w:rsid w:val="00844A58"/>
    <w:rsid w:val="008471DD"/>
    <w:rsid w:val="0084766E"/>
    <w:rsid w:val="00851EA5"/>
    <w:rsid w:val="00852591"/>
    <w:rsid w:val="0085334F"/>
    <w:rsid w:val="00856761"/>
    <w:rsid w:val="00857347"/>
    <w:rsid w:val="008573D5"/>
    <w:rsid w:val="008625BD"/>
    <w:rsid w:val="008640E5"/>
    <w:rsid w:val="00865499"/>
    <w:rsid w:val="008670AA"/>
    <w:rsid w:val="0086721C"/>
    <w:rsid w:val="00870E00"/>
    <w:rsid w:val="008777D3"/>
    <w:rsid w:val="008810B3"/>
    <w:rsid w:val="00883B03"/>
    <w:rsid w:val="0088505F"/>
    <w:rsid w:val="0088519A"/>
    <w:rsid w:val="00890C8F"/>
    <w:rsid w:val="00891F22"/>
    <w:rsid w:val="00894D12"/>
    <w:rsid w:val="00894E26"/>
    <w:rsid w:val="00895D2A"/>
    <w:rsid w:val="00896C4C"/>
    <w:rsid w:val="008A1923"/>
    <w:rsid w:val="008A20CD"/>
    <w:rsid w:val="008A26D8"/>
    <w:rsid w:val="008A2E2D"/>
    <w:rsid w:val="008A37CD"/>
    <w:rsid w:val="008A5B8F"/>
    <w:rsid w:val="008A5EC4"/>
    <w:rsid w:val="008A6BDF"/>
    <w:rsid w:val="008A716B"/>
    <w:rsid w:val="008B5B4F"/>
    <w:rsid w:val="008C0E13"/>
    <w:rsid w:val="008C2CAB"/>
    <w:rsid w:val="008C3CC7"/>
    <w:rsid w:val="008C5A60"/>
    <w:rsid w:val="008D0107"/>
    <w:rsid w:val="008D2721"/>
    <w:rsid w:val="008D4222"/>
    <w:rsid w:val="008D448D"/>
    <w:rsid w:val="008D48DD"/>
    <w:rsid w:val="008D5B12"/>
    <w:rsid w:val="008D5E3B"/>
    <w:rsid w:val="008D6FD5"/>
    <w:rsid w:val="008E114F"/>
    <w:rsid w:val="008E7A56"/>
    <w:rsid w:val="008E7C63"/>
    <w:rsid w:val="008F1A68"/>
    <w:rsid w:val="008F2DEE"/>
    <w:rsid w:val="008F33FE"/>
    <w:rsid w:val="008F3A92"/>
    <w:rsid w:val="008F64B6"/>
    <w:rsid w:val="008F71EA"/>
    <w:rsid w:val="00900F5C"/>
    <w:rsid w:val="0090278A"/>
    <w:rsid w:val="009029A5"/>
    <w:rsid w:val="00910A12"/>
    <w:rsid w:val="009136F9"/>
    <w:rsid w:val="00916274"/>
    <w:rsid w:val="00917AB1"/>
    <w:rsid w:val="0092016B"/>
    <w:rsid w:val="0092078E"/>
    <w:rsid w:val="00921161"/>
    <w:rsid w:val="00922F79"/>
    <w:rsid w:val="00923D04"/>
    <w:rsid w:val="00924154"/>
    <w:rsid w:val="00924749"/>
    <w:rsid w:val="0092599A"/>
    <w:rsid w:val="00926435"/>
    <w:rsid w:val="00930D40"/>
    <w:rsid w:val="009320BE"/>
    <w:rsid w:val="0093245D"/>
    <w:rsid w:val="00932DF7"/>
    <w:rsid w:val="00935FFF"/>
    <w:rsid w:val="00936873"/>
    <w:rsid w:val="00937630"/>
    <w:rsid w:val="00941A38"/>
    <w:rsid w:val="009439F7"/>
    <w:rsid w:val="00943DB0"/>
    <w:rsid w:val="009445C2"/>
    <w:rsid w:val="00945ABF"/>
    <w:rsid w:val="009479BC"/>
    <w:rsid w:val="009502B2"/>
    <w:rsid w:val="00953BF5"/>
    <w:rsid w:val="0095432D"/>
    <w:rsid w:val="009544C5"/>
    <w:rsid w:val="00954F6E"/>
    <w:rsid w:val="009564D7"/>
    <w:rsid w:val="0095730D"/>
    <w:rsid w:val="009573AE"/>
    <w:rsid w:val="00957A7B"/>
    <w:rsid w:val="00957C7E"/>
    <w:rsid w:val="009636E0"/>
    <w:rsid w:val="00965D9A"/>
    <w:rsid w:val="00971857"/>
    <w:rsid w:val="0097717F"/>
    <w:rsid w:val="009801B6"/>
    <w:rsid w:val="0098119E"/>
    <w:rsid w:val="00981AC8"/>
    <w:rsid w:val="00986BB9"/>
    <w:rsid w:val="0098796E"/>
    <w:rsid w:val="0099115A"/>
    <w:rsid w:val="00992FA0"/>
    <w:rsid w:val="0099449B"/>
    <w:rsid w:val="009947DB"/>
    <w:rsid w:val="00994E48"/>
    <w:rsid w:val="0099601C"/>
    <w:rsid w:val="00997702"/>
    <w:rsid w:val="009A21C5"/>
    <w:rsid w:val="009A2D1C"/>
    <w:rsid w:val="009A428D"/>
    <w:rsid w:val="009A453D"/>
    <w:rsid w:val="009A656B"/>
    <w:rsid w:val="009A73A9"/>
    <w:rsid w:val="009A7DE1"/>
    <w:rsid w:val="009B1383"/>
    <w:rsid w:val="009B75D1"/>
    <w:rsid w:val="009C1EA0"/>
    <w:rsid w:val="009C3A17"/>
    <w:rsid w:val="009C47DE"/>
    <w:rsid w:val="009C4D38"/>
    <w:rsid w:val="009C501E"/>
    <w:rsid w:val="009C50FC"/>
    <w:rsid w:val="009D0479"/>
    <w:rsid w:val="009D0924"/>
    <w:rsid w:val="009D2942"/>
    <w:rsid w:val="009D29A0"/>
    <w:rsid w:val="009D2F1A"/>
    <w:rsid w:val="009D34D2"/>
    <w:rsid w:val="009D55DE"/>
    <w:rsid w:val="009D56B4"/>
    <w:rsid w:val="009D65BF"/>
    <w:rsid w:val="009E2755"/>
    <w:rsid w:val="009E43C3"/>
    <w:rsid w:val="009E50FD"/>
    <w:rsid w:val="009E5D13"/>
    <w:rsid w:val="009E5FB2"/>
    <w:rsid w:val="009E61C0"/>
    <w:rsid w:val="009E7648"/>
    <w:rsid w:val="009F017C"/>
    <w:rsid w:val="009F1081"/>
    <w:rsid w:val="009F245B"/>
    <w:rsid w:val="009F3C30"/>
    <w:rsid w:val="009F6F14"/>
    <w:rsid w:val="009F70DB"/>
    <w:rsid w:val="00A00529"/>
    <w:rsid w:val="00A01504"/>
    <w:rsid w:val="00A01773"/>
    <w:rsid w:val="00A06558"/>
    <w:rsid w:val="00A06614"/>
    <w:rsid w:val="00A0689F"/>
    <w:rsid w:val="00A077D6"/>
    <w:rsid w:val="00A10B4B"/>
    <w:rsid w:val="00A12039"/>
    <w:rsid w:val="00A14C60"/>
    <w:rsid w:val="00A15B50"/>
    <w:rsid w:val="00A16B99"/>
    <w:rsid w:val="00A202CE"/>
    <w:rsid w:val="00A2661C"/>
    <w:rsid w:val="00A26A7C"/>
    <w:rsid w:val="00A30E40"/>
    <w:rsid w:val="00A31AFC"/>
    <w:rsid w:val="00A32E38"/>
    <w:rsid w:val="00A34A3A"/>
    <w:rsid w:val="00A34AC3"/>
    <w:rsid w:val="00A37CE5"/>
    <w:rsid w:val="00A404B1"/>
    <w:rsid w:val="00A434D9"/>
    <w:rsid w:val="00A44129"/>
    <w:rsid w:val="00A44FB7"/>
    <w:rsid w:val="00A46EC6"/>
    <w:rsid w:val="00A46FB9"/>
    <w:rsid w:val="00A47071"/>
    <w:rsid w:val="00A47C7C"/>
    <w:rsid w:val="00A51E43"/>
    <w:rsid w:val="00A55A64"/>
    <w:rsid w:val="00A61DE2"/>
    <w:rsid w:val="00A65C09"/>
    <w:rsid w:val="00A67762"/>
    <w:rsid w:val="00A71A3D"/>
    <w:rsid w:val="00A7295D"/>
    <w:rsid w:val="00A753C9"/>
    <w:rsid w:val="00A82ADF"/>
    <w:rsid w:val="00A84F67"/>
    <w:rsid w:val="00A8598D"/>
    <w:rsid w:val="00A861F6"/>
    <w:rsid w:val="00A902DE"/>
    <w:rsid w:val="00A9156B"/>
    <w:rsid w:val="00A91FB2"/>
    <w:rsid w:val="00A95E52"/>
    <w:rsid w:val="00A96386"/>
    <w:rsid w:val="00A96AAA"/>
    <w:rsid w:val="00A96DC0"/>
    <w:rsid w:val="00A97BBC"/>
    <w:rsid w:val="00A97CDD"/>
    <w:rsid w:val="00AA30A9"/>
    <w:rsid w:val="00AA34AC"/>
    <w:rsid w:val="00AA4CDC"/>
    <w:rsid w:val="00AA534C"/>
    <w:rsid w:val="00AA6D33"/>
    <w:rsid w:val="00AA6D42"/>
    <w:rsid w:val="00AA7D47"/>
    <w:rsid w:val="00AB118B"/>
    <w:rsid w:val="00AB3B2F"/>
    <w:rsid w:val="00AB4374"/>
    <w:rsid w:val="00AB6F70"/>
    <w:rsid w:val="00AB7823"/>
    <w:rsid w:val="00AC0F37"/>
    <w:rsid w:val="00AC1CB6"/>
    <w:rsid w:val="00AC2E74"/>
    <w:rsid w:val="00AC37B2"/>
    <w:rsid w:val="00AC4862"/>
    <w:rsid w:val="00AC6911"/>
    <w:rsid w:val="00AD1980"/>
    <w:rsid w:val="00AD24B6"/>
    <w:rsid w:val="00AD323F"/>
    <w:rsid w:val="00AD414A"/>
    <w:rsid w:val="00AD419B"/>
    <w:rsid w:val="00AD452E"/>
    <w:rsid w:val="00AD595E"/>
    <w:rsid w:val="00AD5DDA"/>
    <w:rsid w:val="00AE1FC9"/>
    <w:rsid w:val="00AE26B0"/>
    <w:rsid w:val="00AE481D"/>
    <w:rsid w:val="00AE7261"/>
    <w:rsid w:val="00AE737B"/>
    <w:rsid w:val="00AF3647"/>
    <w:rsid w:val="00AF69A6"/>
    <w:rsid w:val="00AF6B00"/>
    <w:rsid w:val="00AF6F96"/>
    <w:rsid w:val="00AF75FB"/>
    <w:rsid w:val="00AF7D31"/>
    <w:rsid w:val="00B00435"/>
    <w:rsid w:val="00B00829"/>
    <w:rsid w:val="00B04A30"/>
    <w:rsid w:val="00B04C74"/>
    <w:rsid w:val="00B062AD"/>
    <w:rsid w:val="00B06C8B"/>
    <w:rsid w:val="00B075B0"/>
    <w:rsid w:val="00B110B4"/>
    <w:rsid w:val="00B151AF"/>
    <w:rsid w:val="00B16FDA"/>
    <w:rsid w:val="00B2055D"/>
    <w:rsid w:val="00B21A85"/>
    <w:rsid w:val="00B21C2D"/>
    <w:rsid w:val="00B225D6"/>
    <w:rsid w:val="00B23DA4"/>
    <w:rsid w:val="00B243FE"/>
    <w:rsid w:val="00B24904"/>
    <w:rsid w:val="00B24CBA"/>
    <w:rsid w:val="00B2666F"/>
    <w:rsid w:val="00B26F93"/>
    <w:rsid w:val="00B27BFC"/>
    <w:rsid w:val="00B306A5"/>
    <w:rsid w:val="00B3096E"/>
    <w:rsid w:val="00B3205D"/>
    <w:rsid w:val="00B32A73"/>
    <w:rsid w:val="00B36FA1"/>
    <w:rsid w:val="00B37511"/>
    <w:rsid w:val="00B451AE"/>
    <w:rsid w:val="00B45A05"/>
    <w:rsid w:val="00B52973"/>
    <w:rsid w:val="00B52B38"/>
    <w:rsid w:val="00B52EB1"/>
    <w:rsid w:val="00B5455D"/>
    <w:rsid w:val="00B56B51"/>
    <w:rsid w:val="00B6121E"/>
    <w:rsid w:val="00B61A5C"/>
    <w:rsid w:val="00B62B2E"/>
    <w:rsid w:val="00B637D3"/>
    <w:rsid w:val="00B65A10"/>
    <w:rsid w:val="00B66F4D"/>
    <w:rsid w:val="00B74786"/>
    <w:rsid w:val="00B757FD"/>
    <w:rsid w:val="00B770CF"/>
    <w:rsid w:val="00B80F65"/>
    <w:rsid w:val="00B82878"/>
    <w:rsid w:val="00B8296B"/>
    <w:rsid w:val="00B832AE"/>
    <w:rsid w:val="00B83B50"/>
    <w:rsid w:val="00B85C83"/>
    <w:rsid w:val="00B8797E"/>
    <w:rsid w:val="00B90965"/>
    <w:rsid w:val="00B92E82"/>
    <w:rsid w:val="00B93F30"/>
    <w:rsid w:val="00B94B25"/>
    <w:rsid w:val="00B958A6"/>
    <w:rsid w:val="00B96FBF"/>
    <w:rsid w:val="00BA1537"/>
    <w:rsid w:val="00BA2636"/>
    <w:rsid w:val="00BA6755"/>
    <w:rsid w:val="00BB349D"/>
    <w:rsid w:val="00BB5110"/>
    <w:rsid w:val="00BB514E"/>
    <w:rsid w:val="00BC0793"/>
    <w:rsid w:val="00BC092A"/>
    <w:rsid w:val="00BC2E11"/>
    <w:rsid w:val="00BC33F8"/>
    <w:rsid w:val="00BC61FC"/>
    <w:rsid w:val="00BD30B2"/>
    <w:rsid w:val="00BD3F58"/>
    <w:rsid w:val="00BD583E"/>
    <w:rsid w:val="00BE0ADB"/>
    <w:rsid w:val="00BE0EB9"/>
    <w:rsid w:val="00BE10C7"/>
    <w:rsid w:val="00BE3A45"/>
    <w:rsid w:val="00BE6469"/>
    <w:rsid w:val="00BE7A85"/>
    <w:rsid w:val="00BE7D4C"/>
    <w:rsid w:val="00BF1568"/>
    <w:rsid w:val="00BF321E"/>
    <w:rsid w:val="00BF4E44"/>
    <w:rsid w:val="00BF602D"/>
    <w:rsid w:val="00BF7B4F"/>
    <w:rsid w:val="00C00218"/>
    <w:rsid w:val="00C01305"/>
    <w:rsid w:val="00C01849"/>
    <w:rsid w:val="00C0532A"/>
    <w:rsid w:val="00C05F9F"/>
    <w:rsid w:val="00C06CF0"/>
    <w:rsid w:val="00C07D01"/>
    <w:rsid w:val="00C115B8"/>
    <w:rsid w:val="00C11FEA"/>
    <w:rsid w:val="00C124C6"/>
    <w:rsid w:val="00C12FD9"/>
    <w:rsid w:val="00C1340D"/>
    <w:rsid w:val="00C14AF9"/>
    <w:rsid w:val="00C152AD"/>
    <w:rsid w:val="00C221B1"/>
    <w:rsid w:val="00C232C0"/>
    <w:rsid w:val="00C236E0"/>
    <w:rsid w:val="00C23CA1"/>
    <w:rsid w:val="00C23F3D"/>
    <w:rsid w:val="00C258E4"/>
    <w:rsid w:val="00C25FEE"/>
    <w:rsid w:val="00C31793"/>
    <w:rsid w:val="00C32AC9"/>
    <w:rsid w:val="00C373FE"/>
    <w:rsid w:val="00C4329A"/>
    <w:rsid w:val="00C45730"/>
    <w:rsid w:val="00C45A45"/>
    <w:rsid w:val="00C47CCD"/>
    <w:rsid w:val="00C50174"/>
    <w:rsid w:val="00C504B1"/>
    <w:rsid w:val="00C5213B"/>
    <w:rsid w:val="00C52AF1"/>
    <w:rsid w:val="00C53638"/>
    <w:rsid w:val="00C541C4"/>
    <w:rsid w:val="00C54255"/>
    <w:rsid w:val="00C55BA4"/>
    <w:rsid w:val="00C57E9A"/>
    <w:rsid w:val="00C60267"/>
    <w:rsid w:val="00C61D18"/>
    <w:rsid w:val="00C62E0E"/>
    <w:rsid w:val="00C64ACC"/>
    <w:rsid w:val="00C6573A"/>
    <w:rsid w:val="00C66CC4"/>
    <w:rsid w:val="00C70D7F"/>
    <w:rsid w:val="00C715CB"/>
    <w:rsid w:val="00C7209A"/>
    <w:rsid w:val="00C721BC"/>
    <w:rsid w:val="00C74A9A"/>
    <w:rsid w:val="00C76882"/>
    <w:rsid w:val="00C77BDE"/>
    <w:rsid w:val="00C77C78"/>
    <w:rsid w:val="00C804DA"/>
    <w:rsid w:val="00C80FCB"/>
    <w:rsid w:val="00C814C8"/>
    <w:rsid w:val="00C819D0"/>
    <w:rsid w:val="00C81B6C"/>
    <w:rsid w:val="00C8206B"/>
    <w:rsid w:val="00C86511"/>
    <w:rsid w:val="00C874D2"/>
    <w:rsid w:val="00C912D8"/>
    <w:rsid w:val="00C9168E"/>
    <w:rsid w:val="00C937F4"/>
    <w:rsid w:val="00C93855"/>
    <w:rsid w:val="00C94ADE"/>
    <w:rsid w:val="00C96464"/>
    <w:rsid w:val="00CA464D"/>
    <w:rsid w:val="00CA538C"/>
    <w:rsid w:val="00CA54B4"/>
    <w:rsid w:val="00CA70EC"/>
    <w:rsid w:val="00CB275A"/>
    <w:rsid w:val="00CB2FA0"/>
    <w:rsid w:val="00CB5825"/>
    <w:rsid w:val="00CB5C91"/>
    <w:rsid w:val="00CB6330"/>
    <w:rsid w:val="00CC0829"/>
    <w:rsid w:val="00CC1B4D"/>
    <w:rsid w:val="00CC2405"/>
    <w:rsid w:val="00CC28F1"/>
    <w:rsid w:val="00CC58AD"/>
    <w:rsid w:val="00CC6981"/>
    <w:rsid w:val="00CC7174"/>
    <w:rsid w:val="00CC7B2B"/>
    <w:rsid w:val="00CD024A"/>
    <w:rsid w:val="00CD0F34"/>
    <w:rsid w:val="00CD145E"/>
    <w:rsid w:val="00CD2D10"/>
    <w:rsid w:val="00CD43A6"/>
    <w:rsid w:val="00CD4785"/>
    <w:rsid w:val="00CE091A"/>
    <w:rsid w:val="00CE0E7A"/>
    <w:rsid w:val="00CE10A1"/>
    <w:rsid w:val="00CE19F7"/>
    <w:rsid w:val="00CE1AE4"/>
    <w:rsid w:val="00CE2A1C"/>
    <w:rsid w:val="00CE4940"/>
    <w:rsid w:val="00CF01EB"/>
    <w:rsid w:val="00CF1A7E"/>
    <w:rsid w:val="00CF1BC0"/>
    <w:rsid w:val="00CF28B7"/>
    <w:rsid w:val="00CF39CC"/>
    <w:rsid w:val="00CF3B0F"/>
    <w:rsid w:val="00CF422F"/>
    <w:rsid w:val="00CF5340"/>
    <w:rsid w:val="00CF64E5"/>
    <w:rsid w:val="00CF7633"/>
    <w:rsid w:val="00CF7FB7"/>
    <w:rsid w:val="00D02E83"/>
    <w:rsid w:val="00D055F1"/>
    <w:rsid w:val="00D05F55"/>
    <w:rsid w:val="00D062B4"/>
    <w:rsid w:val="00D1289B"/>
    <w:rsid w:val="00D12CA8"/>
    <w:rsid w:val="00D13D95"/>
    <w:rsid w:val="00D1653A"/>
    <w:rsid w:val="00D17DF2"/>
    <w:rsid w:val="00D21550"/>
    <w:rsid w:val="00D222AD"/>
    <w:rsid w:val="00D22B5B"/>
    <w:rsid w:val="00D22C3A"/>
    <w:rsid w:val="00D22E1E"/>
    <w:rsid w:val="00D23F72"/>
    <w:rsid w:val="00D24178"/>
    <w:rsid w:val="00D24A1C"/>
    <w:rsid w:val="00D2504A"/>
    <w:rsid w:val="00D250E6"/>
    <w:rsid w:val="00D31166"/>
    <w:rsid w:val="00D32ECC"/>
    <w:rsid w:val="00D35CE5"/>
    <w:rsid w:val="00D4012B"/>
    <w:rsid w:val="00D4065E"/>
    <w:rsid w:val="00D41053"/>
    <w:rsid w:val="00D427F0"/>
    <w:rsid w:val="00D43C23"/>
    <w:rsid w:val="00D4756A"/>
    <w:rsid w:val="00D525A8"/>
    <w:rsid w:val="00D52ACF"/>
    <w:rsid w:val="00D535B7"/>
    <w:rsid w:val="00D53787"/>
    <w:rsid w:val="00D539AF"/>
    <w:rsid w:val="00D5468C"/>
    <w:rsid w:val="00D558C8"/>
    <w:rsid w:val="00D56DA9"/>
    <w:rsid w:val="00D624EC"/>
    <w:rsid w:val="00D625D4"/>
    <w:rsid w:val="00D62AA3"/>
    <w:rsid w:val="00D64261"/>
    <w:rsid w:val="00D6520A"/>
    <w:rsid w:val="00D66692"/>
    <w:rsid w:val="00D70AE3"/>
    <w:rsid w:val="00D713E4"/>
    <w:rsid w:val="00D73B65"/>
    <w:rsid w:val="00D73B8E"/>
    <w:rsid w:val="00D73D41"/>
    <w:rsid w:val="00D751EB"/>
    <w:rsid w:val="00D75A89"/>
    <w:rsid w:val="00D77608"/>
    <w:rsid w:val="00D807CB"/>
    <w:rsid w:val="00D82A79"/>
    <w:rsid w:val="00D84033"/>
    <w:rsid w:val="00D8426C"/>
    <w:rsid w:val="00D90392"/>
    <w:rsid w:val="00D914A3"/>
    <w:rsid w:val="00D91CEF"/>
    <w:rsid w:val="00D92A92"/>
    <w:rsid w:val="00D946C1"/>
    <w:rsid w:val="00D9548A"/>
    <w:rsid w:val="00D97B9B"/>
    <w:rsid w:val="00DA179D"/>
    <w:rsid w:val="00DA1E4B"/>
    <w:rsid w:val="00DA2D13"/>
    <w:rsid w:val="00DA4517"/>
    <w:rsid w:val="00DA514C"/>
    <w:rsid w:val="00DA52A7"/>
    <w:rsid w:val="00DA6CE0"/>
    <w:rsid w:val="00DA6E1F"/>
    <w:rsid w:val="00DA7759"/>
    <w:rsid w:val="00DA7F13"/>
    <w:rsid w:val="00DB0ED0"/>
    <w:rsid w:val="00DB1636"/>
    <w:rsid w:val="00DB21ED"/>
    <w:rsid w:val="00DB4349"/>
    <w:rsid w:val="00DB6C33"/>
    <w:rsid w:val="00DB75FF"/>
    <w:rsid w:val="00DC193A"/>
    <w:rsid w:val="00DC2AAE"/>
    <w:rsid w:val="00DC2CB7"/>
    <w:rsid w:val="00DC3888"/>
    <w:rsid w:val="00DC440B"/>
    <w:rsid w:val="00DC4A24"/>
    <w:rsid w:val="00DC7F92"/>
    <w:rsid w:val="00DD10A4"/>
    <w:rsid w:val="00DD268D"/>
    <w:rsid w:val="00DD33B8"/>
    <w:rsid w:val="00DD3E4C"/>
    <w:rsid w:val="00DD502C"/>
    <w:rsid w:val="00DD5FC4"/>
    <w:rsid w:val="00DD7120"/>
    <w:rsid w:val="00DD7C63"/>
    <w:rsid w:val="00DE0C52"/>
    <w:rsid w:val="00DE5A20"/>
    <w:rsid w:val="00DE5F99"/>
    <w:rsid w:val="00DE691C"/>
    <w:rsid w:val="00DF0811"/>
    <w:rsid w:val="00DF0FE2"/>
    <w:rsid w:val="00DF51EC"/>
    <w:rsid w:val="00DF6E6A"/>
    <w:rsid w:val="00DF7BE7"/>
    <w:rsid w:val="00E00EE7"/>
    <w:rsid w:val="00E01097"/>
    <w:rsid w:val="00E014CB"/>
    <w:rsid w:val="00E1004D"/>
    <w:rsid w:val="00E104D3"/>
    <w:rsid w:val="00E125E4"/>
    <w:rsid w:val="00E12963"/>
    <w:rsid w:val="00E13FF8"/>
    <w:rsid w:val="00E1428A"/>
    <w:rsid w:val="00E145C4"/>
    <w:rsid w:val="00E14BB3"/>
    <w:rsid w:val="00E169AA"/>
    <w:rsid w:val="00E16D8E"/>
    <w:rsid w:val="00E20C0F"/>
    <w:rsid w:val="00E21DB1"/>
    <w:rsid w:val="00E2458B"/>
    <w:rsid w:val="00E2468A"/>
    <w:rsid w:val="00E3177D"/>
    <w:rsid w:val="00E32DAA"/>
    <w:rsid w:val="00E36E4C"/>
    <w:rsid w:val="00E3769D"/>
    <w:rsid w:val="00E4022E"/>
    <w:rsid w:val="00E4488A"/>
    <w:rsid w:val="00E526F9"/>
    <w:rsid w:val="00E54EAF"/>
    <w:rsid w:val="00E558E4"/>
    <w:rsid w:val="00E563E8"/>
    <w:rsid w:val="00E56549"/>
    <w:rsid w:val="00E56680"/>
    <w:rsid w:val="00E576D2"/>
    <w:rsid w:val="00E576D8"/>
    <w:rsid w:val="00E6022B"/>
    <w:rsid w:val="00E60504"/>
    <w:rsid w:val="00E62DEE"/>
    <w:rsid w:val="00E62F39"/>
    <w:rsid w:val="00E63751"/>
    <w:rsid w:val="00E647C0"/>
    <w:rsid w:val="00E648C4"/>
    <w:rsid w:val="00E71C76"/>
    <w:rsid w:val="00E723A2"/>
    <w:rsid w:val="00E73C28"/>
    <w:rsid w:val="00E74DF7"/>
    <w:rsid w:val="00E75A3D"/>
    <w:rsid w:val="00E762C6"/>
    <w:rsid w:val="00E7766F"/>
    <w:rsid w:val="00E77ABB"/>
    <w:rsid w:val="00E824DD"/>
    <w:rsid w:val="00E82EA8"/>
    <w:rsid w:val="00E83912"/>
    <w:rsid w:val="00E86AAD"/>
    <w:rsid w:val="00E8795F"/>
    <w:rsid w:val="00E903DB"/>
    <w:rsid w:val="00E90EAE"/>
    <w:rsid w:val="00E9196B"/>
    <w:rsid w:val="00E943BD"/>
    <w:rsid w:val="00EA186E"/>
    <w:rsid w:val="00EA5F8F"/>
    <w:rsid w:val="00EA6423"/>
    <w:rsid w:val="00EB214B"/>
    <w:rsid w:val="00EB30B4"/>
    <w:rsid w:val="00EB6AC4"/>
    <w:rsid w:val="00EB7428"/>
    <w:rsid w:val="00EC0025"/>
    <w:rsid w:val="00EC1380"/>
    <w:rsid w:val="00EC1463"/>
    <w:rsid w:val="00EC3E6A"/>
    <w:rsid w:val="00EC456D"/>
    <w:rsid w:val="00EC5027"/>
    <w:rsid w:val="00EC5523"/>
    <w:rsid w:val="00EC5E32"/>
    <w:rsid w:val="00EC7ADC"/>
    <w:rsid w:val="00EC7B75"/>
    <w:rsid w:val="00ED2D8B"/>
    <w:rsid w:val="00ED2F49"/>
    <w:rsid w:val="00ED3981"/>
    <w:rsid w:val="00ED40B7"/>
    <w:rsid w:val="00ED42A7"/>
    <w:rsid w:val="00ED51FC"/>
    <w:rsid w:val="00ED7F7F"/>
    <w:rsid w:val="00EE0626"/>
    <w:rsid w:val="00EE120F"/>
    <w:rsid w:val="00EE3293"/>
    <w:rsid w:val="00EF0267"/>
    <w:rsid w:val="00EF0C73"/>
    <w:rsid w:val="00EF36CB"/>
    <w:rsid w:val="00EF3BFE"/>
    <w:rsid w:val="00EF5129"/>
    <w:rsid w:val="00EF56B2"/>
    <w:rsid w:val="00EF5F2E"/>
    <w:rsid w:val="00F010A9"/>
    <w:rsid w:val="00F0347B"/>
    <w:rsid w:val="00F100A9"/>
    <w:rsid w:val="00F119E2"/>
    <w:rsid w:val="00F11AA2"/>
    <w:rsid w:val="00F13393"/>
    <w:rsid w:val="00F144F4"/>
    <w:rsid w:val="00F156AC"/>
    <w:rsid w:val="00F228FA"/>
    <w:rsid w:val="00F22B53"/>
    <w:rsid w:val="00F23BCE"/>
    <w:rsid w:val="00F2598F"/>
    <w:rsid w:val="00F31901"/>
    <w:rsid w:val="00F31CA9"/>
    <w:rsid w:val="00F3278E"/>
    <w:rsid w:val="00F33C00"/>
    <w:rsid w:val="00F35D88"/>
    <w:rsid w:val="00F37431"/>
    <w:rsid w:val="00F430ED"/>
    <w:rsid w:val="00F444FD"/>
    <w:rsid w:val="00F45AAC"/>
    <w:rsid w:val="00F46624"/>
    <w:rsid w:val="00F46D96"/>
    <w:rsid w:val="00F5715D"/>
    <w:rsid w:val="00F57252"/>
    <w:rsid w:val="00F57454"/>
    <w:rsid w:val="00F57A80"/>
    <w:rsid w:val="00F57D61"/>
    <w:rsid w:val="00F61B11"/>
    <w:rsid w:val="00F63364"/>
    <w:rsid w:val="00F63D61"/>
    <w:rsid w:val="00F653FE"/>
    <w:rsid w:val="00F721EB"/>
    <w:rsid w:val="00F723C9"/>
    <w:rsid w:val="00F72AD8"/>
    <w:rsid w:val="00F72B7B"/>
    <w:rsid w:val="00F73710"/>
    <w:rsid w:val="00F74EFD"/>
    <w:rsid w:val="00F75858"/>
    <w:rsid w:val="00F769D3"/>
    <w:rsid w:val="00F80519"/>
    <w:rsid w:val="00F83B5F"/>
    <w:rsid w:val="00F8504B"/>
    <w:rsid w:val="00F860B3"/>
    <w:rsid w:val="00F87A76"/>
    <w:rsid w:val="00F90137"/>
    <w:rsid w:val="00F90ADA"/>
    <w:rsid w:val="00F92245"/>
    <w:rsid w:val="00F96829"/>
    <w:rsid w:val="00F97D82"/>
    <w:rsid w:val="00FA18CD"/>
    <w:rsid w:val="00FA1A57"/>
    <w:rsid w:val="00FA2089"/>
    <w:rsid w:val="00FA2380"/>
    <w:rsid w:val="00FA3B97"/>
    <w:rsid w:val="00FA3E0F"/>
    <w:rsid w:val="00FA3F21"/>
    <w:rsid w:val="00FA4839"/>
    <w:rsid w:val="00FA6901"/>
    <w:rsid w:val="00FA6BAD"/>
    <w:rsid w:val="00FA7B01"/>
    <w:rsid w:val="00FB19CA"/>
    <w:rsid w:val="00FB2FF5"/>
    <w:rsid w:val="00FB3E9E"/>
    <w:rsid w:val="00FB52C1"/>
    <w:rsid w:val="00FB5756"/>
    <w:rsid w:val="00FB6CBF"/>
    <w:rsid w:val="00FB6FA7"/>
    <w:rsid w:val="00FC0808"/>
    <w:rsid w:val="00FC1608"/>
    <w:rsid w:val="00FC2BEC"/>
    <w:rsid w:val="00FC2C5F"/>
    <w:rsid w:val="00FC3FE6"/>
    <w:rsid w:val="00FC414E"/>
    <w:rsid w:val="00FC5786"/>
    <w:rsid w:val="00FC5DA4"/>
    <w:rsid w:val="00FC7178"/>
    <w:rsid w:val="00FC7BC3"/>
    <w:rsid w:val="00FD0A9E"/>
    <w:rsid w:val="00FD1368"/>
    <w:rsid w:val="00FD4174"/>
    <w:rsid w:val="00FD438B"/>
    <w:rsid w:val="00FE07B4"/>
    <w:rsid w:val="00FE1979"/>
    <w:rsid w:val="00FE1F09"/>
    <w:rsid w:val="00FE39FA"/>
    <w:rsid w:val="00FE43F1"/>
    <w:rsid w:val="00FE44E3"/>
    <w:rsid w:val="00FF038A"/>
    <w:rsid w:val="00FF1B9C"/>
    <w:rsid w:val="00FF1EB5"/>
    <w:rsid w:val="1FCD3FAF"/>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iPriority="99" w:name="index heading"/>
    <w:lsdException w:qFormat="1" w:unhideWhenUsed="0" w:uiPriority="0" w:semiHidden="0" w:name="caption"/>
    <w:lsdException w:unhideWhenUsed="0" w:uiPriority="0" w:semiHidden="0" w:name="table of figures"/>
    <w:lsdException w:uiPriority="99" w:name="envelope address"/>
    <w:lsdException w:uiPriority="99" w:name="envelope return"/>
    <w:lsdException w:uiPriority="99" w:name="footnote reference"/>
    <w:lsdException w:unhideWhenUsed="0" w:uiPriority="0" w:semiHidden="0" w:name="annotation reference"/>
    <w:lsdException w:qFormat="1" w:unhideWhenUsed="0" w:uiPriority="99"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40" w:lineRule="atLeast"/>
      <w:jc w:val="both"/>
    </w:pPr>
    <w:rPr>
      <w:rFonts w:ascii="Times New Roman" w:hAnsi="Times New Roman" w:eastAsia="Times New Roman" w:cs="Times New Roman"/>
      <w:color w:val="000000"/>
      <w:kern w:val="0"/>
      <w:sz w:val="24"/>
      <w:lang w:val="en-US" w:eastAsia="de-DE" w:bidi="ar-SA"/>
    </w:rPr>
  </w:style>
  <w:style w:type="paragraph" w:styleId="2">
    <w:name w:val="heading 1"/>
    <w:basedOn w:val="1"/>
    <w:next w:val="1"/>
    <w:link w:val="99"/>
    <w:qFormat/>
    <w:uiPriority w:val="0"/>
    <w:pPr>
      <w:spacing w:before="240"/>
      <w:outlineLvl w:val="0"/>
    </w:pPr>
    <w:rPr>
      <w:rFonts w:ascii="Arial" w:hAnsi="Arial"/>
      <w:b/>
      <w:u w:val="single"/>
    </w:rPr>
  </w:style>
  <w:style w:type="paragraph" w:styleId="3">
    <w:name w:val="heading 2"/>
    <w:basedOn w:val="1"/>
    <w:next w:val="1"/>
    <w:link w:val="97"/>
    <w:qFormat/>
    <w:uiPriority w:val="0"/>
    <w:pPr>
      <w:spacing w:before="120"/>
      <w:outlineLvl w:val="1"/>
    </w:pPr>
    <w:rPr>
      <w:rFonts w:ascii="Arial" w:hAnsi="Arial" w:cstheme="majorBidi"/>
      <w:b/>
    </w:rPr>
  </w:style>
  <w:style w:type="paragraph" w:styleId="4">
    <w:name w:val="heading 3"/>
    <w:basedOn w:val="1"/>
    <w:next w:val="1"/>
    <w:link w:val="100"/>
    <w:qFormat/>
    <w:uiPriority w:val="0"/>
    <w:pPr>
      <w:ind w:left="360"/>
      <w:outlineLvl w:val="2"/>
    </w:pPr>
    <w:rPr>
      <w:b/>
    </w:rPr>
  </w:style>
  <w:style w:type="paragraph" w:styleId="5">
    <w:name w:val="heading 4"/>
    <w:basedOn w:val="1"/>
    <w:next w:val="1"/>
    <w:link w:val="101"/>
    <w:qFormat/>
    <w:uiPriority w:val="0"/>
    <w:pPr>
      <w:keepNext/>
      <w:keepLines/>
      <w:spacing w:before="240" w:line="480" w:lineRule="atLeast"/>
      <w:ind w:left="907" w:hanging="907"/>
      <w:outlineLvl w:val="3"/>
    </w:pPr>
    <w:rPr>
      <w:rFonts w:ascii="Arial" w:hAnsi="Arial" w:cstheme="majorBidi"/>
      <w:b/>
    </w:rPr>
  </w:style>
  <w:style w:type="paragraph" w:styleId="6">
    <w:name w:val="heading 5"/>
    <w:basedOn w:val="1"/>
    <w:next w:val="1"/>
    <w:link w:val="102"/>
    <w:qFormat/>
    <w:uiPriority w:val="0"/>
    <w:pPr>
      <w:ind w:left="706"/>
      <w:outlineLvl w:val="4"/>
    </w:pPr>
    <w:rPr>
      <w:b/>
    </w:rPr>
  </w:style>
  <w:style w:type="paragraph" w:styleId="7">
    <w:name w:val="heading 6"/>
    <w:basedOn w:val="1"/>
    <w:next w:val="1"/>
    <w:link w:val="103"/>
    <w:qFormat/>
    <w:uiPriority w:val="0"/>
    <w:pPr>
      <w:ind w:left="706"/>
      <w:outlineLvl w:val="5"/>
    </w:pPr>
    <w:rPr>
      <w:rFonts w:cstheme="majorBidi"/>
      <w:u w:val="single"/>
    </w:rPr>
  </w:style>
  <w:style w:type="paragraph" w:styleId="8">
    <w:name w:val="heading 7"/>
    <w:basedOn w:val="1"/>
    <w:next w:val="1"/>
    <w:link w:val="104"/>
    <w:qFormat/>
    <w:uiPriority w:val="0"/>
    <w:pPr>
      <w:ind w:left="706"/>
      <w:outlineLvl w:val="6"/>
    </w:pPr>
    <w:rPr>
      <w:i/>
    </w:rPr>
  </w:style>
  <w:style w:type="paragraph" w:styleId="9">
    <w:name w:val="heading 8"/>
    <w:basedOn w:val="1"/>
    <w:next w:val="1"/>
    <w:link w:val="105"/>
    <w:qFormat/>
    <w:uiPriority w:val="0"/>
    <w:pPr>
      <w:ind w:left="706"/>
      <w:outlineLvl w:val="7"/>
    </w:pPr>
    <w:rPr>
      <w:rFonts w:cstheme="majorBidi"/>
      <w:i/>
    </w:rPr>
  </w:style>
  <w:style w:type="paragraph" w:styleId="10">
    <w:name w:val="heading 9"/>
    <w:basedOn w:val="1"/>
    <w:next w:val="1"/>
    <w:link w:val="106"/>
    <w:qFormat/>
    <w:uiPriority w:val="0"/>
    <w:pPr>
      <w:ind w:left="706"/>
      <w:outlineLvl w:val="8"/>
    </w:pPr>
    <w:rPr>
      <w:rFonts w:cstheme="majorBidi"/>
      <w:i/>
    </w:rPr>
  </w:style>
  <w:style w:type="character" w:default="1" w:styleId="24">
    <w:name w:val="Default Paragraph Font"/>
    <w:unhideWhenUsed/>
    <w:uiPriority w:val="1"/>
  </w:style>
  <w:style w:type="table" w:default="1" w:styleId="31">
    <w:name w:val="Normal Table"/>
    <w:unhideWhenUsed/>
    <w:uiPriority w:val="99"/>
    <w:tblPr>
      <w:tblLayout w:type="fixed"/>
      <w:tblCellMar>
        <w:top w:w="0" w:type="dxa"/>
        <w:left w:w="108" w:type="dxa"/>
        <w:bottom w:w="0" w:type="dxa"/>
        <w:right w:w="108" w:type="dxa"/>
      </w:tblCellMar>
    </w:tblPr>
  </w:style>
  <w:style w:type="paragraph" w:styleId="11">
    <w:name w:val="Balloon Text"/>
    <w:basedOn w:val="1"/>
    <w:link w:val="109"/>
    <w:uiPriority w:val="99"/>
    <w:rPr>
      <w:rFonts w:cs="Tahoma"/>
      <w:sz w:val="18"/>
      <w:szCs w:val="18"/>
    </w:rPr>
  </w:style>
  <w:style w:type="paragraph" w:styleId="12">
    <w:name w:val="Body Text"/>
    <w:link w:val="116"/>
    <w:qFormat/>
    <w:uiPriority w:val="0"/>
    <w:pPr>
      <w:spacing w:after="120" w:line="340" w:lineRule="atLeast"/>
      <w:jc w:val="both"/>
    </w:pPr>
    <w:rPr>
      <w:rFonts w:ascii="Times New Roman" w:hAnsi="Times New Roman" w:eastAsia="SimSun" w:cs="Times New Roman"/>
      <w:color w:val="000000"/>
      <w:kern w:val="0"/>
      <w:sz w:val="24"/>
      <w:lang w:val="en-US" w:eastAsia="de-DE" w:bidi="ar-SA"/>
    </w:rPr>
  </w:style>
  <w:style w:type="paragraph" w:styleId="13">
    <w:name w:val="caption"/>
    <w:basedOn w:val="1"/>
    <w:next w:val="1"/>
    <w:qFormat/>
    <w:uiPriority w:val="0"/>
    <w:pPr>
      <w:ind w:left="850" w:hanging="850"/>
      <w:jc w:val="center"/>
    </w:pPr>
    <w:rPr>
      <w:b/>
      <w:bCs/>
      <w:szCs w:val="24"/>
      <w:lang w:eastAsia="en-US"/>
    </w:rPr>
  </w:style>
  <w:style w:type="paragraph" w:styleId="14">
    <w:name w:val="annotation text"/>
    <w:basedOn w:val="1"/>
    <w:link w:val="110"/>
    <w:uiPriority w:val="0"/>
  </w:style>
  <w:style w:type="paragraph" w:styleId="15">
    <w:name w:val="annotation subject"/>
    <w:basedOn w:val="14"/>
    <w:next w:val="14"/>
    <w:link w:val="111"/>
    <w:uiPriority w:val="0"/>
    <w:rPr>
      <w:b/>
      <w:bCs/>
    </w:rPr>
  </w:style>
  <w:style w:type="paragraph" w:styleId="16">
    <w:name w:val="endnote text"/>
    <w:basedOn w:val="1"/>
    <w:link w:val="113"/>
    <w:uiPriority w:val="0"/>
    <w:pPr>
      <w:spacing w:line="360" w:lineRule="auto"/>
    </w:pPr>
    <w:rPr>
      <w:szCs w:val="24"/>
      <w:lang w:val="en-GB" w:eastAsia="ar-SA"/>
    </w:rPr>
  </w:style>
  <w:style w:type="paragraph" w:styleId="17">
    <w:name w:val="footer"/>
    <w:basedOn w:val="1"/>
    <w:link w:val="114"/>
    <w:uiPriority w:val="99"/>
    <w:pPr>
      <w:tabs>
        <w:tab w:val="center" w:pos="4153"/>
        <w:tab w:val="right" w:pos="8306"/>
      </w:tabs>
      <w:snapToGrid w:val="0"/>
      <w:spacing w:line="240" w:lineRule="atLeast"/>
    </w:pPr>
    <w:rPr>
      <w:sz w:val="18"/>
      <w:szCs w:val="18"/>
    </w:rPr>
  </w:style>
  <w:style w:type="paragraph" w:styleId="18">
    <w:name w:val="footnote text"/>
    <w:basedOn w:val="1"/>
    <w:link w:val="107"/>
    <w:qFormat/>
    <w:uiPriority w:val="0"/>
  </w:style>
  <w:style w:type="paragraph" w:styleId="19">
    <w:name w:val="header"/>
    <w:basedOn w:val="1"/>
    <w:link w:val="115"/>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20">
    <w:name w:val="List"/>
    <w:basedOn w:val="1"/>
    <w:qFormat/>
    <w:uiPriority w:val="0"/>
    <w:pPr>
      <w:ind w:left="200" w:hanging="200" w:hangingChars="200"/>
      <w:contextualSpacing/>
    </w:pPr>
  </w:style>
  <w:style w:type="paragraph" w:styleId="21">
    <w:name w:val="List Bullet"/>
    <w:basedOn w:val="1"/>
    <w:uiPriority w:val="0"/>
    <w:pPr>
      <w:tabs>
        <w:tab w:val="left" w:pos="360"/>
      </w:tabs>
      <w:ind w:left="200" w:hanging="200" w:hangingChars="200"/>
      <w:contextualSpacing/>
    </w:pPr>
  </w:style>
  <w:style w:type="paragraph" w:styleId="22">
    <w:name w:val="Normal (Web)"/>
    <w:basedOn w:val="1"/>
    <w:uiPriority w:val="99"/>
    <w:rPr>
      <w:szCs w:val="24"/>
    </w:rPr>
  </w:style>
  <w:style w:type="paragraph" w:styleId="23">
    <w:name w:val="table of figures"/>
    <w:basedOn w:val="1"/>
    <w:next w:val="1"/>
    <w:uiPriority w:val="0"/>
    <w:pPr>
      <w:tabs>
        <w:tab w:val="left" w:pos="374"/>
      </w:tabs>
      <w:snapToGrid w:val="0"/>
      <w:spacing w:line="220" w:lineRule="exact"/>
    </w:pPr>
    <w:rPr>
      <w:sz w:val="16"/>
      <w:szCs w:val="16"/>
    </w:rPr>
  </w:style>
  <w:style w:type="character" w:styleId="25">
    <w:name w:val="annotation reference"/>
    <w:basedOn w:val="24"/>
    <w:uiPriority w:val="0"/>
    <w:rPr>
      <w:sz w:val="21"/>
      <w:szCs w:val="21"/>
    </w:rPr>
  </w:style>
  <w:style w:type="character" w:styleId="26">
    <w:name w:val="endnote reference"/>
    <w:basedOn w:val="24"/>
    <w:uiPriority w:val="0"/>
    <w:rPr>
      <w:vertAlign w:val="superscript"/>
    </w:rPr>
  </w:style>
  <w:style w:type="character" w:styleId="27">
    <w:name w:val="FollowedHyperlink"/>
    <w:basedOn w:val="24"/>
    <w:uiPriority w:val="0"/>
    <w:rPr>
      <w:color w:val="954F72" w:themeColor="followedHyperlink"/>
      <w:u w:val="single"/>
      <w14:textFill>
        <w14:solidFill>
          <w14:schemeClr w14:val="folHlink"/>
        </w14:solidFill>
      </w14:textFill>
    </w:rPr>
  </w:style>
  <w:style w:type="character" w:styleId="28">
    <w:name w:val="Hyperlink"/>
    <w:qFormat/>
    <w:uiPriority w:val="99"/>
    <w:rPr>
      <w:color w:val="0000FF"/>
      <w:u w:val="single"/>
    </w:rPr>
  </w:style>
  <w:style w:type="character" w:styleId="29">
    <w:name w:val="line number"/>
    <w:basedOn w:val="24"/>
    <w:qFormat/>
    <w:uiPriority w:val="99"/>
  </w:style>
  <w:style w:type="character" w:styleId="30">
    <w:name w:val="page number"/>
    <w:basedOn w:val="24"/>
    <w:qFormat/>
    <w:uiPriority w:val="0"/>
  </w:style>
  <w:style w:type="table" w:styleId="32">
    <w:name w:val="Table Grid"/>
    <w:basedOn w:val="31"/>
    <w:uiPriority w:val="59"/>
    <w:rPr>
      <w:rFonts w:cs="Times New Roman"/>
      <w:kern w:val="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3">
    <w:name w:val="apple-converted-space"/>
    <w:basedOn w:val="24"/>
    <w:uiPriority w:val="0"/>
  </w:style>
  <w:style w:type="paragraph" w:customStyle="1" w:styleId="34">
    <w:name w:val="MDPI_1.1_article_type"/>
    <w:basedOn w:val="35"/>
    <w:next w:val="36"/>
    <w:qFormat/>
    <w:uiPriority w:val="0"/>
    <w:pPr>
      <w:spacing w:before="240" w:line="240" w:lineRule="auto"/>
      <w:ind w:firstLine="0"/>
      <w:jc w:val="left"/>
    </w:pPr>
    <w:rPr>
      <w:i/>
    </w:rPr>
  </w:style>
  <w:style w:type="paragraph" w:customStyle="1" w:styleId="35">
    <w:name w:val="MDPI_3.1_text"/>
    <w:qFormat/>
    <w:uiPriority w:val="0"/>
    <w:pPr>
      <w:adjustRightInd w:val="0"/>
      <w:snapToGrid w:val="0"/>
      <w:spacing w:line="260" w:lineRule="atLeast"/>
      <w:ind w:firstLine="425"/>
      <w:jc w:val="both"/>
    </w:pPr>
    <w:rPr>
      <w:rFonts w:ascii="Palatino Linotype" w:hAnsi="Palatino Linotype" w:eastAsia="Times New Roman" w:cs="Times New Roman"/>
      <w:snapToGrid w:val="0"/>
      <w:color w:val="000000"/>
      <w:kern w:val="0"/>
      <w:szCs w:val="22"/>
      <w:lang w:val="en-US" w:eastAsia="de-DE" w:bidi="en-US"/>
    </w:rPr>
  </w:style>
  <w:style w:type="paragraph" w:customStyle="1" w:styleId="36">
    <w:name w:val="MDPI_1.2_title"/>
    <w:next w:val="37"/>
    <w:qFormat/>
    <w:uiPriority w:val="0"/>
    <w:pPr>
      <w:adjustRightInd w:val="0"/>
      <w:snapToGrid w:val="0"/>
      <w:spacing w:after="240" w:line="400" w:lineRule="exact"/>
    </w:pPr>
    <w:rPr>
      <w:rFonts w:ascii="Palatino Linotype" w:hAnsi="Palatino Linotype" w:eastAsia="Times New Roman" w:cs="Times New Roman"/>
      <w:b/>
      <w:snapToGrid w:val="0"/>
      <w:color w:val="000000"/>
      <w:kern w:val="0"/>
      <w:sz w:val="36"/>
      <w:lang w:val="en-US" w:eastAsia="de-DE" w:bidi="en-US"/>
    </w:rPr>
  </w:style>
  <w:style w:type="paragraph" w:customStyle="1" w:styleId="37">
    <w:name w:val="MDPI_1.3_authornames"/>
    <w:basedOn w:val="35"/>
    <w:next w:val="38"/>
    <w:qFormat/>
    <w:uiPriority w:val="0"/>
    <w:pPr>
      <w:spacing w:after="120"/>
      <w:ind w:firstLine="0"/>
      <w:jc w:val="left"/>
    </w:pPr>
    <w:rPr>
      <w:b/>
      <w:snapToGrid/>
    </w:rPr>
  </w:style>
  <w:style w:type="paragraph" w:customStyle="1" w:styleId="38">
    <w:name w:val="MDPI_1.4_history"/>
    <w:basedOn w:val="39"/>
    <w:next w:val="40"/>
    <w:qFormat/>
    <w:uiPriority w:val="0"/>
    <w:pPr>
      <w:ind w:left="113"/>
      <w:jc w:val="left"/>
    </w:pPr>
    <w:rPr>
      <w:snapToGrid/>
    </w:rPr>
  </w:style>
  <w:style w:type="paragraph" w:customStyle="1" w:styleId="39">
    <w:name w:val="MDPI_6.2_Acknowledgments"/>
    <w:qFormat/>
    <w:uiPriority w:val="0"/>
    <w:pPr>
      <w:adjustRightInd w:val="0"/>
      <w:snapToGrid w:val="0"/>
      <w:spacing w:before="120" w:line="200" w:lineRule="atLeast"/>
      <w:jc w:val="both"/>
    </w:pPr>
    <w:rPr>
      <w:rFonts w:ascii="Palatino Linotype" w:hAnsi="Palatino Linotype" w:eastAsia="Times New Roman" w:cs="Times New Roman"/>
      <w:snapToGrid w:val="0"/>
      <w:color w:val="000000"/>
      <w:kern w:val="0"/>
      <w:sz w:val="18"/>
      <w:lang w:val="en-US" w:eastAsia="de-DE" w:bidi="en-US"/>
    </w:rPr>
  </w:style>
  <w:style w:type="paragraph" w:customStyle="1" w:styleId="40">
    <w:name w:val="MDPI_1.5_academic_editor"/>
    <w:basedOn w:val="39"/>
    <w:qFormat/>
    <w:uiPriority w:val="0"/>
    <w:pPr>
      <w:spacing w:before="0" w:after="120"/>
      <w:ind w:left="113"/>
      <w:jc w:val="left"/>
    </w:pPr>
    <w:rPr>
      <w:snapToGrid/>
      <w:szCs w:val="22"/>
    </w:rPr>
  </w:style>
  <w:style w:type="paragraph" w:customStyle="1" w:styleId="41">
    <w:name w:val="MDPI_1.6_affiliation"/>
    <w:basedOn w:val="39"/>
    <w:qFormat/>
    <w:uiPriority w:val="0"/>
    <w:pPr>
      <w:spacing w:before="0"/>
      <w:ind w:left="311" w:hanging="198"/>
      <w:jc w:val="left"/>
    </w:pPr>
    <w:rPr>
      <w:snapToGrid/>
      <w:szCs w:val="18"/>
    </w:rPr>
  </w:style>
  <w:style w:type="paragraph" w:customStyle="1" w:styleId="42">
    <w:name w:val="MDPI_1.7_abstract"/>
    <w:basedOn w:val="35"/>
    <w:next w:val="43"/>
    <w:qFormat/>
    <w:uiPriority w:val="0"/>
    <w:pPr>
      <w:spacing w:before="240"/>
      <w:ind w:left="113" w:firstLine="0"/>
    </w:pPr>
    <w:rPr>
      <w:snapToGrid/>
    </w:rPr>
  </w:style>
  <w:style w:type="paragraph" w:customStyle="1" w:styleId="43">
    <w:name w:val="MDPI_1.8_keywords"/>
    <w:basedOn w:val="35"/>
    <w:next w:val="44"/>
    <w:qFormat/>
    <w:uiPriority w:val="0"/>
    <w:pPr>
      <w:spacing w:before="240"/>
      <w:ind w:left="113" w:firstLine="0"/>
    </w:pPr>
  </w:style>
  <w:style w:type="paragraph" w:customStyle="1" w:styleId="44">
    <w:name w:val="MDPI_1.9_classification"/>
    <w:basedOn w:val="35"/>
    <w:qFormat/>
    <w:uiPriority w:val="0"/>
    <w:pPr>
      <w:spacing w:before="240"/>
      <w:ind w:left="113" w:firstLine="0"/>
    </w:pPr>
    <w:rPr>
      <w:b/>
      <w:snapToGrid/>
    </w:rPr>
  </w:style>
  <w:style w:type="paragraph" w:customStyle="1" w:styleId="45">
    <w:name w:val="MDPI_1.9_line"/>
    <w:basedOn w:val="35"/>
    <w:qFormat/>
    <w:uiPriority w:val="0"/>
    <w:pPr>
      <w:pBdr>
        <w:bottom w:val="single" w:color="auto" w:sz="6" w:space="1"/>
      </w:pBdr>
      <w:ind w:firstLine="0"/>
    </w:pPr>
    <w:rPr>
      <w:rFonts w:cstheme="minorBidi"/>
      <w:snapToGrid/>
      <w:szCs w:val="24"/>
    </w:rPr>
  </w:style>
  <w:style w:type="paragraph" w:customStyle="1" w:styleId="46">
    <w:name w:val="M_1stheader"/>
    <w:basedOn w:val="1"/>
    <w:qFormat/>
    <w:uiPriority w:val="0"/>
    <w:pPr>
      <w:tabs>
        <w:tab w:val="center" w:pos="4320"/>
        <w:tab w:val="right" w:pos="8640"/>
      </w:tabs>
      <w:ind w:right="360"/>
      <w:outlineLvl w:val="0"/>
    </w:pPr>
    <w:rPr>
      <w:i/>
    </w:rPr>
  </w:style>
  <w:style w:type="paragraph" w:customStyle="1" w:styleId="47">
    <w:name w:val="M_abstract"/>
    <w:basedOn w:val="48"/>
    <w:next w:val="49"/>
    <w:uiPriority w:val="0"/>
    <w:pPr>
      <w:spacing w:before="240"/>
      <w:ind w:left="113" w:right="505" w:firstLine="0"/>
    </w:pPr>
  </w:style>
  <w:style w:type="paragraph" w:customStyle="1" w:styleId="48">
    <w:name w:val="M_deck_4_text"/>
    <w:qFormat/>
    <w:uiPriority w:val="0"/>
    <w:pPr>
      <w:kinsoku w:val="0"/>
      <w:overflowPunct w:val="0"/>
      <w:autoSpaceDE w:val="0"/>
      <w:autoSpaceDN w:val="0"/>
      <w:adjustRightInd w:val="0"/>
      <w:snapToGrid w:val="0"/>
      <w:spacing w:line="320" w:lineRule="atLeast"/>
      <w:ind w:firstLine="425"/>
      <w:jc w:val="both"/>
    </w:pPr>
    <w:rPr>
      <w:rFonts w:ascii="Minion Pro" w:hAnsi="Minion Pro" w:eastAsia="Times New Roman" w:cstheme="minorBidi"/>
      <w:snapToGrid w:val="0"/>
      <w:color w:val="000000"/>
      <w:kern w:val="0"/>
      <w:sz w:val="24"/>
      <w:lang w:val="en-US" w:eastAsia="de-DE" w:bidi="en-US"/>
    </w:rPr>
  </w:style>
  <w:style w:type="paragraph" w:customStyle="1" w:styleId="49">
    <w:name w:val="M_deck_3_keywords"/>
    <w:basedOn w:val="48"/>
    <w:next w:val="1"/>
    <w:qFormat/>
    <w:uiPriority w:val="0"/>
    <w:pPr>
      <w:spacing w:before="240"/>
      <w:ind w:left="113" w:firstLine="0"/>
    </w:pPr>
  </w:style>
  <w:style w:type="paragraph" w:customStyle="1" w:styleId="50">
    <w:name w:val="M_Acknow"/>
    <w:basedOn w:val="1"/>
    <w:uiPriority w:val="0"/>
    <w:pPr>
      <w:spacing w:before="120" w:line="240" w:lineRule="atLeast"/>
    </w:pPr>
    <w:rPr>
      <w:rFonts w:ascii="Minion Pro" w:hAnsi="Minion Pro"/>
      <w:color w:val="000000" w:themeColor="text1"/>
      <w14:textFill>
        <w14:solidFill>
          <w14:schemeClr w14:val="tx1"/>
        </w14:solidFill>
      </w14:textFill>
    </w:rPr>
  </w:style>
  <w:style w:type="paragraph" w:customStyle="1" w:styleId="51">
    <w:name w:val="M_address"/>
    <w:basedOn w:val="1"/>
    <w:uiPriority w:val="0"/>
    <w:pPr>
      <w:spacing w:before="240"/>
    </w:pPr>
  </w:style>
  <w:style w:type="paragraph" w:customStyle="1" w:styleId="52">
    <w:name w:val="M_author"/>
    <w:basedOn w:val="1"/>
    <w:uiPriority w:val="0"/>
    <w:pPr>
      <w:spacing w:before="240" w:after="240" w:line="340" w:lineRule="exact"/>
    </w:pPr>
    <w:rPr>
      <w:b/>
      <w:lang w:val="it-IT"/>
    </w:rPr>
  </w:style>
  <w:style w:type="paragraph" w:customStyle="1" w:styleId="53">
    <w:name w:val="M_Caption"/>
    <w:basedOn w:val="1"/>
    <w:uiPriority w:val="0"/>
    <w:pPr>
      <w:spacing w:before="240" w:after="240"/>
      <w:jc w:val="center"/>
    </w:pPr>
  </w:style>
  <w:style w:type="paragraph" w:customStyle="1" w:styleId="54">
    <w:name w:val="M_Copyright"/>
    <w:basedOn w:val="55"/>
    <w:qFormat/>
    <w:uiPriority w:val="0"/>
    <w:pPr>
      <w:tabs>
        <w:tab w:val="center" w:pos="4536"/>
        <w:tab w:val="right" w:pos="9072"/>
      </w:tabs>
      <w:spacing w:before="400"/>
      <w:ind w:left="0" w:firstLine="0"/>
    </w:pPr>
  </w:style>
  <w:style w:type="paragraph" w:customStyle="1" w:styleId="55">
    <w:name w:val="M_deck_8_references"/>
    <w:qFormat/>
    <w:uiPriority w:val="0"/>
    <w:pPr>
      <w:numPr>
        <w:ilvl w:val="0"/>
        <w:numId w:val="1"/>
      </w:numPr>
      <w:kinsoku w:val="0"/>
      <w:overflowPunct w:val="0"/>
      <w:autoSpaceDE w:val="0"/>
      <w:autoSpaceDN w:val="0"/>
      <w:adjustRightInd w:val="0"/>
      <w:snapToGrid w:val="0"/>
      <w:spacing w:line="260" w:lineRule="atLeast"/>
      <w:jc w:val="both"/>
    </w:pPr>
    <w:rPr>
      <w:rFonts w:ascii="Times New Roman" w:hAnsi="Times New Roman" w:eastAsia="Times New Roman" w:cstheme="minorBidi"/>
      <w:snapToGrid w:val="0"/>
      <w:color w:val="000000"/>
      <w:kern w:val="0"/>
      <w:sz w:val="24"/>
      <w:lang w:val="en-US" w:eastAsia="de-DE" w:bidi="en-US"/>
    </w:rPr>
  </w:style>
  <w:style w:type="paragraph" w:customStyle="1" w:styleId="56">
    <w:name w:val="M_deck_1_article_title"/>
    <w:next w:val="57"/>
    <w:qFormat/>
    <w:uiPriority w:val="0"/>
    <w:pPr>
      <w:kinsoku w:val="0"/>
      <w:overflowPunct w:val="0"/>
      <w:autoSpaceDE w:val="0"/>
      <w:autoSpaceDN w:val="0"/>
      <w:adjustRightInd w:val="0"/>
      <w:snapToGrid w:val="0"/>
      <w:spacing w:after="240" w:line="400" w:lineRule="exact"/>
    </w:pPr>
    <w:rPr>
      <w:rFonts w:ascii="Minion Pro" w:hAnsi="Minion Pro" w:eastAsia="Times New Roman" w:cstheme="minorBidi"/>
      <w:b/>
      <w:snapToGrid w:val="0"/>
      <w:color w:val="000000"/>
      <w:kern w:val="0"/>
      <w:sz w:val="36"/>
      <w:lang w:val="en-US" w:eastAsia="de-DE" w:bidi="en-US"/>
    </w:rPr>
  </w:style>
  <w:style w:type="paragraph" w:customStyle="1" w:styleId="57">
    <w:name w:val="M_deck_2_author_name"/>
    <w:next w:val="58"/>
    <w:qFormat/>
    <w:uiPriority w:val="0"/>
    <w:pPr>
      <w:kinsoku w:val="0"/>
      <w:overflowPunct w:val="0"/>
      <w:autoSpaceDE w:val="0"/>
      <w:autoSpaceDN w:val="0"/>
      <w:adjustRightInd w:val="0"/>
      <w:snapToGrid w:val="0"/>
      <w:spacing w:before="240" w:after="120" w:line="320" w:lineRule="atLeast"/>
    </w:pPr>
    <w:rPr>
      <w:rFonts w:ascii="Times New Roman" w:hAnsi="Times New Roman" w:eastAsia="Times New Roman" w:cstheme="minorBidi"/>
      <w:b/>
      <w:snapToGrid w:val="0"/>
      <w:color w:val="000000"/>
      <w:kern w:val="0"/>
      <w:sz w:val="22"/>
      <w:lang w:val="en-US" w:eastAsia="de-DE" w:bidi="en-US"/>
    </w:rPr>
  </w:style>
  <w:style w:type="paragraph" w:customStyle="1" w:styleId="58">
    <w:name w:val="M_deck_3_publcation_history"/>
    <w:next w:val="1"/>
    <w:qFormat/>
    <w:uiPriority w:val="0"/>
    <w:pPr>
      <w:widowControl w:val="0"/>
      <w:kinsoku w:val="0"/>
      <w:overflowPunct w:val="0"/>
      <w:autoSpaceDE w:val="0"/>
      <w:autoSpaceDN w:val="0"/>
      <w:adjustRightInd w:val="0"/>
      <w:snapToGrid w:val="0"/>
      <w:spacing w:before="240" w:line="340" w:lineRule="atLeast"/>
      <w:ind w:left="113"/>
    </w:pPr>
    <w:rPr>
      <w:rFonts w:ascii="Times New Roman" w:hAnsi="Times New Roman" w:eastAsia="Times New Roman" w:cstheme="minorBidi"/>
      <w:i/>
      <w:snapToGrid w:val="0"/>
      <w:color w:val="000000"/>
      <w:kern w:val="0"/>
      <w:sz w:val="24"/>
      <w:lang w:val="en-US" w:eastAsia="de-DE" w:bidi="en-US"/>
    </w:rPr>
  </w:style>
  <w:style w:type="paragraph" w:customStyle="1" w:styleId="59">
    <w:name w:val="M_deck_1_article_type"/>
    <w:basedOn w:val="48"/>
    <w:next w:val="56"/>
    <w:qFormat/>
    <w:uiPriority w:val="0"/>
    <w:pPr>
      <w:widowControl w:val="0"/>
      <w:spacing w:before="120" w:after="120" w:line="240" w:lineRule="auto"/>
      <w:ind w:firstLine="0"/>
      <w:jc w:val="left"/>
    </w:pPr>
    <w:rPr>
      <w:rFonts w:cs="Times New Roman"/>
      <w:i/>
      <w:sz w:val="20"/>
      <w:szCs w:val="24"/>
    </w:rPr>
  </w:style>
  <w:style w:type="paragraph" w:customStyle="1" w:styleId="60">
    <w:name w:val="M_deck_2_author_affiliation"/>
    <w:qFormat/>
    <w:uiPriority w:val="0"/>
    <w:pPr>
      <w:widowControl w:val="0"/>
      <w:kinsoku w:val="0"/>
      <w:overflowPunct w:val="0"/>
      <w:autoSpaceDE w:val="0"/>
      <w:autoSpaceDN w:val="0"/>
      <w:adjustRightInd w:val="0"/>
      <w:snapToGrid w:val="0"/>
      <w:spacing w:line="340" w:lineRule="atLeast"/>
      <w:ind w:left="311" w:hanging="198"/>
    </w:pPr>
    <w:rPr>
      <w:rFonts w:ascii="Times New Roman" w:hAnsi="Times New Roman" w:eastAsia="Times New Roman" w:cstheme="minorBidi"/>
      <w:snapToGrid w:val="0"/>
      <w:color w:val="000000"/>
      <w:kern w:val="0"/>
      <w:sz w:val="24"/>
      <w:lang w:val="en-US" w:eastAsia="de-DE" w:bidi="en-US"/>
    </w:rPr>
  </w:style>
  <w:style w:type="paragraph" w:customStyle="1" w:styleId="61">
    <w:name w:val="M_deck_2_author_correspondence"/>
    <w:qFormat/>
    <w:uiPriority w:val="0"/>
    <w:pPr>
      <w:kinsoku w:val="0"/>
      <w:overflowPunct w:val="0"/>
      <w:autoSpaceDE w:val="0"/>
      <w:autoSpaceDN w:val="0"/>
      <w:adjustRightInd w:val="0"/>
      <w:snapToGrid w:val="0"/>
      <w:spacing w:line="200" w:lineRule="atLeast"/>
      <w:ind w:left="311" w:hanging="198"/>
    </w:pPr>
    <w:rPr>
      <w:rFonts w:ascii="Palatino Linotype" w:hAnsi="Palatino Linotype" w:eastAsia="Times New Roman" w:cstheme="minorBidi"/>
      <w:snapToGrid w:val="0"/>
      <w:color w:val="000000"/>
      <w:kern w:val="0"/>
      <w:sz w:val="18"/>
      <w:lang w:val="en-US" w:eastAsia="de-DE" w:bidi="en-US"/>
    </w:rPr>
  </w:style>
  <w:style w:type="paragraph" w:customStyle="1" w:styleId="62">
    <w:name w:val="M_deck_3_abstract"/>
    <w:basedOn w:val="48"/>
    <w:next w:val="49"/>
    <w:qFormat/>
    <w:uiPriority w:val="0"/>
    <w:pPr>
      <w:widowControl w:val="0"/>
      <w:spacing w:before="240" w:after="240" w:line="340" w:lineRule="atLeast"/>
      <w:ind w:left="113" w:right="567"/>
    </w:pPr>
    <w:rPr>
      <w:snapToGrid/>
    </w:rPr>
  </w:style>
  <w:style w:type="paragraph" w:customStyle="1" w:styleId="63">
    <w:name w:val="M_deck_4_heading_1"/>
    <w:basedOn w:val="64"/>
    <w:next w:val="1"/>
    <w:qFormat/>
    <w:uiPriority w:val="0"/>
    <w:pPr>
      <w:spacing w:line="340" w:lineRule="atLeast"/>
      <w:outlineLvl w:val="0"/>
    </w:pPr>
    <w:rPr>
      <w:b/>
      <w:snapToGrid/>
    </w:rPr>
  </w:style>
  <w:style w:type="paragraph" w:customStyle="1" w:styleId="64">
    <w:name w:val="M_Heading3"/>
    <w:basedOn w:val="48"/>
    <w:qFormat/>
    <w:uiPriority w:val="0"/>
    <w:pPr>
      <w:spacing w:before="240" w:after="120"/>
    </w:pPr>
  </w:style>
  <w:style w:type="paragraph" w:customStyle="1" w:styleId="65">
    <w:name w:val="M_deck_4_heading_2"/>
    <w:basedOn w:val="64"/>
    <w:next w:val="1"/>
    <w:qFormat/>
    <w:uiPriority w:val="0"/>
    <w:pPr>
      <w:outlineLvl w:val="1"/>
    </w:pPr>
    <w:rPr>
      <w:i/>
      <w:snapToGrid/>
    </w:rPr>
  </w:style>
  <w:style w:type="paragraph" w:customStyle="1" w:styleId="66">
    <w:name w:val="M_deck_4_heading_3"/>
    <w:basedOn w:val="48"/>
    <w:next w:val="1"/>
    <w:qFormat/>
    <w:uiPriority w:val="0"/>
    <w:pPr>
      <w:spacing w:before="240" w:after="120" w:line="340" w:lineRule="atLeast"/>
      <w:ind w:firstLine="50" w:firstLineChars="50"/>
      <w:outlineLvl w:val="2"/>
    </w:pPr>
    <w:rPr>
      <w:snapToGrid/>
    </w:rPr>
  </w:style>
  <w:style w:type="paragraph" w:customStyle="1" w:styleId="67">
    <w:name w:val="M_deck_4_text_bullet_list"/>
    <w:basedOn w:val="48"/>
    <w:qFormat/>
    <w:uiPriority w:val="0"/>
    <w:pPr>
      <w:numPr>
        <w:ilvl w:val="0"/>
        <w:numId w:val="2"/>
      </w:numPr>
      <w:spacing w:before="120" w:after="120" w:line="340" w:lineRule="atLeast"/>
    </w:pPr>
    <w:rPr>
      <w:snapToGrid/>
    </w:rPr>
  </w:style>
  <w:style w:type="paragraph" w:customStyle="1" w:styleId="68">
    <w:name w:val="M_deck_4_text_firstline_zero"/>
    <w:basedOn w:val="48"/>
    <w:next w:val="48"/>
    <w:qFormat/>
    <w:uiPriority w:val="0"/>
    <w:pPr>
      <w:ind w:firstLine="0"/>
    </w:pPr>
    <w:rPr>
      <w:szCs w:val="24"/>
    </w:rPr>
  </w:style>
  <w:style w:type="paragraph" w:customStyle="1" w:styleId="69">
    <w:name w:val="M_Figure"/>
    <w:qFormat/>
    <w:uiPriority w:val="0"/>
    <w:pPr>
      <w:jc w:val="center"/>
    </w:pPr>
    <w:rPr>
      <w:rFonts w:ascii="Minion Pro" w:hAnsi="Minion Pro" w:eastAsia="Times New Roman" w:cstheme="minorBidi"/>
      <w:color w:val="000000" w:themeColor="text1"/>
      <w:kern w:val="2"/>
      <w:sz w:val="24"/>
      <w:lang w:val="en-US" w:eastAsia="zh-CN" w:bidi="ar-SA"/>
      <w14:textFill>
        <w14:solidFill>
          <w14:schemeClr w14:val="tx1"/>
        </w14:solidFill>
      </w14:textFill>
    </w:rPr>
  </w:style>
  <w:style w:type="paragraph" w:customStyle="1" w:styleId="70">
    <w:name w:val="M_deck_4_text_list"/>
    <w:basedOn w:val="69"/>
    <w:qFormat/>
    <w:uiPriority w:val="0"/>
    <w:rPr>
      <w:i/>
    </w:rPr>
  </w:style>
  <w:style w:type="paragraph" w:customStyle="1" w:styleId="71">
    <w:name w:val="M_deck_4_text_lr_indent"/>
    <w:basedOn w:val="48"/>
    <w:qFormat/>
    <w:uiPriority w:val="0"/>
    <w:pPr>
      <w:spacing w:before="120" w:after="120" w:line="260" w:lineRule="atLeast"/>
      <w:ind w:left="425" w:right="425" w:firstLine="0"/>
    </w:pPr>
    <w:rPr>
      <w:rFonts w:ascii="Palatino Linotype" w:hAnsi="Palatino Linotype"/>
    </w:rPr>
  </w:style>
  <w:style w:type="paragraph" w:customStyle="1" w:styleId="72">
    <w:name w:val="M_deck_4_text_numbered_list"/>
    <w:basedOn w:val="48"/>
    <w:qFormat/>
    <w:uiPriority w:val="0"/>
    <w:pPr>
      <w:numPr>
        <w:ilvl w:val="0"/>
        <w:numId w:val="3"/>
      </w:numPr>
      <w:spacing w:before="120" w:after="120" w:line="340" w:lineRule="atLeast"/>
    </w:pPr>
    <w:rPr>
      <w:snapToGrid/>
    </w:rPr>
  </w:style>
  <w:style w:type="paragraph" w:customStyle="1" w:styleId="73">
    <w:name w:val="M_deck_5_table_body"/>
    <w:qFormat/>
    <w:uiPriority w:val="0"/>
    <w:pPr>
      <w:kinsoku w:val="0"/>
      <w:overflowPunct w:val="0"/>
      <w:autoSpaceDE w:val="0"/>
      <w:autoSpaceDN w:val="0"/>
      <w:adjustRightInd w:val="0"/>
      <w:snapToGrid w:val="0"/>
      <w:jc w:val="center"/>
    </w:pPr>
    <w:rPr>
      <w:rFonts w:ascii="Minion Pro" w:hAnsi="Minion Pro" w:eastAsia="Times New Roman" w:cstheme="minorBidi"/>
      <w:snapToGrid w:val="0"/>
      <w:color w:val="000000"/>
      <w:kern w:val="0"/>
      <w:lang w:val="en-US" w:eastAsia="de-DE" w:bidi="en-US"/>
    </w:rPr>
  </w:style>
  <w:style w:type="table" w:customStyle="1" w:styleId="74">
    <w:name w:val="M_deck_5_table_body_three_lines"/>
    <w:basedOn w:val="31"/>
    <w:uiPriority w:val="99"/>
    <w:pPr>
      <w:adjustRightInd w:val="0"/>
      <w:snapToGrid w:val="0"/>
      <w:spacing w:line="300" w:lineRule="exact"/>
      <w:jc w:val="center"/>
    </w:pPr>
    <w:rPr>
      <w:rFonts w:cs="Times New Roman" w:eastAsiaTheme="minorEastAsia"/>
      <w:kern w:val="0"/>
      <w:lang w:val="de-DE" w:eastAsia="de-DE"/>
    </w:rPr>
    <w:tblPr>
      <w:jc w:val="center"/>
      <w:tblBorders>
        <w:bottom w:val="single" w:color="auto" w:sz="8" w:space="0"/>
      </w:tblBorders>
      <w:tblLayout w:type="fixed"/>
    </w:tblPr>
    <w:trPr>
      <w:jc w:val="center"/>
    </w:trPr>
    <w:tcPr>
      <w:vAlign w:val="center"/>
    </w:tcPr>
    <w:tblStylePr w:type="firstRow">
      <w:pPr>
        <w:wordWrap/>
        <w:adjustRightInd w:val="0"/>
        <w:snapToGrid w:val="0"/>
        <w:spacing w:beforeLines="0" w:beforeAutospacing="0" w:afterLines="0" w:afterAutospacing="0" w:line="300" w:lineRule="exact"/>
        <w:ind w:left="0" w:leftChars="0" w:right="0" w:rightChars="0" w:firstLine="0" w:firstLineChars="0"/>
        <w:contextualSpacing w:val="0"/>
        <w:jc w:val="center"/>
        <w:outlineLvl w:val="9"/>
      </w:pPr>
      <w:rPr>
        <w:rFonts w:ascii="Times New Roman" w:hAnsi="Times New Roman" w:eastAsia="Times New Roman"/>
        <w:b w:val="0"/>
        <w:i w:val="0"/>
        <w:snapToGrid w:val="0"/>
        <w:sz w:val="22"/>
      </w:rPr>
      <w:tblPr>
        <w:tblLayout w:type="fixed"/>
      </w:tblPr>
      <w:tcPr>
        <w:tcBorders>
          <w:top w:val="single" w:color="auto" w:sz="8" w:space="0"/>
          <w:left w:val="nil"/>
          <w:bottom w:val="single" w:color="auto" w:sz="4" w:space="0"/>
          <w:right w:val="nil"/>
          <w:insideH w:val="nil"/>
          <w:insideV w:val="nil"/>
          <w:tl2br w:val="nil"/>
          <w:tr2bl w:val="nil"/>
        </w:tcBorders>
      </w:tcPr>
    </w:tblStylePr>
  </w:style>
  <w:style w:type="paragraph" w:customStyle="1" w:styleId="75">
    <w:name w:val="M_deck_5_table_caption"/>
    <w:qFormat/>
    <w:uiPriority w:val="0"/>
    <w:pPr>
      <w:kinsoku w:val="0"/>
      <w:overflowPunct w:val="0"/>
      <w:autoSpaceDE w:val="0"/>
      <w:autoSpaceDN w:val="0"/>
      <w:adjustRightInd w:val="0"/>
      <w:snapToGrid w:val="0"/>
      <w:spacing w:after="120" w:line="260" w:lineRule="atLeast"/>
      <w:jc w:val="both"/>
    </w:pPr>
    <w:rPr>
      <w:rFonts w:ascii="Palatino Linotype" w:hAnsi="Palatino Linotype" w:eastAsia="Times New Roman" w:cstheme="minorBidi"/>
      <w:snapToGrid w:val="0"/>
      <w:color w:val="000000"/>
      <w:kern w:val="0"/>
      <w:sz w:val="18"/>
      <w:lang w:val="en-US" w:eastAsia="de-DE" w:bidi="en-US"/>
    </w:rPr>
  </w:style>
  <w:style w:type="paragraph" w:customStyle="1" w:styleId="76">
    <w:name w:val="M_deck_5_table_footer"/>
    <w:basedOn w:val="75"/>
    <w:next w:val="48"/>
    <w:qFormat/>
    <w:uiPriority w:val="0"/>
    <w:pPr>
      <w:spacing w:line="300" w:lineRule="exact"/>
    </w:pPr>
  </w:style>
  <w:style w:type="paragraph" w:customStyle="1" w:styleId="77">
    <w:name w:val="M_deck_5_table_header"/>
    <w:basedOn w:val="76"/>
    <w:uiPriority w:val="0"/>
  </w:style>
  <w:style w:type="paragraph" w:customStyle="1" w:styleId="78">
    <w:name w:val="M_deck_6_figure_body"/>
    <w:qFormat/>
    <w:uiPriority w:val="0"/>
    <w:pPr>
      <w:widowControl w:val="0"/>
      <w:kinsoku w:val="0"/>
      <w:overflowPunct w:val="0"/>
      <w:autoSpaceDE w:val="0"/>
      <w:autoSpaceDN w:val="0"/>
      <w:adjustRightInd w:val="0"/>
      <w:snapToGrid w:val="0"/>
      <w:spacing w:line="340" w:lineRule="atLeast"/>
      <w:jc w:val="center"/>
    </w:pPr>
    <w:rPr>
      <w:rFonts w:ascii="Times New Roman" w:hAnsi="Times New Roman" w:eastAsia="Times New Roman" w:cstheme="minorBidi"/>
      <w:snapToGrid w:val="0"/>
      <w:color w:val="000000"/>
      <w:kern w:val="0"/>
      <w:sz w:val="24"/>
      <w:lang w:val="en-US" w:eastAsia="de-DE" w:bidi="en-US"/>
    </w:rPr>
  </w:style>
  <w:style w:type="paragraph" w:customStyle="1" w:styleId="79">
    <w:name w:val="M_deck_6_figure_caption"/>
    <w:next w:val="48"/>
    <w:qFormat/>
    <w:uiPriority w:val="0"/>
    <w:pPr>
      <w:adjustRightInd w:val="0"/>
      <w:snapToGrid w:val="0"/>
      <w:spacing w:before="120" w:line="260" w:lineRule="atLeast"/>
    </w:pPr>
    <w:rPr>
      <w:rFonts w:ascii="Palatino Linotype" w:hAnsi="Palatino Linotype" w:eastAsia="Times New Roman" w:cstheme="minorBidi"/>
      <w:snapToGrid w:val="0"/>
      <w:color w:val="000000"/>
      <w:kern w:val="0"/>
      <w:sz w:val="18"/>
      <w:lang w:val="en-US" w:eastAsia="de-DE" w:bidi="en-US"/>
    </w:rPr>
  </w:style>
  <w:style w:type="paragraph" w:customStyle="1" w:styleId="80">
    <w:name w:val="M_deck_7_equation"/>
    <w:basedOn w:val="48"/>
    <w:qFormat/>
    <w:uiPriority w:val="0"/>
    <w:pPr>
      <w:spacing w:before="120" w:after="120"/>
      <w:ind w:left="709" w:firstLine="0"/>
      <w:jc w:val="center"/>
    </w:pPr>
    <w:rPr>
      <w:i/>
      <w:snapToGrid/>
      <w:szCs w:val="24"/>
      <w:lang w:eastAsia="en-US"/>
    </w:rPr>
  </w:style>
  <w:style w:type="paragraph" w:customStyle="1" w:styleId="81">
    <w:name w:val="M_Header"/>
    <w:basedOn w:val="1"/>
    <w:uiPriority w:val="0"/>
    <w:pPr>
      <w:spacing w:after="240"/>
      <w:ind w:left="425"/>
    </w:pPr>
    <w:rPr>
      <w:rFonts w:ascii="Minion Pro" w:hAnsi="Minion Pro"/>
    </w:rPr>
  </w:style>
  <w:style w:type="paragraph" w:customStyle="1" w:styleId="82">
    <w:name w:val="M_Heading1"/>
    <w:basedOn w:val="64"/>
    <w:qFormat/>
    <w:uiPriority w:val="0"/>
    <w:rPr>
      <w:b/>
    </w:rPr>
  </w:style>
  <w:style w:type="paragraph" w:customStyle="1" w:styleId="83">
    <w:name w:val="M_Heading2"/>
    <w:basedOn w:val="64"/>
    <w:qFormat/>
    <w:uiPriority w:val="0"/>
    <w:rPr>
      <w:i/>
    </w:rPr>
  </w:style>
  <w:style w:type="paragraph" w:customStyle="1" w:styleId="84">
    <w:name w:val="M_ISSN"/>
    <w:basedOn w:val="1"/>
    <w:uiPriority w:val="0"/>
    <w:pPr>
      <w:spacing w:after="520"/>
      <w:jc w:val="right"/>
    </w:pPr>
  </w:style>
  <w:style w:type="paragraph" w:customStyle="1" w:styleId="85">
    <w:name w:val="M_line2"/>
    <w:basedOn w:val="48"/>
    <w:qFormat/>
    <w:uiPriority w:val="0"/>
    <w:pPr>
      <w:pBdr>
        <w:bottom w:val="single" w:color="auto" w:sz="6" w:space="1"/>
      </w:pBdr>
      <w:spacing w:after="480"/>
    </w:pPr>
  </w:style>
  <w:style w:type="paragraph" w:customStyle="1" w:styleId="86">
    <w:name w:val="M_line1"/>
    <w:basedOn w:val="48"/>
    <w:next w:val="85"/>
    <w:qFormat/>
    <w:uiPriority w:val="0"/>
    <w:pPr>
      <w:ind w:firstLine="0"/>
    </w:pPr>
  </w:style>
  <w:style w:type="paragraph" w:customStyle="1" w:styleId="87">
    <w:name w:val="M_Logo"/>
    <w:basedOn w:val="1"/>
    <w:uiPriority w:val="0"/>
    <w:pPr>
      <w:spacing w:before="140"/>
      <w:jc w:val="right"/>
    </w:pPr>
    <w:rPr>
      <w:b/>
      <w:i/>
      <w:sz w:val="64"/>
    </w:rPr>
  </w:style>
  <w:style w:type="paragraph" w:customStyle="1" w:styleId="88">
    <w:name w:val="M_received"/>
    <w:basedOn w:val="51"/>
    <w:uiPriority w:val="0"/>
    <w:rPr>
      <w:i/>
    </w:rPr>
  </w:style>
  <w:style w:type="paragraph" w:customStyle="1" w:styleId="89">
    <w:name w:val="M_Refer"/>
    <w:basedOn w:val="1"/>
    <w:uiPriority w:val="0"/>
    <w:pPr>
      <w:ind w:left="461" w:hanging="461"/>
    </w:pPr>
  </w:style>
  <w:style w:type="paragraph" w:customStyle="1" w:styleId="90">
    <w:name w:val="M_table"/>
    <w:basedOn w:val="1"/>
    <w:uiPriority w:val="0"/>
    <w:pPr>
      <w:keepNext/>
      <w:tabs>
        <w:tab w:val="left" w:pos="284"/>
      </w:tabs>
    </w:pPr>
  </w:style>
  <w:style w:type="paragraph" w:customStyle="1" w:styleId="91">
    <w:name w:val="M_Tablecaption"/>
    <w:basedOn w:val="53"/>
    <w:uiPriority w:val="0"/>
    <w:pPr>
      <w:spacing w:after="0"/>
    </w:pPr>
  </w:style>
  <w:style w:type="paragraph" w:customStyle="1" w:styleId="92">
    <w:name w:val="M_Text"/>
    <w:basedOn w:val="1"/>
    <w:uiPriority w:val="0"/>
    <w:pPr>
      <w:ind w:firstLine="288"/>
    </w:pPr>
  </w:style>
  <w:style w:type="paragraph" w:customStyle="1" w:styleId="93">
    <w:name w:val="M_Titel"/>
    <w:basedOn w:val="1"/>
    <w:qFormat/>
    <w:uiPriority w:val="0"/>
    <w:pPr>
      <w:spacing w:before="240"/>
    </w:pPr>
    <w:rPr>
      <w:b/>
      <w:sz w:val="36"/>
      <w:lang w:val="en-GB"/>
    </w:rPr>
  </w:style>
  <w:style w:type="paragraph" w:customStyle="1" w:styleId="94">
    <w:name w:val="MDPI_header"/>
    <w:qFormat/>
    <w:uiPriority w:val="0"/>
    <w:pPr>
      <w:adjustRightInd w:val="0"/>
      <w:snapToGrid w:val="0"/>
      <w:spacing w:after="240"/>
    </w:pPr>
    <w:rPr>
      <w:rFonts w:ascii="Palatino Linotype" w:hAnsi="Palatino Linotype" w:eastAsia="Times New Roman" w:cs="Times New Roman"/>
      <w:iCs/>
      <w:kern w:val="0"/>
      <w:sz w:val="16"/>
      <w:lang w:val="en-US" w:eastAsia="de-DE" w:bidi="ar-SA"/>
    </w:rPr>
  </w:style>
  <w:style w:type="paragraph" w:customStyle="1" w:styleId="95">
    <w:name w:val="M_header_journal_logo"/>
    <w:qFormat/>
    <w:uiPriority w:val="0"/>
    <w:rPr>
      <w:rFonts w:ascii="Minion Pro" w:hAnsi="Minion Pro" w:cs="Times New Roman" w:eastAsiaTheme="minorEastAsia"/>
      <w:color w:val="000000"/>
      <w:kern w:val="0"/>
      <w:sz w:val="24"/>
      <w:lang w:val="de-DE" w:eastAsia="zh-CN" w:bidi="ar-SA"/>
    </w:rPr>
  </w:style>
  <w:style w:type="paragraph" w:customStyle="1" w:styleId="96">
    <w:name w:val="Text_Bericht"/>
    <w:basedOn w:val="1"/>
    <w:qFormat/>
    <w:uiPriority w:val="99"/>
    <w:pPr>
      <w:spacing w:after="120" w:line="276" w:lineRule="auto"/>
    </w:pPr>
    <w:rPr>
      <w:rFonts w:ascii="Arial" w:hAnsi="Arial"/>
      <w:lang w:val="de-DE"/>
    </w:rPr>
  </w:style>
  <w:style w:type="character" w:customStyle="1" w:styleId="97">
    <w:name w:val="Heading 2 Char"/>
    <w:basedOn w:val="24"/>
    <w:link w:val="3"/>
    <w:uiPriority w:val="0"/>
    <w:rPr>
      <w:rFonts w:ascii="Arial" w:hAnsi="Arial" w:eastAsia="Times New Roman" w:cstheme="majorBidi"/>
      <w:b/>
      <w:color w:val="000000"/>
      <w:kern w:val="0"/>
      <w:sz w:val="24"/>
      <w:lang w:eastAsia="de-DE"/>
    </w:rPr>
  </w:style>
  <w:style w:type="paragraph" w:customStyle="1" w:styleId="98">
    <w:name w:val="Überschrift3"/>
    <w:basedOn w:val="3"/>
    <w:uiPriority w:val="99"/>
    <w:pPr>
      <w:keepNext/>
      <w:tabs>
        <w:tab w:val="left" w:pos="360"/>
      </w:tabs>
      <w:spacing w:before="0"/>
      <w:ind w:left="576" w:hanging="576"/>
    </w:pPr>
    <w:rPr>
      <w:rFonts w:cs="Arial"/>
      <w:bCs/>
      <w:iCs/>
      <w:sz w:val="18"/>
      <w:szCs w:val="28"/>
      <w:lang w:val="de-DE"/>
    </w:rPr>
  </w:style>
  <w:style w:type="character" w:customStyle="1" w:styleId="99">
    <w:name w:val="Heading 1 Char"/>
    <w:basedOn w:val="24"/>
    <w:link w:val="2"/>
    <w:uiPriority w:val="0"/>
    <w:rPr>
      <w:rFonts w:ascii="Arial" w:hAnsi="Arial" w:eastAsia="Times New Roman" w:cs="Times New Roman"/>
      <w:b/>
      <w:color w:val="000000"/>
      <w:kern w:val="0"/>
      <w:sz w:val="24"/>
      <w:u w:val="single"/>
      <w:lang w:eastAsia="de-DE"/>
    </w:rPr>
  </w:style>
  <w:style w:type="character" w:customStyle="1" w:styleId="100">
    <w:name w:val="Heading 3 Char"/>
    <w:basedOn w:val="24"/>
    <w:link w:val="4"/>
    <w:uiPriority w:val="0"/>
    <w:rPr>
      <w:rFonts w:eastAsia="Times New Roman" w:cs="Times New Roman"/>
      <w:b/>
      <w:color w:val="000000"/>
      <w:kern w:val="0"/>
      <w:sz w:val="24"/>
      <w:lang w:eastAsia="de-DE"/>
    </w:rPr>
  </w:style>
  <w:style w:type="character" w:customStyle="1" w:styleId="101">
    <w:name w:val="Heading 4 Char"/>
    <w:basedOn w:val="24"/>
    <w:link w:val="5"/>
    <w:uiPriority w:val="0"/>
    <w:rPr>
      <w:rFonts w:ascii="Arial" w:hAnsi="Arial" w:eastAsia="Times New Roman" w:cstheme="majorBidi"/>
      <w:b/>
      <w:color w:val="000000"/>
      <w:kern w:val="0"/>
      <w:sz w:val="24"/>
      <w:lang w:eastAsia="de-DE"/>
    </w:rPr>
  </w:style>
  <w:style w:type="character" w:customStyle="1" w:styleId="102">
    <w:name w:val="Heading 5 Char"/>
    <w:basedOn w:val="24"/>
    <w:link w:val="6"/>
    <w:uiPriority w:val="0"/>
    <w:rPr>
      <w:rFonts w:eastAsia="Times New Roman" w:cs="Times New Roman"/>
      <w:b/>
      <w:color w:val="000000"/>
      <w:kern w:val="0"/>
      <w:sz w:val="24"/>
      <w:lang w:eastAsia="de-DE"/>
    </w:rPr>
  </w:style>
  <w:style w:type="character" w:customStyle="1" w:styleId="103">
    <w:name w:val="Heading 6 Char"/>
    <w:basedOn w:val="24"/>
    <w:link w:val="7"/>
    <w:uiPriority w:val="0"/>
    <w:rPr>
      <w:rFonts w:eastAsia="Times New Roman" w:cstheme="majorBidi"/>
      <w:color w:val="000000"/>
      <w:kern w:val="0"/>
      <w:sz w:val="24"/>
      <w:u w:val="single"/>
      <w:lang w:eastAsia="de-DE"/>
    </w:rPr>
  </w:style>
  <w:style w:type="character" w:customStyle="1" w:styleId="104">
    <w:name w:val="Heading 7 Char"/>
    <w:basedOn w:val="24"/>
    <w:link w:val="8"/>
    <w:uiPriority w:val="0"/>
    <w:rPr>
      <w:rFonts w:eastAsia="Times New Roman" w:cs="Times New Roman"/>
      <w:i/>
      <w:color w:val="000000"/>
      <w:kern w:val="0"/>
      <w:sz w:val="24"/>
      <w:lang w:eastAsia="de-DE"/>
    </w:rPr>
  </w:style>
  <w:style w:type="character" w:customStyle="1" w:styleId="105">
    <w:name w:val="Heading 8 Char"/>
    <w:basedOn w:val="24"/>
    <w:link w:val="9"/>
    <w:uiPriority w:val="0"/>
    <w:rPr>
      <w:rFonts w:eastAsia="Times New Roman" w:cstheme="majorBidi"/>
      <w:i/>
      <w:color w:val="000000"/>
      <w:kern w:val="0"/>
      <w:sz w:val="24"/>
      <w:lang w:eastAsia="de-DE"/>
    </w:rPr>
  </w:style>
  <w:style w:type="character" w:customStyle="1" w:styleId="106">
    <w:name w:val="Heading 9 Char"/>
    <w:basedOn w:val="24"/>
    <w:link w:val="10"/>
    <w:uiPriority w:val="0"/>
    <w:rPr>
      <w:rFonts w:eastAsia="Times New Roman" w:cstheme="majorBidi"/>
      <w:i/>
      <w:color w:val="000000"/>
      <w:kern w:val="0"/>
      <w:sz w:val="24"/>
      <w:lang w:eastAsia="de-DE"/>
    </w:rPr>
  </w:style>
  <w:style w:type="character" w:customStyle="1" w:styleId="107">
    <w:name w:val="Footnote Text Char"/>
    <w:basedOn w:val="24"/>
    <w:link w:val="18"/>
    <w:uiPriority w:val="0"/>
    <w:rPr>
      <w:rFonts w:eastAsia="Times New Roman" w:cs="Times New Roman"/>
      <w:color w:val="000000"/>
      <w:kern w:val="0"/>
      <w:sz w:val="24"/>
      <w:lang w:eastAsia="de-DE"/>
    </w:rPr>
  </w:style>
  <w:style w:type="paragraph" w:customStyle="1" w:styleId="108">
    <w:name w:val="List Paragraph"/>
    <w:basedOn w:val="1"/>
    <w:qFormat/>
    <w:uiPriority w:val="34"/>
    <w:pPr>
      <w:ind w:firstLine="420" w:firstLineChars="200"/>
    </w:pPr>
  </w:style>
  <w:style w:type="character" w:customStyle="1" w:styleId="109">
    <w:name w:val="Balloon Text Char"/>
    <w:basedOn w:val="24"/>
    <w:link w:val="11"/>
    <w:uiPriority w:val="99"/>
    <w:rPr>
      <w:rFonts w:eastAsia="Times New Roman" w:cs="Tahoma"/>
      <w:color w:val="000000"/>
      <w:kern w:val="0"/>
      <w:sz w:val="18"/>
      <w:szCs w:val="18"/>
      <w:lang w:eastAsia="de-DE"/>
    </w:rPr>
  </w:style>
  <w:style w:type="character" w:customStyle="1" w:styleId="110">
    <w:name w:val="Comment Text Char"/>
    <w:basedOn w:val="24"/>
    <w:link w:val="14"/>
    <w:uiPriority w:val="0"/>
    <w:rPr>
      <w:rFonts w:eastAsia="Times New Roman" w:cs="Times New Roman"/>
      <w:color w:val="000000"/>
      <w:kern w:val="0"/>
      <w:sz w:val="24"/>
      <w:lang w:eastAsia="de-DE"/>
    </w:rPr>
  </w:style>
  <w:style w:type="character" w:customStyle="1" w:styleId="111">
    <w:name w:val="Comment Subject Char"/>
    <w:basedOn w:val="110"/>
    <w:link w:val="15"/>
    <w:uiPriority w:val="0"/>
    <w:rPr>
      <w:rFonts w:eastAsia="Times New Roman" w:cs="Times New Roman"/>
      <w:b/>
      <w:bCs/>
      <w:color w:val="000000"/>
      <w:kern w:val="0"/>
      <w:sz w:val="24"/>
      <w:lang w:eastAsia="de-DE"/>
    </w:rPr>
  </w:style>
  <w:style w:type="paragraph" w:customStyle="1" w:styleId="112">
    <w:name w:val="Bibliography"/>
    <w:basedOn w:val="1"/>
    <w:next w:val="1"/>
    <w:unhideWhenUsed/>
    <w:uiPriority w:val="37"/>
  </w:style>
  <w:style w:type="character" w:customStyle="1" w:styleId="113">
    <w:name w:val="Endnote Text Char"/>
    <w:basedOn w:val="24"/>
    <w:link w:val="16"/>
    <w:uiPriority w:val="0"/>
    <w:rPr>
      <w:rFonts w:eastAsia="Times New Roman" w:cs="Times New Roman"/>
      <w:color w:val="000000"/>
      <w:kern w:val="0"/>
      <w:sz w:val="24"/>
      <w:szCs w:val="24"/>
      <w:lang w:val="en-GB" w:eastAsia="ar-SA"/>
    </w:rPr>
  </w:style>
  <w:style w:type="character" w:customStyle="1" w:styleId="114">
    <w:name w:val="Footer Char"/>
    <w:basedOn w:val="24"/>
    <w:link w:val="17"/>
    <w:uiPriority w:val="99"/>
    <w:rPr>
      <w:rFonts w:eastAsia="Times New Roman" w:cs="Times New Roman"/>
      <w:color w:val="000000"/>
      <w:kern w:val="0"/>
      <w:sz w:val="18"/>
      <w:szCs w:val="18"/>
      <w:lang w:eastAsia="de-DE"/>
    </w:rPr>
  </w:style>
  <w:style w:type="character" w:customStyle="1" w:styleId="115">
    <w:name w:val="Header Char"/>
    <w:basedOn w:val="24"/>
    <w:link w:val="19"/>
    <w:uiPriority w:val="99"/>
    <w:rPr>
      <w:rFonts w:eastAsia="Times New Roman" w:cs="Times New Roman"/>
      <w:color w:val="000000"/>
      <w:kern w:val="0"/>
      <w:sz w:val="18"/>
      <w:szCs w:val="18"/>
      <w:lang w:eastAsia="de-DE"/>
    </w:rPr>
  </w:style>
  <w:style w:type="character" w:customStyle="1" w:styleId="116">
    <w:name w:val="Body Text Char"/>
    <w:basedOn w:val="24"/>
    <w:link w:val="12"/>
    <w:uiPriority w:val="0"/>
    <w:rPr>
      <w:rFonts w:cs="Times New Roman"/>
      <w:color w:val="000000"/>
      <w:kern w:val="0"/>
      <w:sz w:val="24"/>
      <w:lang w:eastAsia="de-DE"/>
    </w:rPr>
  </w:style>
  <w:style w:type="paragraph" w:customStyle="1" w:styleId="117">
    <w:name w:val="M_deck_4_text_2nd"/>
    <w:qFormat/>
    <w:uiPriority w:val="0"/>
    <w:pPr>
      <w:adjustRightInd w:val="0"/>
      <w:snapToGrid w:val="0"/>
      <w:spacing w:line="260" w:lineRule="atLeast"/>
      <w:ind w:left="850" w:hanging="425"/>
      <w:jc w:val="both"/>
    </w:pPr>
    <w:rPr>
      <w:rFonts w:ascii="Palatino Linotype" w:hAnsi="Palatino Linotype" w:eastAsia="Times New Roman" w:cstheme="minorBidi"/>
      <w:snapToGrid w:val="0"/>
      <w:color w:val="000000"/>
      <w:kern w:val="0"/>
      <w:lang w:val="en-US" w:eastAsia="de-DE" w:bidi="en-US"/>
    </w:rPr>
  </w:style>
  <w:style w:type="character" w:customStyle="1" w:styleId="118">
    <w:name w:val="Placeholder Text"/>
    <w:basedOn w:val="24"/>
    <w:semiHidden/>
    <w:qFormat/>
    <w:uiPriority w:val="99"/>
    <w:rPr>
      <w:color w:val="808080"/>
    </w:rPr>
  </w:style>
  <w:style w:type="paragraph" w:customStyle="1" w:styleId="119">
    <w:name w:val="MDPI_header_citation"/>
    <w:basedOn w:val="39"/>
    <w:uiPriority w:val="0"/>
    <w:pPr>
      <w:spacing w:before="0" w:after="240" w:line="240" w:lineRule="auto"/>
      <w:jc w:val="left"/>
    </w:pPr>
  </w:style>
  <w:style w:type="paragraph" w:customStyle="1" w:styleId="120">
    <w:name w:val="MDPI_header_journal_logo"/>
    <w:qFormat/>
    <w:uiPriority w:val="0"/>
    <w:pPr>
      <w:adjustRightInd w:val="0"/>
      <w:snapToGrid w:val="0"/>
    </w:pPr>
    <w:rPr>
      <w:rFonts w:ascii="Palatino Linotype" w:hAnsi="Palatino Linotype" w:eastAsia="Times New Roman" w:cs="Times New Roman"/>
      <w:i/>
      <w:color w:val="000000"/>
      <w:kern w:val="0"/>
      <w:sz w:val="24"/>
      <w:szCs w:val="22"/>
      <w:lang w:val="en-US" w:eastAsia="de-CH" w:bidi="ar-SA"/>
    </w:rPr>
  </w:style>
  <w:style w:type="paragraph" w:customStyle="1" w:styleId="121">
    <w:name w:val="M_footer"/>
    <w:qFormat/>
    <w:uiPriority w:val="0"/>
    <w:pPr>
      <w:spacing w:before="120"/>
      <w:jc w:val="center"/>
    </w:pPr>
    <w:rPr>
      <w:rFonts w:ascii="Minion Pro" w:hAnsi="Minion Pro" w:cs="Times New Roman" w:eastAsiaTheme="minorEastAsia"/>
      <w:color w:val="000000"/>
      <w:kern w:val="0"/>
      <w:sz w:val="24"/>
      <w:lang w:val="de-DE" w:eastAsia="zh-CN" w:bidi="ar-SA"/>
    </w:rPr>
  </w:style>
  <w:style w:type="paragraph" w:customStyle="1" w:styleId="122">
    <w:name w:val="M_footer_firstpage"/>
    <w:basedOn w:val="121"/>
    <w:qFormat/>
    <w:uiPriority w:val="0"/>
    <w:pPr>
      <w:tabs>
        <w:tab w:val="right" w:pos="8845"/>
      </w:tabs>
      <w:spacing w:line="160" w:lineRule="exact"/>
    </w:pPr>
  </w:style>
  <w:style w:type="paragraph" w:customStyle="1" w:styleId="123">
    <w:name w:val="M_header_mdpi_logo"/>
    <w:qFormat/>
    <w:uiPriority w:val="0"/>
    <w:pPr>
      <w:jc w:val="right"/>
    </w:pPr>
    <w:rPr>
      <w:rFonts w:ascii="Minion Pro" w:hAnsi="Minion Pro" w:cs="Times New Roman" w:eastAsiaTheme="minorEastAsia"/>
      <w:color w:val="000000"/>
      <w:kern w:val="0"/>
      <w:sz w:val="24"/>
      <w:lang w:val="de-DE" w:eastAsia="zh-CN" w:bidi="ar-SA"/>
    </w:rPr>
  </w:style>
  <w:style w:type="paragraph" w:customStyle="1" w:styleId="124">
    <w:name w:val="M_Acknowledgments"/>
    <w:qFormat/>
    <w:uiPriority w:val="0"/>
    <w:pPr>
      <w:spacing w:after="120" w:line="240" w:lineRule="atLeast"/>
      <w:jc w:val="both"/>
    </w:pPr>
    <w:rPr>
      <w:rFonts w:ascii="Minion Pro" w:hAnsi="Minion Pro" w:cs="Times New Roman" w:eastAsiaTheme="minorEastAsia"/>
      <w:color w:val="000000"/>
      <w:kern w:val="0"/>
      <w:sz w:val="24"/>
      <w:lang w:val="de-DE" w:eastAsia="zh-CN" w:bidi="ar-SA"/>
    </w:rPr>
  </w:style>
  <w:style w:type="paragraph" w:customStyle="1" w:styleId="125">
    <w:name w:val="MDPI_3.2_text_no_indent"/>
    <w:basedOn w:val="35"/>
    <w:qFormat/>
    <w:uiPriority w:val="0"/>
    <w:pPr>
      <w:ind w:firstLine="0"/>
    </w:pPr>
  </w:style>
  <w:style w:type="paragraph" w:customStyle="1" w:styleId="126">
    <w:name w:val="MDPI_3.3_text_space_after"/>
    <w:basedOn w:val="35"/>
    <w:qFormat/>
    <w:uiPriority w:val="0"/>
    <w:pPr>
      <w:spacing w:after="240"/>
    </w:pPr>
  </w:style>
  <w:style w:type="paragraph" w:customStyle="1" w:styleId="127">
    <w:name w:val="MDPI_3.4_text_space_before"/>
    <w:basedOn w:val="35"/>
    <w:qFormat/>
    <w:uiPriority w:val="0"/>
    <w:pPr>
      <w:spacing w:before="240"/>
    </w:pPr>
  </w:style>
  <w:style w:type="paragraph" w:customStyle="1" w:styleId="128">
    <w:name w:val="MDPI_3.5_text_before_list"/>
    <w:basedOn w:val="35"/>
    <w:qFormat/>
    <w:uiPriority w:val="0"/>
    <w:pPr>
      <w:spacing w:after="120"/>
    </w:pPr>
  </w:style>
  <w:style w:type="paragraph" w:customStyle="1" w:styleId="129">
    <w:name w:val="MDPI_3.6_text_after_list"/>
    <w:basedOn w:val="35"/>
    <w:qFormat/>
    <w:uiPriority w:val="0"/>
    <w:pPr>
      <w:spacing w:before="120"/>
    </w:pPr>
  </w:style>
  <w:style w:type="paragraph" w:customStyle="1" w:styleId="130">
    <w:name w:val="MDPI_3.7_itemize"/>
    <w:basedOn w:val="35"/>
    <w:qFormat/>
    <w:uiPriority w:val="0"/>
    <w:pPr>
      <w:numPr>
        <w:ilvl w:val="0"/>
        <w:numId w:val="4"/>
      </w:numPr>
      <w:ind w:left="425" w:hanging="425"/>
    </w:pPr>
  </w:style>
  <w:style w:type="paragraph" w:customStyle="1" w:styleId="131">
    <w:name w:val="MDPI_3.8_bullet"/>
    <w:basedOn w:val="35"/>
    <w:qFormat/>
    <w:uiPriority w:val="0"/>
    <w:pPr>
      <w:numPr>
        <w:ilvl w:val="0"/>
        <w:numId w:val="5"/>
      </w:numPr>
      <w:ind w:left="425" w:hanging="425"/>
    </w:pPr>
  </w:style>
  <w:style w:type="paragraph" w:customStyle="1" w:styleId="132">
    <w:name w:val="MDPI_3.9_equation"/>
    <w:basedOn w:val="35"/>
    <w:qFormat/>
    <w:uiPriority w:val="0"/>
    <w:pPr>
      <w:spacing w:before="120" w:after="120"/>
      <w:ind w:left="709" w:firstLine="0"/>
      <w:jc w:val="center"/>
    </w:pPr>
  </w:style>
  <w:style w:type="paragraph" w:customStyle="1" w:styleId="133">
    <w:name w:val="MDPI_3.a_equation_number"/>
    <w:basedOn w:val="35"/>
    <w:qFormat/>
    <w:uiPriority w:val="0"/>
    <w:pPr>
      <w:spacing w:before="120" w:after="120" w:line="240" w:lineRule="auto"/>
      <w:ind w:firstLine="0"/>
      <w:jc w:val="right"/>
    </w:pPr>
  </w:style>
  <w:style w:type="paragraph" w:customStyle="1" w:styleId="134">
    <w:name w:val="MDPI_4.1_table_caption"/>
    <w:basedOn w:val="39"/>
    <w:qFormat/>
    <w:uiPriority w:val="0"/>
    <w:pPr>
      <w:spacing w:before="240" w:after="120" w:line="260" w:lineRule="atLeast"/>
      <w:ind w:left="425" w:right="425"/>
    </w:pPr>
    <w:rPr>
      <w:rFonts w:cstheme="minorBidi"/>
      <w:snapToGrid/>
      <w:szCs w:val="22"/>
    </w:rPr>
  </w:style>
  <w:style w:type="paragraph" w:customStyle="1" w:styleId="135">
    <w:name w:val="MDPI_4.2_table_body"/>
    <w:qFormat/>
    <w:uiPriority w:val="0"/>
    <w:pPr>
      <w:adjustRightInd w:val="0"/>
      <w:snapToGrid w:val="0"/>
    </w:pPr>
    <w:rPr>
      <w:rFonts w:ascii="Palatino Linotype" w:hAnsi="Palatino Linotype" w:eastAsia="Times New Roman" w:cstheme="minorBidi"/>
      <w:snapToGrid w:val="0"/>
      <w:color w:val="000000"/>
      <w:kern w:val="0"/>
      <w:lang w:val="en-US" w:eastAsia="de-DE" w:bidi="en-US"/>
    </w:rPr>
  </w:style>
  <w:style w:type="paragraph" w:customStyle="1" w:styleId="136">
    <w:name w:val="MDPI_4.3_table_footer"/>
    <w:basedOn w:val="134"/>
    <w:next w:val="35"/>
    <w:qFormat/>
    <w:uiPriority w:val="0"/>
    <w:pPr>
      <w:spacing w:before="0"/>
      <w:ind w:left="0" w:right="0"/>
    </w:pPr>
  </w:style>
  <w:style w:type="paragraph" w:customStyle="1" w:styleId="137">
    <w:name w:val="MDPI_5.1_figure_caption"/>
    <w:basedOn w:val="39"/>
    <w:qFormat/>
    <w:uiPriority w:val="0"/>
    <w:pPr>
      <w:spacing w:after="240" w:line="260" w:lineRule="atLeast"/>
      <w:ind w:left="425" w:right="425"/>
    </w:pPr>
    <w:rPr>
      <w:snapToGrid/>
    </w:rPr>
  </w:style>
  <w:style w:type="paragraph" w:customStyle="1" w:styleId="138">
    <w:name w:val="MDPI_5.2_figure"/>
    <w:qFormat/>
    <w:uiPriority w:val="0"/>
    <w:pPr>
      <w:jc w:val="center"/>
    </w:pPr>
    <w:rPr>
      <w:rFonts w:ascii="Palatino Linotype" w:hAnsi="Palatino Linotype" w:eastAsia="Times New Roman" w:cstheme="minorBidi"/>
      <w:snapToGrid w:val="0"/>
      <w:color w:val="000000"/>
      <w:kern w:val="0"/>
      <w:sz w:val="24"/>
      <w:lang w:val="en-US" w:eastAsia="de-DE" w:bidi="en-US"/>
    </w:rPr>
  </w:style>
  <w:style w:type="paragraph" w:customStyle="1" w:styleId="139">
    <w:name w:val="MDPI_6.1_Supplementary"/>
    <w:basedOn w:val="39"/>
    <w:qFormat/>
    <w:uiPriority w:val="0"/>
    <w:pPr>
      <w:spacing w:before="240"/>
    </w:pPr>
    <w:rPr>
      <w:lang w:eastAsia="en-US"/>
    </w:rPr>
  </w:style>
  <w:style w:type="paragraph" w:customStyle="1" w:styleId="140">
    <w:name w:val="MDPI_6.3_AuthorContributions"/>
    <w:basedOn w:val="39"/>
    <w:qFormat/>
    <w:uiPriority w:val="0"/>
    <w:rPr>
      <w:rFonts w:eastAsia="SimSun"/>
      <w:color w:val="auto"/>
      <w:lang w:eastAsia="en-US"/>
    </w:rPr>
  </w:style>
  <w:style w:type="paragraph" w:customStyle="1" w:styleId="141">
    <w:name w:val="MDPI_6.4_CoI"/>
    <w:basedOn w:val="39"/>
    <w:qFormat/>
    <w:uiPriority w:val="0"/>
  </w:style>
  <w:style w:type="paragraph" w:customStyle="1" w:styleId="142">
    <w:name w:val="MDPI_7.2_Copyright"/>
    <w:basedOn w:val="143"/>
    <w:qFormat/>
    <w:uiPriority w:val="0"/>
    <w:pPr>
      <w:numPr>
        <w:numId w:val="0"/>
      </w:numPr>
      <w:spacing w:before="400"/>
    </w:pPr>
    <w:rPr>
      <w:spacing w:val="-2"/>
      <w:lang w:val="en-GB" w:eastAsia="en-GB" w:bidi="ar-SA"/>
    </w:rPr>
  </w:style>
  <w:style w:type="paragraph" w:customStyle="1" w:styleId="143">
    <w:name w:val="MDPI_7.1_References"/>
    <w:basedOn w:val="39"/>
    <w:qFormat/>
    <w:uiPriority w:val="0"/>
    <w:pPr>
      <w:numPr>
        <w:ilvl w:val="0"/>
        <w:numId w:val="6"/>
      </w:numPr>
      <w:spacing w:before="0" w:line="260" w:lineRule="atLeast"/>
      <w:ind w:left="425" w:hanging="425"/>
    </w:pPr>
  </w:style>
  <w:style w:type="paragraph" w:customStyle="1" w:styleId="144">
    <w:name w:val="MDPI_7.3_CopyrightImage"/>
    <w:qFormat/>
    <w:uiPriority w:val="0"/>
    <w:pPr>
      <w:adjustRightInd w:val="0"/>
      <w:snapToGrid w:val="0"/>
      <w:spacing w:after="100"/>
      <w:jc w:val="right"/>
    </w:pPr>
    <w:rPr>
      <w:rFonts w:ascii="Times New Roman" w:hAnsi="Times New Roman" w:eastAsia="Times New Roman" w:cs="Times New Roman"/>
      <w:color w:val="000000"/>
      <w:kern w:val="0"/>
      <w:lang w:val="en-US" w:eastAsia="de-CH" w:bidi="ar-SA"/>
    </w:rPr>
  </w:style>
  <w:style w:type="paragraph" w:customStyle="1" w:styleId="145">
    <w:name w:val="MDPI_8.1_theorem"/>
    <w:basedOn w:val="125"/>
    <w:qFormat/>
    <w:uiPriority w:val="0"/>
    <w:rPr>
      <w:i/>
    </w:rPr>
  </w:style>
  <w:style w:type="paragraph" w:customStyle="1" w:styleId="146">
    <w:name w:val="MDPI_8.2_proof"/>
    <w:basedOn w:val="125"/>
    <w:qFormat/>
    <w:uiPriority w:val="0"/>
  </w:style>
  <w:style w:type="paragraph" w:customStyle="1" w:styleId="147">
    <w:name w:val="MDPI_footer"/>
    <w:qFormat/>
    <w:uiPriority w:val="0"/>
    <w:pPr>
      <w:adjustRightInd w:val="0"/>
      <w:snapToGrid w:val="0"/>
      <w:spacing w:before="120"/>
      <w:jc w:val="center"/>
    </w:pPr>
    <w:rPr>
      <w:rFonts w:ascii="Palatino Linotype" w:hAnsi="Palatino Linotype" w:eastAsia="Times New Roman" w:cs="Times New Roman"/>
      <w:kern w:val="0"/>
      <w:lang w:val="en-US" w:eastAsia="de-DE" w:bidi="ar-SA"/>
    </w:rPr>
  </w:style>
  <w:style w:type="paragraph" w:customStyle="1" w:styleId="148">
    <w:name w:val="MDPI_footer_firstpage"/>
    <w:basedOn w:val="147"/>
    <w:qFormat/>
    <w:uiPriority w:val="0"/>
    <w:pPr>
      <w:tabs>
        <w:tab w:val="right" w:pos="8845"/>
      </w:tabs>
      <w:spacing w:line="160" w:lineRule="exact"/>
      <w:jc w:val="left"/>
    </w:pPr>
    <w:rPr>
      <w:sz w:val="16"/>
    </w:rPr>
  </w:style>
  <w:style w:type="paragraph" w:customStyle="1" w:styleId="149">
    <w:name w:val="MDPI_2.3_heading3"/>
    <w:basedOn w:val="35"/>
    <w:qFormat/>
    <w:uiPriority w:val="0"/>
    <w:pPr>
      <w:spacing w:before="240" w:after="120"/>
      <w:ind w:firstLine="0"/>
      <w:jc w:val="left"/>
      <w:outlineLvl w:val="2"/>
    </w:pPr>
  </w:style>
  <w:style w:type="paragraph" w:customStyle="1" w:styleId="150">
    <w:name w:val="MDPI_2.1_heading1"/>
    <w:basedOn w:val="149"/>
    <w:qFormat/>
    <w:uiPriority w:val="0"/>
    <w:pPr>
      <w:outlineLvl w:val="0"/>
    </w:pPr>
    <w:rPr>
      <w:b/>
    </w:rPr>
  </w:style>
  <w:style w:type="paragraph" w:customStyle="1" w:styleId="151">
    <w:name w:val="MDPI_2.2_heading2"/>
    <w:basedOn w:val="152"/>
    <w:qFormat/>
    <w:uiPriority w:val="0"/>
    <w:pPr>
      <w:spacing w:before="240" w:after="120" w:line="260" w:lineRule="atLeast"/>
      <w:ind w:left="0" w:right="0" w:firstLine="0"/>
      <w:jc w:val="left"/>
      <w:outlineLvl w:val="1"/>
    </w:pPr>
    <w:rPr>
      <w:rFonts w:ascii="Palatino Linotype" w:hAnsi="Palatino Linotype"/>
      <w:i/>
      <w:sz w:val="20"/>
    </w:rPr>
  </w:style>
  <w:style w:type="paragraph" w:customStyle="1" w:styleId="152">
    <w:name w:val="MDPI_text"/>
    <w:basedOn w:val="48"/>
    <w:qFormat/>
    <w:uiPriority w:val="0"/>
    <w:pPr>
      <w:ind w:left="425" w:right="425"/>
    </w:pPr>
    <w:rPr>
      <w:rFonts w:cs="Times New Roman"/>
      <w:sz w:val="22"/>
      <w:szCs w:val="22"/>
    </w:rPr>
  </w:style>
  <w:style w:type="paragraph" w:customStyle="1" w:styleId="153">
    <w:name w:val="MDPI_header_mdpi_logo"/>
    <w:qFormat/>
    <w:uiPriority w:val="0"/>
    <w:pPr>
      <w:adjustRightInd w:val="0"/>
      <w:snapToGrid w:val="0"/>
      <w:jc w:val="right"/>
    </w:pPr>
    <w:rPr>
      <w:rFonts w:ascii="Palatino Linotype" w:hAnsi="Palatino Linotype" w:eastAsia="Times New Roman" w:cs="Times New Roman"/>
      <w:color w:val="000000"/>
      <w:kern w:val="0"/>
      <w:sz w:val="24"/>
      <w:szCs w:val="22"/>
      <w:lang w:val="en-US" w:eastAsia="de-CH" w:bidi="ar-SA"/>
    </w:rPr>
  </w:style>
  <w:style w:type="paragraph" w:customStyle="1" w:styleId="154">
    <w:name w:val="MDPI_4.1.1_one_table_caption"/>
    <w:basedOn w:val="1"/>
    <w:qFormat/>
    <w:uiPriority w:val="0"/>
    <w:pPr>
      <w:adjustRightInd w:val="0"/>
      <w:snapToGrid w:val="0"/>
      <w:spacing w:before="120" w:after="240" w:line="260" w:lineRule="atLeast"/>
      <w:jc w:val="center"/>
    </w:pPr>
    <w:rPr>
      <w:rFonts w:ascii="Palatino Linotype" w:hAnsi="Palatino Linotype" w:cstheme="minorBidi"/>
      <w:sz w:val="18"/>
      <w:szCs w:val="22"/>
      <w:lang w:bidi="en-US"/>
    </w:rPr>
  </w:style>
  <w:style w:type="paragraph" w:customStyle="1" w:styleId="155">
    <w:name w:val="MDPI_5.1.1_one_figure_caption"/>
    <w:basedOn w:val="1"/>
    <w:qFormat/>
    <w:uiPriority w:val="0"/>
    <w:pPr>
      <w:adjustRightInd w:val="0"/>
      <w:snapToGrid w:val="0"/>
      <w:spacing w:before="120" w:after="240" w:line="260" w:lineRule="atLeast"/>
      <w:jc w:val="center"/>
    </w:pPr>
    <w:rPr>
      <w:rFonts w:ascii="Palatino Linotype" w:hAnsi="Palatino Linotype"/>
      <w:sz w:val="18"/>
      <w:lang w:bidi="en-US"/>
    </w:rPr>
  </w:style>
  <w:style w:type="paragraph" w:customStyle="1" w:styleId="156">
    <w:name w:val="MDPI_title"/>
    <w:qFormat/>
    <w:uiPriority w:val="0"/>
    <w:pPr>
      <w:adjustRightInd w:val="0"/>
      <w:snapToGrid w:val="0"/>
      <w:spacing w:after="240"/>
    </w:pPr>
    <w:rPr>
      <w:rFonts w:ascii="Times New Roman" w:hAnsi="Times New Roman" w:eastAsia="Times New Roman" w:cs="Times New Roman"/>
      <w:b/>
      <w:snapToGrid w:val="0"/>
      <w:color w:val="000000"/>
      <w:kern w:val="0"/>
      <w:sz w:val="36"/>
      <w:lang w:val="en-US" w:eastAsia="de-DE"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yn\Desktop\PhD_RNASeq\Chapter 1\IJMS Review\ijms-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4F5A60-81A6-43C9-AC6F-567046881FC2}">
  <ds:schemaRefs/>
</ds:datastoreItem>
</file>

<file path=docProps/app.xml><?xml version="1.0" encoding="utf-8"?>
<Properties xmlns="http://schemas.openxmlformats.org/officeDocument/2006/extended-properties" xmlns:vt="http://schemas.openxmlformats.org/officeDocument/2006/docPropsVTypes">
  <Template>ijms-template</Template>
  <Pages>15</Pages>
  <Words>59339</Words>
  <Characters>338237</Characters>
  <Lines>2818</Lines>
  <Paragraphs>793</Paragraphs>
  <TotalTime>0</TotalTime>
  <ScaleCrop>false</ScaleCrop>
  <LinksUpToDate>false</LinksUpToDate>
  <CharactersWithSpaces>396783</CharactersWithSpaces>
  <Application>WPS Office_10.1.0.5798_F1E327BC-269C-435d-A152-05C5408002CA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2016-10-25T07:47:00Z</dcterms:created>
  <dc:creator>MDPI</dc:creator>
  <cp:lastModifiedBy>davie</cp:lastModifiedBy>
  <dcterms:modified xsi:type="dcterms:W3CDTF">2016-12-13T11:30:40Z</dcterms:modified>
  <dc:title>Review_x000d_Insect gallers and their plant hosts: insights from ’omics data_x000d_Caryn N Oates 1</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a2274605-3641-3b68-8104-daa467c23c93</vt:lpwstr>
  </property>
  <property fmtid="{D5CDD505-2E9C-101B-9397-08002B2CF9AE}" pid="4" name="Mendeley Citation Style_1">
    <vt:lpwstr>http://www.zotero.org/styles/multidisciplinary-digital-publishing-institute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7th edition</vt:lpwstr>
  </property>
  <property fmtid="{D5CDD505-2E9C-101B-9397-08002B2CF9AE}" pid="21" name="Mendeley Recent Style Id 8_1">
    <vt:lpwstr>http://www.zotero.org/styles/multidisciplinary-digital-publishing-institute</vt:lpwstr>
  </property>
  <property fmtid="{D5CDD505-2E9C-101B-9397-08002B2CF9AE}" pid="22" name="Mendeley Recent Style Name 8_1">
    <vt:lpwstr>Multidisciplinary Digital Publishing Institute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KSOProductBuildVer">
    <vt:lpwstr>2057-10.1.0.5798</vt:lpwstr>
  </property>
</Properties>
</file>