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58CDB" w14:textId="77777777" w:rsidR="00987173" w:rsidRPr="000F79C8" w:rsidRDefault="00BA0710" w:rsidP="00B52269">
      <w:pPr>
        <w:jc w:val="center"/>
      </w:pPr>
      <w:r>
        <w:t xml:space="preserve">Resisting the Irish Other: </w:t>
      </w:r>
      <w:r w:rsidR="000F2640">
        <w:t>T</w:t>
      </w:r>
      <w:r w:rsidR="00B52269" w:rsidRPr="000F79C8">
        <w:t xml:space="preserve">he Berliner Ensemble’s Production of </w:t>
      </w:r>
      <w:r w:rsidR="00491033">
        <w:rPr>
          <w:i/>
        </w:rPr>
        <w:t xml:space="preserve">The </w:t>
      </w:r>
      <w:r w:rsidR="00B52269" w:rsidRPr="000F79C8">
        <w:rPr>
          <w:i/>
        </w:rPr>
        <w:t>Playboy of the Western World</w:t>
      </w:r>
    </w:p>
    <w:p w14:paraId="4C1983CD" w14:textId="77777777" w:rsidR="00B52269" w:rsidRPr="000F79C8" w:rsidRDefault="00B52269" w:rsidP="00B52269">
      <w:pPr>
        <w:jc w:val="center"/>
      </w:pPr>
    </w:p>
    <w:p w14:paraId="09E22BF0" w14:textId="77777777" w:rsidR="00B52269" w:rsidRPr="000F79C8" w:rsidRDefault="00B52269" w:rsidP="00B52269">
      <w:pPr>
        <w:jc w:val="center"/>
      </w:pPr>
    </w:p>
    <w:p w14:paraId="44BC4F35" w14:textId="77777777" w:rsidR="002056E5" w:rsidRPr="000F79C8" w:rsidRDefault="002056E5" w:rsidP="00B52269">
      <w:r w:rsidRPr="000F79C8">
        <w:t>Introduction</w:t>
      </w:r>
    </w:p>
    <w:p w14:paraId="073786DD" w14:textId="77777777" w:rsidR="002056E5" w:rsidRPr="000F79C8" w:rsidRDefault="002056E5" w:rsidP="00B52269"/>
    <w:p w14:paraId="783D8142" w14:textId="0538F9F7" w:rsidR="00A4215E" w:rsidRPr="000F79C8" w:rsidRDefault="002056E5" w:rsidP="00B52269">
      <w:r w:rsidRPr="000F79C8">
        <w:rPr>
          <w:i/>
        </w:rPr>
        <w:t>The Playboy of the Western World</w:t>
      </w:r>
      <w:r w:rsidRPr="000F79C8">
        <w:t xml:space="preserve"> by John Millington Synge stands today as a classic of modern Irish drama and is regularly produced in the Western worl</w:t>
      </w:r>
      <w:r w:rsidR="004A2ABA">
        <w:t>d and further afield. At its centre is a peculiar tale and its peculiar reception:</w:t>
      </w:r>
      <w:r w:rsidRPr="000F79C8">
        <w:t xml:space="preserve"> Christ</w:t>
      </w:r>
      <w:r w:rsidR="00F754B0">
        <w:t>y</w:t>
      </w:r>
      <w:r w:rsidRPr="000F79C8">
        <w:t xml:space="preserve"> Mahon arrives cold and uncertain at a rural pub on the coast of Country Mayo and announces that he has killed his father. Rather than </w:t>
      </w:r>
      <w:r w:rsidR="003F0D76">
        <w:t>unleashing</w:t>
      </w:r>
      <w:r w:rsidRPr="000F79C8">
        <w:t xml:space="preserve"> a scandal and a call to the constabulary, the locals celebrate the deed, until </w:t>
      </w:r>
      <w:r w:rsidR="003F0D76">
        <w:t>the apparently dead</w:t>
      </w:r>
      <w:r w:rsidRPr="000F79C8">
        <w:t xml:space="preserve"> father makes an appearance.</w:t>
      </w:r>
      <w:r w:rsidR="008A4F39" w:rsidRPr="000F79C8">
        <w:t xml:space="preserve"> Christ</w:t>
      </w:r>
      <w:r w:rsidR="00F754B0">
        <w:t>y</w:t>
      </w:r>
      <w:r w:rsidR="008A4F39" w:rsidRPr="000F79C8">
        <w:t xml:space="preserve">’s attempt to put Old Mahon to rest once and for all meets with anger </w:t>
      </w:r>
      <w:r w:rsidR="00F754B0">
        <w:t>and outrage from the other characters</w:t>
      </w:r>
      <w:r w:rsidR="008A4F39" w:rsidRPr="000F79C8">
        <w:t xml:space="preserve"> who decide to hang </w:t>
      </w:r>
      <w:r w:rsidR="004A2ABA">
        <w:t>Christy</w:t>
      </w:r>
      <w:r w:rsidR="008A4F39" w:rsidRPr="000F79C8">
        <w:t xml:space="preserve"> in order to distance themselves from his actions. The father then releases the son, and they head off to roam Ireland. The main plot is augmented by the love </w:t>
      </w:r>
      <w:r w:rsidR="00F754B0">
        <w:t>tangles</w:t>
      </w:r>
      <w:r w:rsidR="008A4F39" w:rsidRPr="000F79C8">
        <w:t xml:space="preserve"> of Christ</w:t>
      </w:r>
      <w:r w:rsidR="00F754B0">
        <w:t>y</w:t>
      </w:r>
      <w:r w:rsidR="008A4F39" w:rsidRPr="000F79C8">
        <w:t>, Pegeen Mike, Shawn Keogh and the Widow Quin. Shawn and Pegeen are betrothed</w:t>
      </w:r>
      <w:r w:rsidR="00F754B0">
        <w:t>, but the entrance of Christy</w:t>
      </w:r>
      <w:r w:rsidR="008A4F39" w:rsidRPr="000F79C8">
        <w:t xml:space="preserve"> and</w:t>
      </w:r>
      <w:r w:rsidR="00CC5F7B">
        <w:t xml:space="preserve"> the wonder of</w:t>
      </w:r>
      <w:r w:rsidR="008A4F39" w:rsidRPr="000F79C8">
        <w:t xml:space="preserve"> his tale show her that there is more to life than Shawn’s feckless promise. </w:t>
      </w:r>
      <w:r w:rsidR="00EE4661">
        <w:t xml:space="preserve">The more mercenary Widow </w:t>
      </w:r>
      <w:r w:rsidR="008A4F39" w:rsidRPr="000F79C8">
        <w:t xml:space="preserve">Quin also latches on to </w:t>
      </w:r>
      <w:r w:rsidR="00F754B0">
        <w:t>Christy</w:t>
      </w:r>
      <w:r w:rsidR="008A4F39" w:rsidRPr="000F79C8">
        <w:t xml:space="preserve"> in the hope that he will provide a useful partner </w:t>
      </w:r>
      <w:r w:rsidR="00EE4661">
        <w:t>to further her own material ends</w:t>
      </w:r>
      <w:r w:rsidR="008A4F39" w:rsidRPr="000F79C8">
        <w:t xml:space="preserve">. Pegeen triumphs, yet she disowns </w:t>
      </w:r>
      <w:r w:rsidR="00F754B0">
        <w:t xml:space="preserve">her intended when he misjudges the mood and </w:t>
      </w:r>
      <w:r w:rsidR="0052587D">
        <w:t>declares</w:t>
      </w:r>
      <w:r w:rsidR="00A97A19">
        <w:t xml:space="preserve"> that he will</w:t>
      </w:r>
      <w:r w:rsidR="00F754B0">
        <w:t xml:space="preserve"> kill his father anew before his audience’s eyes</w:t>
      </w:r>
      <w:r w:rsidR="008A4F39" w:rsidRPr="000F79C8">
        <w:t xml:space="preserve">. Once </w:t>
      </w:r>
      <w:r w:rsidR="00F754B0">
        <w:t>the two men</w:t>
      </w:r>
      <w:r w:rsidR="008A4F39" w:rsidRPr="000F79C8">
        <w:t xml:space="preserve"> </w:t>
      </w:r>
      <w:r w:rsidR="00A4215E" w:rsidRPr="000F79C8">
        <w:t>have left, Pegeen realizes the mistake she has made and closes the play with the line:</w:t>
      </w:r>
      <w:r w:rsidR="008A4F39" w:rsidRPr="000F79C8">
        <w:t xml:space="preserve"> </w:t>
      </w:r>
      <w:r w:rsidR="00A4215E" w:rsidRPr="000F79C8">
        <w:t>‘I’ve lost the only Playboy of the Western World’</w:t>
      </w:r>
      <w:r w:rsidRPr="000F79C8">
        <w:t>.</w:t>
      </w:r>
      <w:r w:rsidR="00A4215E" w:rsidRPr="000F79C8">
        <w:rPr>
          <w:rStyle w:val="FootnoteReference"/>
        </w:rPr>
        <w:footnoteReference w:id="1"/>
      </w:r>
      <w:r w:rsidRPr="000F79C8">
        <w:t xml:space="preserve"> </w:t>
      </w:r>
      <w:r w:rsidR="00A4215E" w:rsidRPr="000F79C8">
        <w:t xml:space="preserve">The comedy is presented in a lively local vernacular that is at once </w:t>
      </w:r>
      <w:r w:rsidR="00660818">
        <w:t>down-to-earth</w:t>
      </w:r>
      <w:r w:rsidR="00660818" w:rsidRPr="000F79C8">
        <w:t xml:space="preserve"> </w:t>
      </w:r>
      <w:r w:rsidR="00A4215E" w:rsidRPr="000F79C8">
        <w:t>and poetic.</w:t>
      </w:r>
      <w:r w:rsidR="007A3563">
        <w:t xml:space="preserve"> Indeed, the combination of stylization and realism in the language strikes at the heart of the problems regarding performance</w:t>
      </w:r>
      <w:r w:rsidR="00266A78">
        <w:t xml:space="preserve"> and it</w:t>
      </w:r>
      <w:r w:rsidR="007A3563">
        <w:t xml:space="preserve"> inform</w:t>
      </w:r>
      <w:r w:rsidR="00266A78">
        <w:t>s</w:t>
      </w:r>
      <w:r w:rsidR="007A3563">
        <w:t xml:space="preserve"> the rest of the article.</w:t>
      </w:r>
    </w:p>
    <w:p w14:paraId="6A94AAEC" w14:textId="77777777" w:rsidR="00995A52" w:rsidRDefault="002056E5" w:rsidP="00A4215E">
      <w:pPr>
        <w:ind w:firstLine="720"/>
      </w:pPr>
      <w:r w:rsidRPr="000F79C8">
        <w:t>Christopher M</w:t>
      </w:r>
      <w:r w:rsidR="00A4215E" w:rsidRPr="000F79C8">
        <w:t xml:space="preserve">urray opines: ‘the play is so rich […] that it defies satisfactory exegesis: it is the </w:t>
      </w:r>
      <w:r w:rsidR="00A4215E" w:rsidRPr="000F79C8">
        <w:rPr>
          <w:i/>
        </w:rPr>
        <w:t>Hamlet</w:t>
      </w:r>
      <w:r w:rsidR="00A4215E" w:rsidRPr="000F79C8">
        <w:t xml:space="preserve"> of the Irish dramatic tradition’.</w:t>
      </w:r>
      <w:r w:rsidR="00A4215E" w:rsidRPr="000F79C8">
        <w:rPr>
          <w:rStyle w:val="FootnoteReference"/>
        </w:rPr>
        <w:footnoteReference w:id="2"/>
      </w:r>
      <w:r w:rsidR="00A4215E" w:rsidRPr="000F79C8">
        <w:t xml:space="preserve"> While </w:t>
      </w:r>
      <w:r w:rsidR="00995A52">
        <w:t>one may query</w:t>
      </w:r>
      <w:r w:rsidR="00A4215E" w:rsidRPr="000F79C8">
        <w:t xml:space="preserve"> such a comparison, the text is certainly </w:t>
      </w:r>
      <w:r w:rsidR="003F4DAA" w:rsidRPr="000F79C8">
        <w:t xml:space="preserve">resonant </w:t>
      </w:r>
      <w:r w:rsidR="00A4215E" w:rsidRPr="000F79C8">
        <w:t>and open, as Synge stated in a letter: ‘I follow Goethe’s rule, to tell no one what one means in one’s writings’.</w:t>
      </w:r>
      <w:r w:rsidR="00A4215E" w:rsidRPr="000F79C8">
        <w:rPr>
          <w:rStyle w:val="FootnoteReference"/>
        </w:rPr>
        <w:footnoteReference w:id="3"/>
      </w:r>
      <w:r w:rsidR="003F4DAA" w:rsidRPr="000F79C8">
        <w:t xml:space="preserve"> This is evidenced by a very Shakespearean avoidance of interpretive suggestiveness</w:t>
      </w:r>
      <w:r w:rsidR="00995A52">
        <w:t xml:space="preserve"> or authorial judgement</w:t>
      </w:r>
      <w:r w:rsidR="003F4DAA" w:rsidRPr="000F79C8">
        <w:t xml:space="preserve">. However, the performance history of the play has somewhat belied its literary qualities. In a book devoted to </w:t>
      </w:r>
      <w:r w:rsidR="00995A52">
        <w:rPr>
          <w:i/>
        </w:rPr>
        <w:t>T</w:t>
      </w:r>
      <w:r w:rsidR="003F4DAA" w:rsidRPr="00995A52">
        <w:rPr>
          <w:i/>
        </w:rPr>
        <w:t>he</w:t>
      </w:r>
      <w:r w:rsidR="003F4DAA" w:rsidRPr="000F79C8">
        <w:t xml:space="preserve"> </w:t>
      </w:r>
      <w:r w:rsidR="003F4DAA" w:rsidRPr="000F79C8">
        <w:rPr>
          <w:i/>
        </w:rPr>
        <w:t>Playboy</w:t>
      </w:r>
      <w:r w:rsidR="003F4DAA" w:rsidRPr="000F79C8">
        <w:t xml:space="preserve"> on stage, various commentators register a rather disappointing reception</w:t>
      </w:r>
      <w:r w:rsidR="00995A52">
        <w:t xml:space="preserve"> of such a lively text</w:t>
      </w:r>
      <w:r w:rsidR="003F4DAA" w:rsidRPr="000F79C8">
        <w:t xml:space="preserve">. Ophelia Byrne notes that </w:t>
      </w:r>
      <w:r w:rsidR="00995A52">
        <w:t>i</w:t>
      </w:r>
      <w:r w:rsidR="00174D90">
        <w:t>n Northern Ire</w:t>
      </w:r>
      <w:r w:rsidR="00995A52" w:rsidRPr="000F79C8">
        <w:t>land</w:t>
      </w:r>
      <w:r w:rsidR="003F4DAA" w:rsidRPr="000F79C8">
        <w:t xml:space="preserve"> the play has been ‘promoted as an appealing comedy classic with no remarkable effect’</w:t>
      </w:r>
      <w:r w:rsidR="00995A52" w:rsidRPr="00995A52">
        <w:t xml:space="preserve"> </w:t>
      </w:r>
      <w:r w:rsidR="00995A52" w:rsidRPr="000F79C8">
        <w:t>since the 1920s</w:t>
      </w:r>
      <w:r w:rsidR="003F4DAA" w:rsidRPr="000F79C8">
        <w:t>.</w:t>
      </w:r>
      <w:r w:rsidR="003F4DAA" w:rsidRPr="000F79C8">
        <w:rPr>
          <w:rStyle w:val="FootnoteReference"/>
        </w:rPr>
        <w:footnoteReference w:id="4"/>
      </w:r>
      <w:r w:rsidR="003F4DAA" w:rsidRPr="000F79C8">
        <w:t xml:space="preserve"> In the USA, John Harrington identifies three phases of reception: </w:t>
      </w:r>
      <w:r w:rsidR="00995A52">
        <w:t xml:space="preserve">it was </w:t>
      </w:r>
      <w:r w:rsidR="003F4DAA" w:rsidRPr="000F79C8">
        <w:t xml:space="preserve">initially </w:t>
      </w:r>
      <w:r w:rsidR="009501D6">
        <w:t xml:space="preserve">considered </w:t>
      </w:r>
      <w:r w:rsidR="003F4DAA" w:rsidRPr="000F79C8">
        <w:t xml:space="preserve">‘incendiary’ </w:t>
      </w:r>
      <w:r w:rsidR="009501D6">
        <w:t>for</w:t>
      </w:r>
      <w:r w:rsidR="003F4DAA" w:rsidRPr="000F79C8">
        <w:t xml:space="preserve"> its</w:t>
      </w:r>
      <w:r w:rsidR="009501D6">
        <w:t xml:space="preserve"> warts-and-all</w:t>
      </w:r>
      <w:r w:rsidR="003F4DAA" w:rsidRPr="000F79C8">
        <w:t xml:space="preserve"> portrayal of the rural poor, </w:t>
      </w:r>
      <w:r w:rsidR="00995A52">
        <w:t xml:space="preserve">then </w:t>
      </w:r>
      <w:r w:rsidR="003F4DAA" w:rsidRPr="000F79C8">
        <w:t>‘poetic’</w:t>
      </w:r>
      <w:r w:rsidR="00995A52">
        <w:t xml:space="preserve"> </w:t>
      </w:r>
      <w:r w:rsidR="00470ECD">
        <w:t>for the richness of its</w:t>
      </w:r>
      <w:r w:rsidR="00995A52">
        <w:t xml:space="preserve"> milieu and </w:t>
      </w:r>
      <w:r w:rsidR="00470ECD">
        <w:t xml:space="preserve">curious </w:t>
      </w:r>
      <w:r w:rsidR="00995A52">
        <w:t>action,</w:t>
      </w:r>
      <w:r w:rsidR="003F4DAA" w:rsidRPr="000F79C8">
        <w:t xml:space="preserve"> and has latterly been staged as ‘sentimental and exotic’.</w:t>
      </w:r>
      <w:r w:rsidR="003F4DAA" w:rsidRPr="000F79C8">
        <w:rPr>
          <w:rStyle w:val="FootnoteReference"/>
        </w:rPr>
        <w:footnoteReference w:id="5"/>
      </w:r>
      <w:r w:rsidR="00592F3C" w:rsidRPr="000F79C8">
        <w:t xml:space="preserve"> </w:t>
      </w:r>
      <w:r w:rsidR="004833D2">
        <w:t xml:space="preserve">An analysis of the play on the Viennese stage echoes its American reception. Dieter Fuchs concludes that </w:t>
      </w:r>
      <w:r w:rsidR="001851BF">
        <w:t>‘it was first of all received as a grotesque and eccentric Irish Comedy whose plot does not really concern continental Europe’</w:t>
      </w:r>
      <w:r w:rsidR="004833D2">
        <w:t>.</w:t>
      </w:r>
      <w:r w:rsidR="001851BF">
        <w:rPr>
          <w:rStyle w:val="FootnoteReference"/>
        </w:rPr>
        <w:footnoteReference w:id="6"/>
      </w:r>
      <w:r w:rsidR="004833D2">
        <w:t xml:space="preserve"> </w:t>
      </w:r>
    </w:p>
    <w:p w14:paraId="646E19F1" w14:textId="2250884F" w:rsidR="002056E5" w:rsidRPr="000F79C8" w:rsidRDefault="00995A52" w:rsidP="00A4215E">
      <w:pPr>
        <w:ind w:firstLine="720"/>
      </w:pPr>
      <w:r>
        <w:t>Such abiding responses</w:t>
      </w:r>
      <w:r w:rsidRPr="000F79C8">
        <w:t xml:space="preserve"> </w:t>
      </w:r>
      <w:r>
        <w:t>are</w:t>
      </w:r>
      <w:r w:rsidR="00592F3C" w:rsidRPr="000F79C8">
        <w:t xml:space="preserve"> very much in contrast to the premiere at the Abbey Theatre, Dublin, on 26 January 1907. Much </w:t>
      </w:r>
      <w:r w:rsidR="00174D90">
        <w:t xml:space="preserve">has been written about the </w:t>
      </w:r>
      <w:r w:rsidR="001607C6">
        <w:t>upheaval</w:t>
      </w:r>
      <w:r w:rsidR="00592F3C" w:rsidRPr="000F79C8">
        <w:t xml:space="preserve"> provoked on that day. Heidi J. Holder argues that the </w:t>
      </w:r>
      <w:r w:rsidR="00220119">
        <w:t>lifelike</w:t>
      </w:r>
      <w:r w:rsidR="00220119" w:rsidRPr="000F79C8">
        <w:t xml:space="preserve"> </w:t>
      </w:r>
      <w:r w:rsidR="00592F3C" w:rsidRPr="000F79C8">
        <w:t xml:space="preserve">setting of the original production undermined the play’s careful artifice and presented the action in the straitjacket of aesthetic realism. As a result, ‘the demands </w:t>
      </w:r>
      <w:r w:rsidR="00592F3C" w:rsidRPr="000F79C8">
        <w:lastRenderedPageBreak/>
        <w:t>[Synge’s] drama placed on the audience for self-examination and involvement far outstripped its desire or willingness to particular in such an exercise’.</w:t>
      </w:r>
      <w:r w:rsidR="00592F3C" w:rsidRPr="000F79C8">
        <w:rPr>
          <w:rStyle w:val="FootnoteReference"/>
        </w:rPr>
        <w:footnoteReference w:id="7"/>
      </w:r>
      <w:r w:rsidR="00CA71E4" w:rsidRPr="000F79C8">
        <w:t xml:space="preserve"> </w:t>
      </w:r>
      <w:r w:rsidR="0047382B" w:rsidRPr="000F79C8">
        <w:t xml:space="preserve">The production thus elicited a powerful </w:t>
      </w:r>
      <w:r w:rsidR="0047382B">
        <w:t>reaction</w:t>
      </w:r>
      <w:r w:rsidR="0047382B" w:rsidRPr="000F79C8">
        <w:t>, one that was steeped in conservatism, protecting a self-image tarnished by the representations on stage.</w:t>
      </w:r>
      <w:r w:rsidR="0047382B">
        <w:t xml:space="preserve"> Lionel Pilkington, however, challenges this position and argues that </w:t>
      </w:r>
      <w:r w:rsidR="00F2229D">
        <w:t>a tendency towards naturalism, the directorial emphasis of the original production, was itself a conservative mode of presentation: ‘[naturalism] offers the reassurance that national identity can be realized through forms of behaviour that seem normal and that show action itself as constrained by known and familiar conventions’</w:t>
      </w:r>
      <w:r w:rsidR="0047382B">
        <w:t>.</w:t>
      </w:r>
      <w:r w:rsidR="0047382B">
        <w:rPr>
          <w:rStyle w:val="FootnoteReference"/>
        </w:rPr>
        <w:footnoteReference w:id="8"/>
      </w:r>
      <w:r w:rsidR="0047382B">
        <w:t xml:space="preserve"> In this light, it is </w:t>
      </w:r>
      <w:r w:rsidR="00F2229D">
        <w:t>the production</w:t>
      </w:r>
      <w:r w:rsidR="0047382B">
        <w:t xml:space="preserve"> </w:t>
      </w:r>
      <w:r w:rsidR="00F2229D">
        <w:t>that</w:t>
      </w:r>
      <w:r w:rsidR="0047382B">
        <w:t xml:space="preserve"> is revealed as conservative.</w:t>
      </w:r>
    </w:p>
    <w:p w14:paraId="20C23F8A" w14:textId="07DF615F" w:rsidR="00445EF8" w:rsidRDefault="00935F3C" w:rsidP="00A4215E">
      <w:pPr>
        <w:ind w:firstLine="720"/>
      </w:pPr>
      <w:r w:rsidRPr="000F79C8">
        <w:t xml:space="preserve">The question arises as to how </w:t>
      </w:r>
      <w:r w:rsidR="00CC43EB">
        <w:t>this</w:t>
      </w:r>
      <w:r w:rsidRPr="000F79C8">
        <w:t xml:space="preserve"> powerful work could provoke such ructions in its early </w:t>
      </w:r>
      <w:r w:rsidR="00AF5D78">
        <w:t>performance history</w:t>
      </w:r>
      <w:r w:rsidRPr="000F79C8">
        <w:t xml:space="preserve">, yet become a </w:t>
      </w:r>
      <w:r w:rsidR="00482A0D">
        <w:t>classic comedy</w:t>
      </w:r>
      <w:r w:rsidR="0055341E">
        <w:t xml:space="preserve"> with little bite</w:t>
      </w:r>
      <w:r w:rsidRPr="000F79C8">
        <w:t xml:space="preserve"> when staged later. </w:t>
      </w:r>
      <w:r w:rsidR="000D1FF5">
        <w:t xml:space="preserve">It would appear that, unlike </w:t>
      </w:r>
      <w:r w:rsidR="00AF5D78">
        <w:t>productions</w:t>
      </w:r>
      <w:r w:rsidR="000D1FF5">
        <w:t xml:space="preserve"> of</w:t>
      </w:r>
      <w:r w:rsidR="00234FA1">
        <w:t>, say,</w:t>
      </w:r>
      <w:r w:rsidR="000D1FF5">
        <w:t xml:space="preserve"> Shakespeare, directors have been satisfied to restrict readings and anchor them in the then-and-there of turn-of-the-century Mayo. The result is that</w:t>
      </w:r>
      <w:r w:rsidR="00AF5D78">
        <w:t xml:space="preserve"> many</w:t>
      </w:r>
      <w:r w:rsidR="000D1FF5">
        <w:t xml:space="preserve"> productions fail to connect with their audiences as anything </w:t>
      </w:r>
      <w:r w:rsidR="00AF5D78">
        <w:t>more than</w:t>
      </w:r>
      <w:r w:rsidR="000D1FF5">
        <w:t xml:space="preserve"> entertainment or as a freak show of sorts, displaying a cabinet of backward and wayward curiosities. </w:t>
      </w:r>
      <w:r w:rsidR="00A43226">
        <w:t>A failure to liberate the dynamics of the play from the specificity of its setting can lead to the kind of production</w:t>
      </w:r>
      <w:r w:rsidR="00A43226" w:rsidRPr="00151132">
        <w:t xml:space="preserve"> </w:t>
      </w:r>
      <w:r w:rsidR="00A43226">
        <w:t xml:space="preserve">of </w:t>
      </w:r>
      <w:r w:rsidR="00A43226">
        <w:rPr>
          <w:i/>
        </w:rPr>
        <w:t xml:space="preserve">The Playboy </w:t>
      </w:r>
      <w:r w:rsidR="00A43226" w:rsidRPr="000F79C8">
        <w:t>at the National Theatre, London, in 2001</w:t>
      </w:r>
      <w:r w:rsidR="008D7E47">
        <w:t>,</w:t>
      </w:r>
      <w:r w:rsidR="00A43226" w:rsidRPr="000F79C8">
        <w:t xml:space="preserve"> </w:t>
      </w:r>
      <w:r w:rsidR="008D7E47">
        <w:t>discussed by</w:t>
      </w:r>
      <w:r w:rsidR="00A43226">
        <w:t xml:space="preserve"> </w:t>
      </w:r>
      <w:r w:rsidR="00A43226" w:rsidRPr="000F79C8">
        <w:t xml:space="preserve">Nicholas Grene. He quotes two separate reviews that mention ‘Oirishness’, the stage Irishry that has turned vibrant works of art into stereotypical </w:t>
      </w:r>
      <w:r w:rsidR="00A43226">
        <w:t>representations</w:t>
      </w:r>
      <w:r w:rsidR="00A43226" w:rsidRPr="000F79C8">
        <w:t xml:space="preserve"> of the Irish Other.</w:t>
      </w:r>
      <w:r w:rsidR="00A43226" w:rsidRPr="000F79C8">
        <w:rPr>
          <w:rStyle w:val="FootnoteReference"/>
        </w:rPr>
        <w:footnoteReference w:id="9"/>
      </w:r>
      <w:r w:rsidR="00A43226">
        <w:t xml:space="preserve"> </w:t>
      </w:r>
      <w:r w:rsidR="00445EF8">
        <w:t>The text itself may also bear some responsibility for exoticizing the Irish peasant world as spectacle for Dublin audiences in treatment of language and action as other.</w:t>
      </w:r>
    </w:p>
    <w:p w14:paraId="6EE61634" w14:textId="570C461B" w:rsidR="00A43226" w:rsidRDefault="00A43226" w:rsidP="00A4215E">
      <w:pPr>
        <w:ind w:firstLine="720"/>
      </w:pPr>
      <w:r>
        <w:t>The</w:t>
      </w:r>
      <w:r w:rsidRPr="000F79C8">
        <w:t xml:space="preserve"> problem here is that an insistence on </w:t>
      </w:r>
      <w:r>
        <w:t xml:space="preserve">an unproblematized </w:t>
      </w:r>
      <w:r w:rsidRPr="000F79C8">
        <w:t xml:space="preserve">aesthetic realism </w:t>
      </w:r>
      <w:r w:rsidR="0047382B">
        <w:t xml:space="preserve">in performance </w:t>
      </w:r>
      <w:r w:rsidRPr="000F79C8">
        <w:t xml:space="preserve">can present that stage world ‘as it is’, that Irish </w:t>
      </w:r>
      <w:r w:rsidR="0047382B">
        <w:t>peasants</w:t>
      </w:r>
      <w:r w:rsidRPr="000F79C8">
        <w:t xml:space="preserve"> of this time and in this place are simply ‘like that’</w:t>
      </w:r>
      <w:r>
        <w:t>, replete with</w:t>
      </w:r>
      <w:r w:rsidRPr="000F79C8">
        <w:t xml:space="preserve"> their </w:t>
      </w:r>
      <w:r>
        <w:t>earthiness</w:t>
      </w:r>
      <w:r w:rsidRPr="000F79C8">
        <w:t xml:space="preserve">, wit and </w:t>
      </w:r>
      <w:r>
        <w:t>menace. The characters are naturalized and deprived of any context other than that of early twentieth-century Irish peasantry. Their foibles and their behaviour are located purely in their own personalities and are consequently easy to laugh at or mock from the safety of the stalls</w:t>
      </w:r>
      <w:r w:rsidRPr="000F79C8">
        <w:t xml:space="preserve">. </w:t>
      </w:r>
    </w:p>
    <w:p w14:paraId="0BEEB910" w14:textId="77777777" w:rsidR="00935F3C" w:rsidRPr="000F79C8" w:rsidRDefault="00A43226" w:rsidP="00A4215E">
      <w:pPr>
        <w:ind w:firstLine="720"/>
      </w:pPr>
      <w:r>
        <w:t>T</w:t>
      </w:r>
      <w:r w:rsidRPr="000F79C8">
        <w:t>his</w:t>
      </w:r>
      <w:r>
        <w:t xml:space="preserve"> propensity to treat the play as ‘exotic’ or ‘distant’</w:t>
      </w:r>
      <w:r w:rsidRPr="000F79C8">
        <w:t xml:space="preserve"> </w:t>
      </w:r>
      <w:r>
        <w:t xml:space="preserve">can be countered, of course. </w:t>
      </w:r>
      <w:r w:rsidR="00145F18" w:rsidRPr="000F79C8">
        <w:t>Gregory Castle makes an interesting point</w:t>
      </w:r>
      <w:r w:rsidR="0055341E">
        <w:t xml:space="preserve"> in this respect</w:t>
      </w:r>
      <w:r w:rsidR="00145F18" w:rsidRPr="000F79C8">
        <w:t xml:space="preserve"> that is worth quoting at length:</w:t>
      </w:r>
    </w:p>
    <w:p w14:paraId="603E4B24" w14:textId="77777777" w:rsidR="00145F18" w:rsidRPr="000F79C8" w:rsidRDefault="00145F18" w:rsidP="00A4215E">
      <w:pPr>
        <w:ind w:firstLine="720"/>
      </w:pPr>
    </w:p>
    <w:p w14:paraId="50D583FC" w14:textId="77777777" w:rsidR="00145F18" w:rsidRPr="000F79C8" w:rsidRDefault="00145F18" w:rsidP="00145F18">
      <w:pPr>
        <w:ind w:left="720"/>
      </w:pPr>
      <w:r w:rsidRPr="000F79C8">
        <w:t xml:space="preserve">[…] Synge’s </w:t>
      </w:r>
      <w:r w:rsidRPr="000F79C8">
        <w:rPr>
          <w:i/>
        </w:rPr>
        <w:t>Playboy</w:t>
      </w:r>
      <w:r w:rsidRPr="000F79C8">
        <w:t xml:space="preserve"> functions as a kind of cultural performance in which the indigenous scene of storytelling […] is transformed into stage drama. Performance thus becomes self-reflexive, meta-discursive; and it is at this point that it can begin to function a</w:t>
      </w:r>
      <w:r w:rsidR="00A43226">
        <w:t>s</w:t>
      </w:r>
      <w:r w:rsidRPr="000F79C8">
        <w:t xml:space="preserve"> part of a strategy of cultural translation, whereby ‘eccentric’ or ‘marginal’ rituals can become accessible in a ‘dominant’ discourse without suffering the violent and wholesale transmutation of native ritual into Western social text.</w:t>
      </w:r>
      <w:r w:rsidRPr="000F79C8">
        <w:rPr>
          <w:rStyle w:val="FootnoteReference"/>
        </w:rPr>
        <w:footnoteReference w:id="10"/>
      </w:r>
    </w:p>
    <w:p w14:paraId="2A354792" w14:textId="77777777" w:rsidR="00145F18" w:rsidRPr="000F79C8" w:rsidRDefault="00145F18" w:rsidP="00145F18">
      <w:pPr>
        <w:ind w:left="720"/>
      </w:pPr>
    </w:p>
    <w:p w14:paraId="59076A87" w14:textId="1FA7207A" w:rsidR="003C1DFB" w:rsidRDefault="00145F18" w:rsidP="00145F18">
      <w:r w:rsidRPr="000F79C8">
        <w:t>Castle proposes that foregrounding storytelling can serve to prevent the setting and language from becoming exoticized</w:t>
      </w:r>
      <w:r w:rsidR="0055341E">
        <w:t xml:space="preserve"> and commodified</w:t>
      </w:r>
      <w:r w:rsidR="009404B5">
        <w:t>,</w:t>
      </w:r>
      <w:r w:rsidR="00151132">
        <w:t xml:space="preserve"> and </w:t>
      </w:r>
      <w:r w:rsidR="00A43226">
        <w:t xml:space="preserve">to </w:t>
      </w:r>
      <w:r w:rsidR="00151132">
        <w:t xml:space="preserve">expose the </w:t>
      </w:r>
      <w:r w:rsidR="0047382B">
        <w:t>potentially</w:t>
      </w:r>
      <w:r w:rsidR="00151132">
        <w:t xml:space="preserve"> natural personae on stage as constructions</w:t>
      </w:r>
      <w:r w:rsidRPr="000F79C8">
        <w:t xml:space="preserve">. </w:t>
      </w:r>
    </w:p>
    <w:p w14:paraId="0C8EA99E" w14:textId="5C1F438E" w:rsidR="00505B7F" w:rsidRPr="000F79C8" w:rsidRDefault="009E31CB" w:rsidP="003C1DFB">
      <w:pPr>
        <w:ind w:firstLine="720"/>
      </w:pPr>
      <w:r>
        <w:t>An emphasis on process over product</w:t>
      </w:r>
      <w:r w:rsidR="003C1DFB">
        <w:t xml:space="preserve"> is to be found in the theatre of Bertolt Brecht</w:t>
      </w:r>
      <w:r w:rsidR="00A43226">
        <w:t>.</w:t>
      </w:r>
      <w:r w:rsidR="003C1DFB">
        <w:t xml:space="preserve"> T</w:t>
      </w:r>
      <w:r w:rsidR="00B0082B" w:rsidRPr="000F79C8">
        <w:t>he theorist and practi</w:t>
      </w:r>
      <w:r w:rsidR="003C1DFB">
        <w:t>tioner of a dialectical theatre</w:t>
      </w:r>
      <w:r w:rsidR="00B0082B" w:rsidRPr="000F79C8">
        <w:t xml:space="preserve"> oversaw a production of </w:t>
      </w:r>
      <w:r w:rsidR="00B0082B" w:rsidRPr="000F79C8">
        <w:rPr>
          <w:i/>
        </w:rPr>
        <w:t>The Playboy</w:t>
      </w:r>
      <w:r w:rsidR="00B0082B" w:rsidRPr="000F79C8">
        <w:t xml:space="preserve"> staged by his own company, the Berliner Ensemble</w:t>
      </w:r>
      <w:r w:rsidR="00EF5735">
        <w:t>. It was co-directed by two of his assistants, Manfred Wekwerth and Peter Palitzsch and premiered on 11 May</w:t>
      </w:r>
      <w:r w:rsidR="00B0082B" w:rsidRPr="000F79C8">
        <w:t xml:space="preserve"> 1956. The discussion that follows examines Brecht’s understanding of realism before engaging with a production that </w:t>
      </w:r>
      <w:r w:rsidR="009404B5">
        <w:t>privileged</w:t>
      </w:r>
      <w:r w:rsidR="001D6F6F" w:rsidRPr="000F79C8">
        <w:t xml:space="preserve"> material conditions</w:t>
      </w:r>
      <w:r w:rsidR="003C1DFB">
        <w:t>, rhetorical processes,</w:t>
      </w:r>
      <w:r w:rsidR="001D6F6F" w:rsidRPr="000F79C8">
        <w:t xml:space="preserve"> and social relationships </w:t>
      </w:r>
      <w:r w:rsidR="00EF5735">
        <w:t>over</w:t>
      </w:r>
      <w:r w:rsidR="001D6F6F" w:rsidRPr="000F79C8">
        <w:t xml:space="preserve"> verisimilitude</w:t>
      </w:r>
      <w:r w:rsidR="003C1DFB">
        <w:t>, naturalization</w:t>
      </w:r>
      <w:r w:rsidR="001D6F6F" w:rsidRPr="000F79C8">
        <w:t xml:space="preserve"> and </w:t>
      </w:r>
      <w:r>
        <w:t xml:space="preserve">individual </w:t>
      </w:r>
      <w:r>
        <w:lastRenderedPageBreak/>
        <w:t>character</w:t>
      </w:r>
      <w:r w:rsidR="001D6F6F" w:rsidRPr="000F79C8">
        <w:t xml:space="preserve">. </w:t>
      </w:r>
      <w:r w:rsidR="00435BCE">
        <w:t>My</w:t>
      </w:r>
      <w:r w:rsidR="001D6F6F" w:rsidRPr="000F79C8">
        <w:t xml:space="preserve"> case study serves two purposes. First, it examines the </w:t>
      </w:r>
      <w:r w:rsidR="00435BCE">
        <w:t>staging</w:t>
      </w:r>
      <w:r w:rsidR="001D6F6F" w:rsidRPr="000F79C8">
        <w:t xml:space="preserve"> strategies that allowed Synge’s play to become ‘accessible in a “dominant” culture</w:t>
      </w:r>
      <w:r w:rsidR="00EF5735">
        <w:t>’</w:t>
      </w:r>
      <w:r w:rsidR="001D6F6F" w:rsidRPr="000F79C8">
        <w:t xml:space="preserve"> </w:t>
      </w:r>
      <w:r w:rsidR="00EF5735">
        <w:t>while</w:t>
      </w:r>
      <w:r w:rsidR="001D6F6F" w:rsidRPr="000F79C8">
        <w:t xml:space="preserve"> resist</w:t>
      </w:r>
      <w:r w:rsidR="00EF5735">
        <w:t>ing the</w:t>
      </w:r>
      <w:r w:rsidR="00A43226">
        <w:t xml:space="preserve"> </w:t>
      </w:r>
      <w:r w:rsidR="001D6F6F" w:rsidRPr="000F79C8">
        <w:t>fetishization of the Irish Other. Second, it casts light more generally on a series of principles with which other ‘realistic’ plays</w:t>
      </w:r>
      <w:r w:rsidR="00445EF8">
        <w:rPr>
          <w:rStyle w:val="FootnoteReference"/>
        </w:rPr>
        <w:footnoteReference w:id="11"/>
      </w:r>
      <w:r w:rsidR="001D6F6F" w:rsidRPr="000F79C8">
        <w:t xml:space="preserve"> might be staged </w:t>
      </w:r>
      <w:r w:rsidR="007D72B8">
        <w:t>in order to</w:t>
      </w:r>
      <w:r w:rsidR="001D6F6F" w:rsidRPr="000F79C8">
        <w:t xml:space="preserve"> liberate them from confirming certain prejudices or limiting understandings of the subject matter.</w:t>
      </w:r>
    </w:p>
    <w:p w14:paraId="580DCD71" w14:textId="77777777" w:rsidR="002056E5" w:rsidRPr="000F79C8" w:rsidRDefault="002056E5" w:rsidP="00B52269"/>
    <w:p w14:paraId="248F46FD" w14:textId="77777777" w:rsidR="002056E5" w:rsidRPr="000F79C8" w:rsidRDefault="002056E5" w:rsidP="00B52269"/>
    <w:p w14:paraId="27A310B5" w14:textId="77777777" w:rsidR="00B52269" w:rsidRPr="000F79C8" w:rsidRDefault="002056E5" w:rsidP="00B52269">
      <w:r w:rsidRPr="000F79C8">
        <w:t>Realisms in the Theatre</w:t>
      </w:r>
    </w:p>
    <w:p w14:paraId="35C4BD75" w14:textId="77777777" w:rsidR="002056E5" w:rsidRPr="000F79C8" w:rsidRDefault="002056E5" w:rsidP="00B52269"/>
    <w:p w14:paraId="57A4F2D7" w14:textId="77777777" w:rsidR="008479B2" w:rsidRPr="000F79C8" w:rsidRDefault="008479B2" w:rsidP="00B52269">
      <w:r w:rsidRPr="000F79C8">
        <w:t>I have deliberately used th</w:t>
      </w:r>
      <w:r w:rsidR="00636378">
        <w:t>e term ‘aesthetic realism’ for</w:t>
      </w:r>
      <w:r w:rsidRPr="000F79C8">
        <w:t xml:space="preserve"> mode</w:t>
      </w:r>
      <w:r w:rsidR="00636378">
        <w:t>s</w:t>
      </w:r>
      <w:r w:rsidRPr="000F79C8">
        <w:t xml:space="preserve"> of direction</w:t>
      </w:r>
      <w:r w:rsidR="00636378">
        <w:t xml:space="preserve"> and presentation that aim</w:t>
      </w:r>
      <w:r w:rsidRPr="000F79C8">
        <w:t xml:space="preserve"> to capture life as experienced from day to day. Such realism is associated with Stanislavsky, yet it is worth remembering that he also differentiated it from naturalism, as Jean Benedetti notes: </w:t>
      </w:r>
    </w:p>
    <w:p w14:paraId="6E050AED" w14:textId="77777777" w:rsidR="008479B2" w:rsidRPr="000F79C8" w:rsidRDefault="008479B2" w:rsidP="00B52269"/>
    <w:p w14:paraId="52812AB8" w14:textId="77777777" w:rsidR="002056E5" w:rsidRPr="000F79C8" w:rsidRDefault="008479B2" w:rsidP="008479B2">
      <w:pPr>
        <w:ind w:left="720"/>
      </w:pPr>
      <w:r w:rsidRPr="000F79C8">
        <w:t>Naturalism, for [Stanislavsky], implied the indiscriminate reproduction of the surface of life. Realism, on the other hand, while taking its material from the real world and from direct observation, selected only those elements which revealed the relationships and tendencies lying under the surface.</w:t>
      </w:r>
      <w:r w:rsidRPr="000F79C8">
        <w:rPr>
          <w:rStyle w:val="FootnoteReference"/>
        </w:rPr>
        <w:footnoteReference w:id="12"/>
      </w:r>
    </w:p>
    <w:p w14:paraId="4050C22A" w14:textId="77777777" w:rsidR="008479B2" w:rsidRPr="000F79C8" w:rsidRDefault="008479B2" w:rsidP="008479B2">
      <w:pPr>
        <w:ind w:left="720"/>
      </w:pPr>
    </w:p>
    <w:p w14:paraId="75359F9E" w14:textId="77777777" w:rsidR="008479B2" w:rsidRPr="000F79C8" w:rsidRDefault="001D314D" w:rsidP="008479B2">
      <w:r w:rsidRPr="000F79C8">
        <w:t>Here, Stanislavsky is concerned with questions of human interaction and psychology. The play of text and subtext was to reveal the complexity of human relationships without presenting everything to the spectator on a plate. Brecht shared Stanislavsky’s belief that realism was about making connections in the auditorium, but understood the nature of those connections differently.</w:t>
      </w:r>
      <w:r w:rsidR="00BA705F" w:rsidRPr="000F79C8">
        <w:t xml:space="preserve"> Brecht maintains, through the figure of the Philosopher in </w:t>
      </w:r>
      <w:r w:rsidR="00BA705F" w:rsidRPr="000F79C8">
        <w:rPr>
          <w:i/>
        </w:rPr>
        <w:t>Buying Brass</w:t>
      </w:r>
      <w:r w:rsidR="00BA705F" w:rsidRPr="000F79C8">
        <w:t>:</w:t>
      </w:r>
    </w:p>
    <w:p w14:paraId="253972DA" w14:textId="77777777" w:rsidR="00BA705F" w:rsidRPr="000F79C8" w:rsidRDefault="00BA705F" w:rsidP="008479B2"/>
    <w:p w14:paraId="27F7D1D0" w14:textId="77777777" w:rsidR="00BA705F" w:rsidRPr="000F79C8" w:rsidRDefault="00BA705F" w:rsidP="00BA705F">
      <w:pPr>
        <w:ind w:left="720"/>
      </w:pPr>
      <w:r w:rsidRPr="000F79C8">
        <w:t>The problem is that making reality recognizable in the theatre is just one of the tasks of true realism. You still need to be able to see through this reality, though. The laws that determine how the processes of life develop must be made visible. These laws aren’t visible in ph</w:t>
      </w:r>
      <w:r w:rsidR="00B41A81" w:rsidRPr="000F79C8">
        <w:t>otographs. Nor are they visible if the spectators simply borrow the eyes or hearts of the characters involved in these processes.</w:t>
      </w:r>
      <w:r w:rsidR="00B41A81" w:rsidRPr="000F79C8">
        <w:rPr>
          <w:rStyle w:val="FootnoteReference"/>
        </w:rPr>
        <w:footnoteReference w:id="13"/>
      </w:r>
    </w:p>
    <w:p w14:paraId="6938F060" w14:textId="77777777" w:rsidR="00B41A81" w:rsidRPr="000F79C8" w:rsidRDefault="00B41A81" w:rsidP="00BA705F">
      <w:pPr>
        <w:ind w:left="720"/>
      </w:pPr>
    </w:p>
    <w:p w14:paraId="486A8E95" w14:textId="77777777" w:rsidR="00D105E8" w:rsidRDefault="00B41A81" w:rsidP="00B41A81">
      <w:r w:rsidRPr="000F79C8">
        <w:t xml:space="preserve">This quotation covers several important principles that underpin Brecht’s understanding of realism. </w:t>
      </w:r>
      <w:r w:rsidR="00D105E8">
        <w:t>T</w:t>
      </w:r>
      <w:r w:rsidRPr="000F79C8">
        <w:t xml:space="preserve">he Stanislavskian quest for aesthetic realism is only the first part of a more complex operation. The more important one is to be able to make connections between such representations and the forces that </w:t>
      </w:r>
      <w:r w:rsidR="005F4ABA">
        <w:t>produce</w:t>
      </w:r>
      <w:r w:rsidRPr="000F79C8">
        <w:t xml:space="preserve"> them </w:t>
      </w:r>
      <w:r w:rsidR="00D105E8">
        <w:t>in a</w:t>
      </w:r>
      <w:r w:rsidRPr="000F79C8">
        <w:t xml:space="preserve"> clear and apparent</w:t>
      </w:r>
      <w:r w:rsidR="00D105E8">
        <w:t xml:space="preserve"> manner. These ‘laws’ are social and historical, and thus go beyond the</w:t>
      </w:r>
      <w:r w:rsidR="005F4ABA">
        <w:t xml:space="preserve"> actions of the</w:t>
      </w:r>
      <w:r w:rsidR="00D105E8">
        <w:t xml:space="preserve"> human subjects on stage</w:t>
      </w:r>
      <w:r w:rsidR="00E07EA6" w:rsidRPr="000F79C8">
        <w:t xml:space="preserve">. </w:t>
      </w:r>
      <w:r w:rsidR="00D105E8">
        <w:t>In this reading, spectators require</w:t>
      </w:r>
      <w:r w:rsidR="00E07EA6" w:rsidRPr="000F79C8">
        <w:t xml:space="preserve"> a measured gaze that is not </w:t>
      </w:r>
      <w:r w:rsidR="00AA1721">
        <w:t>blinkered</w:t>
      </w:r>
      <w:r w:rsidR="00E07EA6" w:rsidRPr="000F79C8">
        <w:t xml:space="preserve"> by empathy</w:t>
      </w:r>
      <w:r w:rsidR="00D105E8">
        <w:t>: they must see the big picture, not the one mediated by any single character</w:t>
      </w:r>
      <w:r w:rsidR="00E07EA6" w:rsidRPr="000F79C8">
        <w:t>.</w:t>
      </w:r>
    </w:p>
    <w:p w14:paraId="3AECBFB3" w14:textId="77777777" w:rsidR="00B41A81" w:rsidRPr="000F79C8" w:rsidRDefault="00D105E8" w:rsidP="00D105E8">
      <w:pPr>
        <w:ind w:firstLine="720"/>
      </w:pPr>
      <w:r>
        <w:t>Brecht</w:t>
      </w:r>
      <w:r w:rsidR="00E07EA6" w:rsidRPr="000F79C8">
        <w:t xml:space="preserve"> further noted in his journal: ‘as long as by realism one understands a style and not an attitude, one is nothing other than a formalist’.</w:t>
      </w:r>
      <w:r w:rsidR="00E07EA6" w:rsidRPr="000F79C8">
        <w:rPr>
          <w:rStyle w:val="FootnoteReference"/>
        </w:rPr>
        <w:footnoteReference w:id="14"/>
      </w:r>
      <w:r w:rsidR="00E07EA6" w:rsidRPr="000F79C8">
        <w:t xml:space="preserve"> An attitude towards reality is something that requires not simply a passive reflection of, but an active reflection on lived experience.</w:t>
      </w:r>
      <w:r>
        <w:t xml:space="preserve"> </w:t>
      </w:r>
      <w:r w:rsidR="007E655A" w:rsidRPr="000F79C8">
        <w:t xml:space="preserve">Brecht’s attitude to reality can be understood with reference to a figure often considered to be at odds with </w:t>
      </w:r>
      <w:r w:rsidR="004B0B26">
        <w:t>his</w:t>
      </w:r>
      <w:r w:rsidR="007E655A" w:rsidRPr="000F79C8">
        <w:t xml:space="preserve"> views, György Lukács. With reference to the essay ‘Narrate or Describe?’</w:t>
      </w:r>
      <w:r w:rsidR="005B10EB" w:rsidRPr="000F79C8">
        <w:t xml:space="preserve"> (1936)</w:t>
      </w:r>
      <w:r w:rsidR="007E655A" w:rsidRPr="000F79C8">
        <w:t>, Steve Giles argues that Lukács differentiated between ‘showing’ and ‘telling’ in novelistic narration</w:t>
      </w:r>
      <w:r w:rsidR="008876AB" w:rsidRPr="000F79C8">
        <w:t>. Here ‘showing’ is unreflected reproduction, whereas ‘telling’ introduces an interpretive voice that distances the reader from the read.</w:t>
      </w:r>
      <w:r w:rsidR="008876AB" w:rsidRPr="000F79C8">
        <w:rPr>
          <w:rStyle w:val="FootnoteReference"/>
        </w:rPr>
        <w:footnoteReference w:id="15"/>
      </w:r>
      <w:r w:rsidR="008876AB" w:rsidRPr="000F79C8">
        <w:t xml:space="preserve"> </w:t>
      </w:r>
      <w:r>
        <w:t>W</w:t>
      </w:r>
      <w:r w:rsidR="008876AB" w:rsidRPr="000F79C8">
        <w:t>hat</w:t>
      </w:r>
      <w:r>
        <w:t>, then, is</w:t>
      </w:r>
      <w:r w:rsidR="008876AB" w:rsidRPr="000F79C8">
        <w:t xml:space="preserve"> Brecht ‘telling’ the spectato</w:t>
      </w:r>
      <w:r w:rsidR="007C0901" w:rsidRPr="000F79C8">
        <w:t xml:space="preserve">r in </w:t>
      </w:r>
      <w:r w:rsidR="001D0914">
        <w:t>his</w:t>
      </w:r>
      <w:r w:rsidR="007C0901" w:rsidRPr="000F79C8">
        <w:t xml:space="preserve"> dramatic presentation</w:t>
      </w:r>
      <w:r>
        <w:t>?</w:t>
      </w:r>
      <w:r w:rsidR="007C0901" w:rsidRPr="000F79C8">
        <w:t xml:space="preserve"> </w:t>
      </w:r>
      <w:r w:rsidR="005B10EB" w:rsidRPr="000F79C8">
        <w:t xml:space="preserve">For </w:t>
      </w:r>
      <w:r w:rsidR="001442F8">
        <w:t>him</w:t>
      </w:r>
      <w:r w:rsidR="005B10EB" w:rsidRPr="000F79C8">
        <w:t>, reality is to be interpreted dialectically: what is seen on stage is always predicated on contradiction, and contradiction is the motor of the action itself</w:t>
      </w:r>
      <w:r w:rsidR="00B64772">
        <w:t xml:space="preserve">. Brecht’s ‘telling’ is the inclusion of </w:t>
      </w:r>
      <w:r w:rsidR="00636378">
        <w:t xml:space="preserve">dialectical </w:t>
      </w:r>
      <w:r w:rsidR="00B64772">
        <w:t>process</w:t>
      </w:r>
      <w:r w:rsidR="00636378">
        <w:t>es</w:t>
      </w:r>
      <w:r w:rsidR="00B64772">
        <w:t xml:space="preserve"> in the production of staged representation</w:t>
      </w:r>
      <w:r w:rsidR="005B10EB" w:rsidRPr="000F79C8">
        <w:t xml:space="preserve">: </w:t>
      </w:r>
      <w:r w:rsidR="00B64772">
        <w:t>his realism is philosophical rather than aesthetic</w:t>
      </w:r>
      <w:r w:rsidR="005B10EB" w:rsidRPr="000F79C8">
        <w:t>.</w:t>
      </w:r>
    </w:p>
    <w:p w14:paraId="2782FA24" w14:textId="22D2D70B" w:rsidR="005B10EB" w:rsidRPr="000F79C8" w:rsidRDefault="005B10EB" w:rsidP="00E07EA6">
      <w:pPr>
        <w:ind w:firstLine="720"/>
      </w:pPr>
      <w:r w:rsidRPr="000F79C8">
        <w:t xml:space="preserve">Such a position </w:t>
      </w:r>
      <w:r w:rsidR="001D0914">
        <w:t>opens new vistas on</w:t>
      </w:r>
      <w:r w:rsidRPr="000F79C8">
        <w:t xml:space="preserve"> </w:t>
      </w:r>
      <w:r w:rsidRPr="000F79C8">
        <w:rPr>
          <w:i/>
        </w:rPr>
        <w:t>The Playboy</w:t>
      </w:r>
      <w:r w:rsidRPr="000F79C8">
        <w:t xml:space="preserve">. Synge’s elegant combination of realism and artistry </w:t>
      </w:r>
      <w:r w:rsidR="003F7801">
        <w:t>has often been refracted in</w:t>
      </w:r>
      <w:r w:rsidRPr="000F79C8">
        <w:t xml:space="preserve"> an overstatement of the former over the latter in performance. The dialectical interpretation, on the other hand, focuses on the contingency of the specific circumstances and their potential to </w:t>
      </w:r>
      <w:r w:rsidR="000322A3">
        <w:t>provoke</w:t>
      </w:r>
      <w:r w:rsidRPr="000F79C8">
        <w:t xml:space="preserve"> particular actions</w:t>
      </w:r>
      <w:r w:rsidR="0016073B">
        <w:t xml:space="preserve"> and behaviours</w:t>
      </w:r>
      <w:r w:rsidRPr="000F79C8">
        <w:t>.</w:t>
      </w:r>
      <w:r w:rsidR="00210932" w:rsidRPr="000F79C8">
        <w:t xml:space="preserve"> </w:t>
      </w:r>
      <w:r w:rsidR="001D091A">
        <w:t>A</w:t>
      </w:r>
      <w:r w:rsidR="00210932" w:rsidRPr="000F79C8">
        <w:t xml:space="preserve"> Brechtian production is able to retain the uniqueness of the local circumstances </w:t>
      </w:r>
      <w:r w:rsidR="00210932" w:rsidRPr="000F79C8">
        <w:rPr>
          <w:i/>
        </w:rPr>
        <w:t>and</w:t>
      </w:r>
      <w:r w:rsidR="00210932" w:rsidRPr="000F79C8">
        <w:t xml:space="preserve"> generalize their problems in such a way that a dialogue between text and context can arise</w:t>
      </w:r>
      <w:r w:rsidR="0065416C">
        <w:t xml:space="preserve">. The realist trap in performance can make </w:t>
      </w:r>
      <w:r w:rsidR="0065416C">
        <w:rPr>
          <w:i/>
        </w:rPr>
        <w:t>The Playboy</w:t>
      </w:r>
      <w:r w:rsidR="0065416C">
        <w:t xml:space="preserve"> appear parochial when its themes and action clearly reach well beyond</w:t>
      </w:r>
      <w:r w:rsidR="00210932" w:rsidRPr="000F79C8">
        <w:t xml:space="preserve"> the peasantry of Mayo at the dawn of the twentieth century.</w:t>
      </w:r>
    </w:p>
    <w:p w14:paraId="66C2EED3" w14:textId="77777777" w:rsidR="00210932" w:rsidRDefault="00210932" w:rsidP="00E07EA6">
      <w:pPr>
        <w:ind w:firstLine="720"/>
      </w:pPr>
      <w:r w:rsidRPr="000F79C8">
        <w:t xml:space="preserve">Brecht’s theatre practice at the </w:t>
      </w:r>
      <w:r w:rsidR="00A169F6">
        <w:t>Berliner Ensemble</w:t>
      </w:r>
      <w:r w:rsidRPr="000F79C8">
        <w:t xml:space="preserve"> began not with the characters, but with the action. Manfred Wekwerth set out a dialectical analysis of </w:t>
      </w:r>
      <w:r w:rsidR="00175AD0">
        <w:rPr>
          <w:i/>
        </w:rPr>
        <w:t>The Playboy</w:t>
      </w:r>
      <w:r w:rsidR="00DD69D6" w:rsidRPr="000F79C8">
        <w:t xml:space="preserve"> </w:t>
      </w:r>
      <w:r w:rsidR="007A4E05" w:rsidRPr="000F79C8">
        <w:t>using headings reminiscent of</w:t>
      </w:r>
      <w:r w:rsidR="00DD69D6" w:rsidRPr="000F79C8">
        <w:t xml:space="preserve"> Friedrich Engels’s ‘laws of the dialectic’.</w:t>
      </w:r>
      <w:r w:rsidR="00DD69D6" w:rsidRPr="000F79C8">
        <w:rPr>
          <w:rStyle w:val="FootnoteReference"/>
        </w:rPr>
        <w:footnoteReference w:id="16"/>
      </w:r>
      <w:r w:rsidR="007A4E05" w:rsidRPr="000F79C8">
        <w:t xml:space="preserve"> One finds</w:t>
      </w:r>
      <w:r w:rsidR="001D091A">
        <w:t>, for example,</w:t>
      </w:r>
      <w:r w:rsidR="007A4E05" w:rsidRPr="000F79C8">
        <w:t xml:space="preserve"> under ‘the interpenetration of opposites’ that </w:t>
      </w:r>
      <w:r w:rsidR="00F754B0">
        <w:t>Christy</w:t>
      </w:r>
      <w:r w:rsidR="001D091A">
        <w:t xml:space="preserve"> is neither a wretch nor</w:t>
      </w:r>
      <w:r w:rsidR="007A4E05" w:rsidRPr="000F79C8">
        <w:t xml:space="preserve"> a playboy, but both a wretch and a playboy ‘with </w:t>
      </w:r>
      <w:r w:rsidR="00A169F6">
        <w:t>a</w:t>
      </w:r>
      <w:r w:rsidR="007A4E05" w:rsidRPr="000F79C8">
        <w:t xml:space="preserve"> different emphasis on the one or the other’.</w:t>
      </w:r>
      <w:r w:rsidR="007A4E05" w:rsidRPr="000F79C8">
        <w:rPr>
          <w:rStyle w:val="FootnoteReference"/>
        </w:rPr>
        <w:footnoteReference w:id="17"/>
      </w:r>
      <w:r w:rsidR="007A4E05" w:rsidRPr="000F79C8">
        <w:t xml:space="preserve"> Similarly, under the heading, ‘the same thing twice is not the same thing’, Wekwerth notes that </w:t>
      </w:r>
      <w:r w:rsidR="00F754B0">
        <w:t>Christy</w:t>
      </w:r>
      <w:r w:rsidR="007A4E05" w:rsidRPr="000F79C8">
        <w:t xml:space="preserve">’s murder of his father at a distance makes him a hero, while the </w:t>
      </w:r>
      <w:r w:rsidR="00A169F6">
        <w:t xml:space="preserve">attempted </w:t>
      </w:r>
      <w:r w:rsidR="007A4E05" w:rsidRPr="000F79C8">
        <w:t>murder before the villagers’ eyes makes him a criminal.</w:t>
      </w:r>
      <w:r w:rsidR="00E20428" w:rsidRPr="000F79C8">
        <w:t xml:space="preserve"> Correspondingly, Pegeen is disappointed to discover </w:t>
      </w:r>
      <w:r w:rsidR="00F754B0">
        <w:t>Christy</w:t>
      </w:r>
      <w:r w:rsidR="00E20428" w:rsidRPr="000F79C8">
        <w:t>’s lack of experience with women, but is further disappointed when he finds himself surrounded by female admirers. Under the heading ‘negation of the negation’, that is</w:t>
      </w:r>
      <w:r w:rsidR="00175AD0">
        <w:t>,</w:t>
      </w:r>
      <w:r w:rsidR="00E20428" w:rsidRPr="000F79C8">
        <w:t xml:space="preserve"> the dialectical resolution of a contradiction, one reads that while </w:t>
      </w:r>
      <w:r w:rsidR="00F754B0">
        <w:t>Christy</w:t>
      </w:r>
      <w:r w:rsidR="00E20428" w:rsidRPr="000F79C8">
        <w:t xml:space="preserve"> is honoured, Old Mahon is hostile to his son. Yet once the tables are turned, the father protects his son: he rejects hi</w:t>
      </w:r>
      <w:r w:rsidR="00175AD0">
        <w:t>s rejection. These musings applied</w:t>
      </w:r>
      <w:r w:rsidR="00E20428" w:rsidRPr="000F79C8">
        <w:t xml:space="preserve"> dialectical categories to the </w:t>
      </w:r>
      <w:r w:rsidR="00A169F6">
        <w:t>play’s action</w:t>
      </w:r>
      <w:r w:rsidR="00E20428" w:rsidRPr="000F79C8">
        <w:t xml:space="preserve"> in order to understand how the characters respond</w:t>
      </w:r>
      <w:r w:rsidR="00175AD0">
        <w:t>ed</w:t>
      </w:r>
      <w:r w:rsidR="00E20428" w:rsidRPr="000F79C8">
        <w:t xml:space="preserve"> to the situations with which they </w:t>
      </w:r>
      <w:r w:rsidR="00175AD0">
        <w:t>were</w:t>
      </w:r>
      <w:r w:rsidR="00E20428" w:rsidRPr="000F79C8">
        <w:t xml:space="preserve"> </w:t>
      </w:r>
      <w:r w:rsidR="001E5C53">
        <w:t>confronted</w:t>
      </w:r>
      <w:r w:rsidR="00A169F6">
        <w:t>. The aim was to articulate the contradictions as clearly as possible</w:t>
      </w:r>
      <w:r w:rsidR="00175AD0">
        <w:t xml:space="preserve"> on stage</w:t>
      </w:r>
      <w:r w:rsidR="00A169F6">
        <w:t xml:space="preserve"> in order to provoke curiosity in the audience</w:t>
      </w:r>
      <w:r w:rsidR="00E20428" w:rsidRPr="000F79C8">
        <w:t>. The theatri</w:t>
      </w:r>
      <w:r w:rsidR="00175AD0">
        <w:t>cal effect of such an approach wa</w:t>
      </w:r>
      <w:r w:rsidR="00E20428" w:rsidRPr="000F79C8">
        <w:t xml:space="preserve">s to rob the characters of inherent qualities and to </w:t>
      </w:r>
      <w:r w:rsidR="001E5C53">
        <w:t>invoke</w:t>
      </w:r>
      <w:r w:rsidR="00E20428" w:rsidRPr="000F79C8">
        <w:t xml:space="preserve"> the social environment </w:t>
      </w:r>
      <w:r w:rsidR="00A169F6">
        <w:t>as an active agent</w:t>
      </w:r>
      <w:r w:rsidR="00175AD0">
        <w:t>.</w:t>
      </w:r>
    </w:p>
    <w:p w14:paraId="5F50F3E2" w14:textId="18009049" w:rsidR="00AF63CD" w:rsidRPr="006726D4" w:rsidRDefault="00175AD0" w:rsidP="00E07EA6">
      <w:pPr>
        <w:ind w:firstLine="720"/>
      </w:pPr>
      <w:r>
        <w:t>The</w:t>
      </w:r>
      <w:r w:rsidR="00AF63CD">
        <w:t xml:space="preserve"> </w:t>
      </w:r>
      <w:r>
        <w:t>production</w:t>
      </w:r>
      <w:r w:rsidR="00AF63CD">
        <w:t xml:space="preserve"> also need</w:t>
      </w:r>
      <w:r>
        <w:t>ed</w:t>
      </w:r>
      <w:r w:rsidR="00AF63CD">
        <w:t xml:space="preserve"> to maintain a connection to reality. </w:t>
      </w:r>
      <w:r w:rsidR="001E5C53">
        <w:t xml:space="preserve">A material basis for a production was an important </w:t>
      </w:r>
      <w:r w:rsidR="001D4200">
        <w:t>prerequisite</w:t>
      </w:r>
      <w:r w:rsidR="001E5C53">
        <w:t xml:space="preserve"> and needed to be established in order to ground any situation in real circumstances. </w:t>
      </w:r>
      <w:r w:rsidR="00AF63CD">
        <w:t xml:space="preserve">In the recent translation of Brecht’s ‘Short Organon for the Theatre’, a term once rendered as ‘dialectical materialism’ </w:t>
      </w:r>
      <w:r w:rsidR="00A169F6">
        <w:t>now appears in its literal form as</w:t>
      </w:r>
      <w:r w:rsidR="00AF63CD">
        <w:t xml:space="preserve"> ‘materialist dialectics’.</w:t>
      </w:r>
      <w:r w:rsidR="00AF63CD">
        <w:rPr>
          <w:rStyle w:val="FootnoteReference"/>
        </w:rPr>
        <w:footnoteReference w:id="18"/>
      </w:r>
      <w:r w:rsidR="006726D4" w:rsidRPr="006726D4">
        <w:rPr>
          <w:rFonts w:ascii="Arial" w:hAnsi="Arial" w:cs="Arial"/>
          <w:sz w:val="24"/>
          <w:szCs w:val="24"/>
        </w:rPr>
        <w:t xml:space="preserve"> </w:t>
      </w:r>
      <w:r w:rsidR="006726D4" w:rsidRPr="006726D4">
        <w:t xml:space="preserve">That is, Brecht did not associate himself with a (sanctioned and codified) system, but preferred to </w:t>
      </w:r>
      <w:bookmarkStart w:id="0" w:name="_GoBack"/>
      <w:bookmarkEnd w:id="0"/>
      <w:r w:rsidR="006726D4" w:rsidRPr="006726D4">
        <w:t>deploy his dialectic without doctrinal limitation, ultimately prioritiz</w:t>
      </w:r>
      <w:r w:rsidR="001E5C53">
        <w:t xml:space="preserve">ing dialectics over materialism without, however, neglecting the latter. </w:t>
      </w:r>
      <w:r w:rsidR="006726D4">
        <w:rPr>
          <w:i/>
        </w:rPr>
        <w:t>The Playboy</w:t>
      </w:r>
      <w:r w:rsidR="006726D4">
        <w:t xml:space="preserve"> offers much concrete </w:t>
      </w:r>
      <w:r w:rsidR="00B840F5">
        <w:t xml:space="preserve">social </w:t>
      </w:r>
      <w:r w:rsidR="006726D4">
        <w:t xml:space="preserve">material and this will be discussed below in the context of the </w:t>
      </w:r>
      <w:r w:rsidR="00B840F5">
        <w:t xml:space="preserve">play’s </w:t>
      </w:r>
      <w:r w:rsidR="006726D4">
        <w:t>translation and the production itself.</w:t>
      </w:r>
    </w:p>
    <w:p w14:paraId="3FA92022" w14:textId="77777777" w:rsidR="00DD4EB3" w:rsidRPr="000F79C8" w:rsidRDefault="00DD4EB3" w:rsidP="00E07EA6">
      <w:pPr>
        <w:ind w:firstLine="720"/>
      </w:pPr>
    </w:p>
    <w:p w14:paraId="56429BEE" w14:textId="77777777" w:rsidR="00DD4EB3" w:rsidRPr="000F79C8" w:rsidRDefault="00DD4EB3" w:rsidP="00E07EA6">
      <w:pPr>
        <w:ind w:firstLine="720"/>
      </w:pPr>
    </w:p>
    <w:p w14:paraId="5464E2A9" w14:textId="77777777" w:rsidR="00DD4EB3" w:rsidRPr="000F79C8" w:rsidRDefault="00EC2CAC" w:rsidP="00DD4EB3">
      <w:r>
        <w:t>Preparing the Translation</w:t>
      </w:r>
    </w:p>
    <w:p w14:paraId="3D584822" w14:textId="77777777" w:rsidR="00DD4EB3" w:rsidRPr="000F79C8" w:rsidRDefault="00DD4EB3" w:rsidP="00DD4EB3"/>
    <w:p w14:paraId="7ED418EA" w14:textId="77777777" w:rsidR="000F79C8" w:rsidRDefault="00DD4EB3" w:rsidP="000F79C8">
      <w:r w:rsidRPr="000F79C8">
        <w:t xml:space="preserve">It is not clear how Brecht came </w:t>
      </w:r>
      <w:r w:rsidR="00F111A5">
        <w:t>upon the play. Wekwerth believed</w:t>
      </w:r>
      <w:r w:rsidRPr="000F79C8">
        <w:t xml:space="preserve"> that Brecht remembered seeing a production of </w:t>
      </w:r>
      <w:r w:rsidR="00E22B86">
        <w:rPr>
          <w:i/>
        </w:rPr>
        <w:t>T</w:t>
      </w:r>
      <w:r w:rsidRPr="00E22B86">
        <w:rPr>
          <w:i/>
        </w:rPr>
        <w:t>he</w:t>
      </w:r>
      <w:r w:rsidRPr="000F79C8">
        <w:t xml:space="preserve"> </w:t>
      </w:r>
      <w:r w:rsidRPr="000F79C8">
        <w:rPr>
          <w:i/>
        </w:rPr>
        <w:t>Playboy</w:t>
      </w:r>
      <w:r w:rsidRPr="000F79C8">
        <w:t xml:space="preserve"> at the Theater am Schiffbauerdamm, the theatre in which </w:t>
      </w:r>
      <w:r w:rsidR="00E22B86">
        <w:t>he</w:t>
      </w:r>
      <w:r w:rsidRPr="000F79C8">
        <w:t xml:space="preserve"> had his first major triumph (</w:t>
      </w:r>
      <w:r w:rsidRPr="000F79C8">
        <w:rPr>
          <w:i/>
        </w:rPr>
        <w:t>The Threepenny Opera</w:t>
      </w:r>
      <w:r w:rsidRPr="000F79C8">
        <w:t xml:space="preserve"> in 1928) and in which the Berliner Ensemble had been based since 1954.</w:t>
      </w:r>
      <w:r w:rsidRPr="000F79C8">
        <w:rPr>
          <w:rStyle w:val="FootnoteReference"/>
        </w:rPr>
        <w:footnoteReference w:id="19"/>
      </w:r>
      <w:r w:rsidRPr="000F79C8">
        <w:t xml:space="preserve"> Werner Mittenzwei maintained that Brecht had seen Werner Bernhardy’s </w:t>
      </w:r>
      <w:r w:rsidRPr="000F79C8">
        <w:rPr>
          <w:i/>
        </w:rPr>
        <w:t>Ein Polterabend</w:t>
      </w:r>
      <w:r w:rsidRPr="000F79C8">
        <w:t xml:space="preserve"> (</w:t>
      </w:r>
      <w:r w:rsidRPr="000F79C8">
        <w:rPr>
          <w:i/>
        </w:rPr>
        <w:t>The Wedding-Eve Party</w:t>
      </w:r>
      <w:r w:rsidRPr="000F79C8">
        <w:t xml:space="preserve">) in a Berlin theatre and wanted to stage something similar. In response, actor Ernst Busch remembered a production of </w:t>
      </w:r>
      <w:r w:rsidRPr="000F79C8">
        <w:rPr>
          <w:i/>
        </w:rPr>
        <w:t>The Playboy</w:t>
      </w:r>
      <w:r w:rsidRPr="000F79C8">
        <w:t xml:space="preserve"> from the Weimar Republic.</w:t>
      </w:r>
      <w:r w:rsidRPr="000F79C8">
        <w:rPr>
          <w:rStyle w:val="FootnoteReference"/>
        </w:rPr>
        <w:footnoteReference w:id="20"/>
      </w:r>
      <w:r w:rsidR="000F79C8" w:rsidRPr="000F79C8">
        <w:t xml:space="preserve"> However, what seems more likely </w:t>
      </w:r>
      <w:r w:rsidR="00E22B86">
        <w:t xml:space="preserve">is </w:t>
      </w:r>
      <w:r w:rsidR="000F79C8" w:rsidRPr="000F79C8">
        <w:t xml:space="preserve">that the </w:t>
      </w:r>
      <w:r w:rsidR="00E22B86" w:rsidRPr="000F79C8">
        <w:t xml:space="preserve">Berliner Ensemble </w:t>
      </w:r>
      <w:r w:rsidR="000F79C8" w:rsidRPr="000F79C8">
        <w:t xml:space="preserve">saw an Irish production at the Théâtre des Nations festival in Paris, at which </w:t>
      </w:r>
      <w:r w:rsidR="00E22B86">
        <w:t xml:space="preserve">it </w:t>
      </w:r>
      <w:r w:rsidR="000F79C8" w:rsidRPr="000F79C8">
        <w:t xml:space="preserve">first garnered international </w:t>
      </w:r>
      <w:r w:rsidR="00E22B86">
        <w:t xml:space="preserve">prizes and </w:t>
      </w:r>
      <w:r w:rsidR="000F79C8">
        <w:t>plaudits. Directing assistant Carl M. Weber wrote a review in which he mentioned that the Abbey Players had cancelled</w:t>
      </w:r>
      <w:r w:rsidR="00E22B86">
        <w:t xml:space="preserve"> their production,</w:t>
      </w:r>
      <w:r w:rsidR="000F79C8">
        <w:t xml:space="preserve"> and so Cyril Cusack brought a swiftly rehearsed </w:t>
      </w:r>
      <w:r w:rsidR="000F79C8">
        <w:rPr>
          <w:i/>
        </w:rPr>
        <w:t>Playboy</w:t>
      </w:r>
      <w:r w:rsidR="000F79C8">
        <w:t xml:space="preserve"> which was not that well received. Weber noted: ‘a translation of </w:t>
      </w:r>
      <w:r w:rsidR="000F79C8">
        <w:rPr>
          <w:i/>
        </w:rPr>
        <w:t>The Playboy</w:t>
      </w:r>
      <w:r w:rsidR="000F79C8">
        <w:t xml:space="preserve"> for the repertoire of our theatres would be really valuable’.</w:t>
      </w:r>
      <w:r w:rsidR="000F79C8">
        <w:rPr>
          <w:rStyle w:val="FootnoteReference"/>
        </w:rPr>
        <w:footnoteReference w:id="21"/>
      </w:r>
      <w:r w:rsidR="00873A4E">
        <w:t xml:space="preserve"> A poor production of a promising play may have provided a negative example that spurred the company to action.</w:t>
      </w:r>
      <w:r w:rsidR="00E22B86">
        <w:rPr>
          <w:rStyle w:val="FootnoteReference"/>
        </w:rPr>
        <w:footnoteReference w:id="22"/>
      </w:r>
      <w:r w:rsidR="00873A4E">
        <w:t xml:space="preserve"> The</w:t>
      </w:r>
      <w:r w:rsidR="0042197A">
        <w:t xml:space="preserve"> play’s</w:t>
      </w:r>
      <w:r w:rsidR="00873A4E">
        <w:t xml:space="preserve"> promise can be detected in this observation from Anthony Roche:</w:t>
      </w:r>
    </w:p>
    <w:p w14:paraId="29CCBDAC" w14:textId="77777777" w:rsidR="00873A4E" w:rsidRDefault="00873A4E" w:rsidP="000F79C8"/>
    <w:p w14:paraId="2E954248" w14:textId="77777777" w:rsidR="00873A4E" w:rsidRPr="000F79C8" w:rsidRDefault="00873A4E" w:rsidP="00873A4E">
      <w:pPr>
        <w:ind w:left="720"/>
      </w:pPr>
      <w:r>
        <w:t xml:space="preserve">Brecht’s objections to dramatic character as something fixed and immutable would be satisfied by the extent to which </w:t>
      </w:r>
      <w:r w:rsidR="00F754B0">
        <w:t>Christy</w:t>
      </w:r>
      <w:r>
        <w:t xml:space="preserve"> Mahon’s character is constructed for him by those with whom he comes into contact; and if </w:t>
      </w:r>
      <w:r w:rsidR="00F754B0">
        <w:t>Christy</w:t>
      </w:r>
      <w:r>
        <w:t xml:space="preserve"> finally becomes that character he does so by embracing it in a deliberate act of will rather than by any organic evolution.</w:t>
      </w:r>
      <w:r>
        <w:rPr>
          <w:rStyle w:val="FootnoteReference"/>
        </w:rPr>
        <w:footnoteReference w:id="23"/>
      </w:r>
    </w:p>
    <w:p w14:paraId="2F1C92FB" w14:textId="77777777" w:rsidR="00DD4EB3" w:rsidRPr="000F79C8" w:rsidRDefault="00DD4EB3" w:rsidP="00DD4EB3"/>
    <w:p w14:paraId="763F8451" w14:textId="77777777" w:rsidR="00DD4EB3" w:rsidRDefault="00B45860" w:rsidP="00DD4EB3">
      <w:r>
        <w:t xml:space="preserve">The protean nature of the characterization, </w:t>
      </w:r>
      <w:r w:rsidR="006F2A06">
        <w:t xml:space="preserve">also </w:t>
      </w:r>
      <w:r>
        <w:t xml:space="preserve">picked up by Wekwerth, above, tallied with the company’s ideas about the interplay of individual and society, but also connected with certain thematic interests, as set out in the programme for the production. </w:t>
      </w:r>
    </w:p>
    <w:p w14:paraId="7DC40F28" w14:textId="68ABEE73" w:rsidR="00B45860" w:rsidRDefault="00B45860" w:rsidP="00DD4EB3">
      <w:r>
        <w:tab/>
        <w:t xml:space="preserve">Brecht was fascinated by the phenomenon of adulation in </w:t>
      </w:r>
      <w:r w:rsidR="0023344C">
        <w:rPr>
          <w:i/>
        </w:rPr>
        <w:t>The Playboy</w:t>
      </w:r>
      <w:r>
        <w:t xml:space="preserve"> and noted its own dialectical contradictions. He </w:t>
      </w:r>
      <w:r w:rsidR="0023344C">
        <w:t>wrote</w:t>
      </w:r>
      <w:r w:rsidR="001D4200">
        <w:t xml:space="preserve"> in the programme</w:t>
      </w:r>
      <w:r>
        <w:t xml:space="preserve"> that the play ‘mercilessly criticized exaggerated hero worship in a nation accustomed to heroic deeds’ while acknowledging that such a nation also managed to tear itself away from the ‘erstwhile mighty British Empire’</w:t>
      </w:r>
      <w:r w:rsidR="0023344C">
        <w:t>, an act of heroism itself</w:t>
      </w:r>
      <w:r>
        <w:t>.</w:t>
      </w:r>
      <w:r>
        <w:rPr>
          <w:rStyle w:val="FootnoteReference"/>
        </w:rPr>
        <w:footnoteReference w:id="24"/>
      </w:r>
      <w:r w:rsidR="008C65E5">
        <w:t xml:space="preserve"> </w:t>
      </w:r>
      <w:r w:rsidR="001053E3">
        <w:t>T</w:t>
      </w:r>
      <w:r w:rsidR="008C65E5">
        <w:t>he analysis</w:t>
      </w:r>
      <w:r w:rsidR="001053E3">
        <w:t xml:space="preserve"> dispelled</w:t>
      </w:r>
      <w:r w:rsidR="009A33CF">
        <w:t xml:space="preserve"> the </w:t>
      </w:r>
      <w:r w:rsidR="0023344C">
        <w:t>philosophical concept</w:t>
      </w:r>
      <w:r w:rsidR="009A33CF">
        <w:t xml:space="preserve"> of </w:t>
      </w:r>
      <w:r w:rsidR="0023344C">
        <w:t>a</w:t>
      </w:r>
      <w:r w:rsidR="001053E3">
        <w:t>n impervious ‘thing in itself’ and qualified heroism as something that wa</w:t>
      </w:r>
      <w:r w:rsidR="009A33CF">
        <w:t xml:space="preserve">s both positive and negative, </w:t>
      </w:r>
      <w:r w:rsidR="00D21AED">
        <w:t>attributes</w:t>
      </w:r>
      <w:r w:rsidR="009A33CF">
        <w:t xml:space="preserve"> dependent on context.</w:t>
      </w:r>
      <w:r w:rsidR="0065416C" w:rsidRPr="0065416C">
        <w:t xml:space="preserve"> Synge</w:t>
      </w:r>
      <w:r w:rsidR="0065416C">
        <w:t xml:space="preserve"> and other representatives of the Irish Dramatic Revival</w:t>
      </w:r>
      <w:r w:rsidR="0065416C" w:rsidRPr="0065416C">
        <w:t xml:space="preserve"> were </w:t>
      </w:r>
      <w:r w:rsidR="0065416C">
        <w:t>somewhat</w:t>
      </w:r>
      <w:r w:rsidR="0065416C" w:rsidRPr="0065416C">
        <w:t xml:space="preserve"> ambivalent</w:t>
      </w:r>
      <w:r w:rsidR="0065416C">
        <w:t xml:space="preserve"> themselves</w:t>
      </w:r>
      <w:r w:rsidR="0065416C" w:rsidRPr="0065416C">
        <w:t xml:space="preserve"> about the nationalist move to independence</w:t>
      </w:r>
      <w:r w:rsidR="0065416C">
        <w:t>, and</w:t>
      </w:r>
      <w:r w:rsidR="0065416C" w:rsidRPr="0065416C">
        <w:t xml:space="preserve"> so Brecht might be diagnosing a complex politics that informed the nationalist theatre movement when Synge was writing</w:t>
      </w:r>
      <w:r w:rsidR="0065416C">
        <w:t>.</w:t>
      </w:r>
    </w:p>
    <w:p w14:paraId="65867BEC" w14:textId="77777777" w:rsidR="009A33CF" w:rsidRDefault="009A33CF" w:rsidP="00DD4EB3">
      <w:r>
        <w:tab/>
        <w:t xml:space="preserve">The translation of the play as </w:t>
      </w:r>
      <w:r>
        <w:rPr>
          <w:i/>
        </w:rPr>
        <w:t>Der Held der westlichen Welt</w:t>
      </w:r>
      <w:r>
        <w:t xml:space="preserve"> (</w:t>
      </w:r>
      <w:r>
        <w:rPr>
          <w:i/>
        </w:rPr>
        <w:t>The Hero of the Western World</w:t>
      </w:r>
      <w:r>
        <w:t>) dr</w:t>
      </w:r>
      <w:r w:rsidR="001053E3">
        <w:t>ew</w:t>
      </w:r>
      <w:r>
        <w:t xml:space="preserve"> on this them</w:t>
      </w:r>
      <w:r w:rsidR="001053E3">
        <w:t>atic focus, but the title wa</w:t>
      </w:r>
      <w:r>
        <w:t>s itself problematic on two levels. The move fr</w:t>
      </w:r>
      <w:r w:rsidR="001053E3">
        <w:t>om ‘playboy’ to ‘hero’ exchanged</w:t>
      </w:r>
      <w:r>
        <w:t xml:space="preserve"> an</w:t>
      </w:r>
      <w:r w:rsidR="0023344C">
        <w:t xml:space="preserve"> open </w:t>
      </w:r>
      <w:r>
        <w:t xml:space="preserve">term </w:t>
      </w:r>
      <w:r w:rsidR="0023344C">
        <w:t>for</w:t>
      </w:r>
      <w:r>
        <w:t xml:space="preserve"> something more concrete</w:t>
      </w:r>
      <w:r w:rsidR="0023344C">
        <w:t>, although both retain a sense of irony</w:t>
      </w:r>
      <w:r>
        <w:t>. In addition, S</w:t>
      </w:r>
      <w:r w:rsidR="001053E3">
        <w:t>y</w:t>
      </w:r>
      <w:r w:rsidR="00C63441">
        <w:t>nge’s ‘Western World’ contrasts itself</w:t>
      </w:r>
      <w:r>
        <w:t xml:space="preserve"> with </w:t>
      </w:r>
      <w:r w:rsidR="0042197A">
        <w:t>the concept</w:t>
      </w:r>
      <w:r>
        <w:t xml:space="preserve"> of the ‘Orient’. In German, such a </w:t>
      </w:r>
      <w:r w:rsidR="00B526F1">
        <w:t>notion</w:t>
      </w:r>
      <w:r>
        <w:t xml:space="preserve"> is </w:t>
      </w:r>
      <w:r w:rsidR="0023344C">
        <w:t>usually rendered</w:t>
      </w:r>
      <w:r w:rsidR="00C63441">
        <w:t xml:space="preserve"> by the word ‘Abendland’;</w:t>
      </w:r>
      <w:r>
        <w:t xml:space="preserve"> yet Brecht insisted</w:t>
      </w:r>
      <w:r w:rsidR="00CA1627">
        <w:rPr>
          <w:rStyle w:val="FootnoteReference"/>
        </w:rPr>
        <w:footnoteReference w:id="25"/>
      </w:r>
      <w:r>
        <w:t xml:space="preserve"> on the more literal ‘westliche Welt’ to emphasize</w:t>
      </w:r>
      <w:r w:rsidR="00CA1627">
        <w:t xml:space="preserve"> Western capitalism as opposed to Easter</w:t>
      </w:r>
      <w:r w:rsidR="001053E3">
        <w:t>n socialism. Again, the effect wa</w:t>
      </w:r>
      <w:r w:rsidR="00CA1627">
        <w:t>s to limit the universality of the play, but here also to arraign the West for its propensity to create the most unsuitable of heroes, something to which I will return, below.</w:t>
      </w:r>
      <w:r w:rsidR="006726D4">
        <w:t xml:space="preserve"> That said, the programme to the production </w:t>
      </w:r>
      <w:r w:rsidR="009B53E3">
        <w:t xml:space="preserve">printed Synge’s English title in capitals above the new German one that was placed </w:t>
      </w:r>
      <w:r w:rsidR="0023344C">
        <w:t>beneath it</w:t>
      </w:r>
      <w:r w:rsidR="009B53E3">
        <w:t xml:space="preserve"> in parentheses. In addition, </w:t>
      </w:r>
      <w:r w:rsidR="00370212">
        <w:t>the</w:t>
      </w:r>
      <w:r w:rsidR="009B53E3">
        <w:t xml:space="preserve"> titles</w:t>
      </w:r>
      <w:r w:rsidR="00370212">
        <w:t xml:space="preserve"> of three existing </w:t>
      </w:r>
      <w:r w:rsidR="00345549">
        <w:t xml:space="preserve">German </w:t>
      </w:r>
      <w:r w:rsidR="00370212">
        <w:t>translation</w:t>
      </w:r>
      <w:r w:rsidR="00345549">
        <w:t>s</w:t>
      </w:r>
      <w:r w:rsidR="009B53E3">
        <w:t xml:space="preserve"> also appeared inside the pamphlet for comparison. Thus, Brecht’s ideologically inflected title had to defend itself against a numbe</w:t>
      </w:r>
      <w:r w:rsidR="0023344C">
        <w:t>r of alternatives while asserting</w:t>
      </w:r>
      <w:r w:rsidR="009B53E3">
        <w:t xml:space="preserve"> its </w:t>
      </w:r>
      <w:r w:rsidR="0023344C">
        <w:t>own primacy</w:t>
      </w:r>
      <w:r w:rsidR="009B53E3">
        <w:t xml:space="preserve"> nonetheless.</w:t>
      </w:r>
    </w:p>
    <w:p w14:paraId="734CF974" w14:textId="77777777" w:rsidR="00CA1627" w:rsidRDefault="00CA1627" w:rsidP="00DD4EB3">
      <w:r>
        <w:tab/>
        <w:t xml:space="preserve">The translation was made by the young playwright Peter Hacks and his wife Anna Elisabeth Wiede. The Berliner Ensemble was accustomed </w:t>
      </w:r>
      <w:r w:rsidR="00CF26C9">
        <w:t xml:space="preserve">radically </w:t>
      </w:r>
      <w:r>
        <w:t xml:space="preserve">to adapting plays it wanted to stage, and had premiered, in the same season as </w:t>
      </w:r>
      <w:r>
        <w:rPr>
          <w:i/>
        </w:rPr>
        <w:t>The Playboy</w:t>
      </w:r>
      <w:r>
        <w:t xml:space="preserve">, a version of George Farquhar’s </w:t>
      </w:r>
      <w:r>
        <w:rPr>
          <w:i/>
        </w:rPr>
        <w:t>The Recruiting Office</w:t>
      </w:r>
      <w:r w:rsidR="0023344C">
        <w:rPr>
          <w:i/>
        </w:rPr>
        <w:t>r</w:t>
      </w:r>
      <w:r w:rsidR="00494D57">
        <w:t xml:space="preserve"> as </w:t>
      </w:r>
      <w:r w:rsidR="00494D57">
        <w:rPr>
          <w:i/>
        </w:rPr>
        <w:t>Trumpets and Drums</w:t>
      </w:r>
      <w:r w:rsidR="00494D57">
        <w:t>. Several changes had been made</w:t>
      </w:r>
      <w:r w:rsidR="00754248">
        <w:t xml:space="preserve"> to this text</w:t>
      </w:r>
      <w:r w:rsidR="00494D57">
        <w:t xml:space="preserve">, not least to shift the action from the playwright’s own time forward to the American War of Independence. In the case of </w:t>
      </w:r>
      <w:r w:rsidR="00494D57">
        <w:rPr>
          <w:i/>
        </w:rPr>
        <w:t>The Playboy</w:t>
      </w:r>
      <w:r w:rsidR="00494D57">
        <w:t xml:space="preserve">, no adaptation occurred at all, </w:t>
      </w:r>
      <w:r w:rsidR="008B6DBE">
        <w:t xml:space="preserve">yet the </w:t>
      </w:r>
      <w:r w:rsidR="00754248">
        <w:t xml:space="preserve">translated </w:t>
      </w:r>
      <w:r w:rsidR="008B6DBE">
        <w:t xml:space="preserve">text </w:t>
      </w:r>
      <w:r w:rsidR="00754248">
        <w:t>clearly</w:t>
      </w:r>
      <w:r w:rsidR="008B6DBE">
        <w:t xml:space="preserve"> bore Brecht’s imprint.</w:t>
      </w:r>
      <w:r w:rsidR="0078732F">
        <w:t xml:space="preserve"> In addition, a series of songs, not found in Synge, were commissioned, and I will discuss their place in the production in the following section.</w:t>
      </w:r>
    </w:p>
    <w:p w14:paraId="6B0AC67B" w14:textId="77777777" w:rsidR="008B6DBE" w:rsidRDefault="008B6DBE" w:rsidP="00DD4EB3">
      <w:r>
        <w:tab/>
        <w:t xml:space="preserve">While the speeches </w:t>
      </w:r>
      <w:r w:rsidR="00CF26C9">
        <w:t>were</w:t>
      </w:r>
      <w:r>
        <w:t xml:space="preserve"> all translated with </w:t>
      </w:r>
      <w:r w:rsidR="00CF26C9">
        <w:t>neither</w:t>
      </w:r>
      <w:r>
        <w:t xml:space="preserve"> omission no</w:t>
      </w:r>
      <w:r w:rsidR="00CF26C9">
        <w:t>r addition</w:t>
      </w:r>
      <w:r>
        <w:t xml:space="preserve">, it would be wrong to mistake the final text for a literal translation. </w:t>
      </w:r>
      <w:r w:rsidR="00514F25">
        <w:t xml:space="preserve">The translators decided to substitute a version of the Bavarian dialect for the Irish </w:t>
      </w:r>
      <w:r w:rsidR="0023344C">
        <w:t>vernacular</w:t>
      </w:r>
      <w:r w:rsidR="00514F25">
        <w:t xml:space="preserve"> found in the original. This had several advantages, according to a note made during rehearsals: Bavaria</w:t>
      </w:r>
      <w:r w:rsidR="0023344C">
        <w:t>, too,</w:t>
      </w:r>
      <w:r w:rsidR="00514F25">
        <w:t xml:space="preserve"> was rural, had its own poetry</w:t>
      </w:r>
      <w:r w:rsidR="00CC44B6">
        <w:t>,</w:t>
      </w:r>
      <w:r w:rsidR="00943101">
        <w:t xml:space="preserve"> and it was C</w:t>
      </w:r>
      <w:r w:rsidR="00514F25">
        <w:t>atholic.</w:t>
      </w:r>
      <w:r w:rsidR="00514F25">
        <w:rPr>
          <w:rStyle w:val="FootnoteReference"/>
        </w:rPr>
        <w:footnoteReference w:id="26"/>
      </w:r>
      <w:r w:rsidR="00514F25">
        <w:t xml:space="preserve"> </w:t>
      </w:r>
      <w:r w:rsidR="00754248">
        <w:t xml:space="preserve">All these elements were considered to have an effect on the play’s action. </w:t>
      </w:r>
      <w:r>
        <w:t xml:space="preserve">Peter Voigt, an assistant on the production, reports that once Hacks and Wiede had completed </w:t>
      </w:r>
      <w:r w:rsidR="0023344C">
        <w:t xml:space="preserve">and were satisfied with </w:t>
      </w:r>
      <w:r>
        <w:t xml:space="preserve">the translation, Brecht called for a thorough revision: </w:t>
      </w:r>
      <w:r w:rsidR="00AF63CD">
        <w:t>‘the peculiar Irish-German remained the language of the play, but was pared back, made more concrete and gestically intensified’.</w:t>
      </w:r>
      <w:r>
        <w:rPr>
          <w:rStyle w:val="FootnoteReference"/>
        </w:rPr>
        <w:footnoteReference w:id="27"/>
      </w:r>
      <w:r w:rsidR="00AF63CD">
        <w:t xml:space="preserve"> The revisions fulfil</w:t>
      </w:r>
      <w:r w:rsidR="00F60E57">
        <w:t>led</w:t>
      </w:r>
      <w:r w:rsidR="00AF63CD">
        <w:t xml:space="preserve"> Brecht’s desire to foreground</w:t>
      </w:r>
      <w:r w:rsidR="0023344C">
        <w:t xml:space="preserve"> the</w:t>
      </w:r>
      <w:r w:rsidR="00943101">
        <w:t xml:space="preserve"> social</w:t>
      </w:r>
      <w:r w:rsidR="0023344C">
        <w:t xml:space="preserve"> context </w:t>
      </w:r>
      <w:r w:rsidR="00943101">
        <w:t>in</w:t>
      </w:r>
      <w:r w:rsidR="00AF63CD">
        <w:t xml:space="preserve"> the language itself</w:t>
      </w:r>
      <w:r w:rsidR="0023344C">
        <w:t>,</w:t>
      </w:r>
      <w:r w:rsidR="00AF63CD">
        <w:t xml:space="preserve"> and it is worth focusing on a couple of examples.</w:t>
      </w:r>
    </w:p>
    <w:p w14:paraId="176D59E4" w14:textId="77777777" w:rsidR="00AF63CD" w:rsidRDefault="009B53E3" w:rsidP="00DD4EB3">
      <w:r>
        <w:tab/>
        <w:t>The</w:t>
      </w:r>
      <w:r w:rsidR="00834EFC">
        <w:t xml:space="preserve"> conditions of the</w:t>
      </w:r>
      <w:r>
        <w:t xml:space="preserve"> rural poor offered the new translation a number of points </w:t>
      </w:r>
      <w:r w:rsidR="00372040">
        <w:t xml:space="preserve">that could be brought out. A phrase that occurs a couple of times in </w:t>
      </w:r>
      <w:r w:rsidR="00372040">
        <w:rPr>
          <w:i/>
        </w:rPr>
        <w:t>The Playboy</w:t>
      </w:r>
      <w:r w:rsidR="00372040">
        <w:t xml:space="preserve"> as a note </w:t>
      </w:r>
      <w:r w:rsidR="00834EFC">
        <w:t>of thanks, ‘God increase you’, wa</w:t>
      </w:r>
      <w:r w:rsidR="00372040">
        <w:t>s presented</w:t>
      </w:r>
      <w:r w:rsidR="00834EFC">
        <w:t xml:space="preserve"> in </w:t>
      </w:r>
      <w:r w:rsidR="00834EFC">
        <w:rPr>
          <w:i/>
        </w:rPr>
        <w:t>Der Held</w:t>
      </w:r>
      <w:r w:rsidR="00372040">
        <w:t xml:space="preserve"> as ‘Gott vermehre Ihr Eigentum’ (‘may God increase your possessions’).</w:t>
      </w:r>
      <w:r w:rsidR="002B1744">
        <w:rPr>
          <w:rStyle w:val="FootnoteReference"/>
        </w:rPr>
        <w:footnoteReference w:id="28"/>
      </w:r>
      <w:r w:rsidR="00834EFC">
        <w:t xml:space="preserve"> Elsewhere, the concrete economic basis wa</w:t>
      </w:r>
      <w:r w:rsidR="00E909E7">
        <w:t>s more emphatically established than in the original</w:t>
      </w:r>
      <w:r w:rsidR="009173F2">
        <w:t>.</w:t>
      </w:r>
      <w:r w:rsidR="00E909E7">
        <w:t xml:space="preserve"> When the Widow Quin, for example, describes the pub that Christy will gain by marrying Pegeen, </w:t>
      </w:r>
      <w:r w:rsidR="00697354">
        <w:t>s</w:t>
      </w:r>
      <w:r w:rsidR="00E909E7">
        <w:t>he calls it</w:t>
      </w:r>
      <w:r w:rsidR="00697354">
        <w:t xml:space="preserve"> ‘a place with fine trade’, whereas the B</w:t>
      </w:r>
      <w:r w:rsidR="00834EFC">
        <w:t>erliner Ensemble version rendered</w:t>
      </w:r>
      <w:r w:rsidR="00697354">
        <w:t xml:space="preserve"> it as ‘eine Wirtschaft mit gutem Umsatz’ (‘a business with a good turnover’).</w:t>
      </w:r>
      <w:r w:rsidR="00697354">
        <w:rPr>
          <w:rStyle w:val="FootnoteReference"/>
        </w:rPr>
        <w:footnoteReference w:id="29"/>
      </w:r>
      <w:r w:rsidR="00697354">
        <w:t xml:space="preserve"> Th</w:t>
      </w:r>
      <w:r w:rsidR="00834EFC">
        <w:t>e commercially savvy character wa</w:t>
      </w:r>
      <w:r w:rsidR="00697354">
        <w:t xml:space="preserve">s more clearly defined by her understanding of </w:t>
      </w:r>
      <w:r w:rsidR="0094292F">
        <w:t xml:space="preserve">the </w:t>
      </w:r>
      <w:r w:rsidR="00697354">
        <w:t xml:space="preserve">establishment’s economics. Such a sharpening of the language </w:t>
      </w:r>
      <w:r w:rsidR="00834EFC">
        <w:t>recurred whenever there wa</w:t>
      </w:r>
      <w:r w:rsidR="00697354">
        <w:t xml:space="preserve">s an opportunity to highlight the social conditions of the village. </w:t>
      </w:r>
    </w:p>
    <w:p w14:paraId="591E4762" w14:textId="77777777" w:rsidR="009173F2" w:rsidRDefault="009173F2" w:rsidP="00DD4EB3">
      <w:r>
        <w:tab/>
        <w:t>The gestic quality of</w:t>
      </w:r>
      <w:r w:rsidR="00414D36">
        <w:t xml:space="preserve"> the</w:t>
      </w:r>
      <w:r>
        <w:t xml:space="preserve"> language</w:t>
      </w:r>
      <w:r w:rsidR="00EC5AAC">
        <w:t xml:space="preserve"> that Voigt mentions</w:t>
      </w:r>
      <w:r>
        <w:t xml:space="preserve"> requires a little more explanation. Gestic, the adjectival form of Brecht</w:t>
      </w:r>
      <w:r w:rsidR="00414D36">
        <w:t>’s</w:t>
      </w:r>
      <w:r>
        <w:t xml:space="preserve"> neologism </w:t>
      </w:r>
      <w:r w:rsidRPr="009173F2">
        <w:rPr>
          <w:i/>
        </w:rPr>
        <w:t>Gestus</w:t>
      </w:r>
      <w:r>
        <w:t xml:space="preserve">, has a variety of meanings because Brecht was loose in his own usage of </w:t>
      </w:r>
      <w:r w:rsidR="00414D36">
        <w:t>the term</w:t>
      </w:r>
      <w:r>
        <w:t xml:space="preserve">. An actor’s </w:t>
      </w:r>
      <w:r>
        <w:rPr>
          <w:i/>
        </w:rPr>
        <w:t>Gestus</w:t>
      </w:r>
      <w:r>
        <w:t xml:space="preserve">, for example, relates physicality to society, so that the body can </w:t>
      </w:r>
      <w:r w:rsidR="00EC5AAC">
        <w:t>reveal</w:t>
      </w:r>
      <w:r>
        <w:t xml:space="preserve"> the social forces acting upon it in performance. This might mean that an office worker walks stiffly to </w:t>
      </w:r>
      <w:r w:rsidR="00EC5AAC">
        <w:t>reflect</w:t>
      </w:r>
      <w:r>
        <w:t xml:space="preserve"> the hours of sitting in the same position day in, day out. Gestic language also has a deictic quality in that it plays with rhythm and emphasis, to throw material already present int</w:t>
      </w:r>
      <w:r w:rsidR="00332DA0">
        <w:t xml:space="preserve">o relief. Brecht illustrates his point with reference to a well-known line from </w:t>
      </w:r>
      <w:r w:rsidR="00414D36">
        <w:t>t</w:t>
      </w:r>
      <w:r w:rsidR="00332DA0" w:rsidRPr="00414D36">
        <w:t>he Bible</w:t>
      </w:r>
      <w:r w:rsidR="00332DA0">
        <w:t>, ‘pluck out the eye that offends thee’. He suggests that a gestic re-presentation would read ‘if thine eye offends thee, pluck it out’ in order to set out two gestic modes, the first of explanation, the second of command.</w:t>
      </w:r>
      <w:r w:rsidR="00332DA0">
        <w:rPr>
          <w:rStyle w:val="FootnoteReference"/>
        </w:rPr>
        <w:footnoteReference w:id="30"/>
      </w:r>
      <w:r w:rsidR="00C62E9C">
        <w:t xml:space="preserve"> The rewrite clarifies the nature of the line, and the same can be seen in the language of </w:t>
      </w:r>
      <w:r w:rsidR="005D1901">
        <w:t xml:space="preserve">gestic translation in </w:t>
      </w:r>
      <w:r w:rsidR="005D1901">
        <w:rPr>
          <w:i/>
        </w:rPr>
        <w:t>Der Held</w:t>
      </w:r>
      <w:r w:rsidR="005D1901">
        <w:t xml:space="preserve">. Compare the following </w:t>
      </w:r>
      <w:r w:rsidR="00EC5AAC">
        <w:t>examples</w:t>
      </w:r>
      <w:r w:rsidR="005D1901">
        <w:t xml:space="preserve"> from Pegeen in Act II:</w:t>
      </w:r>
    </w:p>
    <w:p w14:paraId="79A56658" w14:textId="77777777" w:rsidR="005D1901" w:rsidRDefault="005D1901" w:rsidP="00DD4EB3"/>
    <w:p w14:paraId="595445D0" w14:textId="77777777" w:rsidR="005D1901" w:rsidRDefault="005D1901" w:rsidP="00DD4EB3">
      <w:r>
        <w:t>Synge:</w:t>
      </w:r>
    </w:p>
    <w:p w14:paraId="1107228B" w14:textId="77777777" w:rsidR="005D1901" w:rsidRPr="005D1901" w:rsidRDefault="005D1901" w:rsidP="00DD4EB3"/>
    <w:p w14:paraId="59C4EA23" w14:textId="77777777" w:rsidR="00494D57" w:rsidRDefault="005D1901" w:rsidP="00A14C74">
      <w:pPr>
        <w:ind w:left="720"/>
        <w:jc w:val="left"/>
      </w:pPr>
      <w:r>
        <w:t xml:space="preserve">What call have you to be </w:t>
      </w:r>
      <w:r w:rsidR="00747497">
        <w:t>that</w:t>
      </w:r>
      <w:r>
        <w:t xml:space="preserve"> lonesome when there’s poor girls walking</w:t>
      </w:r>
      <w:r w:rsidR="00494D57">
        <w:tab/>
      </w:r>
      <w:r w:rsidR="00747497">
        <w:t>Mayo in their thousands now?</w:t>
      </w:r>
    </w:p>
    <w:p w14:paraId="72573108" w14:textId="77777777" w:rsidR="00747497" w:rsidRDefault="00747497" w:rsidP="00DD4EB3"/>
    <w:p w14:paraId="1600E477" w14:textId="77777777" w:rsidR="00747497" w:rsidRDefault="00747497" w:rsidP="00DD4EB3">
      <w:r>
        <w:t>Hacks’</w:t>
      </w:r>
      <w:r w:rsidR="00A14C74">
        <w:t>s</w:t>
      </w:r>
      <w:r>
        <w:t xml:space="preserve"> original translation:</w:t>
      </w:r>
    </w:p>
    <w:p w14:paraId="3B4953B7" w14:textId="77777777" w:rsidR="00747497" w:rsidRDefault="00747497" w:rsidP="00DD4EB3"/>
    <w:p w14:paraId="071D6CF3" w14:textId="77777777" w:rsidR="00747497" w:rsidRDefault="00747497" w:rsidP="00AF6F55">
      <w:pPr>
        <w:ind w:left="720"/>
      </w:pPr>
      <w:r>
        <w:t>Was brauchst Du so einsam sein, wo noch tausende von armen Mädchen in Mayo herumlaufen?</w:t>
      </w:r>
    </w:p>
    <w:p w14:paraId="0EE9551C" w14:textId="77777777" w:rsidR="00747497" w:rsidRDefault="00747497" w:rsidP="00AF6F55">
      <w:pPr>
        <w:ind w:firstLine="720"/>
      </w:pPr>
      <w:r>
        <w:t xml:space="preserve">(Why do you need to be lonely when thousands of poor girls are walking </w:t>
      </w:r>
      <w:r w:rsidR="00A14C74">
        <w:t>about</w:t>
      </w:r>
      <w:r>
        <w:t xml:space="preserve"> Mayo?)</w:t>
      </w:r>
    </w:p>
    <w:p w14:paraId="2872DACE" w14:textId="77777777" w:rsidR="00747497" w:rsidRDefault="00747497" w:rsidP="00DD4EB3"/>
    <w:p w14:paraId="5940DD30" w14:textId="77777777" w:rsidR="00747497" w:rsidRDefault="00747497" w:rsidP="00DD4EB3">
      <w:r>
        <w:t>Brechts’ revision:</w:t>
      </w:r>
    </w:p>
    <w:p w14:paraId="287257CD" w14:textId="77777777" w:rsidR="00747497" w:rsidRDefault="00747497" w:rsidP="00DD4EB3"/>
    <w:p w14:paraId="459F1363" w14:textId="77777777" w:rsidR="00747497" w:rsidRPr="00494D57" w:rsidRDefault="00747497" w:rsidP="00AF6F55">
      <w:pPr>
        <w:ind w:firstLine="720"/>
      </w:pPr>
      <w:r>
        <w:t>Wieso einsam, wo die armen Mädchen in Mayo herumlaufen zu Tausenden?</w:t>
      </w:r>
      <w:r>
        <w:rPr>
          <w:rStyle w:val="FootnoteReference"/>
        </w:rPr>
        <w:footnoteReference w:id="31"/>
      </w:r>
    </w:p>
    <w:p w14:paraId="02B7947C" w14:textId="77777777" w:rsidR="00B45860" w:rsidRDefault="005B7FDB" w:rsidP="00AF6F55">
      <w:pPr>
        <w:ind w:firstLine="720"/>
      </w:pPr>
      <w:r>
        <w:t>(How-</w:t>
      </w:r>
      <w:r w:rsidR="00747497">
        <w:t xml:space="preserve">so lonely, when the poor girls walk </w:t>
      </w:r>
      <w:r w:rsidR="00A14C74">
        <w:t>about</w:t>
      </w:r>
      <w:r w:rsidR="00747497">
        <w:t xml:space="preserve"> Mayo in their thousands?)</w:t>
      </w:r>
    </w:p>
    <w:p w14:paraId="57C81284" w14:textId="77777777" w:rsidR="00747497" w:rsidRDefault="00747497" w:rsidP="00DD4EB3"/>
    <w:p w14:paraId="317B3802" w14:textId="26E798E1" w:rsidR="0041034D" w:rsidRDefault="00A14C74" w:rsidP="00DD4EB3">
      <w:r>
        <w:t>Both German versions render</w:t>
      </w:r>
      <w:r w:rsidR="006378B0">
        <w:t>ed</w:t>
      </w:r>
      <w:r>
        <w:t xml:space="preserve"> the line in more prosaic and less colloquial forms than th</w:t>
      </w:r>
      <w:r w:rsidR="006378B0">
        <w:t>e original. The ‘local colour’ wa</w:t>
      </w:r>
      <w:r>
        <w:t>s lost in Hacks’s version, but regained in Brecht’s in its clipped nature that violates normal German syntax and stresses the hyperbolic number in the final po</w:t>
      </w:r>
      <w:r w:rsidR="006378B0">
        <w:t>sition. Brecht’s line reproduced</w:t>
      </w:r>
      <w:r>
        <w:t xml:space="preserve"> the poetry of the original, something lacking in Hacks, while making a rhythmic point at the same time. This metric refashioning runs through the final version and has two main effects. First, the lines reflect artistic intervention and wrench the speeches out of a s</w:t>
      </w:r>
      <w:r w:rsidR="006378B0">
        <w:t>imple</w:t>
      </w:r>
      <w:r>
        <w:t xml:space="preserve"> </w:t>
      </w:r>
      <w:r w:rsidR="007E312A">
        <w:t>aesthetic realism</w:t>
      </w:r>
      <w:r>
        <w:t xml:space="preserve">. That said, as the above translation shows, </w:t>
      </w:r>
      <w:r w:rsidR="00A410F3">
        <w:t>the revised text is not stilted. Second, the unusual rhythms help the speakers reach rhetorical clarity, and</w:t>
      </w:r>
      <w:r w:rsidR="001D4200">
        <w:t>,</w:t>
      </w:r>
      <w:r w:rsidR="00A410F3">
        <w:t xml:space="preserve"> in the context of the play, this focuses attention on the strategies </w:t>
      </w:r>
      <w:r w:rsidR="00271797">
        <w:t>they employ</w:t>
      </w:r>
      <w:r w:rsidR="00A410F3">
        <w:t xml:space="preserve"> to achieve various ends. As Holder points out, Synge’s early drafts of the play reveal that the comedy initially arose from action, as in traditional farce. Yet as they </w:t>
      </w:r>
      <w:r w:rsidR="006378B0">
        <w:t>developed</w:t>
      </w:r>
      <w:r w:rsidR="00615051">
        <w:t>,</w:t>
      </w:r>
      <w:r w:rsidR="00A410F3">
        <w:t xml:space="preserve"> Synge removed ‘the appearance of “institutions” and social trappings’ and focused the action on the use of language. Thus, he ‘lays the groundwork for a drama of intellectual action in  which the central figures all seek to assert their imaginative views as reality’.</w:t>
      </w:r>
      <w:r w:rsidR="00A410F3">
        <w:rPr>
          <w:rStyle w:val="FootnoteReference"/>
        </w:rPr>
        <w:footnoteReference w:id="32"/>
      </w:r>
      <w:r w:rsidR="00A410F3">
        <w:t xml:space="preserve"> The revised translation was able to map out the stratagems undertaken more clearly</w:t>
      </w:r>
      <w:r w:rsidR="00615051">
        <w:t>,</w:t>
      </w:r>
      <w:r w:rsidR="00EC2CAC">
        <w:t xml:space="preserve"> allowing the actors to take up positions in response to them.</w:t>
      </w:r>
    </w:p>
    <w:p w14:paraId="5F207E57" w14:textId="7F415828" w:rsidR="00EC2CAC" w:rsidRDefault="00EC2CAC" w:rsidP="00DD4EB3">
      <w:r>
        <w:tab/>
        <w:t xml:space="preserve">The translation, then, </w:t>
      </w:r>
      <w:r w:rsidR="006378B0">
        <w:t>betrays</w:t>
      </w:r>
      <w:r>
        <w:t xml:space="preserve"> its</w:t>
      </w:r>
      <w:r w:rsidR="00615051">
        <w:t xml:space="preserve"> dialectical </w:t>
      </w:r>
      <w:r w:rsidR="006378B0">
        <w:t>credentials</w:t>
      </w:r>
      <w:r w:rsidR="00615051">
        <w:t xml:space="preserve"> in that it establishes</w:t>
      </w:r>
      <w:r>
        <w:t xml:space="preserve"> lines of action through the dialogue and</w:t>
      </w:r>
      <w:r w:rsidR="00C02E7A">
        <w:t xml:space="preserve"> acknowledges Synge’s sophisticated approach to accuracy and artifice in the language</w:t>
      </w:r>
      <w:r>
        <w:t xml:space="preserve">. </w:t>
      </w:r>
      <w:r w:rsidR="00C02E7A">
        <w:t>The new text</w:t>
      </w:r>
      <w:r>
        <w:t xml:space="preserve"> avoids vernacular directly, preferring more standard vocabulary, but inflects </w:t>
      </w:r>
      <w:r w:rsidR="006378B0">
        <w:t>the language</w:t>
      </w:r>
      <w:r>
        <w:t xml:space="preserve"> in such a way that a constructed syntax confers particularity upon the</w:t>
      </w:r>
      <w:r w:rsidR="00271797">
        <w:t xml:space="preserve"> community of</w:t>
      </w:r>
      <w:r>
        <w:t xml:space="preserve"> speakers. As such, there are benefits</w:t>
      </w:r>
      <w:r w:rsidR="00615051">
        <w:t xml:space="preserve"> both</w:t>
      </w:r>
      <w:r>
        <w:t xml:space="preserve"> for the actors and the audience. The actors do not approach the characters as figures to be ‘inhabited’ because they speak too oddly for such a procedure to be </w:t>
      </w:r>
      <w:r w:rsidR="00615051">
        <w:t>self-evident</w:t>
      </w:r>
      <w:r>
        <w:t xml:space="preserve">. Instead, the actors can work with their characters as models of behaviours and </w:t>
      </w:r>
      <w:r w:rsidR="00271797">
        <w:t>note how</w:t>
      </w:r>
      <w:r>
        <w:t xml:space="preserve"> they change as the action progresses. The audience can then </w:t>
      </w:r>
      <w:r w:rsidR="00615051">
        <w:t>observe the</w:t>
      </w:r>
      <w:r w:rsidR="008E27DA">
        <w:t xml:space="preserve"> contradictory</w:t>
      </w:r>
      <w:r w:rsidR="00615051">
        <w:t xml:space="preserve"> ebbs and flows of the action</w:t>
      </w:r>
      <w:r>
        <w:t xml:space="preserve"> without a naturalistic anchoring in milieu</w:t>
      </w:r>
      <w:r w:rsidR="008E27DA">
        <w:t xml:space="preserve">. However, </w:t>
      </w:r>
      <w:r w:rsidR="006378B0">
        <w:t xml:space="preserve">the </w:t>
      </w:r>
      <w:r w:rsidR="008E27DA">
        <w:t>artificial nature of the translation</w:t>
      </w:r>
      <w:r w:rsidR="006378B0" w:rsidRPr="006378B0">
        <w:t xml:space="preserve"> </w:t>
      </w:r>
      <w:r w:rsidR="006378B0">
        <w:t>also</w:t>
      </w:r>
      <w:r w:rsidR="008E27DA">
        <w:t xml:space="preserve"> lends the language a specificity that</w:t>
      </w:r>
      <w:r w:rsidR="006378B0">
        <w:t xml:space="preserve"> </w:t>
      </w:r>
      <w:r w:rsidR="008E27DA">
        <w:t xml:space="preserve">attaches it to </w:t>
      </w:r>
      <w:r w:rsidR="00271797">
        <w:t>the play’s setting</w:t>
      </w:r>
      <w:r>
        <w:t>. The result is that the translation has its cake and eats it:</w:t>
      </w:r>
      <w:r w:rsidR="008E27DA">
        <w:t xml:space="preserve"> the language is made strange by its gestic inflection</w:t>
      </w:r>
      <w:r w:rsidR="00271797">
        <w:t>,</w:t>
      </w:r>
      <w:r w:rsidR="008E27DA">
        <w:t xml:space="preserve"> yet this process also associates it with the specific conditions that help produce it. The language is thus</w:t>
      </w:r>
      <w:r w:rsidR="00271797">
        <w:t xml:space="preserve"> both</w:t>
      </w:r>
      <w:r w:rsidR="008E27DA">
        <w:t xml:space="preserve"> grounded in its context and can generalize the play’s themes beyond their setting.</w:t>
      </w:r>
    </w:p>
    <w:p w14:paraId="7C9BB2BB" w14:textId="77777777" w:rsidR="00A14C74" w:rsidRPr="000F79C8" w:rsidRDefault="00A14C74" w:rsidP="00DD4EB3"/>
    <w:p w14:paraId="7C24BC0C" w14:textId="77777777" w:rsidR="00DD4EB3" w:rsidRPr="000F79C8" w:rsidRDefault="00DD4EB3" w:rsidP="00DD4EB3"/>
    <w:p w14:paraId="284F0BFA" w14:textId="77777777" w:rsidR="00DD4EB3" w:rsidRDefault="00DD4EB3" w:rsidP="00DD4EB3">
      <w:r w:rsidRPr="000F79C8">
        <w:t>Rehearsal and Performance</w:t>
      </w:r>
    </w:p>
    <w:p w14:paraId="7B8B33C8" w14:textId="77777777" w:rsidR="00873A4E" w:rsidRDefault="00873A4E" w:rsidP="00DD4EB3"/>
    <w:p w14:paraId="264E882D" w14:textId="77777777" w:rsidR="00E13DC9" w:rsidRDefault="005218F6" w:rsidP="00DD4EB3">
      <w:r>
        <w:t xml:space="preserve">The casting of the play was somewhat </w:t>
      </w:r>
      <w:r w:rsidR="00AD05F9">
        <w:t>contentious</w:t>
      </w:r>
      <w:r>
        <w:t>. Originally, Brecht had cast his own daught</w:t>
      </w:r>
      <w:r w:rsidR="00AD05F9">
        <w:t xml:space="preserve">er, Barbara, </w:t>
      </w:r>
      <w:r w:rsidR="00062044">
        <w:t>as</w:t>
      </w:r>
      <w:r w:rsidR="00AD05F9">
        <w:t xml:space="preserve"> the female lead Pegeen</w:t>
      </w:r>
      <w:r>
        <w:t xml:space="preserve"> and her boyfriend and later husband, Ekkehard Schall, as </w:t>
      </w:r>
      <w:r w:rsidR="00F754B0">
        <w:t>Christy</w:t>
      </w:r>
      <w:r>
        <w:t xml:space="preserve">. That Barbara could play the lead with no experience of a major role already </w:t>
      </w:r>
      <w:r w:rsidR="00AD05F9">
        <w:t>gestured to</w:t>
      </w:r>
      <w:r w:rsidR="0061789C">
        <w:t xml:space="preserve"> nepotism (</w:t>
      </w:r>
      <w:r>
        <w:t xml:space="preserve">although Schall had </w:t>
      </w:r>
      <w:r w:rsidR="00062044">
        <w:t xml:space="preserve">previously </w:t>
      </w:r>
      <w:r>
        <w:t>established</w:t>
      </w:r>
      <w:r w:rsidR="00062044">
        <w:t xml:space="preserve"> </w:t>
      </w:r>
      <w:r>
        <w:t xml:space="preserve">himself as a significant actor </w:t>
      </w:r>
      <w:r w:rsidR="00675D9A">
        <w:t>playing</w:t>
      </w:r>
      <w:r>
        <w:t xml:space="preserve"> </w:t>
      </w:r>
      <w:r w:rsidR="00675D9A">
        <w:t>Hörder, the male lead,</w:t>
      </w:r>
      <w:r>
        <w:t xml:space="preserve"> in Johannes R. Becher’s </w:t>
      </w:r>
      <w:r>
        <w:rPr>
          <w:i/>
        </w:rPr>
        <w:t>Battle in Winter</w:t>
      </w:r>
      <w:r w:rsidR="0061789C">
        <w:t>)</w:t>
      </w:r>
      <w:r>
        <w:t>.</w:t>
      </w:r>
      <w:r w:rsidR="000A111D">
        <w:t xml:space="preserve"> However, it was Brecht’s own sentiments that led to a decision that rent the two real-life lovers</w:t>
      </w:r>
      <w:r w:rsidR="00AD05F9">
        <w:t xml:space="preserve"> apart on stage</w:t>
      </w:r>
      <w:r w:rsidR="000A111D">
        <w:t xml:space="preserve">. Brecht surmised that </w:t>
      </w:r>
      <w:r w:rsidR="00F754B0">
        <w:t>Christy</w:t>
      </w:r>
      <w:r w:rsidR="000A111D">
        <w:t xml:space="preserve"> and </w:t>
      </w:r>
      <w:r w:rsidR="00AD05F9">
        <w:t>Shawn</w:t>
      </w:r>
      <w:r w:rsidR="000A111D">
        <w:t xml:space="preserve"> were not to be understood as disparate rivals because </w:t>
      </w:r>
      <w:r w:rsidR="00745819">
        <w:t xml:space="preserve">he considered that </w:t>
      </w:r>
      <w:r w:rsidR="000A111D">
        <w:t>they were ‘</w:t>
      </w:r>
      <w:r w:rsidR="00B2278A">
        <w:t>of</w:t>
      </w:r>
      <w:r w:rsidR="000A111D">
        <w:t xml:space="preserve"> the same wood’. The </w:t>
      </w:r>
      <w:r w:rsidR="00AD05F9">
        <w:t>distinction between them</w:t>
      </w:r>
      <w:r w:rsidR="000A111D">
        <w:t xml:space="preserve"> was that they had been ‘carved differently’.</w:t>
      </w:r>
      <w:r w:rsidR="000A111D">
        <w:rPr>
          <w:rStyle w:val="FootnoteReference"/>
        </w:rPr>
        <w:footnoteReference w:id="33"/>
      </w:r>
      <w:r w:rsidR="00877BD2">
        <w:t xml:space="preserve"> This led directors Manfred Wekwerth and Peter Palitzsch to propose the decidedly unheroic actor, Heinz Schubert, then cast as </w:t>
      </w:r>
      <w:r w:rsidR="00AD05F9">
        <w:t>Shawn</w:t>
      </w:r>
      <w:r w:rsidR="00877BD2">
        <w:t xml:space="preserve">, to play </w:t>
      </w:r>
      <w:r w:rsidR="00F754B0">
        <w:t>Christy</w:t>
      </w:r>
      <w:r w:rsidR="00877BD2">
        <w:t xml:space="preserve">. Their argument was that this was a far more dialectical approach to the two characters: the proven hero, Schall, would play the craven, scheming fiancée, while the slight and comical Schubert would </w:t>
      </w:r>
      <w:r w:rsidR="000263D0">
        <w:t>have</w:t>
      </w:r>
      <w:r w:rsidR="00877BD2">
        <w:t xml:space="preserve"> greatness</w:t>
      </w:r>
      <w:r w:rsidR="000263D0">
        <w:t xml:space="preserve"> thrust upon him</w:t>
      </w:r>
      <w:r w:rsidR="00877BD2">
        <w:t>.</w:t>
      </w:r>
      <w:r w:rsidR="00E13DC9">
        <w:t xml:space="preserve"> Such an argument also played into Brecht’s predilection for casting against type: </w:t>
      </w:r>
    </w:p>
    <w:p w14:paraId="2DCAFE64" w14:textId="77777777" w:rsidR="00E13DC9" w:rsidRDefault="00E13DC9" w:rsidP="00DD4EB3"/>
    <w:p w14:paraId="5F8E0636" w14:textId="77777777" w:rsidR="005218F6" w:rsidRDefault="00931F82" w:rsidP="00E13DC9">
      <w:pPr>
        <w:ind w:left="720"/>
      </w:pPr>
      <w:r>
        <w:t>I</w:t>
      </w:r>
      <w:r w:rsidR="00E13DC9">
        <w:t xml:space="preserve">n my opinion the true actor both wishes and is able to display </w:t>
      </w:r>
      <w:r w:rsidR="00E13DC9">
        <w:rPr>
          <w:i/>
        </w:rPr>
        <w:t>other</w:t>
      </w:r>
      <w:r w:rsidR="00E13DC9">
        <w:t xml:space="preserve"> people, to perform for the audience people who are completely different than himself</w:t>
      </w:r>
      <w:r w:rsidR="00B066B3">
        <w:t xml:space="preserve"> [sic]</w:t>
      </w:r>
      <w:r w:rsidR="00E13DC9">
        <w:t>, and it is the wish and ability to observe people that makes the true actor.</w:t>
      </w:r>
      <w:r w:rsidR="00E13DC9">
        <w:rPr>
          <w:rStyle w:val="FootnoteReference"/>
        </w:rPr>
        <w:footnoteReference w:id="34"/>
      </w:r>
    </w:p>
    <w:p w14:paraId="6691352F" w14:textId="77777777" w:rsidR="00931F82" w:rsidRDefault="00931F82" w:rsidP="00E13DC9">
      <w:pPr>
        <w:ind w:left="720"/>
      </w:pPr>
    </w:p>
    <w:p w14:paraId="6BB237AB" w14:textId="77777777" w:rsidR="00931F82" w:rsidRDefault="00931F82" w:rsidP="00931F82">
      <w:r>
        <w:t xml:space="preserve">Brecht thus accepted the proposal, as it fitted his own </w:t>
      </w:r>
      <w:r w:rsidR="005852B4">
        <w:t>preference</w:t>
      </w:r>
      <w:r>
        <w:t xml:space="preserve"> for acting</w:t>
      </w:r>
      <w:r w:rsidR="00942CDA">
        <w:t xml:space="preserve"> outside one’s comfort zone</w:t>
      </w:r>
      <w:r w:rsidR="003D0C55">
        <w:t xml:space="preserve"> in order to make lively, new discoveries</w:t>
      </w:r>
      <w:r>
        <w:t>.</w:t>
      </w:r>
    </w:p>
    <w:p w14:paraId="2F0E9508" w14:textId="77777777" w:rsidR="00DB1733" w:rsidRDefault="00DB1733" w:rsidP="00931F82">
      <w:r>
        <w:tab/>
        <w:t>The rehearsal documentation reveals much about the approaches the company took to staging the play dialectically. It also shows Brecht’s hand in the process: although the play was formally directed by Manfred Wekwerth and Peter Palitzsch, several documents note Brecht’s input in and out of rehearsals. As was often the case at the Berliner Ensemble, Brecht simply could not resist ‘overseeing’ a production even if he was not directly involved. The upshot of such a presence was, like the treatment of the translation, that Brecht could still be considered a major creative force in the production.</w:t>
      </w:r>
    </w:p>
    <w:p w14:paraId="5D781BC3" w14:textId="7A7C72FE" w:rsidR="003949B1" w:rsidRDefault="00DB1733" w:rsidP="0055376E">
      <w:r>
        <w:tab/>
      </w:r>
      <w:r w:rsidR="00BF6C47">
        <w:t>The basis of the production was not the characters, but the situation</w:t>
      </w:r>
      <w:r w:rsidR="005852B4">
        <w:t>s</w:t>
      </w:r>
      <w:r w:rsidR="00BF6C47">
        <w:t xml:space="preserve">. </w:t>
      </w:r>
      <w:r w:rsidR="000F2D7A">
        <w:t>As Brecht noted: ‘the environment for the h</w:t>
      </w:r>
      <w:r w:rsidR="0055376E">
        <w:t>e</w:t>
      </w:r>
      <w:r w:rsidR="005852B4">
        <w:t>ro has to be provided. C[hristy</w:t>
      </w:r>
      <w:r w:rsidR="000F2D7A">
        <w:t>] doesn’t bring it himself’.</w:t>
      </w:r>
      <w:r w:rsidR="000F2D7A">
        <w:rPr>
          <w:rStyle w:val="FootnoteReference"/>
        </w:rPr>
        <w:footnoteReference w:id="35"/>
      </w:r>
      <w:r w:rsidR="000F2D7A">
        <w:t xml:space="preserve"> </w:t>
      </w:r>
      <w:r w:rsidR="00BF6C47">
        <w:t xml:space="preserve">Under the telling title ‘Necessity of Establishing Poverty’, </w:t>
      </w:r>
      <w:r w:rsidR="005852B4">
        <w:t>a rehearsal note ma</w:t>
      </w:r>
      <w:r w:rsidR="003C2337">
        <w:t>de</w:t>
      </w:r>
      <w:r w:rsidR="005852B4">
        <w:t xml:space="preserve"> the</w:t>
      </w:r>
      <w:r w:rsidR="00BF6C47">
        <w:t xml:space="preserve"> connection between the social context and the action: ‘the characters’ notion of heroism portrayed in the play is unthinkable for the wealthy’.</w:t>
      </w:r>
      <w:r w:rsidR="00BF6C47">
        <w:rPr>
          <w:rStyle w:val="FootnoteReference"/>
        </w:rPr>
        <w:footnoteReference w:id="36"/>
      </w:r>
      <w:r w:rsidR="000F2D7A">
        <w:t xml:space="preserve"> The costumes were thus suitably </w:t>
      </w:r>
      <w:r w:rsidR="006A6718">
        <w:t xml:space="preserve">shabby </w:t>
      </w:r>
      <w:r w:rsidR="000F2D7A">
        <w:t>and the scenery</w:t>
      </w:r>
      <w:r w:rsidR="005852B4">
        <w:t xml:space="preserve"> </w:t>
      </w:r>
      <w:r w:rsidR="000F2D7A">
        <w:t xml:space="preserve">deliberately </w:t>
      </w:r>
      <w:r w:rsidR="005852B4">
        <w:t xml:space="preserve">featured grubby </w:t>
      </w:r>
      <w:r w:rsidR="00DB3F67">
        <w:t>w</w:t>
      </w:r>
      <w:r w:rsidR="009A6265">
        <w:t>hite-washed walls rather than ‘r</w:t>
      </w:r>
      <w:r w:rsidR="00DB3F67">
        <w:t>omantic wood</w:t>
      </w:r>
      <w:r w:rsidR="009A6265">
        <w:t>en</w:t>
      </w:r>
      <w:r w:rsidR="00DB3F67">
        <w:t xml:space="preserve"> vaulting’</w:t>
      </w:r>
      <w:r w:rsidR="0057640F">
        <w:t>.</w:t>
      </w:r>
      <w:r w:rsidR="00DB3F67">
        <w:rPr>
          <w:rStyle w:val="FootnoteReference"/>
        </w:rPr>
        <w:footnoteReference w:id="37"/>
      </w:r>
      <w:r w:rsidR="0057640F">
        <w:t xml:space="preserve"> </w:t>
      </w:r>
      <w:r w:rsidR="00DB3F67">
        <w:t>Poverty was also built into the blocking. In</w:t>
      </w:r>
      <w:r w:rsidR="0057640F">
        <w:t xml:space="preserve"> Act I, Brecht advised the directors to have </w:t>
      </w:r>
      <w:r w:rsidR="00F754B0">
        <w:t>Christy</w:t>
      </w:r>
      <w:r w:rsidR="0057640F">
        <w:t xml:space="preserve"> warm his hands by the hearth while declaring his love for Pegeen in order to contrast the strength of feeling with the desperate conditions</w:t>
      </w:r>
      <w:r w:rsidR="00F06FEF">
        <w:t xml:space="preserve"> [see fig. 1]</w:t>
      </w:r>
      <w:r w:rsidR="000F2D7A">
        <w:t>.</w:t>
      </w:r>
      <w:r w:rsidR="0057640F">
        <w:rPr>
          <w:rStyle w:val="FootnoteReference"/>
        </w:rPr>
        <w:footnoteReference w:id="38"/>
      </w:r>
      <w:r w:rsidR="000F2D7A">
        <w:t xml:space="preserve"> Yet the poverty itself was not, as in any dialectical interpretation, a quality</w:t>
      </w:r>
      <w:r w:rsidR="0055376E">
        <w:t xml:space="preserve"> that inevitably produced certain behaviours: </w:t>
      </w:r>
      <w:r w:rsidR="00FB122A">
        <w:t xml:space="preserve">despite being written around the same time, </w:t>
      </w:r>
      <w:r w:rsidR="0055376E">
        <w:rPr>
          <w:i/>
        </w:rPr>
        <w:t xml:space="preserve">The Playboy </w:t>
      </w:r>
      <w:r w:rsidR="0055376E">
        <w:t xml:space="preserve">is neither Hauptmann’s </w:t>
      </w:r>
      <w:r w:rsidR="0055376E">
        <w:rPr>
          <w:i/>
        </w:rPr>
        <w:t>The Weavers</w:t>
      </w:r>
      <w:r w:rsidR="00FB122A">
        <w:t xml:space="preserve"> (1892)</w:t>
      </w:r>
      <w:r w:rsidR="00FB122A" w:rsidRPr="00FB122A">
        <w:t xml:space="preserve"> </w:t>
      </w:r>
      <w:r w:rsidR="00FB122A">
        <w:t>nor</w:t>
      </w:r>
      <w:r w:rsidR="00FB122A" w:rsidRPr="00FB122A">
        <w:t xml:space="preserve"> </w:t>
      </w:r>
      <w:r w:rsidR="00FB122A">
        <w:t xml:space="preserve">Gorky’s </w:t>
      </w:r>
      <w:r w:rsidR="00FB122A">
        <w:rPr>
          <w:i/>
        </w:rPr>
        <w:t>Lower Depths</w:t>
      </w:r>
      <w:r w:rsidR="00FB122A">
        <w:t xml:space="preserve"> (1902)</w:t>
      </w:r>
      <w:r w:rsidR="0055376E">
        <w:t>. Here, poverty drives a different kind of action, predicated upon a n</w:t>
      </w:r>
      <w:r w:rsidR="003C2337">
        <w:t>eed to create light in darkness. As one note put it:</w:t>
      </w:r>
      <w:r w:rsidR="0055376E">
        <w:t xml:space="preserve"> ‘</w:t>
      </w:r>
      <w:r w:rsidR="009A6265">
        <w:t>the play’s r</w:t>
      </w:r>
      <w:r w:rsidR="0055376E" w:rsidRPr="0055376E">
        <w:t>omanticism shouldn’t only be used for</w:t>
      </w:r>
      <w:r w:rsidR="0055376E">
        <w:t xml:space="preserve"> </w:t>
      </w:r>
      <w:r w:rsidR="0055376E" w:rsidRPr="0055376E">
        <w:t>atmosphere; the romanticism should also inform the story. It has to be made strange [</w:t>
      </w:r>
      <w:r w:rsidR="0055376E" w:rsidRPr="0055376E">
        <w:rPr>
          <w:i/>
          <w:iCs/>
        </w:rPr>
        <w:t>verfremdet</w:t>
      </w:r>
      <w:r w:rsidR="0055376E" w:rsidRPr="0055376E">
        <w:t>] to a certain extent: it has to facilitate the great legend’.</w:t>
      </w:r>
      <w:r w:rsidR="0055376E">
        <w:rPr>
          <w:rStyle w:val="FootnoteReference"/>
        </w:rPr>
        <w:footnoteReference w:id="39"/>
      </w:r>
      <w:r w:rsidR="0055376E" w:rsidRPr="0055376E">
        <w:t xml:space="preserve"> </w:t>
      </w:r>
      <w:r w:rsidR="009A6265">
        <w:t>T</w:t>
      </w:r>
      <w:r w:rsidR="0055376E" w:rsidRPr="0055376E">
        <w:t>he category</w:t>
      </w:r>
      <w:r w:rsidR="0055376E">
        <w:t xml:space="preserve"> </w:t>
      </w:r>
      <w:r w:rsidR="003C2337">
        <w:t>of romanticism wa</w:t>
      </w:r>
      <w:r w:rsidR="0055376E" w:rsidRPr="0055376E">
        <w:t>s treated as a dialectical factor in the construction of the plot</w:t>
      </w:r>
      <w:r w:rsidR="009A6265">
        <w:t>; i</w:t>
      </w:r>
      <w:r w:rsidR="0055376E" w:rsidRPr="0055376E">
        <w:t xml:space="preserve">t </w:t>
      </w:r>
      <w:r w:rsidR="003C2337">
        <w:t>did</w:t>
      </w:r>
      <w:r w:rsidR="0055376E" w:rsidRPr="0055376E">
        <w:t xml:space="preserve"> not represent a passive</w:t>
      </w:r>
      <w:r w:rsidR="0055376E">
        <w:t xml:space="preserve"> </w:t>
      </w:r>
      <w:r w:rsidR="0055376E" w:rsidRPr="0055376E">
        <w:t>milieu, but an active co</w:t>
      </w:r>
      <w:r w:rsidR="00E1352E">
        <w:t xml:space="preserve">ntributor to the action itself. </w:t>
      </w:r>
      <w:r w:rsidR="005E2B65">
        <w:t xml:space="preserve">At the same time, it </w:t>
      </w:r>
      <w:r w:rsidR="003C2337">
        <w:t>was</w:t>
      </w:r>
      <w:r w:rsidR="005E2B65">
        <w:t xml:space="preserve"> a product of th</w:t>
      </w:r>
      <w:r w:rsidR="003C2337">
        <w:t>e dire conditions and represented</w:t>
      </w:r>
      <w:r w:rsidR="005E2B65">
        <w:t xml:space="preserve"> the characters’ desires to transform their drab existences into something more exciting.</w:t>
      </w:r>
    </w:p>
    <w:p w14:paraId="63CDE918" w14:textId="77777777" w:rsidR="00E1352E" w:rsidRDefault="00E1352E" w:rsidP="003949B1">
      <w:pPr>
        <w:ind w:firstLine="720"/>
      </w:pPr>
      <w:r>
        <w:t xml:space="preserve">Brecht noted that ‘the style for speaking the lines is </w:t>
      </w:r>
      <w:r w:rsidR="003949B1">
        <w:t>that of citation</w:t>
      </w:r>
      <w:r>
        <w:t>,</w:t>
      </w:r>
      <w:r w:rsidR="003949B1">
        <w:t xml:space="preserve"> interrupted by real events [Vorgänge]’.</w:t>
      </w:r>
      <w:r w:rsidR="003949B1">
        <w:rPr>
          <w:rStyle w:val="FootnoteReference"/>
        </w:rPr>
        <w:footnoteReference w:id="40"/>
      </w:r>
      <w:r w:rsidR="00E81AE2">
        <w:t xml:space="preserve"> This idea set</w:t>
      </w:r>
      <w:r w:rsidR="00EC6894">
        <w:t xml:space="preserve"> up the dialectics of the whole produc</w:t>
      </w:r>
      <w:r w:rsidR="00E81AE2">
        <w:t xml:space="preserve">tion. The </w:t>
      </w:r>
      <w:r w:rsidR="002375B7">
        <w:t>position</w:t>
      </w:r>
      <w:r w:rsidR="00E81AE2">
        <w:t xml:space="preserve"> that the play’s speech wa</w:t>
      </w:r>
      <w:r w:rsidR="00EC6894">
        <w:t>s a s</w:t>
      </w:r>
      <w:r w:rsidR="00E81AE2">
        <w:t>eries of quotations already robbed</w:t>
      </w:r>
      <w:r w:rsidR="00EC6894">
        <w:t xml:space="preserve"> the characters of a sovereign claim to agency. Instead, they derive</w:t>
      </w:r>
      <w:r w:rsidR="00E81AE2">
        <w:t>d</w:t>
      </w:r>
      <w:r w:rsidR="00EC6894">
        <w:t xml:space="preserve"> their lines and their idiom </w:t>
      </w:r>
      <w:r w:rsidR="00E81AE2">
        <w:t>rather than creating</w:t>
      </w:r>
      <w:r w:rsidR="009A6265">
        <w:t xml:space="preserve"> them themselves</w:t>
      </w:r>
      <w:r w:rsidR="00EC6894">
        <w:t xml:space="preserve">. Yet the events </w:t>
      </w:r>
      <w:r w:rsidR="009A6265">
        <w:t>that intervene</w:t>
      </w:r>
      <w:r w:rsidR="00EC6894">
        <w:t>, such as the Widow Quin’s wheeling and dealing</w:t>
      </w:r>
      <w:r w:rsidR="005E2B65">
        <w:t>, the surprising appearance of Old Mahon</w:t>
      </w:r>
      <w:r w:rsidR="00EC6894">
        <w:t xml:space="preserve">, or Pegeen’s mistaken rejection of </w:t>
      </w:r>
      <w:r w:rsidR="00F754B0">
        <w:t>Christy</w:t>
      </w:r>
      <w:r w:rsidR="00E81AE2">
        <w:t xml:space="preserve"> le</w:t>
      </w:r>
      <w:r w:rsidR="00EC6894">
        <w:t>d the dialogue down new avenues</w:t>
      </w:r>
      <w:r w:rsidR="005E2B65">
        <w:t>, provoking different</w:t>
      </w:r>
      <w:r w:rsidR="00EC6894">
        <w:t xml:space="preserve"> </w:t>
      </w:r>
      <w:r w:rsidR="002375B7">
        <w:t xml:space="preserve">attitudes and </w:t>
      </w:r>
      <w:r w:rsidR="00EC6894">
        <w:t>behaviour</w:t>
      </w:r>
      <w:r w:rsidR="005E2B65">
        <w:t>s</w:t>
      </w:r>
      <w:r w:rsidR="00EC6894">
        <w:t xml:space="preserve">. </w:t>
      </w:r>
    </w:p>
    <w:p w14:paraId="6D743514" w14:textId="77777777" w:rsidR="00DB1733" w:rsidRDefault="00E81AE2" w:rsidP="00E1352E">
      <w:pPr>
        <w:ind w:firstLine="720"/>
      </w:pPr>
      <w:r>
        <w:t xml:space="preserve">Thus, </w:t>
      </w:r>
      <w:r w:rsidR="00F754B0">
        <w:t>Christy</w:t>
      </w:r>
      <w:r>
        <w:t xml:space="preserve"> unwittingly tapped</w:t>
      </w:r>
      <w:r w:rsidR="0055376E" w:rsidRPr="0055376E">
        <w:t xml:space="preserve"> into romantic notions of heroism</w:t>
      </w:r>
      <w:r w:rsidR="0055376E">
        <w:t xml:space="preserve"> </w:t>
      </w:r>
      <w:r w:rsidR="0055376E" w:rsidRPr="0055376E">
        <w:t>that precede his first entrance</w:t>
      </w:r>
      <w:r>
        <w:t>, for example</w:t>
      </w:r>
      <w:r w:rsidR="0055376E">
        <w:t>.</w:t>
      </w:r>
      <w:r w:rsidR="00FB122A">
        <w:t xml:space="preserve"> </w:t>
      </w:r>
      <w:r>
        <w:t>O</w:t>
      </w:r>
      <w:r w:rsidR="00FB122A">
        <w:t xml:space="preserve">ne finds the following directions for </w:t>
      </w:r>
      <w:r w:rsidR="00D97879">
        <w:t>a</w:t>
      </w:r>
      <w:r w:rsidR="00FB122A">
        <w:t xml:space="preserve"> section</w:t>
      </w:r>
      <w:r w:rsidR="00D97879">
        <w:t xml:space="preserve"> that comes</w:t>
      </w:r>
      <w:r w:rsidR="00FB122A">
        <w:t xml:space="preserve"> just after the opening of Act II</w:t>
      </w:r>
      <w:r w:rsidR="00D97879">
        <w:t>,</w:t>
      </w:r>
      <w:r w:rsidR="00FB122A">
        <w:t xml:space="preserve"> when the</w:t>
      </w:r>
      <w:r w:rsidR="00D97879">
        <w:t xml:space="preserve"> local</w:t>
      </w:r>
      <w:r w:rsidR="00FB122A">
        <w:t xml:space="preserve"> girls ask him about his murderous deed:</w:t>
      </w:r>
    </w:p>
    <w:p w14:paraId="1E2527AB" w14:textId="77777777" w:rsidR="00FB122A" w:rsidRDefault="00FB122A" w:rsidP="0055376E"/>
    <w:p w14:paraId="126F9813" w14:textId="77777777" w:rsidR="00FB122A" w:rsidRDefault="00FB122A" w:rsidP="00FB122A">
      <w:pPr>
        <w:pStyle w:val="ListParagraph"/>
        <w:numPr>
          <w:ilvl w:val="0"/>
          <w:numId w:val="2"/>
        </w:numPr>
      </w:pPr>
      <w:r>
        <w:t>Driven on by Quin, [</w:t>
      </w:r>
      <w:r w:rsidR="00F754B0">
        <w:t>Christy</w:t>
      </w:r>
      <w:r>
        <w:t>] tells the real facts in response to the big questions.</w:t>
      </w:r>
    </w:p>
    <w:p w14:paraId="5E29D948" w14:textId="77777777" w:rsidR="00FB122A" w:rsidRDefault="00FB122A" w:rsidP="00FB122A">
      <w:pPr>
        <w:pStyle w:val="ListParagraph"/>
        <w:numPr>
          <w:ilvl w:val="0"/>
          <w:numId w:val="2"/>
        </w:numPr>
      </w:pPr>
      <w:r>
        <w:t>He takes on the mysterious tone of the girls.</w:t>
      </w:r>
    </w:p>
    <w:p w14:paraId="06818AD5" w14:textId="77777777" w:rsidR="00FB122A" w:rsidRDefault="00FB122A" w:rsidP="00FB122A">
      <w:pPr>
        <w:pStyle w:val="ListParagraph"/>
        <w:numPr>
          <w:ilvl w:val="0"/>
          <w:numId w:val="2"/>
        </w:numPr>
      </w:pPr>
      <w:r>
        <w:t>He gets wilder and more hoarse (very exaggerated).</w:t>
      </w:r>
      <w:r>
        <w:rPr>
          <w:rStyle w:val="FootnoteReference"/>
        </w:rPr>
        <w:footnoteReference w:id="41"/>
      </w:r>
    </w:p>
    <w:p w14:paraId="32B7C188" w14:textId="77777777" w:rsidR="00492538" w:rsidRDefault="00492538" w:rsidP="00492538">
      <w:r>
        <w:t>The three points describe a negotiation of a situation, from a position of unwillingness to</w:t>
      </w:r>
      <w:r w:rsidR="00D97879">
        <w:t xml:space="preserve"> one of</w:t>
      </w:r>
      <w:r>
        <w:t xml:space="preserve"> </w:t>
      </w:r>
      <w:r w:rsidR="00D97879">
        <w:t>uncontrolled</w:t>
      </w:r>
      <w:r>
        <w:t xml:space="preserve"> enthusiasm. It is worth remembering that </w:t>
      </w:r>
      <w:r w:rsidR="00F754B0">
        <w:t>Christy</w:t>
      </w:r>
      <w:r w:rsidR="00E81AE2">
        <w:t xml:space="preserve"> had</w:t>
      </w:r>
      <w:r>
        <w:t xml:space="preserve"> already been surprised by the response to his</w:t>
      </w:r>
      <w:r w:rsidR="00D97879">
        <w:t xml:space="preserve"> murderous</w:t>
      </w:r>
      <w:r>
        <w:t xml:space="preserve"> revelation in Act I, yet here he </w:t>
      </w:r>
      <w:r w:rsidR="00E81AE2">
        <w:t>was</w:t>
      </w:r>
      <w:r>
        <w:t xml:space="preserve"> s</w:t>
      </w:r>
      <w:r w:rsidR="00E81AE2">
        <w:t>till at a loss initially and had</w:t>
      </w:r>
      <w:r>
        <w:t xml:space="preserve"> to be re-constructed as a hero by</w:t>
      </w:r>
      <w:r w:rsidR="00F631C4">
        <w:t xml:space="preserve"> the Widow</w:t>
      </w:r>
      <w:r>
        <w:t xml:space="preserve"> Quin. </w:t>
      </w:r>
      <w:r w:rsidR="00D97879">
        <w:t>T</w:t>
      </w:r>
      <w:r w:rsidR="00E81AE2">
        <w:t>his emphasis on process wa</w:t>
      </w:r>
      <w:r>
        <w:t>s made clear in an early note: ‘the audacity of [</w:t>
      </w:r>
      <w:r w:rsidR="00F754B0">
        <w:t>Christy</w:t>
      </w:r>
      <w:r>
        <w:t xml:space="preserve">’s] </w:t>
      </w:r>
      <w:r w:rsidR="00D97879">
        <w:t>big</w:t>
      </w:r>
      <w:r>
        <w:t xml:space="preserve"> words is mixed with an astonishment at their impact. Long before he discovers the hero in himself, he discovers it in the mirror of his surroundings that make him so. Basic </w:t>
      </w:r>
      <w:r>
        <w:rPr>
          <w:i/>
        </w:rPr>
        <w:t>Gestus</w:t>
      </w:r>
      <w:r>
        <w:t>: astonishment at the discoveries’.</w:t>
      </w:r>
      <w:r>
        <w:rPr>
          <w:rStyle w:val="FootnoteReference"/>
        </w:rPr>
        <w:footnoteReference w:id="42"/>
      </w:r>
      <w:r>
        <w:t xml:space="preserve"> The key to </w:t>
      </w:r>
      <w:r w:rsidR="00F754B0">
        <w:t>Christy</w:t>
      </w:r>
      <w:r w:rsidR="00E81AE2">
        <w:t xml:space="preserve"> in this production wa</w:t>
      </w:r>
      <w:r>
        <w:t>s</w:t>
      </w:r>
      <w:r w:rsidR="00E81AE2">
        <w:t xml:space="preserve"> to show how he depended</w:t>
      </w:r>
      <w:r w:rsidR="000904D5">
        <w:t xml:space="preserve"> on the response</w:t>
      </w:r>
      <w:r w:rsidR="00E81AE2">
        <w:t>s</w:t>
      </w:r>
      <w:r w:rsidR="000904D5">
        <w:t xml:space="preserve"> of others</w:t>
      </w:r>
      <w:r w:rsidR="00EE27C0">
        <w:t>,</w:t>
      </w:r>
      <w:r w:rsidR="000904D5">
        <w:t xml:space="preserve"> and so </w:t>
      </w:r>
      <w:r w:rsidR="003B23DE">
        <w:t xml:space="preserve">he </w:t>
      </w:r>
      <w:r w:rsidR="00E81AE2">
        <w:t>was never wholly in control of</w:t>
      </w:r>
      <w:r w:rsidR="00EE27C0">
        <w:t xml:space="preserve"> his actions </w:t>
      </w:r>
      <w:r w:rsidR="003B23DE">
        <w:t xml:space="preserve">and </w:t>
      </w:r>
      <w:r w:rsidR="00E81AE2">
        <w:t>there was no suggestion</w:t>
      </w:r>
      <w:r w:rsidR="003B23DE">
        <w:t xml:space="preserve"> of</w:t>
      </w:r>
      <w:r w:rsidR="000904D5">
        <w:t xml:space="preserve"> malign intent to further his own ends. Indeed, at the point at which he believes</w:t>
      </w:r>
      <w:r w:rsidR="000C4852">
        <w:t xml:space="preserve"> he has understood the locals – </w:t>
      </w:r>
      <w:r w:rsidR="000904D5">
        <w:t>when he decides to do away with his father before th</w:t>
      </w:r>
      <w:r w:rsidR="000C4852">
        <w:t>eir eyes –</w:t>
      </w:r>
      <w:r w:rsidR="000904D5">
        <w:t xml:space="preserve"> he miscalculates completely and finds himself as pitiful and friendless as when he entered the pub in the first place.</w:t>
      </w:r>
    </w:p>
    <w:p w14:paraId="4E884211" w14:textId="77777777" w:rsidR="000904D5" w:rsidRDefault="000904D5" w:rsidP="00492538">
      <w:r>
        <w:tab/>
      </w:r>
      <w:r w:rsidR="00D71997">
        <w:t>This production was not, however,</w:t>
      </w:r>
      <w:r w:rsidR="007205B8">
        <w:t xml:space="preserve"> exclusively populated by the naïve and</w:t>
      </w:r>
      <w:r w:rsidR="007205B8" w:rsidRPr="007205B8">
        <w:t xml:space="preserve"> </w:t>
      </w:r>
      <w:r w:rsidR="007205B8">
        <w:t>the starry-eyed</w:t>
      </w:r>
      <w:r>
        <w:t xml:space="preserve">. As one note states: </w:t>
      </w:r>
    </w:p>
    <w:p w14:paraId="5C5B60D6" w14:textId="77777777" w:rsidR="000904D5" w:rsidRDefault="000904D5" w:rsidP="00492538"/>
    <w:p w14:paraId="389EE9B4" w14:textId="77777777" w:rsidR="000904D5" w:rsidRPr="00492538" w:rsidRDefault="007205B8" w:rsidP="000904D5">
      <w:pPr>
        <w:ind w:left="720"/>
      </w:pPr>
      <w:r>
        <w:t>W</w:t>
      </w:r>
      <w:r w:rsidR="000904D5">
        <w:t xml:space="preserve">e will </w:t>
      </w:r>
      <w:r w:rsidR="00B92553">
        <w:t>show</w:t>
      </w:r>
      <w:r w:rsidR="000904D5">
        <w:t xml:space="preserve"> Quin, the murderer of her husband, as the most real person in the whole play, whereby we’re especially seeking to </w:t>
      </w:r>
      <w:r>
        <w:t>bring</w:t>
      </w:r>
      <w:r w:rsidR="000904D5">
        <w:t xml:space="preserve"> out her unromantic, mercantile interests. In contrast to P</w:t>
      </w:r>
      <w:r w:rsidR="005852B4">
        <w:t>egeen, she understands C[hristy</w:t>
      </w:r>
      <w:r w:rsidR="000904D5">
        <w:t>] perfectly and doesn’t care for the legend. She deploys romanticism and eroticism deliberately to achieve specific ends.</w:t>
      </w:r>
      <w:r w:rsidR="000904D5">
        <w:rPr>
          <w:rStyle w:val="FootnoteReference"/>
        </w:rPr>
        <w:footnoteReference w:id="43"/>
      </w:r>
    </w:p>
    <w:p w14:paraId="437870D0" w14:textId="77777777" w:rsidR="005218F6" w:rsidRDefault="005218F6" w:rsidP="00DD4EB3"/>
    <w:p w14:paraId="7E8CADE8" w14:textId="77777777" w:rsidR="00953D79" w:rsidRDefault="00393584" w:rsidP="00DD4EB3">
      <w:r>
        <w:t>Yet e</w:t>
      </w:r>
      <w:r w:rsidR="00F631C4">
        <w:t xml:space="preserve">ven someone as </w:t>
      </w:r>
      <w:r>
        <w:t xml:space="preserve">savvy and </w:t>
      </w:r>
      <w:r w:rsidR="00D71997">
        <w:t>calculating as the Widow Quin is</w:t>
      </w:r>
      <w:r w:rsidR="00F631C4">
        <w:t xml:space="preserve"> acting within the limitations of her circumstances and, as the play demonstrates, even she cannot bend events to her will and ends up with no material advantage.</w:t>
      </w:r>
      <w:r>
        <w:t xml:space="preserve"> She, too, is at the mercy of the plot and not vice versa.</w:t>
      </w:r>
    </w:p>
    <w:p w14:paraId="75F88F05" w14:textId="77777777" w:rsidR="005C5D3F" w:rsidRDefault="00025842" w:rsidP="00DD4EB3">
      <w:r>
        <w:tab/>
        <w:t xml:space="preserve">In order to establish the romanticism of the play concretely, the production needed to anchor itself in the reality of the situation. By definition, this meant that the action was not to be presented as in some way peculiar or unusual, but </w:t>
      </w:r>
      <w:r w:rsidR="00393584">
        <w:t>as</w:t>
      </w:r>
      <w:r>
        <w:t xml:space="preserve"> typical and representative</w:t>
      </w:r>
      <w:r w:rsidR="00DB3F67">
        <w:t xml:space="preserve">. </w:t>
      </w:r>
      <w:r w:rsidR="00393584">
        <w:t>At the same time</w:t>
      </w:r>
      <w:r w:rsidR="00DB3F67">
        <w:t xml:space="preserve">, </w:t>
      </w:r>
      <w:r w:rsidR="00393584">
        <w:rPr>
          <w:i/>
        </w:rPr>
        <w:t>The Playboy</w:t>
      </w:r>
      <w:r w:rsidR="00DB3F67">
        <w:t xml:space="preserve"> lives from its remarkable events, and so these were </w:t>
      </w:r>
      <w:r w:rsidR="00393584">
        <w:t xml:space="preserve">to be </w:t>
      </w:r>
      <w:r w:rsidR="00DB3F67">
        <w:t>emphasized.</w:t>
      </w:r>
      <w:r w:rsidR="00393584">
        <w:t xml:space="preserve"> A</w:t>
      </w:r>
      <w:r w:rsidR="00DB3F67">
        <w:t xml:space="preserve">t one point, the suggestion was made to use a bell over the pub’s door as a point of punctuation. So, when the playboy makes his first great entrance, the bell was to ring ‘feebly and faintly’, whereas </w:t>
      </w:r>
      <w:r w:rsidR="005C5D3F">
        <w:t xml:space="preserve">Old Mahon’s surprising appearance would </w:t>
      </w:r>
      <w:r w:rsidR="0049507A">
        <w:t>bring forth</w:t>
      </w:r>
      <w:r w:rsidR="005C5D3F">
        <w:t xml:space="preserve"> ‘wild and furious’ peels</w:t>
      </w:r>
      <w:r>
        <w:t>.</w:t>
      </w:r>
      <w:r w:rsidR="005C5D3F">
        <w:rPr>
          <w:rStyle w:val="FootnoteReference"/>
        </w:rPr>
        <w:footnoteReference w:id="44"/>
      </w:r>
      <w:r>
        <w:t xml:space="preserve"> </w:t>
      </w:r>
    </w:p>
    <w:p w14:paraId="5B93A8D4" w14:textId="77777777" w:rsidR="00383A17" w:rsidRDefault="00025842" w:rsidP="005C5D3F">
      <w:pPr>
        <w:ind w:firstLine="720"/>
      </w:pPr>
      <w:r>
        <w:t xml:space="preserve">The </w:t>
      </w:r>
      <w:r w:rsidR="005C5D3F">
        <w:t>desire</w:t>
      </w:r>
      <w:r>
        <w:t xml:space="preserve"> to </w:t>
      </w:r>
      <w:r w:rsidR="005C5D3F">
        <w:t>ground the scenes</w:t>
      </w:r>
      <w:r>
        <w:t xml:space="preserve"> </w:t>
      </w:r>
      <w:r w:rsidR="005C5D3F">
        <w:t xml:space="preserve">in their environment </w:t>
      </w:r>
      <w:r>
        <w:t xml:space="preserve">appeared to go against some </w:t>
      </w:r>
      <w:r w:rsidR="00393584">
        <w:t>central</w:t>
      </w:r>
      <w:r>
        <w:t xml:space="preserve"> principles of a Brechtian theatr</w:t>
      </w:r>
      <w:r w:rsidR="00383A17">
        <w:t>e, as can be seen in the use of songs.</w:t>
      </w:r>
      <w:r w:rsidR="005C5D3F">
        <w:t xml:space="preserve"> </w:t>
      </w:r>
      <w:r w:rsidR="00383A17">
        <w:t>Orthodoxy has it that songs play a productively disruptive role</w:t>
      </w:r>
      <w:r w:rsidR="00D37AF3">
        <w:t xml:space="preserve"> in Brecht’s theatre</w:t>
      </w:r>
      <w:r w:rsidR="00383A17">
        <w:t xml:space="preserve">. Brecht wrote in 1935, in reference to </w:t>
      </w:r>
      <w:r w:rsidR="00383A17">
        <w:rPr>
          <w:i/>
        </w:rPr>
        <w:t>The Threepenny Opera</w:t>
      </w:r>
      <w:r w:rsidR="00383A17">
        <w:t xml:space="preserve"> of 1928, that epic theatre’s ‘most striking innovation lay in the strict separation of the music from all other elements’.</w:t>
      </w:r>
      <w:r w:rsidR="00383A17">
        <w:rPr>
          <w:rStyle w:val="FootnoteReference"/>
        </w:rPr>
        <w:footnoteReference w:id="45"/>
      </w:r>
      <w:r w:rsidR="00383A17">
        <w:t xml:space="preserve"> Here the songs offer a reflective</w:t>
      </w:r>
      <w:r w:rsidR="00393584">
        <w:t xml:space="preserve"> and/or critical</w:t>
      </w:r>
      <w:r w:rsidR="00383A17">
        <w:t xml:space="preserve"> counterpoint to the action and are signalled as theatrical elements by changes of lighting, the visibility of the orchestra and actors deliberately stepping out of their roles. </w:t>
      </w:r>
      <w:r w:rsidR="00383A17" w:rsidRPr="00393584">
        <w:rPr>
          <w:i/>
        </w:rPr>
        <w:t xml:space="preserve">The </w:t>
      </w:r>
      <w:r w:rsidR="00393584">
        <w:rPr>
          <w:i/>
        </w:rPr>
        <w:t>P</w:t>
      </w:r>
      <w:r w:rsidR="0015766B" w:rsidRPr="00393584">
        <w:rPr>
          <w:i/>
        </w:rPr>
        <w:t>la</w:t>
      </w:r>
      <w:r w:rsidR="00393584">
        <w:rPr>
          <w:i/>
        </w:rPr>
        <w:t>yboy</w:t>
      </w:r>
      <w:r w:rsidR="0015766B">
        <w:t>’s</w:t>
      </w:r>
      <w:r w:rsidR="00383A17">
        <w:t xml:space="preserve"> translator</w:t>
      </w:r>
      <w:r w:rsidR="00393584">
        <w:t xml:space="preserve"> Peter</w:t>
      </w:r>
      <w:r w:rsidR="00383A17">
        <w:t xml:space="preserve"> Hacks originally provided</w:t>
      </w:r>
      <w:r w:rsidR="0015766B">
        <w:t xml:space="preserve"> the songs in the form of limericks in order to connect with the Irish context and to reflect ironically on the action. Brecht, however, rejected this approach</w:t>
      </w:r>
      <w:r w:rsidR="00D92DED">
        <w:t>:</w:t>
      </w:r>
      <w:r w:rsidR="0015766B">
        <w:t xml:space="preserve"> ‘the musical numbers have to arise logically from the action. The proposed ballads were too strikingly signalled as supplements [Einlage]’.</w:t>
      </w:r>
      <w:r w:rsidR="0015766B">
        <w:rPr>
          <w:rStyle w:val="FootnoteReference"/>
        </w:rPr>
        <w:footnoteReference w:id="46"/>
      </w:r>
      <w:r w:rsidR="0015766B">
        <w:t xml:space="preserve"> The composer Hanns Eisler, one of Brecht’s most important musical collaborators, noted that there was </w:t>
      </w:r>
      <w:r w:rsidR="00393584">
        <w:t>no place for irony in the songs</w:t>
      </w:r>
      <w:r w:rsidR="0015766B">
        <w:t xml:space="preserve"> either, because </w:t>
      </w:r>
      <w:r w:rsidR="00F754B0">
        <w:t>Christy</w:t>
      </w:r>
      <w:r w:rsidR="0015766B">
        <w:t xml:space="preserve"> was not an ironic, but a genuine hero to the locals, even if he </w:t>
      </w:r>
      <w:r w:rsidR="00FA2D80">
        <w:t>bumbles into such a position</w:t>
      </w:r>
      <w:r w:rsidR="0015766B">
        <w:t>.</w:t>
      </w:r>
      <w:r w:rsidR="0015766B">
        <w:rPr>
          <w:rStyle w:val="FootnoteReference"/>
        </w:rPr>
        <w:footnoteReference w:id="47"/>
      </w:r>
      <w:r w:rsidR="0015766B">
        <w:t xml:space="preserve"> The songs, in other words, became organic elements of the production, not critical foreign bodies, as one might expect.</w:t>
      </w:r>
    </w:p>
    <w:p w14:paraId="4AC0AA27" w14:textId="13546A5F" w:rsidR="00FA2D80" w:rsidRDefault="00FA2D80" w:rsidP="00DD4EB3">
      <w:r>
        <w:tab/>
        <w:t>A closer inspection of the text</w:t>
      </w:r>
      <w:r w:rsidR="00393584">
        <w:t>s reveals that the songs did</w:t>
      </w:r>
      <w:r>
        <w:t xml:space="preserve"> not simply provide local colour. A song about the great Irish heroes, such as Brian Boru and Chu Chulainn, interwove heroism with more prosaic elements. In the case of Chu Chulai</w:t>
      </w:r>
      <w:r w:rsidR="00393584">
        <w:t xml:space="preserve">nn, for example, the verse </w:t>
      </w:r>
      <w:r w:rsidR="002C0740">
        <w:t>stated</w:t>
      </w:r>
      <w:r>
        <w:t xml:space="preserve"> how he </w:t>
      </w:r>
      <w:r w:rsidR="00FD191D">
        <w:t>finished off a dish of eggs royale before defeating the king’s army. Other verses were more humdrum. The aim was to give a richer picture of how heroism was received by the rural poor, combining quotidian activity with great names. Hacks was also instructed to write a ‘Moritat’ (a street ballad, a term</w:t>
      </w:r>
      <w:r w:rsidR="00393584">
        <w:t xml:space="preserve"> closely</w:t>
      </w:r>
      <w:r w:rsidR="00FD191D">
        <w:t xml:space="preserve"> associated with the ‘Ballad of Mack the Knife’ from </w:t>
      </w:r>
      <w:r w:rsidR="00FD191D">
        <w:rPr>
          <w:i/>
        </w:rPr>
        <w:t>The Threepenny Opera</w:t>
      </w:r>
      <w:r w:rsidR="00FD191D">
        <w:t xml:space="preserve">). Here it would seem that Brecht wanted the song to play its </w:t>
      </w:r>
      <w:r w:rsidR="00D71997">
        <w:t>more customary</w:t>
      </w:r>
      <w:r w:rsidR="00FD191D">
        <w:t xml:space="preserve"> role in epic theatre, but again, this was not the case. The Moritat told </w:t>
      </w:r>
      <w:r w:rsidR="00F754B0">
        <w:t>Christy</w:t>
      </w:r>
      <w:r w:rsidR="00FD191D">
        <w:t>’s story, from the crime to the criminal’s prospective demise. Yet again, one finds a sincerity in the song: ‘the tone of the Moritat has to be tragic; fashioned to honour the hero, concluding with his death’</w:t>
      </w:r>
      <w:r w:rsidR="00F06FEF">
        <w:t xml:space="preserve"> [see fig. 2]</w:t>
      </w:r>
      <w:r w:rsidR="00FD191D">
        <w:t>.</w:t>
      </w:r>
      <w:r w:rsidR="00FD191D">
        <w:rPr>
          <w:rStyle w:val="FootnoteReference"/>
        </w:rPr>
        <w:footnoteReference w:id="48"/>
      </w:r>
      <w:r w:rsidR="00FD191D">
        <w:t xml:space="preserve"> </w:t>
      </w:r>
      <w:r w:rsidR="0047423A">
        <w:t>O</w:t>
      </w:r>
      <w:r w:rsidR="000E5225">
        <w:t xml:space="preserve">ne reviewer noted how seamlessly the songs had been </w:t>
      </w:r>
      <w:r w:rsidR="00D71997">
        <w:t xml:space="preserve">integrated </w:t>
      </w:r>
      <w:r w:rsidR="000E5225">
        <w:t>in</w:t>
      </w:r>
      <w:r w:rsidR="0047423A">
        <w:t>to</w:t>
      </w:r>
      <w:r w:rsidR="000E5225">
        <w:t xml:space="preserve"> the fabric of the show</w:t>
      </w:r>
      <w:r w:rsidR="00FD191D">
        <w:t>.</w:t>
      </w:r>
      <w:r w:rsidR="000E5225">
        <w:rPr>
          <w:rStyle w:val="FootnoteReference"/>
        </w:rPr>
        <w:footnoteReference w:id="49"/>
      </w:r>
      <w:r w:rsidR="00FD191D">
        <w:t xml:space="preserve"> </w:t>
      </w:r>
      <w:r w:rsidR="002C0740">
        <w:t>Such an approach to the songs</w:t>
      </w:r>
      <w:r w:rsidR="00BE5E19">
        <w:t xml:space="preserve"> shows just how flexible Brecht’s aesthetic demands could be and </w:t>
      </w:r>
      <w:r w:rsidR="0047423A">
        <w:t xml:space="preserve">just </w:t>
      </w:r>
      <w:r w:rsidR="00BE5E19">
        <w:t xml:space="preserve">how </w:t>
      </w:r>
      <w:r w:rsidR="0047423A">
        <w:t xml:space="preserve">much </w:t>
      </w:r>
      <w:r w:rsidR="00BE5E19">
        <w:t xml:space="preserve">they depended on the context of the production. </w:t>
      </w:r>
      <w:r w:rsidR="0047423A">
        <w:t>Here, the songs served a thematic rather than a formal end</w:t>
      </w:r>
      <w:r w:rsidR="00BE5E19">
        <w:t>: the</w:t>
      </w:r>
      <w:r w:rsidR="00B90F58">
        <w:t>y gestured to the dialectical</w:t>
      </w:r>
      <w:r w:rsidR="00BE5E19">
        <w:t xml:space="preserve"> construction of the hero figure among the poor.</w:t>
      </w:r>
    </w:p>
    <w:p w14:paraId="5C4C6B8A" w14:textId="77777777" w:rsidR="00D37AF3" w:rsidRDefault="00BE5E19" w:rsidP="00DD4EB3">
      <w:r>
        <w:tab/>
        <w:t>Brecht’s hopes for the resonance of this central theme were astonishingly high.</w:t>
      </w:r>
      <w:r w:rsidR="004F409D">
        <w:t xml:space="preserve"> He </w:t>
      </w:r>
      <w:r w:rsidR="006F297F">
        <w:t>wanted</w:t>
      </w:r>
      <w:r w:rsidR="004F409D">
        <w:t xml:space="preserve"> to demonstrate a mechanism</w:t>
      </w:r>
      <w:r w:rsidR="005D117B">
        <w:t xml:space="preserve"> that</w:t>
      </w:r>
      <w:r w:rsidR="005F25D0">
        <w:t xml:space="preserve"> </w:t>
      </w:r>
      <w:r w:rsidR="006F297F">
        <w:t>generalized</w:t>
      </w:r>
      <w:r w:rsidR="00541A39">
        <w:t xml:space="preserve"> the rise and fall of</w:t>
      </w:r>
      <w:r w:rsidR="005F25D0">
        <w:t xml:space="preserve"> the questionable </w:t>
      </w:r>
      <w:r w:rsidR="00F754B0">
        <w:t>Christy</w:t>
      </w:r>
      <w:r w:rsidR="005D117B">
        <w:t xml:space="preserve"> </w:t>
      </w:r>
      <w:r w:rsidR="006F297F">
        <w:t xml:space="preserve">and </w:t>
      </w:r>
      <w:r w:rsidR="005D117B">
        <w:t>could be applied far beyond the Mayo coast</w:t>
      </w:r>
      <w:r w:rsidR="005F25D0">
        <w:t xml:space="preserve">. The new translation of the play’s title formed an element in this strategy and the production’s programme made clear a connection between </w:t>
      </w:r>
      <w:r w:rsidR="00F754B0">
        <w:t>Christy</w:t>
      </w:r>
      <w:r w:rsidR="005F25D0">
        <w:t>’s fate and that of no other than Hitler</w:t>
      </w:r>
      <w:r w:rsidR="00427CA6">
        <w:t>,</w:t>
      </w:r>
      <w:r w:rsidR="005F25D0">
        <w:t xml:space="preserve"> as well as the gangsters of the popular imagination. </w:t>
      </w:r>
      <w:r w:rsidR="006F297F">
        <w:t xml:space="preserve">In short, it wanted to show how heroes were made and how the hero himself could be most undeserving of the title. </w:t>
      </w:r>
      <w:r w:rsidR="005F25D0">
        <w:t xml:space="preserve">The Berliner Ensemble had </w:t>
      </w:r>
      <w:r w:rsidR="00A438CF">
        <w:t>special curtains made for the end of the final act that featured comic-book superheroes to emphasize the point. The ambition of such an intention was not realized</w:t>
      </w:r>
      <w:r w:rsidR="006F297F">
        <w:t>,</w:t>
      </w:r>
      <w:r w:rsidR="00A438CF">
        <w:t xml:space="preserve"> and several newspaper reviews</w:t>
      </w:r>
      <w:r w:rsidR="004C05DF">
        <w:t xml:space="preserve"> from both Germanys</w:t>
      </w:r>
      <w:r w:rsidR="00A438CF">
        <w:t xml:space="preserve"> </w:t>
      </w:r>
      <w:r w:rsidR="00427CA6">
        <w:t>rejected it out of hand</w:t>
      </w:r>
      <w:r w:rsidR="00A438CF">
        <w:t>.</w:t>
      </w:r>
      <w:r w:rsidR="00A438CF">
        <w:rPr>
          <w:rStyle w:val="FootnoteReference"/>
        </w:rPr>
        <w:footnoteReference w:id="50"/>
      </w:r>
      <w:r w:rsidR="000E5225">
        <w:t xml:space="preserve"> However, they did not make </w:t>
      </w:r>
      <w:r w:rsidR="006F297F">
        <w:t xml:space="preserve">Eric Bentley’s </w:t>
      </w:r>
      <w:r w:rsidR="000E5225">
        <w:t>mistake</w:t>
      </w:r>
      <w:r w:rsidR="006F297F">
        <w:t>: he</w:t>
      </w:r>
      <w:r w:rsidR="000E5225">
        <w:t xml:space="preserve"> reproached Brecht directly for ‘a ridiculous interpretation of the playboy himself as a would-be Hitler’.</w:t>
      </w:r>
      <w:r w:rsidR="000E5225">
        <w:rPr>
          <w:rStyle w:val="FootnoteReference"/>
        </w:rPr>
        <w:footnoteReference w:id="51"/>
      </w:r>
      <w:r w:rsidR="000E5225">
        <w:t xml:space="preserve"> This is a peculiar interpretation, as the production was far more concerned with </w:t>
      </w:r>
      <w:r w:rsidR="00A359CE">
        <w:t>a series of processes that were to attain a metaphorical significance rather than a</w:t>
      </w:r>
      <w:r w:rsidR="006F297F">
        <w:t>n allegorical reading of Christy</w:t>
      </w:r>
      <w:r w:rsidR="00A359CE">
        <w:t>.</w:t>
      </w:r>
      <w:r w:rsidR="00814360">
        <w:t xml:space="preserve"> As</w:t>
      </w:r>
      <w:r w:rsidR="006F297F">
        <w:t xml:space="preserve"> one note makes plain: ‘C[hristy</w:t>
      </w:r>
      <w:r w:rsidR="00814360">
        <w:t xml:space="preserve">]’s first great </w:t>
      </w:r>
      <w:r w:rsidR="006F297F">
        <w:t xml:space="preserve">account </w:t>
      </w:r>
      <w:r w:rsidR="00814360">
        <w:t xml:space="preserve">of his deed </w:t>
      </w:r>
      <w:r w:rsidR="006F297F">
        <w:t>mustn’t</w:t>
      </w:r>
      <w:r w:rsidR="00814360">
        <w:t xml:space="preserve"> be too theatrical. Here he’s telling the naked truth. The effects of the naked truth are theatrical’.</w:t>
      </w:r>
      <w:r w:rsidR="00814360">
        <w:rPr>
          <w:rStyle w:val="FootnoteReference"/>
        </w:rPr>
        <w:footnoteReference w:id="52"/>
      </w:r>
      <w:r w:rsidR="00C92274">
        <w:t xml:space="preserve"> </w:t>
      </w:r>
      <w:r w:rsidR="006F297F">
        <w:t xml:space="preserve">For the </w:t>
      </w:r>
      <w:r w:rsidR="00541A39">
        <w:t>duration of the production</w:t>
      </w:r>
      <w:r w:rsidR="006F297F">
        <w:t xml:space="preserve">, </w:t>
      </w:r>
      <w:r w:rsidR="00541A39">
        <w:t>Christy</w:t>
      </w:r>
      <w:r w:rsidR="006F297F">
        <w:t xml:space="preserve"> struggled to make sense of the effects his words had on his audience. </w:t>
      </w:r>
    </w:p>
    <w:p w14:paraId="7AC67102" w14:textId="77777777" w:rsidR="00BE5E19" w:rsidRDefault="00C92274" w:rsidP="00D37AF3">
      <w:pPr>
        <w:ind w:firstLine="720"/>
      </w:pPr>
      <w:r>
        <w:t xml:space="preserve">By the play’s </w:t>
      </w:r>
      <w:r w:rsidR="006F297F">
        <w:t>conclusion</w:t>
      </w:r>
      <w:r>
        <w:t xml:space="preserve">, the directors decided not to </w:t>
      </w:r>
      <w:r w:rsidR="00214036">
        <w:t xml:space="preserve">go down a romanticized route in which </w:t>
      </w:r>
      <w:r w:rsidR="00F754B0">
        <w:t>Christy</w:t>
      </w:r>
      <w:r w:rsidR="00214036">
        <w:t xml:space="preserve"> was revealed as a genuine impostor, off to sing his own song on the road</w:t>
      </w:r>
      <w:r w:rsidR="006F297F">
        <w:t>s</w:t>
      </w:r>
      <w:r w:rsidR="00214036">
        <w:t xml:space="preserve"> of rural Ireland. Instead, they decided on a rest</w:t>
      </w:r>
      <w:r w:rsidR="00541A39">
        <w:t>o</w:t>
      </w:r>
      <w:r w:rsidR="00214036">
        <w:t xml:space="preserve">ration of the family unit </w:t>
      </w:r>
      <w:r w:rsidR="006F297F">
        <w:t>as</w:t>
      </w:r>
      <w:r w:rsidR="00214036">
        <w:t xml:space="preserve"> the ‘twice-murdered father brings the dilettante murderer back to the fold’ so that the pair </w:t>
      </w:r>
      <w:r w:rsidR="00541A39">
        <w:t>could</w:t>
      </w:r>
      <w:r w:rsidR="00214036">
        <w:t xml:space="preserve"> live off the legend </w:t>
      </w:r>
      <w:r w:rsidR="006F297F">
        <w:t>in perpetuity</w:t>
      </w:r>
      <w:r w:rsidR="00214036">
        <w:t>.</w:t>
      </w:r>
      <w:r w:rsidR="00214036">
        <w:rPr>
          <w:rStyle w:val="FootnoteReference"/>
        </w:rPr>
        <w:footnoteReference w:id="53"/>
      </w:r>
      <w:r w:rsidR="00FD78C5">
        <w:t xml:space="preserve"> The change of emphasis </w:t>
      </w:r>
      <w:r w:rsidR="00541A39">
        <w:t>continued to draw on</w:t>
      </w:r>
      <w:r w:rsidR="00FD78C5">
        <w:t xml:space="preserve"> the </w:t>
      </w:r>
      <w:r w:rsidR="00541A39">
        <w:t>materialist basis for the production: the father capitalized</w:t>
      </w:r>
      <w:r w:rsidR="00FD78C5">
        <w:t xml:space="preserve"> on the accidental fame of th</w:t>
      </w:r>
      <w:r w:rsidR="006F297F">
        <w:t>e son</w:t>
      </w:r>
      <w:r w:rsidR="00595651">
        <w:t>,</w:t>
      </w:r>
      <w:r w:rsidR="006F297F">
        <w:t xml:space="preserve"> and the two, once opposed to each other</w:t>
      </w:r>
      <w:r w:rsidR="00FD78C5">
        <w:t xml:space="preserve">, were dialectically reconciled by their </w:t>
      </w:r>
      <w:r w:rsidR="006F297F">
        <w:t>mutual</w:t>
      </w:r>
      <w:r w:rsidR="00FD78C5">
        <w:t xml:space="preserve"> self-interest.</w:t>
      </w:r>
    </w:p>
    <w:p w14:paraId="29EA5ECD" w14:textId="77777777" w:rsidR="00A13D5E" w:rsidRDefault="00A13D5E" w:rsidP="00DD4EB3"/>
    <w:p w14:paraId="1F43A8BB" w14:textId="77777777" w:rsidR="00A13D5E" w:rsidRDefault="00A13D5E" w:rsidP="00DD4EB3"/>
    <w:p w14:paraId="01ACC1A3" w14:textId="77777777" w:rsidR="00A13D5E" w:rsidRPr="00FD191D" w:rsidRDefault="00A13D5E" w:rsidP="00DD4EB3">
      <w:r>
        <w:t>Concluding Remarks</w:t>
      </w:r>
    </w:p>
    <w:p w14:paraId="5B8D4A6D" w14:textId="77777777" w:rsidR="00953D79" w:rsidRDefault="00953D79" w:rsidP="00DD4EB3"/>
    <w:p w14:paraId="566D2AFD" w14:textId="77777777" w:rsidR="00D663AF" w:rsidRDefault="00A13D5E" w:rsidP="00DD4EB3">
      <w:r>
        <w:t xml:space="preserve">The Berliner Ensemble’s production managed to tear </w:t>
      </w:r>
      <w:r>
        <w:rPr>
          <w:i/>
        </w:rPr>
        <w:t>The Playboy of the Western World</w:t>
      </w:r>
      <w:r>
        <w:t xml:space="preserve"> away from a folkloric, sentimental interpretation without sacrificing the specificities of the local environment or the strength of feeling that runs through the text. It was able to achieve this by taking Brecht’s notion of the realistic and applying it to the dramatic material. Newspaper reviewers </w:t>
      </w:r>
      <w:r w:rsidR="004C05DF">
        <w:t>across the board</w:t>
      </w:r>
      <w:r>
        <w:t xml:space="preserve"> were generou</w:t>
      </w:r>
      <w:r w:rsidR="00C54114">
        <w:t>s in their praise for both leading actors</w:t>
      </w:r>
      <w:r w:rsidR="004C05DF">
        <w:t>. They admired how each detail was brought out ‘with well-honed diligence’ and the way in which the humour was not used to denounce the characters ‘by way of bitterness or grotesquery’.</w:t>
      </w:r>
      <w:r w:rsidR="004C05DF">
        <w:rPr>
          <w:rStyle w:val="FootnoteReference"/>
        </w:rPr>
        <w:footnoteReference w:id="54"/>
      </w:r>
      <w:r w:rsidR="00C73061">
        <w:t xml:space="preserve"> The Brechtian promise of an attention to the ebb and flow of the </w:t>
      </w:r>
      <w:r w:rsidR="00C73061" w:rsidRPr="00D37AF3">
        <w:rPr>
          <w:i/>
        </w:rPr>
        <w:t>action</w:t>
      </w:r>
      <w:r w:rsidR="00C73061">
        <w:t>, and its positioning in the realistic context of the play itself showed how dialectics could be applied to a modern classic and change the terms of its reception. The characters were no longer essentialist representations of the Irish poor</w:t>
      </w:r>
      <w:r w:rsidR="00C54114">
        <w:t>,</w:t>
      </w:r>
      <w:r w:rsidR="00C73061">
        <w:t xml:space="preserve"> but contingent figures responding to a series of surprising events in ways that were </w:t>
      </w:r>
      <w:r w:rsidR="00C54114">
        <w:t>related to</w:t>
      </w:r>
      <w:r w:rsidR="00C73061">
        <w:t xml:space="preserve"> their </w:t>
      </w:r>
      <w:r w:rsidR="00C54114">
        <w:t>material conditions</w:t>
      </w:r>
      <w:r w:rsidR="00C73061">
        <w:t xml:space="preserve">. The fluidity of the performances proposed that these were figures </w:t>
      </w:r>
      <w:r w:rsidR="00C54114">
        <w:t>responsive to change</w:t>
      </w:r>
      <w:r w:rsidR="00C73061">
        <w:t xml:space="preserve">, never settling into fixed characteristics or being held back by notions of innate psychological traits. The </w:t>
      </w:r>
      <w:r w:rsidR="00C54114">
        <w:t>ongoing</w:t>
      </w:r>
      <w:r w:rsidR="00C73061">
        <w:t xml:space="preserve"> development of the ‘hero’ and his reactions to his new-found fame became the focus, not the peculiarities of a certain notion of Irishness. While the link between one form of her</w:t>
      </w:r>
      <w:r w:rsidR="00D663AF">
        <w:t>o worship and more grandiose ones failed to emerge (not a single review registers the successful connection), the careful unfolding of the story did.</w:t>
      </w:r>
    </w:p>
    <w:p w14:paraId="35171243" w14:textId="34C0C8AD" w:rsidR="00C73061" w:rsidRPr="00A13D5E" w:rsidRDefault="00C73061" w:rsidP="00DD4EB3">
      <w:r>
        <w:tab/>
      </w:r>
      <w:r w:rsidR="00D663AF">
        <w:t>The production</w:t>
      </w:r>
      <w:r w:rsidR="003E0B83">
        <w:t xml:space="preserve">’s </w:t>
      </w:r>
      <w:r w:rsidR="00295451">
        <w:t xml:space="preserve">significance </w:t>
      </w:r>
      <w:r w:rsidR="00D663AF">
        <w:t xml:space="preserve">today </w:t>
      </w:r>
      <w:r w:rsidR="00A34962">
        <w:t>can be understood in three main ways</w:t>
      </w:r>
      <w:r w:rsidR="00D663AF">
        <w:t xml:space="preserve">. </w:t>
      </w:r>
      <w:r w:rsidR="00A34962">
        <w:t>First</w:t>
      </w:r>
      <w:r w:rsidR="00D663AF">
        <w:t>, it liberated itself from a patronizing and fetishizing treatment of the play</w:t>
      </w:r>
      <w:r w:rsidR="008009B9">
        <w:t>, its setting and its characters</w:t>
      </w:r>
      <w:r w:rsidR="00D663AF">
        <w:t xml:space="preserve">. The directors’ interest in the </w:t>
      </w:r>
      <w:r w:rsidR="003E0B83">
        <w:t xml:space="preserve">material </w:t>
      </w:r>
      <w:r w:rsidR="00D663AF">
        <w:t xml:space="preserve">mechanisms at the heart of the piece were set out clearly to the audience. </w:t>
      </w:r>
      <w:r w:rsidR="00A34962">
        <w:t>Second</w:t>
      </w:r>
      <w:r w:rsidR="00D663AF">
        <w:t xml:space="preserve">, the approach to staging classics texts reveals itself as a productive way of opening up formerly closed readings. The role of dialectics as the motor of the action, </w:t>
      </w:r>
      <w:r w:rsidR="00A34962">
        <w:t>articulating</w:t>
      </w:r>
      <w:r w:rsidR="00D663AF">
        <w:t xml:space="preserve"> contradictory material and dramatizing opposi</w:t>
      </w:r>
      <w:r w:rsidR="003E0B83">
        <w:t>ng</w:t>
      </w:r>
      <w:r w:rsidR="00D663AF">
        <w:t xml:space="preserve"> positions, had the effect of focusing the gaze on the interaction between </w:t>
      </w:r>
      <w:r w:rsidR="008009B9">
        <w:t xml:space="preserve">environment, </w:t>
      </w:r>
      <w:r w:rsidR="00D663AF">
        <w:t>action and</w:t>
      </w:r>
      <w:r w:rsidR="008009B9">
        <w:t xml:space="preserve"> character</w:t>
      </w:r>
      <w:r w:rsidR="00D663AF">
        <w:t xml:space="preserve">. </w:t>
      </w:r>
      <w:r w:rsidR="00A34962">
        <w:t xml:space="preserve">Third, </w:t>
      </w:r>
      <w:r w:rsidR="00D663AF">
        <w:t>Brecht’s theatre is often associated with certain fixed ideas about how to perform, such as conscious</w:t>
      </w:r>
      <w:r w:rsidR="008259E0">
        <w:t>ly</w:t>
      </w:r>
      <w:r w:rsidR="00D663AF">
        <w:t xml:space="preserve"> distancing </w:t>
      </w:r>
      <w:r w:rsidR="008259E0">
        <w:t>the</w:t>
      </w:r>
      <w:r w:rsidR="00D663AF">
        <w:t xml:space="preserve"> actor </w:t>
      </w:r>
      <w:r w:rsidR="008259E0">
        <w:t>from the</w:t>
      </w:r>
      <w:r w:rsidR="00D663AF">
        <w:t xml:space="preserve"> character, direct address</w:t>
      </w:r>
      <w:r w:rsidR="00C55979">
        <w:t xml:space="preserve"> to the audience</w:t>
      </w:r>
      <w:r w:rsidR="00D663AF">
        <w:t xml:space="preserve"> as a form of anti-illusionism, or the necessity of breaking frame through song. Yet none of these features figured in this production, </w:t>
      </w:r>
      <w:r w:rsidR="003E0B83">
        <w:t>whereas</w:t>
      </w:r>
      <w:r w:rsidR="00A34962">
        <w:t xml:space="preserve"> the presence of dialectical interpretation was still clear and present</w:t>
      </w:r>
      <w:r w:rsidR="00D663AF">
        <w:t xml:space="preserve">. This is perhaps the most telling quality of the </w:t>
      </w:r>
      <w:r w:rsidR="00A34962">
        <w:t>production</w:t>
      </w:r>
      <w:r w:rsidR="00D663AF">
        <w:t xml:space="preserve">: Brecht’s theatre does not live from its own hypostatized performance features, but from a philosophical approach to the material itself that then </w:t>
      </w:r>
      <w:r w:rsidR="00C54114">
        <w:t>generates</w:t>
      </w:r>
      <w:r w:rsidR="00D663AF">
        <w:t xml:space="preserve"> suitable modes of performance. It is </w:t>
      </w:r>
      <w:r w:rsidR="005A6D81">
        <w:t xml:space="preserve">the </w:t>
      </w:r>
      <w:r w:rsidR="00D663AF">
        <w:t xml:space="preserve">task of the production </w:t>
      </w:r>
      <w:r w:rsidR="00A34962">
        <w:t xml:space="preserve">team, </w:t>
      </w:r>
      <w:r w:rsidR="005A6D81">
        <w:t xml:space="preserve">the direction and </w:t>
      </w:r>
      <w:r w:rsidR="00A34962">
        <w:t>the cast</w:t>
      </w:r>
      <w:r w:rsidR="00D663AF">
        <w:t xml:space="preserve"> to determine the suitability of the theatrical means.</w:t>
      </w:r>
      <w:r w:rsidR="008259E0">
        <w:t xml:space="preserve"> Taken together, the three features</w:t>
      </w:r>
      <w:r w:rsidR="003E0B83">
        <w:t xml:space="preserve"> gesture to the continued productivity of the Brechtian method</w:t>
      </w:r>
      <w:r w:rsidR="00BA0710">
        <w:t>: it can provoke lively and challenging productions of familiar plays without resorting to fanciful readings or frivolous directorial impositions.</w:t>
      </w:r>
    </w:p>
    <w:p w14:paraId="512472D3" w14:textId="77777777" w:rsidR="00953D79" w:rsidRDefault="00953D79" w:rsidP="00DD4EB3"/>
    <w:p w14:paraId="7E55E45C" w14:textId="77777777" w:rsidR="00953D79" w:rsidRDefault="00953D79" w:rsidP="00DD4EB3"/>
    <w:p w14:paraId="4026AA36" w14:textId="77777777" w:rsidR="00873A4E" w:rsidRPr="000F79C8" w:rsidRDefault="00873A4E" w:rsidP="00DD4EB3"/>
    <w:sectPr w:rsidR="00873A4E" w:rsidRPr="000F79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EE9ED" w14:textId="77777777" w:rsidR="008C2D8A" w:rsidRDefault="008C2D8A" w:rsidP="00A4215E">
      <w:pPr>
        <w:spacing w:after="0"/>
      </w:pPr>
      <w:r>
        <w:separator/>
      </w:r>
    </w:p>
  </w:endnote>
  <w:endnote w:type="continuationSeparator" w:id="0">
    <w:p w14:paraId="380ED9C4" w14:textId="77777777" w:rsidR="008C2D8A" w:rsidRDefault="008C2D8A" w:rsidP="00A421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A4F2" w14:textId="77777777" w:rsidR="008C2D8A" w:rsidRDefault="008C2D8A" w:rsidP="00A4215E">
      <w:pPr>
        <w:spacing w:after="0"/>
      </w:pPr>
      <w:r>
        <w:separator/>
      </w:r>
    </w:p>
  </w:footnote>
  <w:footnote w:type="continuationSeparator" w:id="0">
    <w:p w14:paraId="723BD808" w14:textId="77777777" w:rsidR="008C2D8A" w:rsidRDefault="008C2D8A" w:rsidP="00A4215E">
      <w:pPr>
        <w:spacing w:after="0"/>
      </w:pPr>
      <w:r>
        <w:continuationSeparator/>
      </w:r>
    </w:p>
  </w:footnote>
  <w:footnote w:id="1">
    <w:p w14:paraId="583B77B3" w14:textId="77777777" w:rsidR="00DF0759" w:rsidRPr="00A4215E" w:rsidRDefault="00DF0759">
      <w:pPr>
        <w:pStyle w:val="FootnoteText"/>
      </w:pPr>
      <w:r>
        <w:rPr>
          <w:rStyle w:val="FootnoteReference"/>
        </w:rPr>
        <w:footnoteRef/>
      </w:r>
      <w:r>
        <w:t xml:space="preserve"> John Millington Synge, </w:t>
      </w:r>
      <w:r>
        <w:rPr>
          <w:i/>
        </w:rPr>
        <w:t>The Playboy of the Western World</w:t>
      </w:r>
      <w:r>
        <w:t xml:space="preserve">, in Synge, </w:t>
      </w:r>
      <w:r>
        <w:rPr>
          <w:i/>
        </w:rPr>
        <w:t>The Playboy of the Western World &amp; Riders to the Sea</w:t>
      </w:r>
      <w:r>
        <w:t xml:space="preserve"> (London: Unwin, 1979), pp. 9-77 (77).</w:t>
      </w:r>
    </w:p>
  </w:footnote>
  <w:footnote w:id="2">
    <w:p w14:paraId="7C6BE35E" w14:textId="77777777" w:rsidR="00DF0759" w:rsidRPr="00A4215E" w:rsidRDefault="00DF0759">
      <w:pPr>
        <w:pStyle w:val="FootnoteText"/>
      </w:pPr>
      <w:r>
        <w:rPr>
          <w:rStyle w:val="FootnoteReference"/>
        </w:rPr>
        <w:footnoteRef/>
      </w:r>
      <w:r>
        <w:t xml:space="preserve"> Christopher Murray, </w:t>
      </w:r>
      <w:r>
        <w:rPr>
          <w:i/>
        </w:rPr>
        <w:t>Twentieth-Century Irish Drama: Mirror Up To Nation</w:t>
      </w:r>
      <w:r>
        <w:t xml:space="preserve"> (Manchester: MUP, 1997), p. 80.</w:t>
      </w:r>
    </w:p>
  </w:footnote>
  <w:footnote w:id="3">
    <w:p w14:paraId="51FE8914" w14:textId="77777777" w:rsidR="00DF0759" w:rsidRPr="00A4215E" w:rsidRDefault="00DF0759">
      <w:pPr>
        <w:pStyle w:val="FootnoteText"/>
      </w:pPr>
      <w:r>
        <w:rPr>
          <w:rStyle w:val="FootnoteReference"/>
        </w:rPr>
        <w:footnoteRef/>
      </w:r>
      <w:r>
        <w:t xml:space="preserve"> Synge to Anon, 19 February 1907, in Synge, </w:t>
      </w:r>
      <w:r>
        <w:rPr>
          <w:i/>
        </w:rPr>
        <w:t>The Playboy</w:t>
      </w:r>
      <w:r>
        <w:t>, pp. 12-13 (13).</w:t>
      </w:r>
    </w:p>
  </w:footnote>
  <w:footnote w:id="4">
    <w:p w14:paraId="2CDDAEE4" w14:textId="77777777" w:rsidR="00DF0759" w:rsidRPr="003F4DAA" w:rsidRDefault="00DF0759">
      <w:pPr>
        <w:pStyle w:val="FootnoteText"/>
      </w:pPr>
      <w:r>
        <w:rPr>
          <w:rStyle w:val="FootnoteReference"/>
        </w:rPr>
        <w:footnoteRef/>
      </w:r>
      <w:r>
        <w:t xml:space="preserve"> Ophelia Byrne, ‘Belfast Said “No” to </w:t>
      </w:r>
      <w:r>
        <w:rPr>
          <w:i/>
        </w:rPr>
        <w:t>The Playboy</w:t>
      </w:r>
      <w:r>
        <w:t xml:space="preserve">, in Adrian Frazier (ed.), </w:t>
      </w:r>
      <w:r>
        <w:rPr>
          <w:i/>
        </w:rPr>
        <w:t xml:space="preserve">Playboys of the Western World: Production Histories </w:t>
      </w:r>
      <w:r>
        <w:t>(Dublin: Carysfort Press, 2004), pp. 29-45 (30).</w:t>
      </w:r>
    </w:p>
  </w:footnote>
  <w:footnote w:id="5">
    <w:p w14:paraId="4F8B2683" w14:textId="77777777" w:rsidR="00DF0759" w:rsidRPr="003F4DAA" w:rsidRDefault="00DF0759">
      <w:pPr>
        <w:pStyle w:val="FootnoteText"/>
        <w:rPr>
          <w:i/>
        </w:rPr>
      </w:pPr>
      <w:r>
        <w:rPr>
          <w:rStyle w:val="FootnoteReference"/>
        </w:rPr>
        <w:footnoteRef/>
      </w:r>
      <w:r>
        <w:t xml:space="preserve"> John Harrington, ‘The Playboy IN the Western World: J.M.  Synge’s Play in America’, in ibid., pp. 47-58 (51 and 56).</w:t>
      </w:r>
    </w:p>
  </w:footnote>
  <w:footnote w:id="6">
    <w:p w14:paraId="28514695" w14:textId="77777777" w:rsidR="00DF0759" w:rsidRDefault="00DF0759">
      <w:pPr>
        <w:pStyle w:val="FootnoteText"/>
      </w:pPr>
      <w:r>
        <w:rPr>
          <w:rStyle w:val="FootnoteReference"/>
        </w:rPr>
        <w:footnoteRef/>
      </w:r>
      <w:r>
        <w:t xml:space="preserve"> Dieter Fuchs, ‘“That is No Country for Young Men”: The Reception of Synge’s and O’Casey’s Plays in Vienna from 1914 to 1969’, in </w:t>
      </w:r>
      <w:r w:rsidRPr="001851BF">
        <w:t>Rudolf Weiss, L</w:t>
      </w:r>
      <w:r>
        <w:t>udwig Schnauder and Dieter Fuch</w:t>
      </w:r>
      <w:r w:rsidRPr="001851BF">
        <w:t xml:space="preserve">s (eds.), </w:t>
      </w:r>
      <w:r w:rsidRPr="001851BF">
        <w:rPr>
          <w:i/>
        </w:rPr>
        <w:t>Anglo-German Theatrical Exchange: ‘A Sea-Change into Something Rich and Strange?’</w:t>
      </w:r>
      <w:r w:rsidRPr="001851BF">
        <w:t xml:space="preserve"> (Leiden: Koninklijke Brill, 2015)</w:t>
      </w:r>
      <w:r>
        <w:t>, pp. 87-128 (122).</w:t>
      </w:r>
    </w:p>
  </w:footnote>
  <w:footnote w:id="7">
    <w:p w14:paraId="510D978C" w14:textId="77777777" w:rsidR="00DF0759" w:rsidRPr="00592F3C" w:rsidRDefault="00DF0759">
      <w:pPr>
        <w:pStyle w:val="FootnoteText"/>
      </w:pPr>
      <w:r>
        <w:rPr>
          <w:rStyle w:val="FootnoteReference"/>
        </w:rPr>
        <w:footnoteRef/>
      </w:r>
      <w:r>
        <w:t xml:space="preserve"> Heidi J. Holder, ‘Between Fiction and Reality: Synge’s </w:t>
      </w:r>
      <w:r>
        <w:rPr>
          <w:i/>
        </w:rPr>
        <w:t>Playboy</w:t>
      </w:r>
      <w:r>
        <w:t xml:space="preserve"> and its Audience’, </w:t>
      </w:r>
      <w:r>
        <w:rPr>
          <w:i/>
        </w:rPr>
        <w:t>Journal of Modern Literature</w:t>
      </w:r>
      <w:r>
        <w:t>, 14: 4 (1988), pp. 527-42 (532).</w:t>
      </w:r>
    </w:p>
  </w:footnote>
  <w:footnote w:id="8">
    <w:p w14:paraId="147E0F08" w14:textId="0D8DFC29" w:rsidR="0047382B" w:rsidRPr="0047382B" w:rsidRDefault="0047382B">
      <w:pPr>
        <w:pStyle w:val="FootnoteText"/>
      </w:pPr>
      <w:r>
        <w:rPr>
          <w:rStyle w:val="FootnoteReference"/>
        </w:rPr>
        <w:footnoteRef/>
      </w:r>
      <w:r>
        <w:t xml:space="preserve"> Lionel Pilkington, </w:t>
      </w:r>
      <w:r>
        <w:rPr>
          <w:i/>
        </w:rPr>
        <w:t>Theatre &amp; Ireland</w:t>
      </w:r>
      <w:r>
        <w:t xml:space="preserve"> (Bas</w:t>
      </w:r>
      <w:r w:rsidR="00F2229D">
        <w:t>ingstoke: Palgrave, 2010), p. 55</w:t>
      </w:r>
      <w:r>
        <w:t>.</w:t>
      </w:r>
    </w:p>
  </w:footnote>
  <w:footnote w:id="9">
    <w:p w14:paraId="117BB266" w14:textId="77777777" w:rsidR="00DF0759" w:rsidRPr="00181FA0" w:rsidRDefault="00DF0759" w:rsidP="00A43226">
      <w:pPr>
        <w:pStyle w:val="FootnoteText"/>
      </w:pPr>
      <w:r>
        <w:rPr>
          <w:rStyle w:val="FootnoteReference"/>
        </w:rPr>
        <w:footnoteRef/>
      </w:r>
      <w:r>
        <w:t xml:space="preserve"> See Nicholas Grene, ‘Two London Playboys: Before and After Druid’, in Frazier (ed.), </w:t>
      </w:r>
      <w:r>
        <w:rPr>
          <w:i/>
        </w:rPr>
        <w:t>Playboys</w:t>
      </w:r>
      <w:r>
        <w:t>, pp. 75-86 (85-6).</w:t>
      </w:r>
    </w:p>
  </w:footnote>
  <w:footnote w:id="10">
    <w:p w14:paraId="5177B30B" w14:textId="77777777" w:rsidR="00DF0759" w:rsidRPr="00145F18" w:rsidRDefault="00DF0759">
      <w:pPr>
        <w:pStyle w:val="FootnoteText"/>
      </w:pPr>
      <w:r>
        <w:rPr>
          <w:rStyle w:val="FootnoteReference"/>
        </w:rPr>
        <w:footnoteRef/>
      </w:r>
      <w:r>
        <w:t xml:space="preserve"> Gregory Castle, ‘Staging Ethnography: John M. Synge’s </w:t>
      </w:r>
      <w:r>
        <w:rPr>
          <w:i/>
        </w:rPr>
        <w:t xml:space="preserve">Playboy of the Western World </w:t>
      </w:r>
      <w:r>
        <w:t xml:space="preserve">and the Problem of Cultural Translation’, </w:t>
      </w:r>
      <w:r>
        <w:rPr>
          <w:i/>
        </w:rPr>
        <w:t>Theatre Journal</w:t>
      </w:r>
      <w:r>
        <w:t>, 49:3 (1997), pp. 265-86 (268).</w:t>
      </w:r>
    </w:p>
  </w:footnote>
  <w:footnote w:id="11">
    <w:p w14:paraId="366F7E92" w14:textId="2E2194C7" w:rsidR="00445EF8" w:rsidRPr="00445EF8" w:rsidRDefault="00445EF8">
      <w:pPr>
        <w:pStyle w:val="FootnoteText"/>
      </w:pPr>
      <w:r>
        <w:rPr>
          <w:rStyle w:val="FootnoteReference"/>
        </w:rPr>
        <w:footnoteRef/>
      </w:r>
      <w:r>
        <w:t xml:space="preserve"> As already noted, </w:t>
      </w:r>
      <w:r>
        <w:rPr>
          <w:i/>
        </w:rPr>
        <w:t>The Playboy</w:t>
      </w:r>
      <w:r>
        <w:t xml:space="preserve"> cannot be considered</w:t>
      </w:r>
      <w:r w:rsidR="00234FA1">
        <w:t xml:space="preserve"> unproblematically</w:t>
      </w:r>
      <w:r>
        <w:t xml:space="preserve"> ‘realist’ –  it is doing far more than that. It is more its overwhelmingly conservative production history that allies it with non-stylized performance.</w:t>
      </w:r>
    </w:p>
  </w:footnote>
  <w:footnote w:id="12">
    <w:p w14:paraId="781C8B7A" w14:textId="77777777" w:rsidR="00DF0759" w:rsidRPr="008479B2" w:rsidRDefault="00DF0759">
      <w:pPr>
        <w:pStyle w:val="FootnoteText"/>
      </w:pPr>
      <w:r>
        <w:rPr>
          <w:rStyle w:val="FootnoteReference"/>
        </w:rPr>
        <w:footnoteRef/>
      </w:r>
      <w:r>
        <w:t xml:space="preserve"> Jean Benedetti, </w:t>
      </w:r>
      <w:r>
        <w:rPr>
          <w:i/>
        </w:rPr>
        <w:t>Stanislavski: An Introduction</w:t>
      </w:r>
      <w:r>
        <w:t>, fourth, revised edition (London: Methuen, 2008), p. 17.</w:t>
      </w:r>
    </w:p>
  </w:footnote>
  <w:footnote w:id="13">
    <w:p w14:paraId="7A1FC965" w14:textId="77777777" w:rsidR="00DF0759" w:rsidRPr="00B41A81" w:rsidRDefault="00DF0759" w:rsidP="00B41A81">
      <w:pPr>
        <w:pStyle w:val="FootnoteText"/>
      </w:pPr>
      <w:r>
        <w:rPr>
          <w:rStyle w:val="FootnoteReference"/>
        </w:rPr>
        <w:footnoteRef/>
      </w:r>
      <w:r>
        <w:t xml:space="preserve"> Bertolt Brecht, </w:t>
      </w:r>
      <w:r>
        <w:rPr>
          <w:i/>
        </w:rPr>
        <w:t>Messingkauf</w:t>
      </w:r>
      <w:r>
        <w:t xml:space="preserve">, or </w:t>
      </w:r>
      <w:r>
        <w:rPr>
          <w:i/>
        </w:rPr>
        <w:t>Buying Brass</w:t>
      </w:r>
      <w:r>
        <w:t xml:space="preserve">, in Brecht, </w:t>
      </w:r>
      <w:r>
        <w:rPr>
          <w:i/>
        </w:rPr>
        <w:t>Brecht on Performance: Messingkauf and Modelbooks</w:t>
      </w:r>
      <w:r>
        <w:t>, ed. by Tom Kuhn, Steve Giles and Marc Silberman (London: Bloomsbury, 2014), pp. 11-125 (98).</w:t>
      </w:r>
    </w:p>
  </w:footnote>
  <w:footnote w:id="14">
    <w:p w14:paraId="307E0E1F" w14:textId="77777777" w:rsidR="00DF0759" w:rsidRPr="00E07EA6" w:rsidRDefault="00DF0759">
      <w:pPr>
        <w:pStyle w:val="FootnoteText"/>
      </w:pPr>
      <w:r>
        <w:rPr>
          <w:rStyle w:val="FootnoteReference"/>
        </w:rPr>
        <w:footnoteRef/>
      </w:r>
      <w:r>
        <w:t xml:space="preserve"> Brecht, entry for 26 November 1948, in Brecht, </w:t>
      </w:r>
      <w:r>
        <w:rPr>
          <w:i/>
        </w:rPr>
        <w:t>Journals 1934-1955</w:t>
      </w:r>
      <w:r>
        <w:t>, ed. by John Willett (London: Methuen, 1993), p. 404.</w:t>
      </w:r>
    </w:p>
  </w:footnote>
  <w:footnote w:id="15">
    <w:p w14:paraId="6EF07A6C" w14:textId="77777777" w:rsidR="00DF0759" w:rsidRDefault="00DF0759">
      <w:pPr>
        <w:pStyle w:val="FootnoteText"/>
      </w:pPr>
      <w:r>
        <w:rPr>
          <w:rStyle w:val="FootnoteReference"/>
        </w:rPr>
        <w:footnoteRef/>
      </w:r>
      <w:r>
        <w:t xml:space="preserve"> See Steve Giles, ‘</w:t>
      </w:r>
      <w:r w:rsidRPr="008876AB">
        <w:t xml:space="preserve">Realism after Modernism: Representation and Modernity in Brecht, Lukács and Adorno’, in Jerome Carroll, Steve Giles and Maike Oergel </w:t>
      </w:r>
      <w:r>
        <w:t xml:space="preserve">(eds.), </w:t>
      </w:r>
      <w:r w:rsidRPr="008876AB">
        <w:rPr>
          <w:i/>
        </w:rPr>
        <w:t>Aesthetics and Modernity from Schiller to the Frankfurt School</w:t>
      </w:r>
      <w:r>
        <w:t xml:space="preserve"> (</w:t>
      </w:r>
      <w:r w:rsidRPr="008876AB">
        <w:t>Oxford et al: Peter Lang</w:t>
      </w:r>
      <w:r>
        <w:t>, 2012)</w:t>
      </w:r>
      <w:r w:rsidRPr="008876AB">
        <w:t>, pp. 275-96</w:t>
      </w:r>
      <w:r>
        <w:t xml:space="preserve"> (277-82).</w:t>
      </w:r>
    </w:p>
  </w:footnote>
  <w:footnote w:id="16">
    <w:p w14:paraId="1A958629" w14:textId="77777777" w:rsidR="00DF0759" w:rsidRPr="00DD69D6" w:rsidRDefault="00DF0759">
      <w:pPr>
        <w:pStyle w:val="FootnoteText"/>
      </w:pPr>
      <w:r>
        <w:rPr>
          <w:rStyle w:val="FootnoteReference"/>
        </w:rPr>
        <w:footnoteRef/>
      </w:r>
      <w:r>
        <w:t xml:space="preserve"> See Fredric Jameson, </w:t>
      </w:r>
      <w:r>
        <w:rPr>
          <w:i/>
        </w:rPr>
        <w:t>Valences of the Dialectic</w:t>
      </w:r>
      <w:r>
        <w:t xml:space="preserve"> (London: Verso, 2009), pp. 13-14 for further explication and a critique of their claim to universality.</w:t>
      </w:r>
    </w:p>
  </w:footnote>
  <w:footnote w:id="17">
    <w:p w14:paraId="75488F5C" w14:textId="77777777" w:rsidR="00DF0759" w:rsidRPr="007A4E05" w:rsidRDefault="00DF0759">
      <w:pPr>
        <w:pStyle w:val="FootnoteText"/>
      </w:pPr>
      <w:r>
        <w:rPr>
          <w:rStyle w:val="FootnoteReference"/>
        </w:rPr>
        <w:footnoteRef/>
      </w:r>
      <w:r>
        <w:t xml:space="preserve"> Manfred Wekwerth, ‘</w:t>
      </w:r>
      <w:r w:rsidRPr="007A4E05">
        <w:rPr>
          <w:i/>
        </w:rPr>
        <w:t>Der Held der westlichen Welt</w:t>
      </w:r>
      <w:r>
        <w:t xml:space="preserve">’, in Wekwerth, </w:t>
      </w:r>
      <w:r>
        <w:rPr>
          <w:i/>
        </w:rPr>
        <w:t>Schriften. Arbeit mit Brecht</w:t>
      </w:r>
      <w:r>
        <w:t>, second, revised and expanded edition (Berlin: Henschel, 1973), pp. 131-4 (132). All translations from the German are mine unless otherwise acknowledged.</w:t>
      </w:r>
    </w:p>
  </w:footnote>
  <w:footnote w:id="18">
    <w:p w14:paraId="7BB0ACA9" w14:textId="77777777" w:rsidR="00DF0759" w:rsidRPr="006726D4" w:rsidRDefault="00DF0759">
      <w:pPr>
        <w:pStyle w:val="FootnoteText"/>
      </w:pPr>
      <w:r>
        <w:rPr>
          <w:rStyle w:val="FootnoteReference"/>
        </w:rPr>
        <w:footnoteRef/>
      </w:r>
      <w:r>
        <w:t xml:space="preserve"> Compare Brecht, ‘Short Organon for the Theatre’, in Brecht, </w:t>
      </w:r>
      <w:r>
        <w:rPr>
          <w:i/>
        </w:rPr>
        <w:t>Brecht on Theatre</w:t>
      </w:r>
      <w:r>
        <w:t xml:space="preserve">, ed. by Marc Silberman, Tom Kuhn and Steve Giles, third edition (London: Bloomsbury, 2014), pp. 229-55 (242) with Brecht, ‘A Short Organum for the Theatre’, in Brecht, </w:t>
      </w:r>
      <w:r>
        <w:rPr>
          <w:i/>
        </w:rPr>
        <w:t>Brecht on Theatre. The Development of an Aesthetic</w:t>
      </w:r>
      <w:r>
        <w:t>, ed. by John Willett (London: Methuen, 1964), pp. 179-205 (193).</w:t>
      </w:r>
    </w:p>
  </w:footnote>
  <w:footnote w:id="19">
    <w:p w14:paraId="43DCD37E" w14:textId="77777777" w:rsidR="00DF0759" w:rsidRPr="00DD4EB3" w:rsidRDefault="00DF0759">
      <w:pPr>
        <w:pStyle w:val="FootnoteText"/>
      </w:pPr>
      <w:r>
        <w:rPr>
          <w:rStyle w:val="FootnoteReference"/>
        </w:rPr>
        <w:footnoteRef/>
      </w:r>
      <w:r>
        <w:t xml:space="preserve"> See Wekwerth, in Hans-Dieter Schütt, </w:t>
      </w:r>
      <w:r>
        <w:rPr>
          <w:i/>
        </w:rPr>
        <w:t>Manfred Wekwerth</w:t>
      </w:r>
      <w:r>
        <w:t xml:space="preserve"> (Frankfurt/Oder: Frankfurt Oder Editionen, 1995), p. 73.</w:t>
      </w:r>
    </w:p>
  </w:footnote>
  <w:footnote w:id="20">
    <w:p w14:paraId="09AA6B9C" w14:textId="77777777" w:rsidR="00DF0759" w:rsidRPr="00DD4EB3" w:rsidRDefault="00DF0759">
      <w:pPr>
        <w:pStyle w:val="FootnoteText"/>
      </w:pPr>
      <w:r>
        <w:rPr>
          <w:rStyle w:val="FootnoteReference"/>
        </w:rPr>
        <w:footnoteRef/>
      </w:r>
      <w:r>
        <w:t xml:space="preserve"> See Werner Mittenzwei, </w:t>
      </w:r>
      <w:r>
        <w:rPr>
          <w:i/>
        </w:rPr>
        <w:t>Das Leben des Bertolt Brecht oder der Umgang mit den Welträtseln</w:t>
      </w:r>
      <w:r>
        <w:t>, vol. 2 (Berlin: Aufbau, 1997), p. 646.</w:t>
      </w:r>
    </w:p>
  </w:footnote>
  <w:footnote w:id="21">
    <w:p w14:paraId="69EEE330" w14:textId="77777777" w:rsidR="00DF0759" w:rsidRPr="00873A4E" w:rsidRDefault="00DF0759">
      <w:pPr>
        <w:pStyle w:val="FootnoteText"/>
      </w:pPr>
      <w:r>
        <w:rPr>
          <w:rStyle w:val="FootnoteReference"/>
        </w:rPr>
        <w:footnoteRef/>
      </w:r>
      <w:r>
        <w:t xml:space="preserve"> Carl M. Weber, ‘Theater des Nationen in Paris’, </w:t>
      </w:r>
      <w:r>
        <w:rPr>
          <w:i/>
        </w:rPr>
        <w:t>Die Weltbühne</w:t>
      </w:r>
      <w:r>
        <w:t>, 22 September 1954, pp. 1201-6 (1203).</w:t>
      </w:r>
    </w:p>
  </w:footnote>
  <w:footnote w:id="22">
    <w:p w14:paraId="0C8E8607" w14:textId="77777777" w:rsidR="00DF0759" w:rsidRPr="00E22B86" w:rsidRDefault="00DF0759" w:rsidP="00E22B86">
      <w:pPr>
        <w:pStyle w:val="FootnoteText"/>
      </w:pPr>
      <w:r>
        <w:rPr>
          <w:rStyle w:val="FootnoteReference"/>
        </w:rPr>
        <w:footnoteRef/>
      </w:r>
      <w:r>
        <w:t xml:space="preserve"> This was certainly the case when Brecht saw Johannes R. Becher’s </w:t>
      </w:r>
      <w:r>
        <w:rPr>
          <w:i/>
        </w:rPr>
        <w:t>Winterschlacht</w:t>
      </w:r>
      <w:r>
        <w:t xml:space="preserve"> (</w:t>
      </w:r>
      <w:r>
        <w:rPr>
          <w:i/>
        </w:rPr>
        <w:t>Battle in Winter</w:t>
      </w:r>
      <w:r>
        <w:t>) in Leipzig in 1954 and decided to offer the playwright a better production in Berlin: s</w:t>
      </w:r>
      <w:r w:rsidRPr="00E22B86">
        <w:t xml:space="preserve">ee Brecht to Johannes R. Becher, 2 February 1954, </w:t>
      </w:r>
      <w:r>
        <w:t>in</w:t>
      </w:r>
      <w:r w:rsidRPr="00E22B86">
        <w:t xml:space="preserve"> Brecht, </w:t>
      </w:r>
      <w:r w:rsidRPr="00E22B86">
        <w:rPr>
          <w:i/>
          <w:iCs/>
        </w:rPr>
        <w:t>Letters 1913–1956</w:t>
      </w:r>
      <w:r w:rsidRPr="00E22B86">
        <w:t>, ed. by John Willett</w:t>
      </w:r>
      <w:r>
        <w:t xml:space="preserve"> </w:t>
      </w:r>
      <w:r w:rsidRPr="00E22B86">
        <w:t>(London: Methuen, 1990), p. 527.</w:t>
      </w:r>
    </w:p>
  </w:footnote>
  <w:footnote w:id="23">
    <w:p w14:paraId="52B868FF" w14:textId="77777777" w:rsidR="00DF0759" w:rsidRPr="00B45860" w:rsidRDefault="00DF0759">
      <w:pPr>
        <w:pStyle w:val="FootnoteText"/>
      </w:pPr>
      <w:r>
        <w:rPr>
          <w:rStyle w:val="FootnoteReference"/>
        </w:rPr>
        <w:footnoteRef/>
      </w:r>
      <w:r>
        <w:t xml:space="preserve"> Anthony Roche, ‘Synge, Brecht and the Hiberno-German Connection’, </w:t>
      </w:r>
      <w:r>
        <w:rPr>
          <w:i/>
        </w:rPr>
        <w:t>Hungarian Journal of English and American Studies</w:t>
      </w:r>
      <w:r>
        <w:t>, 10: 1-2 (2004), pp. 9-31 (30).</w:t>
      </w:r>
    </w:p>
  </w:footnote>
  <w:footnote w:id="24">
    <w:p w14:paraId="07A0F028" w14:textId="77777777" w:rsidR="00DF0759" w:rsidRPr="008C65E5" w:rsidRDefault="00DF0759">
      <w:pPr>
        <w:pStyle w:val="FootnoteText"/>
      </w:pPr>
      <w:r>
        <w:rPr>
          <w:rStyle w:val="FootnoteReference"/>
        </w:rPr>
        <w:footnoteRef/>
      </w:r>
      <w:r>
        <w:t xml:space="preserve"> Brecht, ‘[Note in the programme for </w:t>
      </w:r>
      <w:r>
        <w:rPr>
          <w:i/>
        </w:rPr>
        <w:t>Der Held der westlichen Welt</w:t>
      </w:r>
      <w:r>
        <w:t xml:space="preserve">]’, premiere 11 May 1956. That Brecht wrote the anonymous note is attested to in Peter Voigt, ‘Karussellpferde. Brechts letzte Spielzeit’, in Erdmut Wizisla (ed.), </w:t>
      </w:r>
      <w:r>
        <w:rPr>
          <w:i/>
        </w:rPr>
        <w:t>Begegnungen mit Brecht</w:t>
      </w:r>
      <w:r>
        <w:t xml:space="preserve"> (Frankfurt/Main: Suhrkamp, 2014), pp. 336-53 (346).</w:t>
      </w:r>
    </w:p>
  </w:footnote>
  <w:footnote w:id="25">
    <w:p w14:paraId="4429E920" w14:textId="77777777" w:rsidR="00DF0759" w:rsidRPr="00CA1627" w:rsidRDefault="00DF0759">
      <w:pPr>
        <w:pStyle w:val="FootnoteText"/>
      </w:pPr>
      <w:r>
        <w:rPr>
          <w:rStyle w:val="FootnoteReference"/>
        </w:rPr>
        <w:footnoteRef/>
      </w:r>
      <w:r>
        <w:t xml:space="preserve"> The translators, Peter Hacks and his wife, Anna Elisabeth Wiede, note that they deferred to Brecht on this point ‘after some hesitation’, in Hacks, ‘Notiz zum Stück’, in John M. Synge, </w:t>
      </w:r>
      <w:r>
        <w:rPr>
          <w:i/>
        </w:rPr>
        <w:t>Stücke</w:t>
      </w:r>
      <w:r>
        <w:t xml:space="preserve"> (Leipzig: Reclam, 1972), p. 128.</w:t>
      </w:r>
    </w:p>
  </w:footnote>
  <w:footnote w:id="26">
    <w:p w14:paraId="16E14C1E" w14:textId="77777777" w:rsidR="00DF0759" w:rsidRDefault="00DF0759">
      <w:pPr>
        <w:pStyle w:val="FootnoteText"/>
      </w:pPr>
      <w:r>
        <w:rPr>
          <w:rStyle w:val="FootnoteReference"/>
        </w:rPr>
        <w:footnoteRef/>
      </w:r>
      <w:r>
        <w:t xml:space="preserve"> See Anon, ‘Der Held der westlichen Welt – Notate 19. 2. 56’, undated, n.p., Berliner Ensemble Archive (henceforth BEA) File 22.</w:t>
      </w:r>
    </w:p>
  </w:footnote>
  <w:footnote w:id="27">
    <w:p w14:paraId="5C31C60E" w14:textId="77777777" w:rsidR="00DF0759" w:rsidRDefault="00DF0759">
      <w:pPr>
        <w:pStyle w:val="FootnoteText"/>
      </w:pPr>
      <w:r>
        <w:rPr>
          <w:rStyle w:val="FootnoteReference"/>
        </w:rPr>
        <w:footnoteRef/>
      </w:r>
      <w:r>
        <w:t xml:space="preserve"> Voigt, ‘Karussellpferde’, pp. 340-1.</w:t>
      </w:r>
    </w:p>
  </w:footnote>
  <w:footnote w:id="28">
    <w:p w14:paraId="7C87F8E6" w14:textId="77777777" w:rsidR="00DF0759" w:rsidRPr="002B1744" w:rsidRDefault="00DF0759">
      <w:pPr>
        <w:pStyle w:val="FootnoteText"/>
      </w:pPr>
      <w:r>
        <w:rPr>
          <w:rStyle w:val="FootnoteReference"/>
        </w:rPr>
        <w:footnoteRef/>
      </w:r>
      <w:r>
        <w:t xml:space="preserve"> Synge, </w:t>
      </w:r>
      <w:r>
        <w:rPr>
          <w:i/>
        </w:rPr>
        <w:t>The Playboy</w:t>
      </w:r>
      <w:r>
        <w:t xml:space="preserve">, p. 58; and Synge, </w:t>
      </w:r>
      <w:r>
        <w:rPr>
          <w:i/>
        </w:rPr>
        <w:t>Der Held der westlichen Welt</w:t>
      </w:r>
      <w:r>
        <w:t xml:space="preserve">, in Synge, </w:t>
      </w:r>
      <w:r>
        <w:rPr>
          <w:i/>
        </w:rPr>
        <w:t>Stücke</w:t>
      </w:r>
      <w:r>
        <w:t>, pp. 65-127 (108).</w:t>
      </w:r>
    </w:p>
  </w:footnote>
  <w:footnote w:id="29">
    <w:p w14:paraId="07648C64" w14:textId="77777777" w:rsidR="00DF0759" w:rsidRPr="00697354" w:rsidRDefault="00DF0759">
      <w:pPr>
        <w:pStyle w:val="FootnoteText"/>
      </w:pPr>
      <w:r>
        <w:rPr>
          <w:rStyle w:val="FootnoteReference"/>
        </w:rPr>
        <w:footnoteRef/>
      </w:r>
      <w:r>
        <w:t xml:space="preserve"> Synge, </w:t>
      </w:r>
      <w:r>
        <w:rPr>
          <w:i/>
        </w:rPr>
        <w:t>The Playboy</w:t>
      </w:r>
      <w:r>
        <w:t xml:space="preserve">, p. 61; and Synge, </w:t>
      </w:r>
      <w:r>
        <w:rPr>
          <w:i/>
        </w:rPr>
        <w:t>Der Held</w:t>
      </w:r>
      <w:r>
        <w:t>, p. 111.</w:t>
      </w:r>
    </w:p>
  </w:footnote>
  <w:footnote w:id="30">
    <w:p w14:paraId="376A7D1E" w14:textId="77777777" w:rsidR="00DF0759" w:rsidRDefault="00DF0759">
      <w:pPr>
        <w:pStyle w:val="FootnoteText"/>
      </w:pPr>
      <w:r>
        <w:rPr>
          <w:rStyle w:val="FootnoteReference"/>
        </w:rPr>
        <w:footnoteRef/>
      </w:r>
      <w:r>
        <w:t xml:space="preserve"> Brecht, ‘On Rhymeless Verse with Irregular Rhythms’, in Brecht, </w:t>
      </w:r>
      <w:r>
        <w:rPr>
          <w:i/>
        </w:rPr>
        <w:t>Brecht on Theatre</w:t>
      </w:r>
      <w:r>
        <w:t>, third edition, pp. 170-6 (171).</w:t>
      </w:r>
    </w:p>
  </w:footnote>
  <w:footnote w:id="31">
    <w:p w14:paraId="0B4EC8DC" w14:textId="77777777" w:rsidR="00DF0759" w:rsidRDefault="00DF0759">
      <w:pPr>
        <w:pStyle w:val="FootnoteText"/>
      </w:pPr>
      <w:r>
        <w:rPr>
          <w:rStyle w:val="FootnoteReference"/>
        </w:rPr>
        <w:footnoteRef/>
      </w:r>
      <w:r>
        <w:t xml:space="preserve"> The extract from the original translation is to be found in Voigt, ‘Karussellpferde’, p. 341.</w:t>
      </w:r>
    </w:p>
  </w:footnote>
  <w:footnote w:id="32">
    <w:p w14:paraId="687C550B" w14:textId="77777777" w:rsidR="00DF0759" w:rsidRDefault="00DF0759">
      <w:pPr>
        <w:pStyle w:val="FootnoteText"/>
      </w:pPr>
      <w:r>
        <w:rPr>
          <w:rStyle w:val="FootnoteReference"/>
        </w:rPr>
        <w:footnoteRef/>
      </w:r>
      <w:r>
        <w:t xml:space="preserve"> Holder, pp. 532 and 534, respectively.</w:t>
      </w:r>
    </w:p>
  </w:footnote>
  <w:footnote w:id="33">
    <w:p w14:paraId="04D77EE3" w14:textId="77777777" w:rsidR="00DF0759" w:rsidRDefault="00DF0759">
      <w:pPr>
        <w:pStyle w:val="FootnoteText"/>
      </w:pPr>
      <w:r>
        <w:rPr>
          <w:rStyle w:val="FootnoteReference"/>
        </w:rPr>
        <w:footnoteRef/>
      </w:r>
      <w:r>
        <w:t xml:space="preserve"> Voigt, ‘Karussellpferde’, p. 338.</w:t>
      </w:r>
    </w:p>
  </w:footnote>
  <w:footnote w:id="34">
    <w:p w14:paraId="5A2B6F8E" w14:textId="77777777" w:rsidR="00DF0759" w:rsidRPr="00E13DC9" w:rsidRDefault="00DF0759">
      <w:pPr>
        <w:pStyle w:val="FootnoteText"/>
      </w:pPr>
      <w:r>
        <w:rPr>
          <w:rStyle w:val="FootnoteReference"/>
        </w:rPr>
        <w:footnoteRef/>
      </w:r>
      <w:r>
        <w:t xml:space="preserve"> Brecht, ‘What Makes an Actor’, in Brecht, </w:t>
      </w:r>
      <w:r>
        <w:rPr>
          <w:i/>
        </w:rPr>
        <w:t>Brecht on Theatre</w:t>
      </w:r>
      <w:r>
        <w:t>, third edition, p. 271.</w:t>
      </w:r>
    </w:p>
  </w:footnote>
  <w:footnote w:id="35">
    <w:p w14:paraId="4F63710D" w14:textId="77777777" w:rsidR="00DF0759" w:rsidRPr="000F2D7A" w:rsidRDefault="00DF0759">
      <w:pPr>
        <w:pStyle w:val="FootnoteText"/>
      </w:pPr>
      <w:r>
        <w:rPr>
          <w:rStyle w:val="FootnoteReference"/>
        </w:rPr>
        <w:footnoteRef/>
      </w:r>
      <w:r>
        <w:t xml:space="preserve"> Brecht, in Anon, ‘Notizen </w:t>
      </w:r>
      <w:r>
        <w:rPr>
          <w:i/>
        </w:rPr>
        <w:t>Playboy</w:t>
      </w:r>
      <w:r>
        <w:t xml:space="preserve"> 2. II (Brecht)’, undated, pp. 2 (2), BEA File 22.</w:t>
      </w:r>
    </w:p>
  </w:footnote>
  <w:footnote w:id="36">
    <w:p w14:paraId="34F4F117" w14:textId="77777777" w:rsidR="00DF0759" w:rsidRDefault="00DF0759">
      <w:pPr>
        <w:pStyle w:val="FootnoteText"/>
      </w:pPr>
      <w:r>
        <w:rPr>
          <w:rStyle w:val="FootnoteReference"/>
        </w:rPr>
        <w:footnoteRef/>
      </w:r>
      <w:r>
        <w:t xml:space="preserve"> Anon, ‘Notwendigkeit, die Armut zu etablieren’, undated, n.p., ibid.</w:t>
      </w:r>
    </w:p>
  </w:footnote>
  <w:footnote w:id="37">
    <w:p w14:paraId="33D1D261" w14:textId="77777777" w:rsidR="00DF0759" w:rsidRPr="00DB3F67" w:rsidRDefault="00DF0759">
      <w:pPr>
        <w:pStyle w:val="FootnoteText"/>
      </w:pPr>
      <w:r>
        <w:rPr>
          <w:rStyle w:val="FootnoteReference"/>
        </w:rPr>
        <w:footnoteRef/>
      </w:r>
      <w:r>
        <w:t xml:space="preserve"> Anon, ‘</w:t>
      </w:r>
      <w:r>
        <w:rPr>
          <w:i/>
        </w:rPr>
        <w:t>Der Held der westlichen Welt</w:t>
      </w:r>
      <w:r>
        <w:t xml:space="preserve"> – Notate 20.12.55’, undated, pp. 2 (2), ibid.</w:t>
      </w:r>
    </w:p>
  </w:footnote>
  <w:footnote w:id="38">
    <w:p w14:paraId="1380909C" w14:textId="77777777" w:rsidR="00DF0759" w:rsidRPr="0057640F" w:rsidRDefault="00DF0759">
      <w:pPr>
        <w:pStyle w:val="FootnoteText"/>
      </w:pPr>
      <w:r>
        <w:rPr>
          <w:rStyle w:val="FootnoteReference"/>
        </w:rPr>
        <w:footnoteRef/>
      </w:r>
      <w:r>
        <w:t xml:space="preserve"> See Peter Palitzsch, in Peter Iden, </w:t>
      </w:r>
      <w:r>
        <w:rPr>
          <w:i/>
        </w:rPr>
        <w:t xml:space="preserve">Peter Palitzsch: Theater muss die Welt verändern </w:t>
      </w:r>
      <w:r>
        <w:t>(Berlin: Henschel, 2005), p. 52.</w:t>
      </w:r>
    </w:p>
  </w:footnote>
  <w:footnote w:id="39">
    <w:p w14:paraId="46385B15" w14:textId="77777777" w:rsidR="00DF0759" w:rsidRDefault="00DF0759">
      <w:pPr>
        <w:pStyle w:val="FootnoteText"/>
      </w:pPr>
      <w:r>
        <w:rPr>
          <w:rStyle w:val="FootnoteReference"/>
        </w:rPr>
        <w:footnoteRef/>
      </w:r>
      <w:r>
        <w:t xml:space="preserve"> </w:t>
      </w:r>
      <w:r w:rsidRPr="0055376E">
        <w:t>Anon., ‘</w:t>
      </w:r>
      <w:r w:rsidRPr="0055376E">
        <w:rPr>
          <w:i/>
          <w:iCs/>
        </w:rPr>
        <w:t xml:space="preserve">Der Held der westlichen Welt </w:t>
      </w:r>
      <w:r w:rsidRPr="0055376E">
        <w:t>– Notate 20.12.55’, undated, pp. 2</w:t>
      </w:r>
      <w:r>
        <w:t xml:space="preserve"> (1), ibid.</w:t>
      </w:r>
    </w:p>
  </w:footnote>
  <w:footnote w:id="40">
    <w:p w14:paraId="7B0B071F" w14:textId="77777777" w:rsidR="00DF0759" w:rsidRPr="003949B1" w:rsidRDefault="00DF0759">
      <w:pPr>
        <w:pStyle w:val="FootnoteText"/>
      </w:pPr>
      <w:r>
        <w:rPr>
          <w:rStyle w:val="FootnoteReference"/>
        </w:rPr>
        <w:footnoteRef/>
      </w:r>
      <w:r>
        <w:t xml:space="preserve"> Brecht, in Anon, ‘Notizen </w:t>
      </w:r>
      <w:r>
        <w:rPr>
          <w:i/>
        </w:rPr>
        <w:t>Playboy</w:t>
      </w:r>
      <w:r>
        <w:t xml:space="preserve"> 2. II. (Brecht)’, undated, pp. 2 (1), ibid.</w:t>
      </w:r>
    </w:p>
  </w:footnote>
  <w:footnote w:id="41">
    <w:p w14:paraId="711D2FF0" w14:textId="77777777" w:rsidR="00DF0759" w:rsidRDefault="00DF0759">
      <w:pPr>
        <w:pStyle w:val="FootnoteText"/>
      </w:pPr>
      <w:r>
        <w:rPr>
          <w:rStyle w:val="FootnoteReference"/>
        </w:rPr>
        <w:footnoteRef/>
      </w:r>
      <w:r>
        <w:t xml:space="preserve"> Anon., ‘</w:t>
      </w:r>
      <w:r w:rsidRPr="00492538">
        <w:rPr>
          <w:i/>
          <w:iCs/>
        </w:rPr>
        <w:t xml:space="preserve">Der Held der westlichen Welt </w:t>
      </w:r>
      <w:r w:rsidRPr="00492538">
        <w:t>– Notate</w:t>
      </w:r>
      <w:r>
        <w:t xml:space="preserve"> 1. 3. 56’, undated, n.p., ibid.</w:t>
      </w:r>
    </w:p>
  </w:footnote>
  <w:footnote w:id="42">
    <w:p w14:paraId="07C4F7D0" w14:textId="77777777" w:rsidR="00DF0759" w:rsidRDefault="00DF0759">
      <w:pPr>
        <w:pStyle w:val="FootnoteText"/>
      </w:pPr>
      <w:r>
        <w:rPr>
          <w:rStyle w:val="FootnoteReference"/>
        </w:rPr>
        <w:footnoteRef/>
      </w:r>
      <w:r>
        <w:t xml:space="preserve"> </w:t>
      </w:r>
      <w:r w:rsidRPr="00492538">
        <w:t>Anon., ‘</w:t>
      </w:r>
      <w:r w:rsidRPr="00492538">
        <w:rPr>
          <w:i/>
          <w:iCs/>
        </w:rPr>
        <w:t xml:space="preserve">Der Held der westlichen Welt </w:t>
      </w:r>
      <w:r w:rsidRPr="00492538">
        <w:t xml:space="preserve">– Notate </w:t>
      </w:r>
      <w:r>
        <w:t xml:space="preserve"> 19.2.56</w:t>
      </w:r>
      <w:r w:rsidRPr="00492538">
        <w:t>’, undated, n.p., ibid.</w:t>
      </w:r>
    </w:p>
  </w:footnote>
  <w:footnote w:id="43">
    <w:p w14:paraId="2A639026" w14:textId="77777777" w:rsidR="00DF0759" w:rsidRDefault="00DF0759">
      <w:pPr>
        <w:pStyle w:val="FootnoteText"/>
      </w:pPr>
      <w:r>
        <w:rPr>
          <w:rStyle w:val="FootnoteReference"/>
        </w:rPr>
        <w:footnoteRef/>
      </w:r>
      <w:r>
        <w:t xml:space="preserve"> Anon, ‘Die Witwe Quin’, undated, n.p., ibid.</w:t>
      </w:r>
    </w:p>
  </w:footnote>
  <w:footnote w:id="44">
    <w:p w14:paraId="489DD460" w14:textId="77777777" w:rsidR="00DF0759" w:rsidRPr="005C5D3F" w:rsidRDefault="00DF0759">
      <w:pPr>
        <w:pStyle w:val="FootnoteText"/>
      </w:pPr>
      <w:r>
        <w:rPr>
          <w:rStyle w:val="FootnoteReference"/>
        </w:rPr>
        <w:footnoteRef/>
      </w:r>
      <w:r>
        <w:t xml:space="preserve"> Anon., ‘</w:t>
      </w:r>
      <w:r>
        <w:rPr>
          <w:i/>
        </w:rPr>
        <w:t>Der Held der westlichen Welt</w:t>
      </w:r>
      <w:r>
        <w:t xml:space="preserve"> – Notate 8.1-1956’, undated, n.p., ibid.</w:t>
      </w:r>
    </w:p>
  </w:footnote>
  <w:footnote w:id="45">
    <w:p w14:paraId="69E94728" w14:textId="77777777" w:rsidR="00DF0759" w:rsidRPr="00383A17" w:rsidRDefault="00DF0759">
      <w:pPr>
        <w:pStyle w:val="FootnoteText"/>
      </w:pPr>
      <w:r>
        <w:rPr>
          <w:rStyle w:val="FootnoteReference"/>
        </w:rPr>
        <w:footnoteRef/>
      </w:r>
      <w:r>
        <w:t xml:space="preserve"> Brecht, ‘On the Use of Music in an Epic Theatre’, in Brecht, </w:t>
      </w:r>
      <w:r>
        <w:rPr>
          <w:i/>
        </w:rPr>
        <w:t>Brecht on Theatre</w:t>
      </w:r>
      <w:r>
        <w:t>, third edition, pp. 124-31, (125).</w:t>
      </w:r>
    </w:p>
  </w:footnote>
  <w:footnote w:id="46">
    <w:p w14:paraId="355BB308" w14:textId="77777777" w:rsidR="00DF0759" w:rsidRDefault="00DF0759">
      <w:pPr>
        <w:pStyle w:val="FootnoteText"/>
      </w:pPr>
      <w:r>
        <w:rPr>
          <w:rStyle w:val="FootnoteReference"/>
        </w:rPr>
        <w:footnoteRef/>
      </w:r>
      <w:r>
        <w:t xml:space="preserve"> Brecht, in Anon, ‘Die Musiknummern’, undated, n.p., BEA File 22.</w:t>
      </w:r>
    </w:p>
  </w:footnote>
  <w:footnote w:id="47">
    <w:p w14:paraId="19F00A28" w14:textId="77777777" w:rsidR="00DF0759" w:rsidRDefault="00DF0759">
      <w:pPr>
        <w:pStyle w:val="FootnoteText"/>
      </w:pPr>
      <w:r>
        <w:rPr>
          <w:rStyle w:val="FootnoteReference"/>
        </w:rPr>
        <w:footnoteRef/>
      </w:r>
      <w:r>
        <w:t xml:space="preserve"> See Eisler, in ibid.</w:t>
      </w:r>
    </w:p>
  </w:footnote>
  <w:footnote w:id="48">
    <w:p w14:paraId="28C2689D" w14:textId="77777777" w:rsidR="00DF0759" w:rsidRDefault="00DF0759">
      <w:pPr>
        <w:pStyle w:val="FootnoteText"/>
      </w:pPr>
      <w:r>
        <w:rPr>
          <w:rStyle w:val="FootnoteReference"/>
        </w:rPr>
        <w:footnoteRef/>
      </w:r>
      <w:r>
        <w:t xml:space="preserve"> Anon, ibid.</w:t>
      </w:r>
    </w:p>
  </w:footnote>
  <w:footnote w:id="49">
    <w:p w14:paraId="45341ED5" w14:textId="77777777" w:rsidR="00DF0759" w:rsidRPr="000E5225" w:rsidRDefault="00DF0759">
      <w:pPr>
        <w:pStyle w:val="FootnoteText"/>
      </w:pPr>
      <w:r>
        <w:rPr>
          <w:rStyle w:val="FootnoteReference"/>
        </w:rPr>
        <w:footnoteRef/>
      </w:r>
      <w:r>
        <w:t xml:space="preserve"> See Henryk Keisch, ‘</w:t>
      </w:r>
      <w:r>
        <w:rPr>
          <w:i/>
        </w:rPr>
        <w:t>Der Held der westlichen Welt</w:t>
      </w:r>
      <w:r>
        <w:t xml:space="preserve">’, </w:t>
      </w:r>
      <w:r>
        <w:rPr>
          <w:i/>
        </w:rPr>
        <w:t>Neues Deutschland</w:t>
      </w:r>
      <w:r>
        <w:t>, 6 June 1956.</w:t>
      </w:r>
    </w:p>
  </w:footnote>
  <w:footnote w:id="50">
    <w:p w14:paraId="7B8FBC60" w14:textId="77777777" w:rsidR="00DF0759" w:rsidRPr="00A438CF" w:rsidRDefault="00DF0759">
      <w:pPr>
        <w:pStyle w:val="FootnoteText"/>
      </w:pPr>
      <w:r>
        <w:rPr>
          <w:rStyle w:val="FootnoteReference"/>
        </w:rPr>
        <w:footnoteRef/>
      </w:r>
      <w:r>
        <w:t xml:space="preserve"> See, for example, M-o, ‘Held ohne Heldentat’, </w:t>
      </w:r>
      <w:r>
        <w:rPr>
          <w:i/>
        </w:rPr>
        <w:t>Der Morgen</w:t>
      </w:r>
      <w:r>
        <w:t xml:space="preserve"> [East Germany], 15 May 1956; or Florian Kienzl, ‘</w:t>
      </w:r>
      <w:r>
        <w:rPr>
          <w:i/>
        </w:rPr>
        <w:t>Der Held der westlichen Welt</w:t>
      </w:r>
      <w:r>
        <w:t xml:space="preserve">’, </w:t>
      </w:r>
      <w:r>
        <w:rPr>
          <w:i/>
        </w:rPr>
        <w:t>Stuttgarter Zeitung</w:t>
      </w:r>
      <w:r>
        <w:t xml:space="preserve"> [West Germany], 29 May 1956.</w:t>
      </w:r>
    </w:p>
  </w:footnote>
  <w:footnote w:id="51">
    <w:p w14:paraId="543A9766" w14:textId="77777777" w:rsidR="00DF0759" w:rsidRPr="000E5225" w:rsidRDefault="00DF0759">
      <w:pPr>
        <w:pStyle w:val="FootnoteText"/>
      </w:pPr>
      <w:r>
        <w:rPr>
          <w:rStyle w:val="FootnoteReference"/>
        </w:rPr>
        <w:footnoteRef/>
      </w:r>
      <w:r>
        <w:t xml:space="preserve"> Eric Bentley, </w:t>
      </w:r>
      <w:r>
        <w:rPr>
          <w:i/>
        </w:rPr>
        <w:t>The Brecht Memoir</w:t>
      </w:r>
      <w:r>
        <w:t xml:space="preserve"> (Evanston IL: Northwestern UP, 1989), p. 70.</w:t>
      </w:r>
    </w:p>
  </w:footnote>
  <w:footnote w:id="52">
    <w:p w14:paraId="66CF0CE1" w14:textId="77777777" w:rsidR="00DF0759" w:rsidRPr="00814360" w:rsidRDefault="00DF0759">
      <w:pPr>
        <w:pStyle w:val="FootnoteText"/>
      </w:pPr>
      <w:r>
        <w:rPr>
          <w:rStyle w:val="FootnoteReference"/>
        </w:rPr>
        <w:footnoteRef/>
      </w:r>
      <w:r>
        <w:t xml:space="preserve"> Anon., ‘</w:t>
      </w:r>
      <w:r>
        <w:rPr>
          <w:i/>
        </w:rPr>
        <w:t>Der Held der westlichen Welt</w:t>
      </w:r>
      <w:r>
        <w:t xml:space="preserve"> – Notate 1.3.56’, undated, n.p., BEA File 22.</w:t>
      </w:r>
    </w:p>
  </w:footnote>
  <w:footnote w:id="53">
    <w:p w14:paraId="302DF200" w14:textId="77777777" w:rsidR="00DF0759" w:rsidRPr="00214036" w:rsidRDefault="00DF0759">
      <w:pPr>
        <w:pStyle w:val="FootnoteText"/>
      </w:pPr>
      <w:r>
        <w:rPr>
          <w:rStyle w:val="FootnoteReference"/>
        </w:rPr>
        <w:footnoteRef/>
      </w:r>
      <w:r>
        <w:t xml:space="preserve"> Anon., ‘</w:t>
      </w:r>
      <w:r>
        <w:rPr>
          <w:i/>
        </w:rPr>
        <w:t>Der Maulheld der westlichen Welt</w:t>
      </w:r>
      <w:r>
        <w:t xml:space="preserve"> – Notate’, 16 December 1955, pp. 3 (2), ibid.</w:t>
      </w:r>
    </w:p>
  </w:footnote>
  <w:footnote w:id="54">
    <w:p w14:paraId="6DA9B0CE" w14:textId="77777777" w:rsidR="00DF0759" w:rsidRPr="004C05DF" w:rsidRDefault="00DF0759">
      <w:pPr>
        <w:pStyle w:val="FootnoteText"/>
      </w:pPr>
      <w:r>
        <w:rPr>
          <w:rStyle w:val="FootnoteReference"/>
        </w:rPr>
        <w:footnoteRef/>
      </w:r>
      <w:r>
        <w:t xml:space="preserve"> Martin Schulz, ‘</w:t>
      </w:r>
      <w:r>
        <w:rPr>
          <w:i/>
        </w:rPr>
        <w:t>Der Held der westlichen Welt</w:t>
      </w:r>
      <w:r>
        <w:t xml:space="preserve">’, </w:t>
      </w:r>
      <w:r>
        <w:rPr>
          <w:i/>
        </w:rPr>
        <w:t>BZ am Abend</w:t>
      </w:r>
      <w:r>
        <w:t xml:space="preserve">, 16 May 1956; and Sabine Lietzmann, ‘Der Mann, der seinen Papa killte’, </w:t>
      </w:r>
      <w:r>
        <w:rPr>
          <w:i/>
        </w:rPr>
        <w:t>Frankfurter Allgemeine Zeitung</w:t>
      </w:r>
      <w:r>
        <w:t>, 15 May 1956,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C2C4B"/>
    <w:multiLevelType w:val="hybridMultilevel"/>
    <w:tmpl w:val="33106592"/>
    <w:lvl w:ilvl="0" w:tplc="0F849C68">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F431367"/>
    <w:multiLevelType w:val="hybridMultilevel"/>
    <w:tmpl w:val="08BECDA4"/>
    <w:lvl w:ilvl="0" w:tplc="A322E154">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69"/>
    <w:rsid w:val="0002044F"/>
    <w:rsid w:val="00025842"/>
    <w:rsid w:val="000263D0"/>
    <w:rsid w:val="000322A3"/>
    <w:rsid w:val="00045728"/>
    <w:rsid w:val="00062044"/>
    <w:rsid w:val="000904D5"/>
    <w:rsid w:val="00090930"/>
    <w:rsid w:val="000A111D"/>
    <w:rsid w:val="000C4852"/>
    <w:rsid w:val="000D1FF5"/>
    <w:rsid w:val="000E5225"/>
    <w:rsid w:val="000F2640"/>
    <w:rsid w:val="000F2D7A"/>
    <w:rsid w:val="000F79C8"/>
    <w:rsid w:val="001053E3"/>
    <w:rsid w:val="001442F8"/>
    <w:rsid w:val="00145F18"/>
    <w:rsid w:val="00150CCC"/>
    <w:rsid w:val="00151132"/>
    <w:rsid w:val="0015766B"/>
    <w:rsid w:val="0016073B"/>
    <w:rsid w:val="001607C6"/>
    <w:rsid w:val="0016419A"/>
    <w:rsid w:val="00174D90"/>
    <w:rsid w:val="00175AD0"/>
    <w:rsid w:val="00181FA0"/>
    <w:rsid w:val="001851BF"/>
    <w:rsid w:val="001D0914"/>
    <w:rsid w:val="001D091A"/>
    <w:rsid w:val="001D314D"/>
    <w:rsid w:val="001D4200"/>
    <w:rsid w:val="001D6F6F"/>
    <w:rsid w:val="001E5C53"/>
    <w:rsid w:val="002056E5"/>
    <w:rsid w:val="00210932"/>
    <w:rsid w:val="00214036"/>
    <w:rsid w:val="00220119"/>
    <w:rsid w:val="0023344C"/>
    <w:rsid w:val="00234FA1"/>
    <w:rsid w:val="002375B7"/>
    <w:rsid w:val="00253C06"/>
    <w:rsid w:val="00266A78"/>
    <w:rsid w:val="00271797"/>
    <w:rsid w:val="00295451"/>
    <w:rsid w:val="002B1744"/>
    <w:rsid w:val="002C0740"/>
    <w:rsid w:val="00320545"/>
    <w:rsid w:val="0033104A"/>
    <w:rsid w:val="00332DA0"/>
    <w:rsid w:val="00345549"/>
    <w:rsid w:val="00370212"/>
    <w:rsid w:val="00372040"/>
    <w:rsid w:val="00383A17"/>
    <w:rsid w:val="003877FB"/>
    <w:rsid w:val="00393584"/>
    <w:rsid w:val="003949B1"/>
    <w:rsid w:val="003B23DE"/>
    <w:rsid w:val="003C1DFB"/>
    <w:rsid w:val="003C2337"/>
    <w:rsid w:val="003D0C55"/>
    <w:rsid w:val="003E0B83"/>
    <w:rsid w:val="003F0D76"/>
    <w:rsid w:val="003F4DAA"/>
    <w:rsid w:val="003F7801"/>
    <w:rsid w:val="0041034D"/>
    <w:rsid w:val="00414D36"/>
    <w:rsid w:val="0042197A"/>
    <w:rsid w:val="00427CA6"/>
    <w:rsid w:val="004318FD"/>
    <w:rsid w:val="00435BCE"/>
    <w:rsid w:val="00445EF8"/>
    <w:rsid w:val="00470ECD"/>
    <w:rsid w:val="0047382B"/>
    <w:rsid w:val="0047423A"/>
    <w:rsid w:val="00482A0D"/>
    <w:rsid w:val="004833D2"/>
    <w:rsid w:val="00491033"/>
    <w:rsid w:val="00492538"/>
    <w:rsid w:val="00494D57"/>
    <w:rsid w:val="0049507A"/>
    <w:rsid w:val="004A2ABA"/>
    <w:rsid w:val="004B0B26"/>
    <w:rsid w:val="004B473B"/>
    <w:rsid w:val="004C05DF"/>
    <w:rsid w:val="004F409D"/>
    <w:rsid w:val="00505B7F"/>
    <w:rsid w:val="00514F25"/>
    <w:rsid w:val="005218F6"/>
    <w:rsid w:val="0052587D"/>
    <w:rsid w:val="00541A39"/>
    <w:rsid w:val="0055341E"/>
    <w:rsid w:val="0055376E"/>
    <w:rsid w:val="0057640F"/>
    <w:rsid w:val="005852B4"/>
    <w:rsid w:val="00592F3C"/>
    <w:rsid w:val="00595651"/>
    <w:rsid w:val="005A6D81"/>
    <w:rsid w:val="005B10EB"/>
    <w:rsid w:val="005B7FDB"/>
    <w:rsid w:val="005C2BE1"/>
    <w:rsid w:val="005C5D3F"/>
    <w:rsid w:val="005D117B"/>
    <w:rsid w:val="005D1901"/>
    <w:rsid w:val="005E2B65"/>
    <w:rsid w:val="005F25D0"/>
    <w:rsid w:val="005F4ABA"/>
    <w:rsid w:val="00615051"/>
    <w:rsid w:val="0061789C"/>
    <w:rsid w:val="00636378"/>
    <w:rsid w:val="006363EA"/>
    <w:rsid w:val="006378B0"/>
    <w:rsid w:val="0065416C"/>
    <w:rsid w:val="00660818"/>
    <w:rsid w:val="006726D4"/>
    <w:rsid w:val="00675D9A"/>
    <w:rsid w:val="00697354"/>
    <w:rsid w:val="006A6718"/>
    <w:rsid w:val="006F297F"/>
    <w:rsid w:val="006F2A06"/>
    <w:rsid w:val="007205B8"/>
    <w:rsid w:val="00745819"/>
    <w:rsid w:val="00747497"/>
    <w:rsid w:val="00754248"/>
    <w:rsid w:val="007656D8"/>
    <w:rsid w:val="0078732F"/>
    <w:rsid w:val="00796B54"/>
    <w:rsid w:val="007A3563"/>
    <w:rsid w:val="007A4E05"/>
    <w:rsid w:val="007C0901"/>
    <w:rsid w:val="007C0FD8"/>
    <w:rsid w:val="007D72B8"/>
    <w:rsid w:val="007E312A"/>
    <w:rsid w:val="007E655A"/>
    <w:rsid w:val="008009B9"/>
    <w:rsid w:val="00814360"/>
    <w:rsid w:val="008259E0"/>
    <w:rsid w:val="00834EFC"/>
    <w:rsid w:val="008479B2"/>
    <w:rsid w:val="00873A4E"/>
    <w:rsid w:val="00877BD2"/>
    <w:rsid w:val="008876AB"/>
    <w:rsid w:val="008A4F39"/>
    <w:rsid w:val="008B6DBE"/>
    <w:rsid w:val="008C2D8A"/>
    <w:rsid w:val="008C65E5"/>
    <w:rsid w:val="008D7E47"/>
    <w:rsid w:val="008E27DA"/>
    <w:rsid w:val="009173F2"/>
    <w:rsid w:val="00931F82"/>
    <w:rsid w:val="00935F3C"/>
    <w:rsid w:val="009404B5"/>
    <w:rsid w:val="0094292F"/>
    <w:rsid w:val="00942CDA"/>
    <w:rsid w:val="00943101"/>
    <w:rsid w:val="009501D6"/>
    <w:rsid w:val="00953D79"/>
    <w:rsid w:val="00987173"/>
    <w:rsid w:val="00995A52"/>
    <w:rsid w:val="009A33CF"/>
    <w:rsid w:val="009A6265"/>
    <w:rsid w:val="009B53E3"/>
    <w:rsid w:val="009E31CB"/>
    <w:rsid w:val="00A13D5E"/>
    <w:rsid w:val="00A14C74"/>
    <w:rsid w:val="00A169F6"/>
    <w:rsid w:val="00A30326"/>
    <w:rsid w:val="00A34962"/>
    <w:rsid w:val="00A359CE"/>
    <w:rsid w:val="00A410F3"/>
    <w:rsid w:val="00A4215E"/>
    <w:rsid w:val="00A43226"/>
    <w:rsid w:val="00A43602"/>
    <w:rsid w:val="00A438CF"/>
    <w:rsid w:val="00A97A19"/>
    <w:rsid w:val="00AA1721"/>
    <w:rsid w:val="00AD05F9"/>
    <w:rsid w:val="00AF5D78"/>
    <w:rsid w:val="00AF63CD"/>
    <w:rsid w:val="00AF6F55"/>
    <w:rsid w:val="00B0082B"/>
    <w:rsid w:val="00B066B3"/>
    <w:rsid w:val="00B2278A"/>
    <w:rsid w:val="00B41A81"/>
    <w:rsid w:val="00B45860"/>
    <w:rsid w:val="00B52269"/>
    <w:rsid w:val="00B526F1"/>
    <w:rsid w:val="00B55C4A"/>
    <w:rsid w:val="00B64772"/>
    <w:rsid w:val="00B840F5"/>
    <w:rsid w:val="00B90F58"/>
    <w:rsid w:val="00B92553"/>
    <w:rsid w:val="00BA0710"/>
    <w:rsid w:val="00BA705F"/>
    <w:rsid w:val="00BA7F7F"/>
    <w:rsid w:val="00BE5E19"/>
    <w:rsid w:val="00BF6C47"/>
    <w:rsid w:val="00C02E7A"/>
    <w:rsid w:val="00C23FBB"/>
    <w:rsid w:val="00C33273"/>
    <w:rsid w:val="00C54114"/>
    <w:rsid w:val="00C55979"/>
    <w:rsid w:val="00C62E9C"/>
    <w:rsid w:val="00C63441"/>
    <w:rsid w:val="00C73061"/>
    <w:rsid w:val="00C92274"/>
    <w:rsid w:val="00CA1627"/>
    <w:rsid w:val="00CA71E4"/>
    <w:rsid w:val="00CB0BA0"/>
    <w:rsid w:val="00CC43EB"/>
    <w:rsid w:val="00CC44B6"/>
    <w:rsid w:val="00CC5F7B"/>
    <w:rsid w:val="00CF26C9"/>
    <w:rsid w:val="00D105E8"/>
    <w:rsid w:val="00D21AED"/>
    <w:rsid w:val="00D266A7"/>
    <w:rsid w:val="00D37AF3"/>
    <w:rsid w:val="00D663AF"/>
    <w:rsid w:val="00D71997"/>
    <w:rsid w:val="00D92DED"/>
    <w:rsid w:val="00D97879"/>
    <w:rsid w:val="00DB1733"/>
    <w:rsid w:val="00DB3F67"/>
    <w:rsid w:val="00DD4EB3"/>
    <w:rsid w:val="00DD6969"/>
    <w:rsid w:val="00DD69D6"/>
    <w:rsid w:val="00DE59FF"/>
    <w:rsid w:val="00DF0759"/>
    <w:rsid w:val="00E07EA6"/>
    <w:rsid w:val="00E1352E"/>
    <w:rsid w:val="00E13DC9"/>
    <w:rsid w:val="00E20428"/>
    <w:rsid w:val="00E22B86"/>
    <w:rsid w:val="00E50D54"/>
    <w:rsid w:val="00E81AE2"/>
    <w:rsid w:val="00E909E7"/>
    <w:rsid w:val="00E918A5"/>
    <w:rsid w:val="00EC2CAC"/>
    <w:rsid w:val="00EC5AAC"/>
    <w:rsid w:val="00EC6894"/>
    <w:rsid w:val="00EE27C0"/>
    <w:rsid w:val="00EE4661"/>
    <w:rsid w:val="00EF5735"/>
    <w:rsid w:val="00F06FEF"/>
    <w:rsid w:val="00F111A5"/>
    <w:rsid w:val="00F2229D"/>
    <w:rsid w:val="00F60E57"/>
    <w:rsid w:val="00F61C88"/>
    <w:rsid w:val="00F631C4"/>
    <w:rsid w:val="00F754B0"/>
    <w:rsid w:val="00FA2D80"/>
    <w:rsid w:val="00FB122A"/>
    <w:rsid w:val="00FB4A59"/>
    <w:rsid w:val="00FC3F0D"/>
    <w:rsid w:val="00FD191D"/>
    <w:rsid w:val="00FD78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B734C"/>
  <w15:docId w15:val="{D830EE77-D791-4D3C-9BCB-F53712B3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C88"/>
    <w:pPr>
      <w:spacing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215E"/>
    <w:pPr>
      <w:spacing w:after="0"/>
    </w:pPr>
    <w:rPr>
      <w:sz w:val="20"/>
      <w:szCs w:val="20"/>
    </w:rPr>
  </w:style>
  <w:style w:type="character" w:customStyle="1" w:styleId="FootnoteTextChar">
    <w:name w:val="Footnote Text Char"/>
    <w:basedOn w:val="DefaultParagraphFont"/>
    <w:link w:val="FootnoteText"/>
    <w:uiPriority w:val="99"/>
    <w:rsid w:val="00A4215E"/>
    <w:rPr>
      <w:sz w:val="20"/>
      <w:szCs w:val="20"/>
    </w:rPr>
  </w:style>
  <w:style w:type="character" w:styleId="FootnoteReference">
    <w:name w:val="footnote reference"/>
    <w:basedOn w:val="DefaultParagraphFont"/>
    <w:uiPriority w:val="99"/>
    <w:unhideWhenUsed/>
    <w:rsid w:val="00A4215E"/>
    <w:rPr>
      <w:vertAlign w:val="superscript"/>
    </w:rPr>
  </w:style>
  <w:style w:type="paragraph" w:styleId="HTMLPreformatted">
    <w:name w:val="HTML Preformatted"/>
    <w:basedOn w:val="Normal"/>
    <w:link w:val="HTMLPreformattedChar"/>
    <w:uiPriority w:val="99"/>
    <w:semiHidden/>
    <w:unhideWhenUsed/>
    <w:rsid w:val="000F79C8"/>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F79C8"/>
    <w:rPr>
      <w:rFonts w:ascii="Consolas" w:hAnsi="Consolas" w:cs="Consolas"/>
      <w:sz w:val="20"/>
      <w:szCs w:val="20"/>
    </w:rPr>
  </w:style>
  <w:style w:type="paragraph" w:styleId="ListParagraph">
    <w:name w:val="List Paragraph"/>
    <w:basedOn w:val="Normal"/>
    <w:uiPriority w:val="34"/>
    <w:qFormat/>
    <w:rsid w:val="00FB122A"/>
    <w:pPr>
      <w:ind w:left="720"/>
    </w:pPr>
  </w:style>
  <w:style w:type="character" w:styleId="CommentReference">
    <w:name w:val="annotation reference"/>
    <w:basedOn w:val="DefaultParagraphFont"/>
    <w:uiPriority w:val="99"/>
    <w:semiHidden/>
    <w:unhideWhenUsed/>
    <w:rsid w:val="00FC3F0D"/>
    <w:rPr>
      <w:sz w:val="18"/>
      <w:szCs w:val="18"/>
    </w:rPr>
  </w:style>
  <w:style w:type="paragraph" w:styleId="CommentText">
    <w:name w:val="annotation text"/>
    <w:basedOn w:val="Normal"/>
    <w:link w:val="CommentTextChar"/>
    <w:uiPriority w:val="99"/>
    <w:semiHidden/>
    <w:unhideWhenUsed/>
    <w:rsid w:val="00FC3F0D"/>
    <w:rPr>
      <w:sz w:val="24"/>
      <w:szCs w:val="24"/>
    </w:rPr>
  </w:style>
  <w:style w:type="character" w:customStyle="1" w:styleId="CommentTextChar">
    <w:name w:val="Comment Text Char"/>
    <w:basedOn w:val="DefaultParagraphFont"/>
    <w:link w:val="CommentText"/>
    <w:uiPriority w:val="99"/>
    <w:semiHidden/>
    <w:rsid w:val="00FC3F0D"/>
    <w:rPr>
      <w:sz w:val="24"/>
      <w:szCs w:val="24"/>
    </w:rPr>
  </w:style>
  <w:style w:type="paragraph" w:styleId="CommentSubject">
    <w:name w:val="annotation subject"/>
    <w:basedOn w:val="CommentText"/>
    <w:next w:val="CommentText"/>
    <w:link w:val="CommentSubjectChar"/>
    <w:uiPriority w:val="99"/>
    <w:semiHidden/>
    <w:unhideWhenUsed/>
    <w:rsid w:val="00FC3F0D"/>
    <w:rPr>
      <w:b/>
      <w:bCs/>
      <w:sz w:val="20"/>
      <w:szCs w:val="20"/>
    </w:rPr>
  </w:style>
  <w:style w:type="character" w:customStyle="1" w:styleId="CommentSubjectChar">
    <w:name w:val="Comment Subject Char"/>
    <w:basedOn w:val="CommentTextChar"/>
    <w:link w:val="CommentSubject"/>
    <w:uiPriority w:val="99"/>
    <w:semiHidden/>
    <w:rsid w:val="00FC3F0D"/>
    <w:rPr>
      <w:b/>
      <w:bCs/>
      <w:sz w:val="20"/>
      <w:szCs w:val="20"/>
    </w:rPr>
  </w:style>
  <w:style w:type="paragraph" w:styleId="BalloonText">
    <w:name w:val="Balloon Text"/>
    <w:basedOn w:val="Normal"/>
    <w:link w:val="BalloonTextChar"/>
    <w:uiPriority w:val="99"/>
    <w:semiHidden/>
    <w:unhideWhenUsed/>
    <w:rsid w:val="00FC3F0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3F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EDA32-2DF6-48EA-BCE8-E5FB07FD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E5E4F31.dotm</Template>
  <TotalTime>0</TotalTime>
  <Pages>32</Pages>
  <Words>6093</Words>
  <Characters>34735</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40747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djb29</dc:creator>
  <cp:keywords/>
  <dc:description/>
  <cp:lastModifiedBy>Lucy Cook</cp:lastModifiedBy>
  <cp:revision>2</cp:revision>
  <dcterms:created xsi:type="dcterms:W3CDTF">2016-12-12T11:57:00Z</dcterms:created>
  <dcterms:modified xsi:type="dcterms:W3CDTF">2016-12-12T11:57:00Z</dcterms:modified>
</cp:coreProperties>
</file>