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74317" w14:textId="77777777" w:rsidR="002B63F1" w:rsidRPr="00414AA4" w:rsidRDefault="002B63F1" w:rsidP="00612233">
      <w:pPr>
        <w:jc w:val="center"/>
        <w:rPr>
          <w:rFonts w:ascii="Garamond" w:hAnsi="Garamond"/>
        </w:rPr>
      </w:pPr>
      <w:r w:rsidRPr="00414AA4">
        <w:rPr>
          <w:rFonts w:ascii="Garamond" w:hAnsi="Garamond"/>
          <w:i/>
        </w:rPr>
        <w:t>Childhood, Youth and Religious Dissent in Post-Reformation England</w:t>
      </w:r>
      <w:r w:rsidRPr="00414AA4">
        <w:rPr>
          <w:rFonts w:ascii="Garamond" w:hAnsi="Garamond"/>
        </w:rPr>
        <w:t xml:space="preserve">, by Lucy </w:t>
      </w:r>
      <w:proofErr w:type="gramStart"/>
      <w:r w:rsidRPr="00414AA4">
        <w:rPr>
          <w:rFonts w:ascii="Garamond" w:hAnsi="Garamond"/>
        </w:rPr>
        <w:t>Underwood  (</w:t>
      </w:r>
      <w:proofErr w:type="gramEnd"/>
      <w:r w:rsidRPr="00414AA4">
        <w:rPr>
          <w:rFonts w:ascii="Garamond" w:hAnsi="Garamond"/>
        </w:rPr>
        <w:t>Basingstoke: Palgrave Macmillan, 2014; pp.xvi + 275. £60.)</w:t>
      </w:r>
    </w:p>
    <w:p w14:paraId="65A59ACD" w14:textId="77777777" w:rsidR="002B63F1" w:rsidRPr="00414AA4" w:rsidRDefault="002B63F1" w:rsidP="002B63F1">
      <w:pPr>
        <w:rPr>
          <w:rFonts w:ascii="Garamond" w:hAnsi="Garamond"/>
        </w:rPr>
      </w:pPr>
    </w:p>
    <w:p w14:paraId="7264DC1E" w14:textId="3213FCCE" w:rsidR="006B425D" w:rsidRPr="00414AA4" w:rsidRDefault="006B425D" w:rsidP="006B425D">
      <w:pPr>
        <w:jc w:val="both"/>
        <w:rPr>
          <w:rFonts w:ascii="Garamond" w:hAnsi="Garamond"/>
        </w:rPr>
      </w:pPr>
      <w:r w:rsidRPr="00414AA4">
        <w:rPr>
          <w:rFonts w:ascii="Garamond" w:hAnsi="Garamond"/>
        </w:rPr>
        <w:t>In this monograph, Lucy Underwood makes a significant contribution towards answering the pertinent q</w:t>
      </w:r>
      <w:r w:rsidR="00414AA4">
        <w:rPr>
          <w:rFonts w:ascii="Garamond" w:hAnsi="Garamond"/>
        </w:rPr>
        <w:t>uestion of what it meant to be c</w:t>
      </w:r>
      <w:r w:rsidRPr="00414AA4">
        <w:rPr>
          <w:rFonts w:ascii="Garamond" w:hAnsi="Garamond"/>
        </w:rPr>
        <w:t xml:space="preserve">atholic, </w:t>
      </w:r>
      <w:r w:rsidR="00987952" w:rsidRPr="00414AA4">
        <w:rPr>
          <w:rFonts w:ascii="Garamond" w:hAnsi="Garamond"/>
        </w:rPr>
        <w:t>and to</w:t>
      </w:r>
      <w:r w:rsidR="005D740C" w:rsidRPr="00414AA4">
        <w:rPr>
          <w:rFonts w:ascii="Garamond" w:hAnsi="Garamond"/>
        </w:rPr>
        <w:t xml:space="preserve"> </w:t>
      </w:r>
      <w:r w:rsidR="00987952" w:rsidRPr="00414AA4">
        <w:rPr>
          <w:rFonts w:ascii="Garamond" w:hAnsi="Garamond"/>
        </w:rPr>
        <w:t xml:space="preserve">live </w:t>
      </w:r>
      <w:r w:rsidRPr="00414AA4">
        <w:rPr>
          <w:rFonts w:ascii="Garamond" w:hAnsi="Garamond"/>
        </w:rPr>
        <w:t>as</w:t>
      </w:r>
      <w:r w:rsidR="005D740C" w:rsidRPr="00414AA4">
        <w:rPr>
          <w:rFonts w:ascii="Garamond" w:hAnsi="Garamond"/>
        </w:rPr>
        <w:t xml:space="preserve"> a </w:t>
      </w:r>
      <w:r w:rsidRPr="00414AA4">
        <w:rPr>
          <w:rFonts w:ascii="Garamond" w:hAnsi="Garamond"/>
        </w:rPr>
        <w:t>member</w:t>
      </w:r>
      <w:r w:rsidR="005D740C" w:rsidRPr="00414AA4">
        <w:rPr>
          <w:rFonts w:ascii="Garamond" w:hAnsi="Garamond"/>
        </w:rPr>
        <w:t xml:space="preserve"> </w:t>
      </w:r>
      <w:r w:rsidRPr="00414AA4">
        <w:rPr>
          <w:rFonts w:ascii="Garamond" w:hAnsi="Garamond"/>
        </w:rPr>
        <w:t>of the most ‘controversial minority’ in post-Reformation England. Specifically, Underwood is interested in ‘the experiences and self-representations of children and young people who came to identify themselves with Catholicism’ (p.1) and she fills a notable gap in the burgeoning field of the history of early modern youth and childhood.</w:t>
      </w:r>
    </w:p>
    <w:p w14:paraId="225D5D2B" w14:textId="77777777" w:rsidR="006B425D" w:rsidRPr="00414AA4" w:rsidRDefault="006B425D" w:rsidP="006B425D">
      <w:pPr>
        <w:rPr>
          <w:rFonts w:ascii="Garamond" w:hAnsi="Garamond"/>
        </w:rPr>
      </w:pPr>
    </w:p>
    <w:p w14:paraId="72CBEE3E" w14:textId="2AB88136" w:rsidR="006B425D" w:rsidRPr="00414AA4" w:rsidRDefault="006B425D" w:rsidP="00DB4C5D">
      <w:pPr>
        <w:ind w:firstLine="720"/>
        <w:jc w:val="both"/>
        <w:rPr>
          <w:rFonts w:ascii="Garamond" w:hAnsi="Garamond"/>
        </w:rPr>
      </w:pPr>
      <w:r w:rsidRPr="00414AA4">
        <w:rPr>
          <w:rFonts w:ascii="Garamond" w:hAnsi="Garamond"/>
        </w:rPr>
        <w:t xml:space="preserve">Underwood’s chronological scope is ambitious, and reaches from the Henrician Reformation to 1685. The majority of her </w:t>
      </w:r>
      <w:bookmarkStart w:id="0" w:name="_GoBack"/>
      <w:bookmarkEnd w:id="0"/>
      <w:r w:rsidRPr="00414AA4">
        <w:rPr>
          <w:rFonts w:ascii="Garamond" w:hAnsi="Garamond"/>
        </w:rPr>
        <w:t>evidence, however, is from the mid-Elizabethan period onwards, the time when children and young peopl</w:t>
      </w:r>
      <w:r w:rsidR="00414AA4">
        <w:rPr>
          <w:rFonts w:ascii="Garamond" w:hAnsi="Garamond"/>
        </w:rPr>
        <w:t>e travelled to the C</w:t>
      </w:r>
      <w:r w:rsidR="005D740C" w:rsidRPr="00414AA4">
        <w:rPr>
          <w:rFonts w:ascii="Garamond" w:hAnsi="Garamond"/>
        </w:rPr>
        <w:t xml:space="preserve">ontinent to </w:t>
      </w:r>
      <w:r w:rsidRPr="00414AA4">
        <w:rPr>
          <w:rFonts w:ascii="Garamond" w:hAnsi="Garamond"/>
        </w:rPr>
        <w:t>newly established seminaries and convents</w:t>
      </w:r>
      <w:r w:rsidR="005D740C" w:rsidRPr="00414AA4">
        <w:rPr>
          <w:rFonts w:ascii="Garamond" w:hAnsi="Garamond"/>
        </w:rPr>
        <w:t xml:space="preserve"> for English men and women</w:t>
      </w:r>
      <w:r w:rsidR="00AC6049" w:rsidRPr="00414AA4">
        <w:rPr>
          <w:rFonts w:ascii="Garamond" w:hAnsi="Garamond"/>
        </w:rPr>
        <w:t>,</w:t>
      </w:r>
      <w:r w:rsidRPr="00414AA4">
        <w:rPr>
          <w:rFonts w:ascii="Garamond" w:hAnsi="Garamond"/>
        </w:rPr>
        <w:t xml:space="preserve"> for education and religious vocation. Underwood’s richest source material derives from the little studied ‘entrance’ questionnaires to the English Colleges at Rome (founded 1579) and Valladolid (founded 1589), the </w:t>
      </w:r>
      <w:r w:rsidRPr="00414AA4">
        <w:rPr>
          <w:rFonts w:ascii="Garamond" w:hAnsi="Garamond"/>
          <w:i/>
        </w:rPr>
        <w:t xml:space="preserve">Responsa Scholarum </w:t>
      </w:r>
      <w:r w:rsidRPr="00414AA4">
        <w:rPr>
          <w:rFonts w:ascii="Garamond" w:hAnsi="Garamond"/>
        </w:rPr>
        <w:t xml:space="preserve">and the </w:t>
      </w:r>
      <w:r w:rsidRPr="00414AA4">
        <w:rPr>
          <w:rFonts w:ascii="Garamond" w:hAnsi="Garamond"/>
          <w:i/>
        </w:rPr>
        <w:t>Liber Primi Examinis</w:t>
      </w:r>
      <w:r w:rsidRPr="00414AA4">
        <w:rPr>
          <w:rFonts w:ascii="Garamond" w:hAnsi="Garamond"/>
        </w:rPr>
        <w:t xml:space="preserve"> respectively. Underwood’s other sources</w:t>
      </w:r>
      <w:r w:rsidR="005D740C" w:rsidRPr="00414AA4">
        <w:rPr>
          <w:rFonts w:ascii="Garamond" w:hAnsi="Garamond"/>
        </w:rPr>
        <w:t xml:space="preserve"> </w:t>
      </w:r>
      <w:r w:rsidR="00414AA4" w:rsidRPr="00414AA4">
        <w:rPr>
          <w:rFonts w:ascii="Garamond" w:hAnsi="Garamond"/>
        </w:rPr>
        <w:t>(</w:t>
      </w:r>
      <w:r w:rsidRPr="00414AA4">
        <w:rPr>
          <w:rFonts w:ascii="Garamond" w:hAnsi="Garamond"/>
        </w:rPr>
        <w:t>persecution narratives, polemic</w:t>
      </w:r>
      <w:r w:rsidR="005D740C" w:rsidRPr="00414AA4">
        <w:rPr>
          <w:rFonts w:ascii="Garamond" w:hAnsi="Garamond"/>
        </w:rPr>
        <w:t>s</w:t>
      </w:r>
      <w:r w:rsidRPr="00414AA4">
        <w:rPr>
          <w:rFonts w:ascii="Garamond" w:hAnsi="Garamond"/>
        </w:rPr>
        <w:t>, hagio</w:t>
      </w:r>
      <w:r w:rsidR="00414AA4" w:rsidRPr="00414AA4">
        <w:rPr>
          <w:rFonts w:ascii="Garamond" w:hAnsi="Garamond"/>
        </w:rPr>
        <w:t>graphy, and government records)</w:t>
      </w:r>
      <w:r w:rsidRPr="00414AA4">
        <w:rPr>
          <w:rFonts w:ascii="Garamond" w:hAnsi="Garamond"/>
        </w:rPr>
        <w:t xml:space="preserve"> tend</w:t>
      </w:r>
      <w:r w:rsidR="00AB4808" w:rsidRPr="00414AA4">
        <w:rPr>
          <w:rFonts w:ascii="Garamond" w:hAnsi="Garamond"/>
        </w:rPr>
        <w:t>, by their very nature,</w:t>
      </w:r>
      <w:r w:rsidRPr="00414AA4">
        <w:rPr>
          <w:rFonts w:ascii="Garamond" w:hAnsi="Garamond"/>
        </w:rPr>
        <w:t xml:space="preserve"> to reveal moments of confrontation, rather than to shine light on the more ‘ordinary’ experiences of the everyday. Nonetheless, as Underwood acknowledges, ‘the unusual is more likely than the typical to leave traces in the historical record’ (p.6).</w:t>
      </w:r>
    </w:p>
    <w:p w14:paraId="147FC680" w14:textId="77777777" w:rsidR="006B425D" w:rsidRPr="00414AA4" w:rsidRDefault="006B425D" w:rsidP="006B425D">
      <w:pPr>
        <w:rPr>
          <w:rFonts w:ascii="Garamond" w:hAnsi="Garamond"/>
        </w:rPr>
      </w:pPr>
    </w:p>
    <w:p w14:paraId="04EEC74A" w14:textId="11E464A8" w:rsidR="006B425D" w:rsidRPr="00414AA4" w:rsidRDefault="006B425D" w:rsidP="00DB4C5D">
      <w:pPr>
        <w:ind w:firstLine="720"/>
        <w:jc w:val="both"/>
        <w:rPr>
          <w:rFonts w:ascii="Garamond" w:hAnsi="Garamond"/>
        </w:rPr>
      </w:pPr>
      <w:r w:rsidRPr="00414AA4">
        <w:rPr>
          <w:rFonts w:ascii="Garamond" w:hAnsi="Garamond"/>
        </w:rPr>
        <w:t xml:space="preserve">The book’s nine chapters have been divided into three parts, as well as an introduction, a ‘coda’, and a conclusion. Part I </w:t>
      </w:r>
      <w:proofErr w:type="gramStart"/>
      <w:r w:rsidRPr="00414AA4">
        <w:rPr>
          <w:rFonts w:ascii="Garamond" w:hAnsi="Garamond"/>
        </w:rPr>
        <w:t>interrogates</w:t>
      </w:r>
      <w:proofErr w:type="gramEnd"/>
      <w:r w:rsidRPr="00414AA4">
        <w:rPr>
          <w:rFonts w:ascii="Garamond" w:hAnsi="Garamond"/>
        </w:rPr>
        <w:t xml:space="preserve"> the theme of ‘Making Catholics’</w:t>
      </w:r>
      <w:r w:rsidR="005D740C" w:rsidRPr="00414AA4">
        <w:rPr>
          <w:rFonts w:ascii="Garamond" w:hAnsi="Garamond"/>
        </w:rPr>
        <w:t>, and in</w:t>
      </w:r>
      <w:r w:rsidRPr="00414AA4">
        <w:rPr>
          <w:rFonts w:ascii="Garamond" w:hAnsi="Garamond"/>
        </w:rPr>
        <w:t xml:space="preserve"> the first chapter Underwood asks what defined children as ‘Catholic’. </w:t>
      </w:r>
      <w:r w:rsidR="005D740C" w:rsidRPr="00414AA4">
        <w:rPr>
          <w:rFonts w:ascii="Garamond" w:hAnsi="Garamond"/>
        </w:rPr>
        <w:t xml:space="preserve">She </w:t>
      </w:r>
      <w:r w:rsidRPr="00414AA4">
        <w:rPr>
          <w:rFonts w:ascii="Garamond" w:hAnsi="Garamond"/>
        </w:rPr>
        <w:t>considers this question in relation to children’s own awareness of their confessional identity, as well as the opinions of those around them. Baptism, perhaps not surprisingly, does not seem to have been as important a confessional m</w:t>
      </w:r>
      <w:r w:rsidR="00802621" w:rsidRPr="00414AA4">
        <w:rPr>
          <w:rFonts w:ascii="Garamond" w:hAnsi="Garamond"/>
        </w:rPr>
        <w:t xml:space="preserve">arker as that of recusancy </w:t>
      </w:r>
      <w:r w:rsidR="005D740C" w:rsidRPr="00414AA4">
        <w:rPr>
          <w:rFonts w:ascii="Garamond" w:hAnsi="Garamond"/>
        </w:rPr>
        <w:t>(</w:t>
      </w:r>
      <w:r w:rsidRPr="00414AA4">
        <w:rPr>
          <w:rFonts w:ascii="Garamond" w:hAnsi="Garamond"/>
        </w:rPr>
        <w:t>refusing to attend the established church</w:t>
      </w:r>
      <w:r w:rsidR="005D740C" w:rsidRPr="00414AA4">
        <w:rPr>
          <w:rFonts w:ascii="Garamond" w:hAnsi="Garamond"/>
        </w:rPr>
        <w:t>)</w:t>
      </w:r>
      <w:r w:rsidRPr="00414AA4">
        <w:rPr>
          <w:rFonts w:ascii="Garamond" w:hAnsi="Garamond"/>
        </w:rPr>
        <w:t>. Interestingly, whilst the ‘recusant child’ was legally impossible (at least for those under the age of 16</w:t>
      </w:r>
      <w:r w:rsidR="005D740C" w:rsidRPr="00414AA4">
        <w:rPr>
          <w:rFonts w:ascii="Garamond" w:hAnsi="Garamond"/>
        </w:rPr>
        <w:t>), Underwood highlights how the image of</w:t>
      </w:r>
      <w:r w:rsidRPr="00414AA4">
        <w:rPr>
          <w:rFonts w:ascii="Garamond" w:hAnsi="Garamond"/>
        </w:rPr>
        <w:t xml:space="preserve"> recusant child</w:t>
      </w:r>
      <w:r w:rsidR="00414AA4" w:rsidRPr="00414AA4">
        <w:rPr>
          <w:rFonts w:ascii="Garamond" w:hAnsi="Garamond"/>
        </w:rPr>
        <w:t>ren was extremely pervasive in c</w:t>
      </w:r>
      <w:r w:rsidRPr="00414AA4">
        <w:rPr>
          <w:rFonts w:ascii="Garamond" w:hAnsi="Garamond"/>
        </w:rPr>
        <w:t xml:space="preserve">atholic persecution narratives. </w:t>
      </w:r>
    </w:p>
    <w:p w14:paraId="57600A7E" w14:textId="77777777" w:rsidR="006B425D" w:rsidRPr="00414AA4" w:rsidRDefault="006B425D" w:rsidP="006B425D">
      <w:pPr>
        <w:rPr>
          <w:rFonts w:ascii="Garamond" w:hAnsi="Garamond"/>
        </w:rPr>
      </w:pPr>
    </w:p>
    <w:p w14:paraId="1A7F6ED9" w14:textId="30D6EFF4" w:rsidR="006B425D" w:rsidRPr="00414AA4" w:rsidRDefault="006B425D" w:rsidP="00DB4C5D">
      <w:pPr>
        <w:ind w:firstLine="720"/>
        <w:jc w:val="both"/>
        <w:rPr>
          <w:rFonts w:ascii="Garamond" w:hAnsi="Garamond"/>
        </w:rPr>
      </w:pPr>
      <w:r w:rsidRPr="00414AA4">
        <w:rPr>
          <w:rFonts w:ascii="Garamond" w:hAnsi="Garamond"/>
        </w:rPr>
        <w:t>In the second chapter</w:t>
      </w:r>
      <w:r w:rsidR="00414AA4" w:rsidRPr="00414AA4">
        <w:rPr>
          <w:rFonts w:ascii="Garamond" w:hAnsi="Garamond"/>
        </w:rPr>
        <w:t>,</w:t>
      </w:r>
      <w:r w:rsidRPr="00414AA4">
        <w:rPr>
          <w:rFonts w:ascii="Garamond" w:hAnsi="Garamond"/>
        </w:rPr>
        <w:t xml:space="preserve"> Underwood asks how children and young people both ‘beca</w:t>
      </w:r>
      <w:r w:rsidR="00414AA4">
        <w:rPr>
          <w:rFonts w:ascii="Garamond" w:hAnsi="Garamond"/>
        </w:rPr>
        <w:t>me’ and were ‘claimed’ as c</w:t>
      </w:r>
      <w:r w:rsidR="005D740C" w:rsidRPr="00414AA4">
        <w:rPr>
          <w:rFonts w:ascii="Garamond" w:hAnsi="Garamond"/>
        </w:rPr>
        <w:t>atholic. T</w:t>
      </w:r>
      <w:r w:rsidRPr="00414AA4">
        <w:rPr>
          <w:rFonts w:ascii="Garamond" w:hAnsi="Garamond"/>
        </w:rPr>
        <w:t>he most important site for ‘conversion’ was the household</w:t>
      </w:r>
      <w:r w:rsidR="005D740C" w:rsidRPr="00414AA4">
        <w:rPr>
          <w:rStyle w:val="CommentReference"/>
          <w:rFonts w:ascii="Garamond" w:hAnsi="Garamond"/>
          <w:sz w:val="24"/>
          <w:szCs w:val="24"/>
        </w:rPr>
        <w:t xml:space="preserve">, and </w:t>
      </w:r>
      <w:r w:rsidRPr="00414AA4">
        <w:rPr>
          <w:rFonts w:ascii="Garamond" w:hAnsi="Garamond"/>
        </w:rPr>
        <w:t xml:space="preserve">Underwood explores not only how religion was transferred vertically between parents to children, but how it might also be transferred horizontally between siblings. </w:t>
      </w:r>
      <w:r w:rsidR="00414AA4">
        <w:rPr>
          <w:rFonts w:ascii="Garamond" w:hAnsi="Garamond"/>
        </w:rPr>
        <w:t>A young person’s conversion to c</w:t>
      </w:r>
      <w:r w:rsidRPr="00414AA4">
        <w:rPr>
          <w:rFonts w:ascii="Garamond" w:hAnsi="Garamond"/>
        </w:rPr>
        <w:t xml:space="preserve">atholicism was not always easy, and due to the nature of the evidence – the responses to the </w:t>
      </w:r>
      <w:r w:rsidRPr="00414AA4">
        <w:rPr>
          <w:rFonts w:ascii="Garamond" w:hAnsi="Garamond"/>
          <w:i/>
        </w:rPr>
        <w:t xml:space="preserve">LPE </w:t>
      </w:r>
      <w:r w:rsidRPr="00414AA4">
        <w:rPr>
          <w:rFonts w:ascii="Garamond" w:hAnsi="Garamond"/>
        </w:rPr>
        <w:t xml:space="preserve">and the </w:t>
      </w:r>
      <w:r w:rsidRPr="00414AA4">
        <w:rPr>
          <w:rFonts w:ascii="Garamond" w:hAnsi="Garamond"/>
          <w:i/>
        </w:rPr>
        <w:t>Responsa</w:t>
      </w:r>
      <w:r w:rsidRPr="00414AA4">
        <w:rPr>
          <w:rFonts w:ascii="Garamond" w:hAnsi="Garamond"/>
        </w:rPr>
        <w:t xml:space="preserve"> - rebelliousness </w:t>
      </w:r>
      <w:r w:rsidR="005D740C" w:rsidRPr="00414AA4">
        <w:rPr>
          <w:rFonts w:ascii="Garamond" w:hAnsi="Garamond"/>
        </w:rPr>
        <w:t xml:space="preserve">was </w:t>
      </w:r>
      <w:r w:rsidRPr="00414AA4">
        <w:rPr>
          <w:rFonts w:ascii="Garamond" w:hAnsi="Garamond"/>
        </w:rPr>
        <w:t xml:space="preserve">inherent. As Underwood explains, their ‘appearance in Rome or Valladolid at all represented an escape – sometimes from parental control, always from English law – and hence subversion’ (p.49). </w:t>
      </w:r>
    </w:p>
    <w:p w14:paraId="25CC43F7" w14:textId="77777777" w:rsidR="006B425D" w:rsidRPr="00414AA4" w:rsidRDefault="006B425D" w:rsidP="006B425D">
      <w:pPr>
        <w:rPr>
          <w:rFonts w:ascii="Garamond" w:hAnsi="Garamond"/>
        </w:rPr>
      </w:pPr>
    </w:p>
    <w:p w14:paraId="285818FF" w14:textId="1834ADFB" w:rsidR="006B425D" w:rsidRPr="00414AA4" w:rsidRDefault="006B425D" w:rsidP="00DB4C5D">
      <w:pPr>
        <w:ind w:firstLine="720"/>
        <w:jc w:val="both"/>
        <w:rPr>
          <w:rFonts w:ascii="Garamond" w:hAnsi="Garamond"/>
        </w:rPr>
      </w:pPr>
      <w:r w:rsidRPr="00414AA4">
        <w:rPr>
          <w:rFonts w:ascii="Garamond" w:hAnsi="Garamond"/>
        </w:rPr>
        <w:t xml:space="preserve">In the third chapter Underwood analyses the ways in which children and young people could ‘experience’ </w:t>
      </w:r>
      <w:r w:rsidR="00414AA4">
        <w:rPr>
          <w:rFonts w:ascii="Garamond" w:hAnsi="Garamond"/>
        </w:rPr>
        <w:t>c</w:t>
      </w:r>
      <w:r w:rsidRPr="00414AA4">
        <w:rPr>
          <w:rFonts w:ascii="Garamond" w:hAnsi="Garamond"/>
        </w:rPr>
        <w:t>atholicism. The household is once more a crucial site, as children used catechisms, heard mass, observed the holy calendar of fasting and feasting, and wer</w:t>
      </w:r>
      <w:r w:rsidR="00414AA4">
        <w:rPr>
          <w:rFonts w:ascii="Garamond" w:hAnsi="Garamond"/>
        </w:rPr>
        <w:t>e involved in prayer and other C</w:t>
      </w:r>
      <w:r w:rsidRPr="00414AA4">
        <w:rPr>
          <w:rFonts w:ascii="Garamond" w:hAnsi="Garamond"/>
        </w:rPr>
        <w:t xml:space="preserve">atholic devotions such as the rosary. Persecution is a recurring feature, and even catechisms encouraged children to enter into an identity of resistance. For example, in Henry Turberville’s </w:t>
      </w:r>
      <w:r w:rsidRPr="00414AA4">
        <w:rPr>
          <w:rFonts w:ascii="Garamond" w:hAnsi="Garamond"/>
          <w:i/>
        </w:rPr>
        <w:t xml:space="preserve">Abridgement of Christian Doctrine, </w:t>
      </w:r>
      <w:r w:rsidRPr="00414AA4">
        <w:rPr>
          <w:rFonts w:ascii="Garamond" w:hAnsi="Garamond"/>
        </w:rPr>
        <w:t>after each article there is the question ‘How prove you that</w:t>
      </w:r>
      <w:r w:rsidR="00802621" w:rsidRPr="00414AA4">
        <w:rPr>
          <w:rFonts w:ascii="Garamond" w:hAnsi="Garamond"/>
        </w:rPr>
        <w:t>?</w:t>
      </w:r>
      <w:r w:rsidRPr="00414AA4">
        <w:rPr>
          <w:rFonts w:ascii="Garamond" w:hAnsi="Garamond"/>
        </w:rPr>
        <w:t xml:space="preserve">’, followed by biblical citations. </w:t>
      </w:r>
      <w:r w:rsidR="00414AA4">
        <w:rPr>
          <w:rFonts w:ascii="Garamond" w:hAnsi="Garamond"/>
        </w:rPr>
        <w:lastRenderedPageBreak/>
        <w:t>The c</w:t>
      </w:r>
      <w:r w:rsidRPr="00414AA4">
        <w:rPr>
          <w:rFonts w:ascii="Garamond" w:hAnsi="Garamond"/>
        </w:rPr>
        <w:t>atholic child was ther</w:t>
      </w:r>
      <w:r w:rsidR="00414AA4">
        <w:rPr>
          <w:rFonts w:ascii="Garamond" w:hAnsi="Garamond"/>
        </w:rPr>
        <w:t>efore armed against the common protestant criticisms that c</w:t>
      </w:r>
      <w:r w:rsidRPr="00414AA4">
        <w:rPr>
          <w:rFonts w:ascii="Garamond" w:hAnsi="Garamond"/>
        </w:rPr>
        <w:t xml:space="preserve">atholicism was unbiblical. </w:t>
      </w:r>
    </w:p>
    <w:p w14:paraId="56C3C64D" w14:textId="77777777" w:rsidR="006B425D" w:rsidRPr="00414AA4" w:rsidRDefault="006B425D" w:rsidP="006B425D">
      <w:pPr>
        <w:jc w:val="both"/>
        <w:rPr>
          <w:rFonts w:ascii="Garamond" w:hAnsi="Garamond"/>
        </w:rPr>
      </w:pPr>
    </w:p>
    <w:p w14:paraId="2F9B65BE" w14:textId="23DBB56B" w:rsidR="006B425D" w:rsidRPr="00414AA4" w:rsidRDefault="006B425D" w:rsidP="00DB4C5D">
      <w:pPr>
        <w:ind w:firstLine="720"/>
        <w:jc w:val="both"/>
        <w:rPr>
          <w:rFonts w:ascii="Garamond" w:hAnsi="Garamond"/>
        </w:rPr>
      </w:pPr>
      <w:r w:rsidRPr="00414AA4">
        <w:rPr>
          <w:rFonts w:ascii="Garamond" w:hAnsi="Garamond"/>
        </w:rPr>
        <w:t>Persecution was f</w:t>
      </w:r>
      <w:r w:rsidR="00802621" w:rsidRPr="00414AA4">
        <w:rPr>
          <w:rFonts w:ascii="Garamond" w:hAnsi="Garamond"/>
        </w:rPr>
        <w:t xml:space="preserve">undamental to </w:t>
      </w:r>
      <w:r w:rsidRPr="00414AA4">
        <w:rPr>
          <w:rFonts w:ascii="Garamond" w:hAnsi="Garamond"/>
        </w:rPr>
        <w:t>responses to the questionnaires at Rome and Valladolid, as young people were encouraged to reflect on their own experiences: at the English College, Rome, each entrant was asked ‘whether he had ever suffered anything for the faith’. Yet evidence for any systematic persecution involving children is patchy, and in the fourth and fifth chapters Underwood traces the relationshi</w:t>
      </w:r>
      <w:r w:rsidR="00414AA4">
        <w:rPr>
          <w:rFonts w:ascii="Garamond" w:hAnsi="Garamond"/>
        </w:rPr>
        <w:t>p between the pr</w:t>
      </w:r>
      <w:r w:rsidRPr="00414AA4">
        <w:rPr>
          <w:rFonts w:ascii="Garamond" w:hAnsi="Garamond"/>
        </w:rPr>
        <w:t xml:space="preserve">otestant </w:t>
      </w:r>
      <w:r w:rsidR="006A68DB" w:rsidRPr="00414AA4">
        <w:rPr>
          <w:rFonts w:ascii="Garamond" w:hAnsi="Garamond"/>
        </w:rPr>
        <w:t>state</w:t>
      </w:r>
      <w:r w:rsidR="005D740C" w:rsidRPr="00414AA4">
        <w:rPr>
          <w:rStyle w:val="CommentReference"/>
          <w:rFonts w:ascii="Garamond" w:hAnsi="Garamond"/>
          <w:sz w:val="24"/>
          <w:szCs w:val="24"/>
        </w:rPr>
        <w:t xml:space="preserve"> </w:t>
      </w:r>
      <w:r w:rsidR="00414AA4">
        <w:rPr>
          <w:rFonts w:ascii="Garamond" w:hAnsi="Garamond"/>
        </w:rPr>
        <w:t>and c</w:t>
      </w:r>
      <w:r w:rsidRPr="00414AA4">
        <w:rPr>
          <w:rFonts w:ascii="Garamond" w:hAnsi="Garamond"/>
        </w:rPr>
        <w:t>atholic children. Protestant ideology was characterised by a desire to intervene in t</w:t>
      </w:r>
      <w:r w:rsidR="00414AA4">
        <w:rPr>
          <w:rFonts w:ascii="Garamond" w:hAnsi="Garamond"/>
        </w:rPr>
        <w:t>he education and upbringing of c</w:t>
      </w:r>
      <w:r w:rsidRPr="00414AA4">
        <w:rPr>
          <w:rFonts w:ascii="Garamond" w:hAnsi="Garamond"/>
        </w:rPr>
        <w:t>atholic children, but this was never fully implemented due to tensions with parental rights. Th</w:t>
      </w:r>
      <w:r w:rsidR="00414AA4">
        <w:rPr>
          <w:rFonts w:ascii="Garamond" w:hAnsi="Garamond"/>
        </w:rPr>
        <w:t>is ideology, however, fed into c</w:t>
      </w:r>
      <w:r w:rsidRPr="00414AA4">
        <w:rPr>
          <w:rFonts w:ascii="Garamond" w:hAnsi="Garamond"/>
        </w:rPr>
        <w:t xml:space="preserve">atholic propaganda – where the fear and threat of child abduction loomed large. </w:t>
      </w:r>
    </w:p>
    <w:p w14:paraId="779B07D5" w14:textId="77777777" w:rsidR="006B425D" w:rsidRPr="00414AA4" w:rsidRDefault="006B425D" w:rsidP="006B425D">
      <w:pPr>
        <w:rPr>
          <w:rFonts w:ascii="Garamond" w:hAnsi="Garamond"/>
        </w:rPr>
      </w:pPr>
    </w:p>
    <w:p w14:paraId="1188601B" w14:textId="285D711D" w:rsidR="006B425D" w:rsidRPr="00414AA4" w:rsidRDefault="006B425D" w:rsidP="006B425D">
      <w:pPr>
        <w:jc w:val="both"/>
        <w:rPr>
          <w:rFonts w:ascii="Garamond" w:hAnsi="Garamond"/>
        </w:rPr>
      </w:pPr>
      <w:r w:rsidRPr="00414AA4">
        <w:rPr>
          <w:rFonts w:ascii="Garamond" w:hAnsi="Garamond"/>
        </w:rPr>
        <w:t>In Part III, Und</w:t>
      </w:r>
      <w:r w:rsidR="00414AA4">
        <w:rPr>
          <w:rFonts w:ascii="Garamond" w:hAnsi="Garamond"/>
        </w:rPr>
        <w:t>erwood highlights the way that c</w:t>
      </w:r>
      <w:r w:rsidRPr="00414AA4">
        <w:rPr>
          <w:rFonts w:ascii="Garamond" w:hAnsi="Garamond"/>
        </w:rPr>
        <w:t>at</w:t>
      </w:r>
      <w:r w:rsidR="00414AA4">
        <w:rPr>
          <w:rFonts w:ascii="Garamond" w:hAnsi="Garamond"/>
        </w:rPr>
        <w:t>holics exhorted and celebrated c</w:t>
      </w:r>
      <w:r w:rsidRPr="00414AA4">
        <w:rPr>
          <w:rFonts w:ascii="Garamond" w:hAnsi="Garamond"/>
        </w:rPr>
        <w:t>atholic youth – as Edmund Campion exclaimed in his lecture ‘The young scholar’: ‘Whereby you see, dearest and most learned youths, to suffer the loss of none of this precious time, so that out of this seminary you may gather a fruitful and plentiful harvest, which will succour the general distress</w:t>
      </w:r>
      <w:r w:rsidR="00F02478" w:rsidRPr="00414AA4">
        <w:rPr>
          <w:rFonts w:ascii="Garamond" w:hAnsi="Garamond"/>
        </w:rPr>
        <w:t>’.</w:t>
      </w:r>
      <w:r w:rsidR="00414AA4">
        <w:rPr>
          <w:rFonts w:ascii="Garamond" w:hAnsi="Garamond"/>
        </w:rPr>
        <w:t xml:space="preserve"> (p.116). In Chapter S</w:t>
      </w:r>
      <w:r w:rsidRPr="00414AA4">
        <w:rPr>
          <w:rFonts w:ascii="Garamond" w:hAnsi="Garamond"/>
        </w:rPr>
        <w:t>ix, Underwood argues how appeals to youth like this consistently combined messages of piety and defence.</w:t>
      </w:r>
    </w:p>
    <w:p w14:paraId="37DBAAAD" w14:textId="77777777" w:rsidR="006B425D" w:rsidRPr="00414AA4" w:rsidRDefault="006B425D" w:rsidP="006B425D">
      <w:pPr>
        <w:rPr>
          <w:rFonts w:ascii="Garamond" w:hAnsi="Garamond"/>
        </w:rPr>
      </w:pPr>
    </w:p>
    <w:p w14:paraId="012F718A" w14:textId="794E4636" w:rsidR="006B425D" w:rsidRPr="00414AA4" w:rsidRDefault="006B425D" w:rsidP="00DB4C5D">
      <w:pPr>
        <w:ind w:firstLine="720"/>
        <w:jc w:val="both"/>
        <w:rPr>
          <w:rFonts w:ascii="Garamond" w:hAnsi="Garamond"/>
        </w:rPr>
      </w:pPr>
      <w:r w:rsidRPr="00414AA4">
        <w:rPr>
          <w:rFonts w:ascii="Garamond" w:hAnsi="Garamond"/>
        </w:rPr>
        <w:t xml:space="preserve">It is evident that young people did respond </w:t>
      </w:r>
      <w:r w:rsidR="00414AA4">
        <w:rPr>
          <w:rFonts w:ascii="Garamond" w:hAnsi="Garamond"/>
        </w:rPr>
        <w:t>to such rallying cries, and in C</w:t>
      </w:r>
      <w:r w:rsidRPr="00414AA4">
        <w:rPr>
          <w:rFonts w:ascii="Garamond" w:hAnsi="Garamond"/>
        </w:rPr>
        <w:t xml:space="preserve">hapter </w:t>
      </w:r>
      <w:r w:rsidR="00414AA4">
        <w:rPr>
          <w:rFonts w:ascii="Garamond" w:hAnsi="Garamond"/>
        </w:rPr>
        <w:t>Seven and E</w:t>
      </w:r>
      <w:r w:rsidRPr="00414AA4">
        <w:rPr>
          <w:rFonts w:ascii="Garamond" w:hAnsi="Garamond"/>
        </w:rPr>
        <w:t>igh</w:t>
      </w:r>
      <w:r w:rsidR="00414AA4">
        <w:rPr>
          <w:rFonts w:ascii="Garamond" w:hAnsi="Garamond"/>
        </w:rPr>
        <w:t>t Underwood explores how young c</w:t>
      </w:r>
      <w:r w:rsidRPr="00414AA4">
        <w:rPr>
          <w:rFonts w:ascii="Garamond" w:hAnsi="Garamond"/>
        </w:rPr>
        <w:t xml:space="preserve">atholics were not simply passive participants but active agents in the survival of the mission. Governmental reports of </w:t>
      </w:r>
      <w:r w:rsidR="00444413" w:rsidRPr="00414AA4">
        <w:rPr>
          <w:rFonts w:ascii="Garamond" w:hAnsi="Garamond"/>
        </w:rPr>
        <w:t xml:space="preserve">the involvement of </w:t>
      </w:r>
      <w:r w:rsidRPr="00414AA4">
        <w:rPr>
          <w:rFonts w:ascii="Garamond" w:hAnsi="Garamond"/>
        </w:rPr>
        <w:t xml:space="preserve">young </w:t>
      </w:r>
      <w:r w:rsidR="00444413" w:rsidRPr="00414AA4">
        <w:rPr>
          <w:rFonts w:ascii="Garamond" w:hAnsi="Garamond"/>
        </w:rPr>
        <w:t>people</w:t>
      </w:r>
      <w:r w:rsidRPr="00414AA4">
        <w:rPr>
          <w:rFonts w:ascii="Garamond" w:hAnsi="Garamond"/>
        </w:rPr>
        <w:t xml:space="preserve"> in </w:t>
      </w:r>
      <w:r w:rsidR="00444413" w:rsidRPr="00414AA4">
        <w:rPr>
          <w:rFonts w:ascii="Garamond" w:hAnsi="Garamond"/>
        </w:rPr>
        <w:t xml:space="preserve">the </w:t>
      </w:r>
      <w:r w:rsidR="00414AA4">
        <w:rPr>
          <w:rFonts w:ascii="Garamond" w:hAnsi="Garamond"/>
        </w:rPr>
        <w:t>c</w:t>
      </w:r>
      <w:r w:rsidRPr="00414AA4">
        <w:rPr>
          <w:rFonts w:ascii="Garamond" w:hAnsi="Garamond"/>
        </w:rPr>
        <w:t xml:space="preserve">atholic </w:t>
      </w:r>
      <w:r w:rsidR="00444413" w:rsidRPr="00414AA4">
        <w:rPr>
          <w:rFonts w:ascii="Garamond" w:hAnsi="Garamond"/>
        </w:rPr>
        <w:t>underground</w:t>
      </w:r>
      <w:r w:rsidRPr="00414AA4">
        <w:rPr>
          <w:rFonts w:ascii="Garamond" w:hAnsi="Garamond"/>
        </w:rPr>
        <w:t xml:space="preserve"> are freq</w:t>
      </w:r>
      <w:r w:rsidR="00414AA4">
        <w:rPr>
          <w:rFonts w:ascii="Garamond" w:hAnsi="Garamond"/>
        </w:rPr>
        <w:t>uent, and this zeal concerned pr</w:t>
      </w:r>
      <w:r w:rsidRPr="00414AA4">
        <w:rPr>
          <w:rFonts w:ascii="Garamond" w:hAnsi="Garamond"/>
        </w:rPr>
        <w:t>otestant officials. In response, Underwood reveal</w:t>
      </w:r>
      <w:r w:rsidR="00414AA4">
        <w:rPr>
          <w:rFonts w:ascii="Garamond" w:hAnsi="Garamond"/>
        </w:rPr>
        <w:t>s how c</w:t>
      </w:r>
      <w:r w:rsidRPr="00414AA4">
        <w:rPr>
          <w:rFonts w:ascii="Garamond" w:hAnsi="Garamond"/>
        </w:rPr>
        <w:t>atholic youths were sometimes disciplined at the Bridewell ‘House of Correction’ for juvenile delinquents.</w:t>
      </w:r>
    </w:p>
    <w:p w14:paraId="14236193" w14:textId="77777777" w:rsidR="006B425D" w:rsidRPr="00414AA4" w:rsidRDefault="006B425D" w:rsidP="006B425D">
      <w:pPr>
        <w:rPr>
          <w:rFonts w:ascii="Garamond" w:hAnsi="Garamond"/>
        </w:rPr>
      </w:pPr>
    </w:p>
    <w:p w14:paraId="4B9E66AC" w14:textId="565A083B" w:rsidR="000B5DDA" w:rsidRPr="00414AA4" w:rsidRDefault="006B425D" w:rsidP="000B5DDA">
      <w:pPr>
        <w:ind w:firstLine="720"/>
        <w:jc w:val="both"/>
        <w:rPr>
          <w:rFonts w:ascii="Garamond" w:hAnsi="Garamond"/>
        </w:rPr>
      </w:pPr>
      <w:r w:rsidRPr="00414AA4">
        <w:rPr>
          <w:rFonts w:ascii="Garamond" w:hAnsi="Garamond"/>
        </w:rPr>
        <w:t xml:space="preserve">Underwood </w:t>
      </w:r>
      <w:r w:rsidR="00414AA4">
        <w:rPr>
          <w:rFonts w:ascii="Garamond" w:hAnsi="Garamond"/>
        </w:rPr>
        <w:t>ends by exploring the way that c</w:t>
      </w:r>
      <w:r w:rsidRPr="00414AA4">
        <w:rPr>
          <w:rFonts w:ascii="Garamond" w:hAnsi="Garamond"/>
        </w:rPr>
        <w:t xml:space="preserve">atholic children were represented in literature. </w:t>
      </w:r>
      <w:r w:rsidR="00444413" w:rsidRPr="00414AA4">
        <w:rPr>
          <w:rFonts w:ascii="Garamond" w:hAnsi="Garamond"/>
        </w:rPr>
        <w:t>Strikingly, it</w:t>
      </w:r>
      <w:r w:rsidRPr="00414AA4">
        <w:rPr>
          <w:rFonts w:ascii="Garamond" w:hAnsi="Garamond"/>
        </w:rPr>
        <w:t xml:space="preserve"> is similarity, not difference, which characterises </w:t>
      </w:r>
      <w:r w:rsidR="00414AA4">
        <w:rPr>
          <w:rFonts w:ascii="Garamond" w:hAnsi="Garamond"/>
        </w:rPr>
        <w:t>catholic and p</w:t>
      </w:r>
      <w:r w:rsidRPr="00414AA4">
        <w:rPr>
          <w:rFonts w:ascii="Garamond" w:hAnsi="Garamond"/>
        </w:rPr>
        <w:t>rotestant literary approaches to childhood. Both sides of the confessional divide use youthful imagery to subvert</w:t>
      </w:r>
      <w:r w:rsidR="00444413" w:rsidRPr="00414AA4">
        <w:rPr>
          <w:rFonts w:ascii="Garamond" w:hAnsi="Garamond"/>
        </w:rPr>
        <w:t xml:space="preserve"> their opponents</w:t>
      </w:r>
      <w:r w:rsidRPr="00414AA4">
        <w:rPr>
          <w:rFonts w:ascii="Garamond" w:hAnsi="Garamond"/>
        </w:rPr>
        <w:t xml:space="preserve">, </w:t>
      </w:r>
      <w:r w:rsidR="00444413" w:rsidRPr="00414AA4">
        <w:rPr>
          <w:rFonts w:ascii="Garamond" w:hAnsi="Garamond"/>
        </w:rPr>
        <w:t>as much as to support their own argument, depending on their agenda</w:t>
      </w:r>
      <w:r w:rsidR="00414AA4">
        <w:rPr>
          <w:rFonts w:ascii="Garamond" w:hAnsi="Garamond"/>
        </w:rPr>
        <w:t>. For example, in c</w:t>
      </w:r>
      <w:r w:rsidRPr="00414AA4">
        <w:rPr>
          <w:rFonts w:ascii="Garamond" w:hAnsi="Garamond"/>
        </w:rPr>
        <w:t>at</w:t>
      </w:r>
      <w:r w:rsidR="00444413" w:rsidRPr="00414AA4">
        <w:rPr>
          <w:rFonts w:ascii="Garamond" w:hAnsi="Garamond"/>
        </w:rPr>
        <w:t xml:space="preserve">holic exhortations to their </w:t>
      </w:r>
      <w:r w:rsidRPr="00414AA4">
        <w:rPr>
          <w:rFonts w:ascii="Garamond" w:hAnsi="Garamond"/>
        </w:rPr>
        <w:t xml:space="preserve">parents, such as Robert Southwell’s </w:t>
      </w:r>
      <w:r w:rsidRPr="00414AA4">
        <w:rPr>
          <w:rFonts w:ascii="Garamond" w:hAnsi="Garamond"/>
          <w:i/>
        </w:rPr>
        <w:t xml:space="preserve">Epistle to his Father, </w:t>
      </w:r>
      <w:r w:rsidR="00414AA4">
        <w:rPr>
          <w:rFonts w:ascii="Garamond" w:hAnsi="Garamond"/>
        </w:rPr>
        <w:t>1595, the pr</w:t>
      </w:r>
      <w:r w:rsidRPr="00414AA4">
        <w:rPr>
          <w:rFonts w:ascii="Garamond" w:hAnsi="Garamond"/>
        </w:rPr>
        <w:t>otestant parents are made ‘children’ as objects of</w:t>
      </w:r>
      <w:r w:rsidR="00444413" w:rsidRPr="00414AA4">
        <w:rPr>
          <w:rFonts w:ascii="Garamond" w:hAnsi="Garamond"/>
        </w:rPr>
        <w:t xml:space="preserve"> teaching. Whereas in the 1627 </w:t>
      </w:r>
      <w:r w:rsidRPr="00414AA4">
        <w:rPr>
          <w:rFonts w:ascii="Garamond" w:hAnsi="Garamond"/>
          <w:i/>
        </w:rPr>
        <w:t xml:space="preserve">Answere of a Mother </w:t>
      </w:r>
      <w:proofErr w:type="gramStart"/>
      <w:r w:rsidRPr="00414AA4">
        <w:rPr>
          <w:rFonts w:ascii="Garamond" w:hAnsi="Garamond"/>
          <w:i/>
        </w:rPr>
        <w:t>Unto</w:t>
      </w:r>
      <w:proofErr w:type="gramEnd"/>
      <w:r w:rsidRPr="00414AA4">
        <w:rPr>
          <w:rFonts w:ascii="Garamond" w:hAnsi="Garamond"/>
          <w:i/>
        </w:rPr>
        <w:t xml:space="preserve"> Hir Seduced Sonne’s Letter</w:t>
      </w:r>
      <w:r w:rsidRPr="00414AA4">
        <w:rPr>
          <w:rFonts w:ascii="Garamond" w:hAnsi="Garamond"/>
        </w:rPr>
        <w:t xml:space="preserve">, it is only by conversion to Protestantism that a son is made ‘adult’. </w:t>
      </w:r>
    </w:p>
    <w:p w14:paraId="209E6008" w14:textId="77777777" w:rsidR="000B5DDA" w:rsidRPr="00414AA4" w:rsidRDefault="000B5DDA" w:rsidP="000B5DDA">
      <w:pPr>
        <w:ind w:firstLine="720"/>
        <w:jc w:val="both"/>
        <w:rPr>
          <w:rFonts w:ascii="Garamond" w:hAnsi="Garamond"/>
        </w:rPr>
      </w:pPr>
    </w:p>
    <w:p w14:paraId="27B6FD84" w14:textId="2D817CB3" w:rsidR="006B425D" w:rsidRPr="00414AA4" w:rsidRDefault="006B425D" w:rsidP="000B5DDA">
      <w:pPr>
        <w:ind w:firstLine="720"/>
        <w:jc w:val="both"/>
        <w:rPr>
          <w:rFonts w:ascii="Garamond" w:hAnsi="Garamond"/>
        </w:rPr>
      </w:pPr>
      <w:r w:rsidRPr="00414AA4">
        <w:rPr>
          <w:rFonts w:ascii="Garamond" w:hAnsi="Garamond"/>
        </w:rPr>
        <w:t>Underwood paints a vivid picture of the multifaceted experiences of early modern English Catholic children and young people, and has paved the way for future research. For example</w:t>
      </w:r>
      <w:r w:rsidR="00414AA4">
        <w:rPr>
          <w:rFonts w:ascii="Garamond" w:hAnsi="Garamond"/>
        </w:rPr>
        <w:t>,</w:t>
      </w:r>
      <w:r w:rsidRPr="00414AA4">
        <w:rPr>
          <w:rFonts w:ascii="Garamond" w:hAnsi="Garamond"/>
        </w:rPr>
        <w:t xml:space="preserve"> on her last page, Underwood stresses how ‘post-Reformation English Catholicism was a cosmopolitan movement, formed by engagement with European culture, theology and politics’ (p.198). This pertinent observation should certainly be interrogated further, and calls for a comparison between En</w:t>
      </w:r>
      <w:r w:rsidR="00414AA4">
        <w:rPr>
          <w:rFonts w:ascii="Garamond" w:hAnsi="Garamond"/>
        </w:rPr>
        <w:t>glish, and European c</w:t>
      </w:r>
      <w:r w:rsidRPr="00414AA4">
        <w:rPr>
          <w:rFonts w:ascii="Garamond" w:hAnsi="Garamond"/>
        </w:rPr>
        <w:t xml:space="preserve">atholic children more broadly. </w:t>
      </w:r>
    </w:p>
    <w:p w14:paraId="52D04E2D" w14:textId="77777777" w:rsidR="006F6ED6" w:rsidRPr="00414AA4" w:rsidRDefault="006F6ED6" w:rsidP="002B63F1">
      <w:pPr>
        <w:jc w:val="right"/>
        <w:rPr>
          <w:rFonts w:ascii="Garamond" w:hAnsi="Garamond"/>
        </w:rPr>
      </w:pPr>
    </w:p>
    <w:p w14:paraId="1C540365" w14:textId="77777777" w:rsidR="002B63F1" w:rsidRPr="00414AA4" w:rsidRDefault="002B63F1" w:rsidP="002B63F1">
      <w:pPr>
        <w:jc w:val="right"/>
        <w:rPr>
          <w:rFonts w:ascii="Garamond" w:hAnsi="Garamond"/>
        </w:rPr>
      </w:pPr>
      <w:r w:rsidRPr="00414AA4">
        <w:rPr>
          <w:rFonts w:ascii="Garamond" w:hAnsi="Garamond"/>
        </w:rPr>
        <w:t>EMILIE K. M. MURPHY</w:t>
      </w:r>
    </w:p>
    <w:p w14:paraId="5E12F482" w14:textId="77777777" w:rsidR="002B63F1" w:rsidRPr="00414AA4" w:rsidRDefault="002B63F1" w:rsidP="002B63F1">
      <w:pPr>
        <w:jc w:val="right"/>
        <w:rPr>
          <w:rFonts w:ascii="Garamond" w:hAnsi="Garamond"/>
          <w:i/>
        </w:rPr>
      </w:pPr>
      <w:r w:rsidRPr="00414AA4">
        <w:rPr>
          <w:rFonts w:ascii="Garamond" w:hAnsi="Garamond"/>
          <w:i/>
        </w:rPr>
        <w:t>National University of Ireland, Galway</w:t>
      </w:r>
    </w:p>
    <w:p w14:paraId="377D2950" w14:textId="77777777" w:rsidR="00997EAD" w:rsidRPr="00414AA4" w:rsidRDefault="00997EAD">
      <w:pPr>
        <w:rPr>
          <w:rFonts w:ascii="Garamond" w:hAnsi="Garamond"/>
        </w:rPr>
      </w:pPr>
    </w:p>
    <w:sectPr w:rsidR="00997EAD" w:rsidRPr="00414AA4" w:rsidSect="00DA0D8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5B5688"/>
    <w:multiLevelType w:val="hybridMultilevel"/>
    <w:tmpl w:val="D1705424"/>
    <w:lvl w:ilvl="0" w:tplc="A2FAE174">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5959F4"/>
    <w:multiLevelType w:val="hybridMultilevel"/>
    <w:tmpl w:val="D8A6E04A"/>
    <w:lvl w:ilvl="0" w:tplc="25CEA20A">
      <w:start w:val="1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384FD3"/>
    <w:multiLevelType w:val="hybridMultilevel"/>
    <w:tmpl w:val="B50066B0"/>
    <w:lvl w:ilvl="0" w:tplc="07467414">
      <w:start w:val="1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3F1"/>
    <w:rsid w:val="00034059"/>
    <w:rsid w:val="00043B13"/>
    <w:rsid w:val="00053E26"/>
    <w:rsid w:val="00060B17"/>
    <w:rsid w:val="000820AC"/>
    <w:rsid w:val="000B5DDA"/>
    <w:rsid w:val="000E4E04"/>
    <w:rsid w:val="00175EDE"/>
    <w:rsid w:val="001E2167"/>
    <w:rsid w:val="002027D2"/>
    <w:rsid w:val="00232A05"/>
    <w:rsid w:val="002B63F1"/>
    <w:rsid w:val="002E6579"/>
    <w:rsid w:val="003A49A9"/>
    <w:rsid w:val="00413C44"/>
    <w:rsid w:val="00414AA4"/>
    <w:rsid w:val="004318AF"/>
    <w:rsid w:val="00444413"/>
    <w:rsid w:val="004465D8"/>
    <w:rsid w:val="004A21E1"/>
    <w:rsid w:val="00500883"/>
    <w:rsid w:val="005634B6"/>
    <w:rsid w:val="00571AD9"/>
    <w:rsid w:val="005D740C"/>
    <w:rsid w:val="005E479B"/>
    <w:rsid w:val="0060380E"/>
    <w:rsid w:val="00612233"/>
    <w:rsid w:val="006A5F4B"/>
    <w:rsid w:val="006A68DB"/>
    <w:rsid w:val="006B425D"/>
    <w:rsid w:val="006F6ED6"/>
    <w:rsid w:val="00780485"/>
    <w:rsid w:val="007B545A"/>
    <w:rsid w:val="007C36ED"/>
    <w:rsid w:val="007E12D0"/>
    <w:rsid w:val="00802621"/>
    <w:rsid w:val="00842070"/>
    <w:rsid w:val="00860E20"/>
    <w:rsid w:val="008C000B"/>
    <w:rsid w:val="008C63C4"/>
    <w:rsid w:val="008C78AB"/>
    <w:rsid w:val="009361C1"/>
    <w:rsid w:val="00987952"/>
    <w:rsid w:val="00997EAD"/>
    <w:rsid w:val="009B54ED"/>
    <w:rsid w:val="00A03EA1"/>
    <w:rsid w:val="00A56E61"/>
    <w:rsid w:val="00A71708"/>
    <w:rsid w:val="00AB4808"/>
    <w:rsid w:val="00AC6049"/>
    <w:rsid w:val="00B36395"/>
    <w:rsid w:val="00B40563"/>
    <w:rsid w:val="00B7240C"/>
    <w:rsid w:val="00B77913"/>
    <w:rsid w:val="00BA465E"/>
    <w:rsid w:val="00BC023A"/>
    <w:rsid w:val="00BF2385"/>
    <w:rsid w:val="00C6370C"/>
    <w:rsid w:val="00C73146"/>
    <w:rsid w:val="00CA3589"/>
    <w:rsid w:val="00CB2291"/>
    <w:rsid w:val="00D61C2A"/>
    <w:rsid w:val="00DA0D82"/>
    <w:rsid w:val="00DB4C5D"/>
    <w:rsid w:val="00DE02C1"/>
    <w:rsid w:val="00DF1954"/>
    <w:rsid w:val="00E80BD1"/>
    <w:rsid w:val="00F02478"/>
    <w:rsid w:val="00FC2F82"/>
    <w:rsid w:val="00FC4BD3"/>
    <w:rsid w:val="00FE3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6CB6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63F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291"/>
    <w:pPr>
      <w:ind w:left="720"/>
      <w:contextualSpacing/>
    </w:pPr>
  </w:style>
  <w:style w:type="character" w:styleId="CommentReference">
    <w:name w:val="annotation reference"/>
    <w:basedOn w:val="DefaultParagraphFont"/>
    <w:uiPriority w:val="99"/>
    <w:semiHidden/>
    <w:unhideWhenUsed/>
    <w:rsid w:val="00BF2385"/>
    <w:rPr>
      <w:sz w:val="18"/>
      <w:szCs w:val="18"/>
    </w:rPr>
  </w:style>
  <w:style w:type="paragraph" w:styleId="CommentText">
    <w:name w:val="annotation text"/>
    <w:basedOn w:val="Normal"/>
    <w:link w:val="CommentTextChar"/>
    <w:uiPriority w:val="99"/>
    <w:semiHidden/>
    <w:unhideWhenUsed/>
    <w:rsid w:val="00BF2385"/>
  </w:style>
  <w:style w:type="character" w:customStyle="1" w:styleId="CommentTextChar">
    <w:name w:val="Comment Text Char"/>
    <w:basedOn w:val="DefaultParagraphFont"/>
    <w:link w:val="CommentText"/>
    <w:uiPriority w:val="99"/>
    <w:semiHidden/>
    <w:rsid w:val="00BF2385"/>
    <w:rPr>
      <w:lang w:val="en-GB"/>
    </w:rPr>
  </w:style>
  <w:style w:type="paragraph" w:styleId="CommentSubject">
    <w:name w:val="annotation subject"/>
    <w:basedOn w:val="CommentText"/>
    <w:next w:val="CommentText"/>
    <w:link w:val="CommentSubjectChar"/>
    <w:uiPriority w:val="99"/>
    <w:semiHidden/>
    <w:unhideWhenUsed/>
    <w:rsid w:val="00BF2385"/>
    <w:rPr>
      <w:b/>
      <w:bCs/>
      <w:sz w:val="20"/>
      <w:szCs w:val="20"/>
    </w:rPr>
  </w:style>
  <w:style w:type="character" w:customStyle="1" w:styleId="CommentSubjectChar">
    <w:name w:val="Comment Subject Char"/>
    <w:basedOn w:val="CommentTextChar"/>
    <w:link w:val="CommentSubject"/>
    <w:uiPriority w:val="99"/>
    <w:semiHidden/>
    <w:rsid w:val="00BF2385"/>
    <w:rPr>
      <w:b/>
      <w:bCs/>
      <w:sz w:val="20"/>
      <w:szCs w:val="20"/>
      <w:lang w:val="en-GB"/>
    </w:rPr>
  </w:style>
  <w:style w:type="paragraph" w:styleId="Revision">
    <w:name w:val="Revision"/>
    <w:hidden/>
    <w:uiPriority w:val="99"/>
    <w:semiHidden/>
    <w:rsid w:val="00BF2385"/>
    <w:rPr>
      <w:lang w:val="en-GB"/>
    </w:rPr>
  </w:style>
  <w:style w:type="paragraph" w:styleId="BalloonText">
    <w:name w:val="Balloon Text"/>
    <w:basedOn w:val="Normal"/>
    <w:link w:val="BalloonTextChar"/>
    <w:uiPriority w:val="99"/>
    <w:semiHidden/>
    <w:unhideWhenUsed/>
    <w:rsid w:val="00BF23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2385"/>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1123</Words>
  <Characters>5788</Characters>
  <Application>Microsoft Macintosh Word</Application>
  <DocSecurity>0</DocSecurity>
  <Lines>98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Murphy</dc:creator>
  <cp:keywords/>
  <dc:description/>
  <cp:lastModifiedBy>ekmmurphy@gmail.com</cp:lastModifiedBy>
  <cp:revision>5</cp:revision>
  <dcterms:created xsi:type="dcterms:W3CDTF">2015-10-19T14:41:00Z</dcterms:created>
  <dcterms:modified xsi:type="dcterms:W3CDTF">2016-11-14T15:15:00Z</dcterms:modified>
</cp:coreProperties>
</file>