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8CE" w:rsidRPr="00D80935" w:rsidRDefault="00B548CE" w:rsidP="00BC34BF">
      <w:pPr>
        <w:pStyle w:val="Standard1"/>
        <w:spacing w:line="480" w:lineRule="auto"/>
        <w:jc w:val="center"/>
        <w:rPr>
          <w:rFonts w:cs="Times New Roman"/>
          <w:lang w:val="en-US"/>
        </w:rPr>
      </w:pPr>
    </w:p>
    <w:p w:rsidR="00B548CE" w:rsidRPr="00D80935" w:rsidRDefault="00B548CE" w:rsidP="00BC34BF">
      <w:pPr>
        <w:pStyle w:val="Standard1"/>
        <w:spacing w:line="480" w:lineRule="auto"/>
        <w:jc w:val="center"/>
        <w:rPr>
          <w:rFonts w:cs="Times New Roman"/>
          <w:lang w:val="en-US"/>
        </w:rPr>
      </w:pPr>
    </w:p>
    <w:p w:rsidR="00371F19" w:rsidRPr="0013016F" w:rsidRDefault="009D0848" w:rsidP="00BC34BF">
      <w:pPr>
        <w:pStyle w:val="Standard1"/>
        <w:spacing w:line="480" w:lineRule="auto"/>
        <w:jc w:val="center"/>
        <w:rPr>
          <w:rFonts w:cs="Times New Roman"/>
          <w:lang w:val="en-US"/>
        </w:rPr>
      </w:pPr>
      <w:r w:rsidRPr="0013016F">
        <w:rPr>
          <w:rFonts w:cs="Times New Roman"/>
          <w:lang w:val="en-US"/>
        </w:rPr>
        <w:t xml:space="preserve">Cognitive Flexibility, Heart Rate Variability, and Resilience Predict </w:t>
      </w:r>
      <w:r w:rsidR="004847F8" w:rsidRPr="0013016F">
        <w:rPr>
          <w:rFonts w:cs="Times New Roman"/>
          <w:lang w:val="en-US"/>
        </w:rPr>
        <w:t>Fine-</w:t>
      </w:r>
      <w:r w:rsidR="00F872C1" w:rsidRPr="0013016F">
        <w:rPr>
          <w:rFonts w:cs="Times New Roman"/>
          <w:lang w:val="en-US"/>
        </w:rPr>
        <w:t>G</w:t>
      </w:r>
      <w:r w:rsidR="004847F8" w:rsidRPr="0013016F">
        <w:rPr>
          <w:rFonts w:cs="Times New Roman"/>
          <w:lang w:val="en-US"/>
        </w:rPr>
        <w:t xml:space="preserve">rained </w:t>
      </w:r>
      <w:r w:rsidR="0084646D" w:rsidRPr="0013016F">
        <w:rPr>
          <w:rFonts w:cs="Times New Roman"/>
          <w:lang w:val="en-US"/>
        </w:rPr>
        <w:t xml:space="preserve">Regulation </w:t>
      </w:r>
      <w:r w:rsidR="00C60D1E" w:rsidRPr="0013016F">
        <w:rPr>
          <w:rFonts w:cs="Times New Roman"/>
          <w:lang w:val="en-US"/>
        </w:rPr>
        <w:t xml:space="preserve">of </w:t>
      </w:r>
      <w:r w:rsidR="0084646D" w:rsidRPr="0013016F">
        <w:rPr>
          <w:rFonts w:cs="Times New Roman"/>
          <w:lang w:val="en-US"/>
        </w:rPr>
        <w:t xml:space="preserve">Arousal </w:t>
      </w:r>
      <w:r w:rsidR="004847F8" w:rsidRPr="0013016F">
        <w:rPr>
          <w:rFonts w:cs="Times New Roman"/>
          <w:lang w:val="en-US"/>
        </w:rPr>
        <w:t>D</w:t>
      </w:r>
      <w:r w:rsidR="0084646D" w:rsidRPr="0013016F">
        <w:rPr>
          <w:rFonts w:cs="Times New Roman"/>
          <w:lang w:val="en-US"/>
        </w:rPr>
        <w:t xml:space="preserve">uring </w:t>
      </w:r>
      <w:r w:rsidR="00C60D1E" w:rsidRPr="0013016F">
        <w:rPr>
          <w:rFonts w:cs="Times New Roman"/>
          <w:lang w:val="en-US"/>
        </w:rPr>
        <w:t>Prolonged</w:t>
      </w:r>
      <w:r w:rsidR="0084646D" w:rsidRPr="0013016F">
        <w:rPr>
          <w:rFonts w:cs="Times New Roman"/>
          <w:lang w:val="en-US"/>
        </w:rPr>
        <w:t xml:space="preserve"> Threat</w:t>
      </w:r>
    </w:p>
    <w:p w:rsidR="00E30637" w:rsidRPr="0013016F" w:rsidRDefault="00E30637" w:rsidP="00BC34BF">
      <w:pPr>
        <w:pStyle w:val="Standard1"/>
        <w:spacing w:line="480" w:lineRule="auto"/>
        <w:rPr>
          <w:rFonts w:cs="Times New Roman"/>
          <w:lang w:val="en-US"/>
        </w:rPr>
      </w:pPr>
    </w:p>
    <w:p w:rsidR="00E30637" w:rsidRPr="0013016F" w:rsidRDefault="00E30637" w:rsidP="00BC34BF">
      <w:pPr>
        <w:pStyle w:val="Standard1"/>
        <w:spacing w:line="480" w:lineRule="auto"/>
        <w:jc w:val="center"/>
        <w:rPr>
          <w:rFonts w:cs="Times New Roman"/>
          <w:lang w:val="en-US"/>
        </w:rPr>
      </w:pPr>
      <w:r w:rsidRPr="0013016F">
        <w:rPr>
          <w:rFonts w:cs="Times New Roman"/>
          <w:lang w:val="en-US"/>
        </w:rPr>
        <w:t xml:space="preserve">Lea K. Hildebrandt*, Cade McCall, </w:t>
      </w:r>
      <w:r w:rsidR="001D4F86" w:rsidRPr="0013016F">
        <w:rPr>
          <w:rFonts w:cs="Times New Roman"/>
          <w:lang w:val="en-US"/>
        </w:rPr>
        <w:t xml:space="preserve">Haakon G. Engen, </w:t>
      </w:r>
      <w:r w:rsidRPr="0013016F">
        <w:rPr>
          <w:rFonts w:cs="Times New Roman"/>
          <w:lang w:val="en-US"/>
        </w:rPr>
        <w:t>and Tania Singer</w:t>
      </w:r>
    </w:p>
    <w:p w:rsidR="00E30637" w:rsidRPr="0013016F" w:rsidRDefault="00E30637" w:rsidP="00BC34BF">
      <w:pPr>
        <w:pStyle w:val="Standard1"/>
        <w:spacing w:line="480" w:lineRule="auto"/>
        <w:jc w:val="center"/>
        <w:rPr>
          <w:rFonts w:cs="Times New Roman"/>
          <w:lang w:val="en-US"/>
        </w:rPr>
      </w:pPr>
      <w:r w:rsidRPr="0013016F">
        <w:rPr>
          <w:rFonts w:cs="Times New Roman"/>
          <w:lang w:val="en-US"/>
        </w:rPr>
        <w:t>Max Planck Institute for Human Cognitive and Brain Sciences, Leipzig, Germany</w:t>
      </w:r>
    </w:p>
    <w:p w:rsidR="00E30637" w:rsidRPr="0013016F" w:rsidRDefault="00E30637" w:rsidP="00BC34BF">
      <w:pPr>
        <w:pStyle w:val="Standard1"/>
        <w:spacing w:line="480" w:lineRule="auto"/>
        <w:jc w:val="center"/>
        <w:rPr>
          <w:rFonts w:cs="Times New Roman"/>
          <w:lang w:val="en-US"/>
        </w:rPr>
      </w:pPr>
    </w:p>
    <w:p w:rsidR="003E1017" w:rsidRPr="0013016F" w:rsidRDefault="003E1017" w:rsidP="00BC34BF">
      <w:pPr>
        <w:pStyle w:val="Standard1"/>
        <w:spacing w:line="480" w:lineRule="auto"/>
        <w:jc w:val="center"/>
        <w:rPr>
          <w:rFonts w:cs="Times New Roman"/>
          <w:lang w:val="en-US"/>
        </w:rPr>
      </w:pPr>
    </w:p>
    <w:p w:rsidR="003E1017" w:rsidRPr="0013016F" w:rsidRDefault="003E1017" w:rsidP="00BC34BF">
      <w:pPr>
        <w:pStyle w:val="Standard1"/>
        <w:spacing w:line="480" w:lineRule="auto"/>
        <w:jc w:val="center"/>
        <w:rPr>
          <w:rFonts w:cs="Times New Roman"/>
          <w:lang w:val="en-US"/>
        </w:rPr>
      </w:pPr>
    </w:p>
    <w:p w:rsidR="00C60D1E" w:rsidRPr="0013016F" w:rsidRDefault="00C60D1E" w:rsidP="00BC34BF">
      <w:pPr>
        <w:pStyle w:val="Standard1"/>
        <w:spacing w:line="480" w:lineRule="auto"/>
        <w:jc w:val="center"/>
        <w:rPr>
          <w:rFonts w:cs="Times New Roman"/>
          <w:lang w:val="en-US"/>
        </w:rPr>
      </w:pPr>
    </w:p>
    <w:p w:rsidR="00C60D1E" w:rsidRPr="0013016F" w:rsidRDefault="00C60D1E" w:rsidP="00BC34BF">
      <w:pPr>
        <w:pStyle w:val="Standard1"/>
        <w:spacing w:line="480" w:lineRule="auto"/>
        <w:jc w:val="center"/>
        <w:rPr>
          <w:rFonts w:cs="Times New Roman"/>
          <w:lang w:val="en-US"/>
        </w:rPr>
      </w:pPr>
    </w:p>
    <w:p w:rsidR="00C60D1E" w:rsidRPr="0013016F" w:rsidRDefault="00C60D1E" w:rsidP="00BC34BF">
      <w:pPr>
        <w:pStyle w:val="Standard1"/>
        <w:spacing w:line="480" w:lineRule="auto"/>
        <w:jc w:val="center"/>
        <w:rPr>
          <w:rFonts w:cs="Times New Roman"/>
          <w:lang w:val="en-US"/>
        </w:rPr>
      </w:pPr>
    </w:p>
    <w:p w:rsidR="00B548CE" w:rsidRPr="0013016F" w:rsidRDefault="00B548CE" w:rsidP="00BC34BF">
      <w:pPr>
        <w:pStyle w:val="Standard1"/>
        <w:spacing w:line="480" w:lineRule="auto"/>
        <w:rPr>
          <w:rFonts w:cs="Times New Roman"/>
          <w:lang w:val="en-US"/>
        </w:rPr>
      </w:pPr>
    </w:p>
    <w:p w:rsidR="003E1017" w:rsidRPr="0013016F" w:rsidRDefault="00E30637" w:rsidP="00BC34BF">
      <w:pPr>
        <w:pStyle w:val="Standard1"/>
        <w:spacing w:line="276" w:lineRule="auto"/>
        <w:rPr>
          <w:rFonts w:cs="Times New Roman"/>
          <w:lang w:val="en-US"/>
        </w:rPr>
      </w:pPr>
      <w:r w:rsidRPr="0013016F">
        <w:rPr>
          <w:rFonts w:cs="Times New Roman"/>
          <w:lang w:val="en-US"/>
        </w:rPr>
        <w:t xml:space="preserve">*corresponding author: </w:t>
      </w:r>
    </w:p>
    <w:p w:rsidR="003E1017" w:rsidRPr="0013016F" w:rsidRDefault="003E1017" w:rsidP="00BC34BF">
      <w:pPr>
        <w:pStyle w:val="Standard1"/>
        <w:spacing w:line="276" w:lineRule="auto"/>
        <w:rPr>
          <w:rFonts w:cs="Times New Roman"/>
          <w:lang w:val="en-US"/>
        </w:rPr>
      </w:pPr>
      <w:r w:rsidRPr="0013016F">
        <w:rPr>
          <w:rFonts w:cs="Times New Roman"/>
          <w:lang w:val="en-US"/>
        </w:rPr>
        <w:t>Lea Hildebrandt,</w:t>
      </w:r>
    </w:p>
    <w:p w:rsidR="003E1017" w:rsidRPr="0013016F" w:rsidRDefault="003E1017" w:rsidP="00BC34BF">
      <w:pPr>
        <w:pStyle w:val="Standard1"/>
        <w:spacing w:line="276" w:lineRule="auto"/>
        <w:rPr>
          <w:rFonts w:cs="Times New Roman"/>
          <w:lang w:val="en-US"/>
        </w:rPr>
      </w:pPr>
      <w:r w:rsidRPr="0013016F">
        <w:rPr>
          <w:rFonts w:cs="Times New Roman"/>
          <w:lang w:val="en-US"/>
        </w:rPr>
        <w:t xml:space="preserve">Max Planck Institute for Human Cognitive and Brain Sciences, </w:t>
      </w:r>
    </w:p>
    <w:p w:rsidR="003E1017" w:rsidRPr="0013016F" w:rsidRDefault="003E1017" w:rsidP="00BC34BF">
      <w:pPr>
        <w:pStyle w:val="Standard1"/>
        <w:spacing w:line="276" w:lineRule="auto"/>
        <w:rPr>
          <w:rFonts w:cs="Times New Roman"/>
          <w:lang w:val="en-US"/>
        </w:rPr>
      </w:pPr>
      <w:r w:rsidRPr="0013016F">
        <w:rPr>
          <w:rFonts w:cs="Times New Roman"/>
          <w:lang w:val="en-US"/>
        </w:rPr>
        <w:t>Stephanstraße 1a, 04103 Leipzig, Germany</w:t>
      </w:r>
    </w:p>
    <w:p w:rsidR="003E1017" w:rsidRPr="0013016F" w:rsidRDefault="003E1017" w:rsidP="00BC34BF">
      <w:pPr>
        <w:pStyle w:val="Standard1"/>
        <w:spacing w:line="276" w:lineRule="auto"/>
        <w:rPr>
          <w:rFonts w:cs="Times New Roman"/>
          <w:lang w:val="en-US"/>
        </w:rPr>
      </w:pPr>
      <w:r w:rsidRPr="0013016F">
        <w:rPr>
          <w:rFonts w:cs="Times New Roman"/>
          <w:lang w:val="en-US"/>
        </w:rPr>
        <w:t>+49 341 9940-2691</w:t>
      </w:r>
    </w:p>
    <w:p w:rsidR="00E30637" w:rsidRPr="0013016F" w:rsidRDefault="001D1F44" w:rsidP="00BC34BF">
      <w:pPr>
        <w:pStyle w:val="Standard1"/>
        <w:spacing w:line="276" w:lineRule="auto"/>
        <w:rPr>
          <w:rFonts w:cs="Times New Roman"/>
          <w:lang w:val="en-US"/>
        </w:rPr>
      </w:pPr>
      <w:r w:rsidRPr="0013016F">
        <w:rPr>
          <w:rFonts w:cs="Times New Roman"/>
          <w:lang w:val="en-US"/>
        </w:rPr>
        <w:t>hildebrandt@cbs.mpg.de</w:t>
      </w:r>
    </w:p>
    <w:p w:rsidR="00B548CE" w:rsidRPr="0013016F" w:rsidRDefault="00B548CE" w:rsidP="00BC34BF">
      <w:pPr>
        <w:spacing w:line="480" w:lineRule="auto"/>
        <w:rPr>
          <w:rFonts w:cs="Times New Roman"/>
          <w:b/>
          <w:lang w:val="en-US"/>
        </w:rPr>
      </w:pPr>
      <w:r w:rsidRPr="0013016F">
        <w:rPr>
          <w:rFonts w:cs="Times New Roman"/>
          <w:b/>
          <w:lang w:val="en-US"/>
        </w:rPr>
        <w:br w:type="page"/>
      </w:r>
    </w:p>
    <w:p w:rsidR="00B877FD" w:rsidRPr="0013016F" w:rsidRDefault="008B72E9" w:rsidP="00BC34BF">
      <w:pPr>
        <w:pStyle w:val="Standard1"/>
        <w:spacing w:line="480" w:lineRule="auto"/>
        <w:jc w:val="center"/>
        <w:rPr>
          <w:rFonts w:cs="Times New Roman"/>
          <w:b/>
          <w:lang w:val="en-US"/>
        </w:rPr>
      </w:pPr>
      <w:r w:rsidRPr="0013016F">
        <w:rPr>
          <w:rFonts w:cs="Times New Roman"/>
          <w:b/>
          <w:lang w:val="en-US"/>
        </w:rPr>
        <w:lastRenderedPageBreak/>
        <w:t>Abstract</w:t>
      </w:r>
    </w:p>
    <w:p w:rsidR="00581332" w:rsidRPr="0013016F" w:rsidRDefault="00FD11AB" w:rsidP="00BC34BF">
      <w:pPr>
        <w:spacing w:line="480" w:lineRule="auto"/>
        <w:rPr>
          <w:rFonts w:cs="Times New Roman"/>
          <w:lang w:val="en-US"/>
        </w:rPr>
      </w:pPr>
      <w:r w:rsidRPr="0013016F">
        <w:rPr>
          <w:rFonts w:cs="Times New Roman"/>
          <w:lang w:val="en-US"/>
        </w:rPr>
        <w:t xml:space="preserve">Emotion regulation in the ongoing presence of a threat is essential for adaptive behavior. </w:t>
      </w:r>
      <w:r w:rsidR="00581332" w:rsidRPr="0013016F">
        <w:rPr>
          <w:rFonts w:cs="Times New Roman"/>
          <w:lang w:val="en-US"/>
        </w:rPr>
        <w:t xml:space="preserve">Threatening situations change over time and, as a consequence, require a fine-tuned, dynamic regulation of arousal to match the current state of the environment. </w:t>
      </w:r>
      <w:r w:rsidR="005B375C" w:rsidRPr="0013016F">
        <w:rPr>
          <w:rFonts w:cs="Times New Roman"/>
          <w:lang w:val="en-US"/>
        </w:rPr>
        <w:t xml:space="preserve">Constructs </w:t>
      </w:r>
      <w:r w:rsidR="00581332" w:rsidRPr="0013016F">
        <w:rPr>
          <w:rFonts w:cs="Times New Roman"/>
          <w:lang w:val="en-US"/>
        </w:rPr>
        <w:t>such as resilience, cognitive flexibility and heart-rate variab</w:t>
      </w:r>
      <w:r w:rsidR="00D269F2" w:rsidRPr="0013016F">
        <w:rPr>
          <w:rFonts w:cs="Times New Roman"/>
          <w:lang w:val="en-US"/>
        </w:rPr>
        <w:t>i</w:t>
      </w:r>
      <w:r w:rsidR="00581332" w:rsidRPr="0013016F">
        <w:rPr>
          <w:rFonts w:cs="Times New Roman"/>
          <w:lang w:val="en-US"/>
        </w:rPr>
        <w:t>lity</w:t>
      </w:r>
      <w:r w:rsidR="005B375C" w:rsidRPr="0013016F">
        <w:rPr>
          <w:rFonts w:cs="Times New Roman"/>
          <w:lang w:val="en-US"/>
        </w:rPr>
        <w:t xml:space="preserve"> have been proposed as resources for adaptive emotion regulatio</w:t>
      </w:r>
      <w:r w:rsidR="00D14A45" w:rsidRPr="0013016F">
        <w:rPr>
          <w:rFonts w:cs="Times New Roman"/>
          <w:lang w:val="en-US"/>
        </w:rPr>
        <w:t>n, especially in a moment-to-moment fashion</w:t>
      </w:r>
      <w:r w:rsidR="00581332" w:rsidRPr="0013016F">
        <w:rPr>
          <w:rFonts w:cs="Times New Roman"/>
          <w:lang w:val="en-US"/>
        </w:rPr>
        <w:t xml:space="preserve">. Nevertheless none of these constructs has been </w:t>
      </w:r>
      <w:r w:rsidR="000D0B9E" w:rsidRPr="0013016F">
        <w:rPr>
          <w:rFonts w:cs="Times New Roman"/>
          <w:lang w:val="en-US"/>
        </w:rPr>
        <w:t xml:space="preserve">empirically </w:t>
      </w:r>
      <w:r w:rsidR="00581332" w:rsidRPr="0013016F">
        <w:rPr>
          <w:rFonts w:cs="Times New Roman"/>
          <w:lang w:val="en-US"/>
        </w:rPr>
        <w:t xml:space="preserve">related to the dynamic regulation of arousal as it unfolds </w:t>
      </w:r>
      <w:r w:rsidR="00D269F2" w:rsidRPr="0013016F">
        <w:rPr>
          <w:rFonts w:cs="Times New Roman"/>
          <w:lang w:val="en-US"/>
        </w:rPr>
        <w:t xml:space="preserve">over the course of a prolonged threatening </w:t>
      </w:r>
      <w:r w:rsidR="005B375C" w:rsidRPr="0013016F">
        <w:rPr>
          <w:rFonts w:cs="Times New Roman"/>
          <w:lang w:val="en-US"/>
        </w:rPr>
        <w:t>episode</w:t>
      </w:r>
      <w:r w:rsidR="00D269F2" w:rsidRPr="0013016F">
        <w:rPr>
          <w:rFonts w:cs="Times New Roman"/>
          <w:lang w:val="en-US"/>
        </w:rPr>
        <w:t xml:space="preserve">. </w:t>
      </w:r>
      <w:r w:rsidR="00581332" w:rsidRPr="0013016F">
        <w:rPr>
          <w:rFonts w:cs="Times New Roman"/>
          <w:lang w:val="en-US"/>
        </w:rPr>
        <w:t xml:space="preserve">Here we do so by placing participants in a threatening and evolving immersive virtual environment </w:t>
      </w:r>
      <w:r w:rsidR="005B375C" w:rsidRPr="0013016F">
        <w:rPr>
          <w:rFonts w:cs="Times New Roman"/>
          <w:lang w:val="en-US"/>
        </w:rPr>
        <w:t xml:space="preserve">called “Room 101”, </w:t>
      </w:r>
      <w:r w:rsidR="00581332" w:rsidRPr="0013016F">
        <w:rPr>
          <w:rFonts w:cs="Times New Roman"/>
          <w:lang w:val="en-US"/>
        </w:rPr>
        <w:t xml:space="preserve">while recording their </w:t>
      </w:r>
      <w:r w:rsidR="00D269F2" w:rsidRPr="0013016F">
        <w:rPr>
          <w:rFonts w:cs="Times New Roman"/>
          <w:lang w:val="en-US"/>
        </w:rPr>
        <w:t>skin conductance.</w:t>
      </w:r>
      <w:r w:rsidR="00581332" w:rsidRPr="0013016F">
        <w:rPr>
          <w:rFonts w:cs="Times New Roman"/>
          <w:lang w:val="en-US"/>
        </w:rPr>
        <w:t xml:space="preserve"> Subsequently, participants rated their subjective arousal continuously over the course of the experience. Participants </w:t>
      </w:r>
      <w:r w:rsidR="00B02289" w:rsidRPr="0013016F">
        <w:rPr>
          <w:rFonts w:cs="Times New Roman"/>
          <w:lang w:val="en-US"/>
        </w:rPr>
        <w:t xml:space="preserve">who had shown </w:t>
      </w:r>
      <w:r w:rsidR="00581332" w:rsidRPr="0013016F">
        <w:rPr>
          <w:rFonts w:cs="Times New Roman"/>
          <w:lang w:val="en-US"/>
        </w:rPr>
        <w:t>greater cognitive flexi</w:t>
      </w:r>
      <w:r w:rsidR="00D269F2" w:rsidRPr="0013016F">
        <w:rPr>
          <w:rFonts w:cs="Times New Roman"/>
          <w:lang w:val="en-US"/>
        </w:rPr>
        <w:t>bility</w:t>
      </w:r>
      <w:r w:rsidR="00B02289" w:rsidRPr="0013016F">
        <w:rPr>
          <w:rFonts w:cs="Times New Roman"/>
          <w:lang w:val="en-US"/>
        </w:rPr>
        <w:t xml:space="preserve"> in a separate task</w:t>
      </w:r>
      <w:r w:rsidR="005D159F" w:rsidRPr="0013016F">
        <w:rPr>
          <w:rFonts w:cs="Times New Roman"/>
          <w:lang w:val="en-US"/>
        </w:rPr>
        <w:t>, i.e.</w:t>
      </w:r>
      <w:r w:rsidR="00B50CD1" w:rsidRPr="0013016F">
        <w:rPr>
          <w:rFonts w:cs="Times New Roman"/>
          <w:lang w:val="en-US"/>
        </w:rPr>
        <w:t xml:space="preserve"> </w:t>
      </w:r>
      <w:r w:rsidR="0000334E" w:rsidRPr="0013016F">
        <w:rPr>
          <w:rFonts w:cs="Times New Roman"/>
          <w:lang w:val="en-US"/>
        </w:rPr>
        <w:t xml:space="preserve">less </w:t>
      </w:r>
      <w:r w:rsidR="00B5200F" w:rsidRPr="0013016F">
        <w:rPr>
          <w:rFonts w:cs="Times New Roman"/>
          <w:lang w:val="en-US"/>
        </w:rPr>
        <w:t xml:space="preserve">task </w:t>
      </w:r>
      <w:r w:rsidR="0000334E" w:rsidRPr="0013016F">
        <w:rPr>
          <w:rFonts w:cs="Times New Roman"/>
          <w:lang w:val="en-US"/>
        </w:rPr>
        <w:t xml:space="preserve">switching costs when switching to evaluating the valence of </w:t>
      </w:r>
      <w:r w:rsidR="00EF1EB2" w:rsidRPr="0013016F">
        <w:rPr>
          <w:rFonts w:cs="Times New Roman"/>
          <w:lang w:val="en-US"/>
        </w:rPr>
        <w:t xml:space="preserve">positive </w:t>
      </w:r>
      <w:r w:rsidR="0000334E" w:rsidRPr="0013016F">
        <w:rPr>
          <w:rFonts w:cs="Times New Roman"/>
          <w:lang w:val="en-US"/>
        </w:rPr>
        <w:t>stimuli</w:t>
      </w:r>
      <w:r w:rsidR="005D159F" w:rsidRPr="0013016F">
        <w:rPr>
          <w:rFonts w:cs="Times New Roman"/>
          <w:lang w:val="en-US"/>
        </w:rPr>
        <w:t xml:space="preserve">, </w:t>
      </w:r>
      <w:r w:rsidR="00581332" w:rsidRPr="0013016F">
        <w:rPr>
          <w:rFonts w:cs="Times New Roman"/>
          <w:lang w:val="en-US"/>
        </w:rPr>
        <w:t xml:space="preserve">showed </w:t>
      </w:r>
      <w:r w:rsidR="005D159F" w:rsidRPr="0013016F">
        <w:rPr>
          <w:rFonts w:cs="Times New Roman"/>
          <w:lang w:val="en-US"/>
        </w:rPr>
        <w:t>better</w:t>
      </w:r>
      <w:r w:rsidR="00581332" w:rsidRPr="0013016F">
        <w:rPr>
          <w:rFonts w:cs="Times New Roman"/>
          <w:lang w:val="en-US"/>
        </w:rPr>
        <w:t xml:space="preserve"> regulation </w:t>
      </w:r>
      <w:r w:rsidR="00D269F2" w:rsidRPr="0013016F">
        <w:rPr>
          <w:rFonts w:cs="Times New Roman"/>
          <w:lang w:val="en-US"/>
        </w:rPr>
        <w:t xml:space="preserve">of </w:t>
      </w:r>
      <w:r w:rsidR="00581332" w:rsidRPr="0013016F">
        <w:rPr>
          <w:rFonts w:cs="Times New Roman"/>
          <w:lang w:val="en-US"/>
        </w:rPr>
        <w:t>physiological arousal</w:t>
      </w:r>
      <w:r w:rsidR="00C44587" w:rsidRPr="0013016F">
        <w:rPr>
          <w:rFonts w:cs="Times New Roman"/>
          <w:lang w:val="en-US"/>
        </w:rPr>
        <w:t xml:space="preserve"> (skin conductance level),</w:t>
      </w:r>
      <w:r w:rsidR="00581332" w:rsidRPr="0013016F">
        <w:rPr>
          <w:rFonts w:cs="Times New Roman"/>
          <w:lang w:val="en-US"/>
        </w:rPr>
        <w:t xml:space="preserve"> during less threatening phases of </w:t>
      </w:r>
      <w:r w:rsidR="00B02289" w:rsidRPr="0013016F">
        <w:rPr>
          <w:rFonts w:cs="Times New Roman"/>
          <w:lang w:val="en-US"/>
        </w:rPr>
        <w:t>Room 101</w:t>
      </w:r>
      <w:r w:rsidR="00581332" w:rsidRPr="0013016F">
        <w:rPr>
          <w:rFonts w:cs="Times New Roman"/>
          <w:lang w:val="en-US"/>
        </w:rPr>
        <w:t xml:space="preserve">. </w:t>
      </w:r>
      <w:r w:rsidR="005B375C" w:rsidRPr="0013016F">
        <w:rPr>
          <w:rFonts w:cs="Times New Roman"/>
          <w:lang w:val="en-US"/>
        </w:rPr>
        <w:t>Individual</w:t>
      </w:r>
      <w:r w:rsidR="005D159F" w:rsidRPr="0013016F">
        <w:rPr>
          <w:rFonts w:cs="Times New Roman"/>
          <w:lang w:val="en-US"/>
        </w:rPr>
        <w:t>s</w:t>
      </w:r>
      <w:r w:rsidR="005B375C" w:rsidRPr="0013016F">
        <w:rPr>
          <w:rFonts w:cs="Times New Roman"/>
          <w:lang w:val="en-US"/>
        </w:rPr>
        <w:t xml:space="preserve"> with high</w:t>
      </w:r>
      <w:r w:rsidR="00B02289" w:rsidRPr="0013016F">
        <w:rPr>
          <w:rFonts w:cs="Times New Roman"/>
          <w:lang w:val="en-US"/>
        </w:rPr>
        <w:t>er</w:t>
      </w:r>
      <w:r w:rsidR="005B375C" w:rsidRPr="0013016F">
        <w:rPr>
          <w:rFonts w:cs="Times New Roman"/>
          <w:lang w:val="en-US"/>
        </w:rPr>
        <w:t xml:space="preserve"> trait resilience</w:t>
      </w:r>
      <w:r w:rsidR="00D269F2" w:rsidRPr="0013016F">
        <w:rPr>
          <w:rFonts w:cs="Times New Roman"/>
          <w:lang w:val="en-US"/>
        </w:rPr>
        <w:t xml:space="preserve"> </w:t>
      </w:r>
      <w:r w:rsidR="00B02289" w:rsidRPr="0013016F">
        <w:rPr>
          <w:rFonts w:cs="Times New Roman"/>
          <w:lang w:val="en-US"/>
        </w:rPr>
        <w:t xml:space="preserve">and individuals with higher </w:t>
      </w:r>
      <w:r w:rsidR="005D159F" w:rsidRPr="0013016F">
        <w:rPr>
          <w:rFonts w:cs="Times New Roman"/>
          <w:lang w:val="en-US"/>
        </w:rPr>
        <w:t>resting</w:t>
      </w:r>
      <w:r w:rsidR="00D269F2" w:rsidRPr="0013016F">
        <w:rPr>
          <w:rFonts w:cs="Times New Roman"/>
          <w:lang w:val="en-US"/>
        </w:rPr>
        <w:t xml:space="preserve"> </w:t>
      </w:r>
      <w:r w:rsidR="00581332" w:rsidRPr="0013016F">
        <w:rPr>
          <w:rFonts w:cs="Times New Roman"/>
          <w:lang w:val="en-US"/>
        </w:rPr>
        <w:t xml:space="preserve">heart rate variability </w:t>
      </w:r>
      <w:r w:rsidR="00D269F2" w:rsidRPr="0013016F">
        <w:rPr>
          <w:rFonts w:cs="Times New Roman"/>
          <w:lang w:val="en-US"/>
        </w:rPr>
        <w:t xml:space="preserve">showed more regulation in terms of their subjective </w:t>
      </w:r>
      <w:r w:rsidR="005B375C" w:rsidRPr="0013016F">
        <w:rPr>
          <w:rFonts w:cs="Times New Roman"/>
          <w:lang w:val="en-US"/>
        </w:rPr>
        <w:t xml:space="preserve">arousal </w:t>
      </w:r>
      <w:r w:rsidR="00D269F2" w:rsidRPr="0013016F">
        <w:rPr>
          <w:rFonts w:cs="Times New Roman"/>
          <w:lang w:val="en-US"/>
        </w:rPr>
        <w:t>experience</w:t>
      </w:r>
      <w:r w:rsidR="00581332" w:rsidRPr="0013016F">
        <w:rPr>
          <w:rFonts w:cs="Times New Roman"/>
          <w:lang w:val="en-US"/>
        </w:rPr>
        <w:t xml:space="preserve">. The results indicate </w:t>
      </w:r>
      <w:r w:rsidR="005D159F" w:rsidRPr="0013016F">
        <w:rPr>
          <w:rFonts w:cs="Times New Roman"/>
          <w:lang w:val="en-US"/>
        </w:rPr>
        <w:t xml:space="preserve">that </w:t>
      </w:r>
      <w:r w:rsidR="00D269F2" w:rsidRPr="0013016F">
        <w:rPr>
          <w:rFonts w:cs="Times New Roman"/>
          <w:lang w:val="en-US"/>
        </w:rPr>
        <w:t>emotional, cognitive, and physiological flexibility</w:t>
      </w:r>
      <w:r w:rsidR="005D159F" w:rsidRPr="0013016F">
        <w:rPr>
          <w:rFonts w:cs="Times New Roman"/>
          <w:lang w:val="en-US"/>
        </w:rPr>
        <w:t xml:space="preserve"> </w:t>
      </w:r>
      <w:r w:rsidR="001161F1" w:rsidRPr="0013016F">
        <w:rPr>
          <w:rFonts w:cs="Times New Roman"/>
          <w:lang w:val="en-US"/>
        </w:rPr>
        <w:t>support</w:t>
      </w:r>
      <w:r w:rsidR="00EF1EB2" w:rsidRPr="0013016F">
        <w:rPr>
          <w:rFonts w:cs="Times New Roman"/>
          <w:lang w:val="en-US"/>
        </w:rPr>
        <w:t xml:space="preserve"> nuanced</w:t>
      </w:r>
      <w:r w:rsidR="001161F1" w:rsidRPr="0013016F">
        <w:rPr>
          <w:rFonts w:cs="Times New Roman"/>
          <w:lang w:val="en-US"/>
        </w:rPr>
        <w:t xml:space="preserve"> adaptive</w:t>
      </w:r>
      <w:r w:rsidR="00D269F2" w:rsidRPr="0013016F">
        <w:rPr>
          <w:rFonts w:cs="Times New Roman"/>
          <w:lang w:val="en-US"/>
        </w:rPr>
        <w:t xml:space="preserve"> regulation </w:t>
      </w:r>
      <w:r w:rsidR="004F5720" w:rsidRPr="0013016F">
        <w:rPr>
          <w:rFonts w:cs="Times New Roman"/>
          <w:lang w:val="en-US"/>
        </w:rPr>
        <w:t xml:space="preserve">of objective and </w:t>
      </w:r>
      <w:r w:rsidR="005D159F" w:rsidRPr="0013016F">
        <w:rPr>
          <w:rFonts w:cs="Times New Roman"/>
          <w:lang w:val="en-US"/>
        </w:rPr>
        <w:t>experienced</w:t>
      </w:r>
      <w:r w:rsidR="004F5720" w:rsidRPr="0013016F">
        <w:rPr>
          <w:rFonts w:cs="Times New Roman"/>
          <w:lang w:val="en-US"/>
        </w:rPr>
        <w:t xml:space="preserve"> arousal </w:t>
      </w:r>
      <w:r w:rsidR="00D269F2" w:rsidRPr="0013016F">
        <w:rPr>
          <w:rFonts w:cs="Times New Roman"/>
          <w:lang w:val="en-US"/>
        </w:rPr>
        <w:t>in the ongoing presence of threat</w:t>
      </w:r>
      <w:r w:rsidR="005B375C" w:rsidRPr="0013016F">
        <w:rPr>
          <w:rFonts w:cs="Times New Roman"/>
          <w:lang w:val="en-US"/>
        </w:rPr>
        <w:t>s</w:t>
      </w:r>
      <w:r w:rsidR="00581332" w:rsidRPr="0013016F">
        <w:rPr>
          <w:rFonts w:cs="Times New Roman"/>
          <w:lang w:val="en-US"/>
        </w:rPr>
        <w:t xml:space="preserve">. </w:t>
      </w:r>
      <w:r w:rsidR="006E52EB" w:rsidRPr="0013016F">
        <w:rPr>
          <w:rFonts w:cs="Times New Roman"/>
          <w:lang w:val="en-US"/>
        </w:rPr>
        <w:t xml:space="preserve">Furthermore, </w:t>
      </w:r>
      <w:r w:rsidR="00C65DCE" w:rsidRPr="0013016F">
        <w:rPr>
          <w:rFonts w:cs="Times New Roman"/>
          <w:lang w:val="en-US"/>
        </w:rPr>
        <w:t xml:space="preserve">the </w:t>
      </w:r>
      <w:r w:rsidR="00B02289" w:rsidRPr="0013016F">
        <w:rPr>
          <w:rFonts w:cs="Times New Roman"/>
          <w:lang w:val="en-US"/>
        </w:rPr>
        <w:t xml:space="preserve">results indicate that these forms of flexibility differentially </w:t>
      </w:r>
      <w:r w:rsidR="002F245E" w:rsidRPr="0013016F">
        <w:rPr>
          <w:rFonts w:cs="Times New Roman"/>
          <w:lang w:val="en-US"/>
        </w:rPr>
        <w:t>a</w:t>
      </w:r>
      <w:r w:rsidR="00B02289" w:rsidRPr="0013016F">
        <w:rPr>
          <w:rFonts w:cs="Times New Roman"/>
          <w:lang w:val="en-US"/>
        </w:rPr>
        <w:t xml:space="preserve">ffect </w:t>
      </w:r>
      <w:r w:rsidR="006E52EB" w:rsidRPr="0013016F">
        <w:rPr>
          <w:rFonts w:cs="Times New Roman"/>
          <w:lang w:val="en-US"/>
        </w:rPr>
        <w:t>automatic</w:t>
      </w:r>
      <w:r w:rsidR="00B02289" w:rsidRPr="0013016F">
        <w:rPr>
          <w:rFonts w:cs="Times New Roman"/>
          <w:lang w:val="en-US"/>
        </w:rPr>
        <w:t xml:space="preserve"> and</w:t>
      </w:r>
      <w:r w:rsidR="006E52EB" w:rsidRPr="0013016F">
        <w:rPr>
          <w:rFonts w:cs="Times New Roman"/>
          <w:lang w:val="en-US"/>
        </w:rPr>
        <w:t xml:space="preserve"> objective </w:t>
      </w:r>
      <w:r w:rsidR="00B02289" w:rsidRPr="0013016F">
        <w:rPr>
          <w:rFonts w:cs="Times New Roman"/>
          <w:lang w:val="en-US"/>
        </w:rPr>
        <w:t xml:space="preserve">versus </w:t>
      </w:r>
      <w:r w:rsidR="006E52EB" w:rsidRPr="0013016F">
        <w:rPr>
          <w:rFonts w:cs="Times New Roman"/>
          <w:lang w:val="en-US"/>
        </w:rPr>
        <w:t>reflective</w:t>
      </w:r>
      <w:r w:rsidR="00B02289" w:rsidRPr="0013016F">
        <w:rPr>
          <w:rFonts w:cs="Times New Roman"/>
          <w:lang w:val="en-US"/>
        </w:rPr>
        <w:t xml:space="preserve"> and</w:t>
      </w:r>
      <w:r w:rsidR="006E52EB" w:rsidRPr="0013016F">
        <w:rPr>
          <w:rFonts w:cs="Times New Roman"/>
          <w:lang w:val="en-US"/>
        </w:rPr>
        <w:t xml:space="preserve"> subjective process</w:t>
      </w:r>
      <w:r w:rsidR="00B02289" w:rsidRPr="0013016F">
        <w:rPr>
          <w:rFonts w:cs="Times New Roman"/>
          <w:lang w:val="en-US"/>
        </w:rPr>
        <w:t>es</w:t>
      </w:r>
      <w:r w:rsidR="006E52EB" w:rsidRPr="0013016F">
        <w:rPr>
          <w:rFonts w:cs="Times New Roman"/>
          <w:lang w:val="en-US"/>
        </w:rPr>
        <w:t>.</w:t>
      </w:r>
    </w:p>
    <w:p w:rsidR="00FD11AB" w:rsidRPr="0013016F" w:rsidRDefault="00FD11AB" w:rsidP="00BC34BF">
      <w:pPr>
        <w:spacing w:after="240" w:line="480" w:lineRule="auto"/>
        <w:rPr>
          <w:rFonts w:cs="Times New Roman"/>
          <w:lang w:val="en-US"/>
        </w:rPr>
      </w:pPr>
    </w:p>
    <w:p w:rsidR="00354EA1" w:rsidRPr="0013016F" w:rsidRDefault="008B72E9" w:rsidP="00354EA1">
      <w:pPr>
        <w:spacing w:line="480" w:lineRule="auto"/>
        <w:jc w:val="center"/>
        <w:rPr>
          <w:rFonts w:cs="Times New Roman"/>
          <w:b/>
          <w:lang w:val="en-US"/>
        </w:rPr>
      </w:pPr>
      <w:r w:rsidRPr="0013016F">
        <w:rPr>
          <w:rFonts w:cs="Times New Roman"/>
          <w:b/>
          <w:lang w:val="en-US"/>
        </w:rPr>
        <w:br w:type="page"/>
      </w:r>
      <w:r w:rsidR="00354EA1" w:rsidRPr="0013016F">
        <w:rPr>
          <w:rFonts w:eastAsia="Calibri" w:cs="Times New Roman"/>
          <w:b/>
          <w:lang w:val="en-US"/>
        </w:rPr>
        <w:lastRenderedPageBreak/>
        <w:t>Introduction</w:t>
      </w:r>
    </w:p>
    <w:p w:rsidR="00354EA1" w:rsidRPr="0013016F" w:rsidRDefault="00354EA1" w:rsidP="00354EA1">
      <w:pPr>
        <w:spacing w:line="480" w:lineRule="auto"/>
        <w:ind w:firstLine="720"/>
        <w:rPr>
          <w:rFonts w:cs="Times New Roman"/>
          <w:lang w:val="en-US"/>
        </w:rPr>
      </w:pPr>
      <w:r w:rsidRPr="0013016F">
        <w:rPr>
          <w:rFonts w:eastAsia="Calibri" w:cs="Times New Roman"/>
          <w:lang w:val="en-US"/>
        </w:rPr>
        <w:t>Threatening situations often fluctuat</w:t>
      </w:r>
      <w:r w:rsidR="00993C55" w:rsidRPr="0013016F">
        <w:rPr>
          <w:rFonts w:eastAsia="Calibri" w:cs="Times New Roman"/>
          <w:lang w:val="en-US"/>
        </w:rPr>
        <w:t>e in the</w:t>
      </w:r>
      <w:r w:rsidRPr="0013016F">
        <w:rPr>
          <w:rFonts w:eastAsia="Calibri" w:cs="Times New Roman"/>
          <w:lang w:val="en-US"/>
        </w:rPr>
        <w:t xml:space="preserve"> intensity of experienced threat over a prolonged period of time. Walking down a</w:t>
      </w:r>
      <w:r w:rsidR="00BD5F21" w:rsidRPr="0013016F">
        <w:rPr>
          <w:rFonts w:eastAsia="Calibri" w:cs="Times New Roman"/>
          <w:lang w:val="en-US"/>
        </w:rPr>
        <w:t>n</w:t>
      </w:r>
      <w:r w:rsidR="000201B3" w:rsidRPr="0013016F">
        <w:rPr>
          <w:rFonts w:eastAsia="Calibri" w:cs="Times New Roman"/>
          <w:lang w:val="en-US"/>
        </w:rPr>
        <w:t xml:space="preserve"> </w:t>
      </w:r>
      <w:r w:rsidRPr="0013016F">
        <w:rPr>
          <w:rFonts w:eastAsia="Calibri" w:cs="Times New Roman"/>
          <w:lang w:val="en-US"/>
        </w:rPr>
        <w:t xml:space="preserve">eerie alley at night, for example, will feel more threatening when passing a dark passage than when reaching a street light. In general, an adaptive response to </w:t>
      </w:r>
      <w:r w:rsidR="000201B3" w:rsidRPr="0013016F">
        <w:rPr>
          <w:rFonts w:eastAsia="Calibri" w:cs="Times New Roman"/>
          <w:lang w:val="en-US"/>
        </w:rPr>
        <w:t xml:space="preserve">such </w:t>
      </w:r>
      <w:r w:rsidRPr="0013016F">
        <w:rPr>
          <w:rFonts w:eastAsia="Calibri" w:cs="Times New Roman"/>
          <w:lang w:val="en-US"/>
        </w:rPr>
        <w:t xml:space="preserve">changing environmental demands is characterized by high flexibility, enabling nuanced adjustments to behavior to match those demands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"DOI" : "10.1016/j.cpr.2010.03.001", "ISSN" : "1873-7811", "PMID" : "21151705", "abstract" : "Traditionally, positive emotions and thoughts, strengths, and the satisfaction of basic psychological needs for belonging, competence, and autonomy have been seen as the cornerstones of psychological health. Without disputing their importance, these foci fail to capture many of the fluctuating, conflicting forces that are readily apparent when people navigate the environment and social world. In this paper, we review literature to offer evidence for the prominence of psychological flexibility in understanding psychological health. Thus far, the importance of psychological flexibility has been obscured by the isolation and disconnection of research conducted on this topic. Psychological flexibility spans a wide range of human abilities to: recognize and adapt to various situational demands; shift mindsets or behavioral repertoires when these strategies compromise personal or social functioning; maintain balance among important life domains; and be aware, open, and committed to behaviors that are congruent with deeply held values. In many forms of psychopathology, these flexibility processes are absent. In hopes of creating a more coherent understanding, we synthesize work in emotion regulation, mindfulness and acceptance, social and personality psychology, and neuropsychology. Basic research findings provide insight into the nature, correlates, and consequences of psychological flexibility and applied research provides details on promising interventions. Throughout, we emphasize dynamic approaches that might capture this fluid construct in the real-world.", "author" : [ { "dropping-particle" : "", "family" : "Kashdan", "given" : "Todd B", "non-dropping-particle" : "", "parse-names" : false, "suffix" : "" }, { "dropping-particle" : "", "family" : "Rottenberg", "given" : "Jonathan", "non-dropping-particle" : "", "parse-names" : false, "suffix" : "" } ], "container-title" : "Clinical psychology review", "id" : "ITEM-1", "issue" : "7", "issued" : { "date-parts" : [ [ "2010", "11" ] ] }, "page" : "865-78", "publisher" : "Elsevier B.V.", "title" : "Psychological flexibility as a fundamental aspect of health.", "type" : "article-journal", "volume" : "30" }, "uris" : [ "http://www.mendeley.com/documents/?uuid=86de1a15-1ab4-4784-bb4a-2eddd85b16d8" ] }, { "id" : "ITEM-2", "itemData" : { "DOI" : "10.1016/j.biopsycho.2013.05.003", "ISBN" : "3474454366", "ISSN" : "03010511", "PMID" : "23680439", "abstract" : "Mind wandering (MW) has been defined as the brain's default mode of operation. It is a common experience, however, that this process can become maladaptive, and take the form of repetitive thoughts. We aimed to compare the cardiac and cognitive correlates of perseverative cognition (PC) and MW. Seventy-three healthy participants were engaged in two recall interviews designed to draw their attention to a neutral and a personally relevant negative episode. After each interview, participants performed a 20-min tracking task with thought probe while the electrocardiogram was continuously recorded. Perseverative cognition was associated with higher levels of cognitive inflexibility (slower reaction times, highest intrusiveness, efforts to inhibit), autonomic rigidity (low heart rate variability), and mood worsening compared to being focused on task or MW. Results suggest that MW fails to serve its adaptive function, and turns into a risk factor for health whenever it becomes a rigid and inflexible pattern (PC). \u00a9 2013 Elsevier B.V.", "author" : [ { "dropping-particle" : "", "family" : "Ottaviani", "given" : "Cristina", "non-dropping-particle" : "", "parse-names" : false, "suffix" : "" }, { "dropping-particle" : "", "family" : "Shapiro", "given" : "David", "non-dropping-particle" : "", "parse-names" : false, "suffix" : "" }, { "dropping-particle" : "", "family" : "Couyoumdjian", "given" : "Alessandro", "non-dropping-particle" : "", "parse-names" : false, "suffix" : "" } ], "container-title" : "Biological Psychology", "id" : "ITEM-2", "issue" : "1", "issued" : { "date-parts" : [ [ "2013" ] ] }, "page" : "38-43", "publisher" : "Elsevier B.V.", "title" : "Flexibility as the key for somatic health: From mind wandering to perseverative cognition", "type" : "article-journal", "volume" : "94" }, "uris" : [ "http://www.mendeley.com/documents/?uuid=d19200c9-a92a-468a-bde8-3d151c341d32" ] } ], "mendeley" : { "formattedCitation" : "(Kashdan &amp; Rottenberg, 2010; Ottaviani, Shapiro, &amp; Couyoumdjian, 2013)", "manualFormatting" : "(e.g. Kashdan &amp; Rottenberg, 2010; Ottaviani, Shapiro, &amp; Couyoumdjian, 2013)", "plainTextFormattedCitation" : "(Kashdan &amp; Rottenberg, 2010; Ottaviani, Shapiro, &amp; Couyoumdjian, 2013)", "previouslyFormattedCitation" : "(Kashdan &amp; Rottenberg, 2010; Ottaviani, Shapiro, &amp; Couyoumdjian, 2013)"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(e.g. Kashdan &amp; Rottenberg, 2010; Ottaviani, Shapiro, &amp; Couyoumdjian, 2013)</w:t>
      </w:r>
      <w:r w:rsidR="00AA1F6F" w:rsidRPr="0013016F">
        <w:rPr>
          <w:rFonts w:eastAsia="Calibri" w:cs="Times New Roman"/>
          <w:lang w:val="en-US"/>
        </w:rPr>
        <w:fldChar w:fldCharType="end"/>
      </w:r>
      <w:r w:rsidRPr="0013016F">
        <w:rPr>
          <w:rFonts w:eastAsia="Calibri" w:cs="Times New Roman"/>
          <w:lang w:val="en-US"/>
        </w:rPr>
        <w:t>. This is especially crucial during threatening situations, where a quick response might be decisive for survival and wellbeing.</w:t>
      </w:r>
      <w:r w:rsidR="004563D6" w:rsidRPr="0013016F">
        <w:rPr>
          <w:rFonts w:eastAsia="Calibri" w:cs="Times New Roman"/>
          <w:lang w:val="en-US"/>
        </w:rPr>
        <w:t xml:space="preserve"> </w:t>
      </w:r>
      <w:r w:rsidRPr="0013016F">
        <w:rPr>
          <w:rFonts w:eastAsia="Calibri" w:cs="Times New Roman"/>
          <w:lang w:val="en-US"/>
        </w:rPr>
        <w:t>Flexibility</w:t>
      </w:r>
      <w:r w:rsidR="00BD5F21" w:rsidRPr="0013016F">
        <w:rPr>
          <w:rFonts w:eastAsia="Calibri" w:cs="Times New Roman"/>
          <w:lang w:val="en-US"/>
        </w:rPr>
        <w:t xml:space="preserve"> thus</w:t>
      </w:r>
      <w:r w:rsidRPr="0013016F">
        <w:rPr>
          <w:rFonts w:eastAsia="Calibri" w:cs="Times New Roman"/>
          <w:lang w:val="en-US"/>
        </w:rPr>
        <w:t xml:space="preserve"> represents a form of regulation that is in line with the external environment. </w:t>
      </w:r>
      <w:r w:rsidR="00353EB4" w:rsidRPr="0013016F">
        <w:rPr>
          <w:rFonts w:eastAsia="Calibri" w:cs="Times New Roman"/>
          <w:lang w:val="en-US"/>
        </w:rPr>
        <w:t>In the literature, s</w:t>
      </w:r>
      <w:r w:rsidRPr="0013016F">
        <w:rPr>
          <w:rFonts w:eastAsia="Calibri" w:cs="Times New Roman"/>
          <w:lang w:val="en-US"/>
        </w:rPr>
        <w:t xml:space="preserve">igns of such flexibility </w:t>
      </w:r>
      <w:r w:rsidR="00353EB4" w:rsidRPr="0013016F">
        <w:rPr>
          <w:rFonts w:eastAsia="Calibri" w:cs="Times New Roman"/>
          <w:lang w:val="en-US"/>
        </w:rPr>
        <w:t xml:space="preserve">have been </w:t>
      </w:r>
      <w:r w:rsidRPr="0013016F">
        <w:rPr>
          <w:rFonts w:eastAsia="Calibri" w:cs="Times New Roman"/>
          <w:lang w:val="en-US"/>
        </w:rPr>
        <w:t xml:space="preserve">observed </w:t>
      </w:r>
      <w:r w:rsidR="00353EB4" w:rsidRPr="0013016F">
        <w:rPr>
          <w:rFonts w:eastAsia="Calibri" w:cs="Times New Roman"/>
          <w:lang w:val="en-US"/>
        </w:rPr>
        <w:t>at three</w:t>
      </w:r>
      <w:r w:rsidRPr="0013016F">
        <w:rPr>
          <w:rFonts w:eastAsia="Calibri" w:cs="Times New Roman"/>
          <w:lang w:val="en-US"/>
        </w:rPr>
        <w:t xml:space="preserve"> distinct but interrelated levels</w:t>
      </w:r>
      <w:r w:rsidR="00353EB4" w:rsidRPr="0013016F">
        <w:rPr>
          <w:rFonts w:eastAsia="Calibri" w:cs="Times New Roman"/>
          <w:lang w:val="en-US"/>
        </w:rPr>
        <w:t>:</w:t>
      </w:r>
      <w:r w:rsidRPr="0013016F">
        <w:rPr>
          <w:rFonts w:eastAsia="Calibri" w:cs="Times New Roman"/>
          <w:lang w:val="en-US"/>
        </w:rPr>
        <w:t xml:space="preserve"> cognitive flexibility, heart rate variability, </w:t>
      </w:r>
      <w:r w:rsidR="004563D6" w:rsidRPr="0013016F">
        <w:rPr>
          <w:rFonts w:eastAsia="Calibri" w:cs="Times New Roman"/>
          <w:lang w:val="en-US"/>
        </w:rPr>
        <w:t xml:space="preserve">and </w:t>
      </w:r>
      <w:r w:rsidRPr="0013016F">
        <w:rPr>
          <w:rFonts w:eastAsia="Calibri" w:cs="Times New Roman"/>
          <w:lang w:val="en-US"/>
        </w:rPr>
        <w:t xml:space="preserve">resilience. </w:t>
      </w:r>
      <w:r w:rsidR="00353EB4" w:rsidRPr="0013016F">
        <w:rPr>
          <w:rFonts w:eastAsia="Calibri" w:cs="Times New Roman"/>
          <w:lang w:val="en-US"/>
        </w:rPr>
        <w:t xml:space="preserve">Here we study the relationship between each of these constructs and moment-to-moment </w:t>
      </w:r>
      <w:r w:rsidR="002170C2" w:rsidRPr="0013016F">
        <w:rPr>
          <w:rFonts w:eastAsia="Calibri" w:cs="Times New Roman"/>
          <w:lang w:val="en-US"/>
        </w:rPr>
        <w:t xml:space="preserve">changes in arousal within </w:t>
      </w:r>
      <w:r w:rsidR="004B6237" w:rsidRPr="0013016F">
        <w:rPr>
          <w:rFonts w:eastAsia="Calibri" w:cs="Times New Roman"/>
          <w:lang w:val="en-US"/>
        </w:rPr>
        <w:t>a</w:t>
      </w:r>
      <w:r w:rsidR="00353EB4" w:rsidRPr="0013016F">
        <w:rPr>
          <w:rFonts w:eastAsia="Calibri" w:cs="Times New Roman"/>
          <w:lang w:val="en-US"/>
        </w:rPr>
        <w:t xml:space="preserve"> threatening environment.</w:t>
      </w:r>
    </w:p>
    <w:p w:rsidR="00353EB4" w:rsidRPr="0013016F" w:rsidRDefault="00354EA1" w:rsidP="005A353A">
      <w:pPr>
        <w:spacing w:line="480" w:lineRule="auto"/>
        <w:ind w:firstLine="700"/>
        <w:rPr>
          <w:rFonts w:eastAsia="Calibri" w:cs="Times New Roman"/>
          <w:lang w:val="en-US"/>
        </w:rPr>
      </w:pPr>
      <w:r w:rsidRPr="0013016F">
        <w:rPr>
          <w:rFonts w:eastAsia="Calibri" w:cs="Times New Roman"/>
          <w:lang w:val="en-US"/>
        </w:rPr>
        <w:t xml:space="preserve">Cognitive flexibility refers to the ability to flexibly </w:t>
      </w:r>
      <w:r w:rsidR="00DE76C7" w:rsidRPr="0013016F">
        <w:rPr>
          <w:rFonts w:eastAsia="Calibri" w:cs="Times New Roman"/>
          <w:lang w:val="en-US"/>
        </w:rPr>
        <w:t xml:space="preserve">adapt </w:t>
      </w:r>
      <w:r w:rsidRPr="0013016F">
        <w:rPr>
          <w:rFonts w:eastAsia="Calibri" w:cs="Times New Roman"/>
          <w:lang w:val="en-US"/>
        </w:rPr>
        <w:t>process</w:t>
      </w:r>
      <w:r w:rsidR="00DE76C7" w:rsidRPr="0013016F">
        <w:rPr>
          <w:rFonts w:eastAsia="Calibri" w:cs="Times New Roman"/>
          <w:lang w:val="en-US"/>
        </w:rPr>
        <w:t>ing to changing</w:t>
      </w:r>
      <w:r w:rsidRPr="0013016F">
        <w:rPr>
          <w:rFonts w:eastAsia="Calibri" w:cs="Times New Roman"/>
          <w:lang w:val="en-US"/>
        </w:rPr>
        <w:t xml:space="preserve"> </w:t>
      </w:r>
      <w:r w:rsidR="00BD5F21" w:rsidRPr="0013016F">
        <w:rPr>
          <w:rFonts w:eastAsia="Calibri" w:cs="Times New Roman"/>
          <w:lang w:val="en-US"/>
        </w:rPr>
        <w:t xml:space="preserve">environmental </w:t>
      </w:r>
      <w:r w:rsidRPr="0013016F">
        <w:rPr>
          <w:rFonts w:eastAsia="Calibri" w:cs="Times New Roman"/>
          <w:lang w:val="en-US"/>
        </w:rPr>
        <w:t>information</w:t>
      </w:r>
      <w:r w:rsidR="00DE76C7" w:rsidRPr="0013016F">
        <w:rPr>
          <w:rFonts w:eastAsia="Calibri" w:cs="Times New Roman"/>
          <w:lang w:val="en-US"/>
        </w:rPr>
        <w:t xml:space="preserve"> </w:t>
      </w:r>
      <w:r w:rsidR="00AA1F6F" w:rsidRPr="0013016F">
        <w:rPr>
          <w:rFonts w:eastAsia="Calibri" w:cs="Times New Roman"/>
          <w:lang w:val="en-US"/>
        </w:rPr>
        <w:fldChar w:fldCharType="begin" w:fldLock="1"/>
      </w:r>
      <w:r w:rsidR="005A353A" w:rsidRPr="0013016F">
        <w:rPr>
          <w:rFonts w:eastAsia="Calibri" w:cs="Times New Roman"/>
          <w:lang w:val="en-US"/>
        </w:rPr>
        <w:instrText>ADDIN CSL_CITATION { "citationItems" : [ { "id" : "ITEM-1", "itemData" : { "DOI" : "10.1016/j.tics.2008.11.006", "ISSN" : "1364-6613", "PMID" : "19138551", "abstract" : "We present an overview of current literature addressing cognitive flexibility in autism spectrum disorders. Based on recent studies at multiple sites, using diverse methods and participants of different autism subtypes, ages and cognitive levels, no consistent evidence for cognitive flexibility deficits was found. Researchers and clinicians assume that inflexible everyday behaviors in autism are directly related to cognitive flexibility deficits as assessed by clinical and experimental measures. However, there is a large gap between the day-to-day behavioral flexibility and that measured with these cognitive flexibility tasks. To advance the field, experimental measures must evolve to reflect mechanistic models of flexibility deficits. Moreover, ecologically valid measures are required to be able to resolve the paradox between cognitive and behavioral inflexibility.", "author" : [ { "dropping-particle" : "", "family" : "Geurts", "given" : "Hilde M", "non-dropping-particle" : "", "parse-names" : false, "suffix" : "" }, { "dropping-particle" : "", "family" : "Corbett", "given" : "Blythe", "non-dropping-particle" : "", "parse-names" : false, "suffix" : "" }, { "dropping-particle" : "", "family" : "Solomon", "given" : "Marjorie", "non-dropping-particle" : "", "parse-names" : false, "suffix" : "" } ], "container-title" : "Trends in cognitive sciences", "id" : "ITEM-1", "issue" : "2", "issued" : { "date-parts" : [ [ "2009", "2" ] ] }, "page" : "74-82", "title" : "The paradox of cognitive flexibility in autism.", "type" : "article-journal", "volume" : "13" }, "uris" : [ "http://www.mendeley.com/documents/?uuid=92096aa7-4e93-4c1b-b379-9ef104b24e78" ] }, { "id" : "ITEM-2", "itemData" : { "DOI" : "10.1016/j.newideapsych.2011.11.001", "ISSN" : "0732118X", "author" : [ { "dropping-particle" : "", "family" : "Ionescu", "given" : "Thea", "non-dropping-particle" : "", "parse-names" : false, "suffix" : "" } ], "container-title" : "New Ideas in Psychology", "id" : "ITEM-2", "issue" : "2", "issued" : { "date-parts" : [ [ "2012", "8" ] ] }, "page" : "190-200", "publisher" : "Elsevier Ltd", "title" : "Exploring the nature of cognitive flexibility", "type" : "article-journal", "volume" : "30" }, "uris" : [ "http://www.mendeley.com/documents/?uuid=53c5c34b-1550-48ef-bc20-23e65e7c6759" ] }, { "id" : "ITEM-3", "itemData" : { "DOI" : "10.1080/0014013031000061640", "ISSN" : "0014-0139", "PMID" : "12745698", "abstract" : "People who show good performance in dynamic complex problem-solving tasks can also make errors. Theories of human error fail to fully explain when and why good performers err. Some theories would predict that these errors are to some extent the consequence of the difficulties that people have in adapting to new and unexpected environmental conditions. However, such theories cannot explain why some new conditions lead to error, while others do not. There are also some theories that defend the notion that good performers are more cognitively flexible and better able to adapt to new environmental conditions. However, the fact is that they sometimes make errors when they face those new conditions. This paper describes one experiment and a research methodology designed to test the hypothesis that when people use a problem-solving strategy, their performance is only affected by those conditions which are relevant to that particular strategy. This hypothesis is derived from theories that explain human performance based on the interaction between cognitive mechanisms and environment.", "author" : [ { "dropping-particle" : "", "family" : "Ca\u00f1as", "given" : "Jos\u00e9", "non-dropping-particle" : "", "parse-names" : false, "suffix" : "" }, { "dropping-particle" : "", "family" : "Quesada", "given" : "Jos\u00e9 F", "non-dropping-particle" : "", "parse-names" : false, "suffix" : "" }, { "dropping-particle" : "", "family" : "Antol\u00ed", "given" : "Adoraci\u00f3n", "non-dropping-particle" : "", "parse-names" : false, "suffix" : "" }, { "dropping-particle" : "", "family" : "Fajardo", "given" : "Inmaculada", "non-dropping-particle" : "", "parse-names" : false, "suffix" : "" } ], "container-title" : "Ergonomics", "id" : "ITEM-3", "issue" : "5", "issued" : { "date-parts" : [ [ "2003", "4", "15" ] ] }, "page" : "482-501", "title" : "Cognitive flexibility and adaptability to environmental changes in dynamic complex problem-solving tasks.", "type" : "article-journal", "volume" : "46" }, "uris" : [ "http://www.mendeley.com/documents/?uuid=b5515002-5c32-4528-8242-7a7d76f02acd" ] }, { "id" : "ITEM-4", "itemData" : { "DOI" : "10.1007/s10608-009-9276-4", "ISSN" : "0147-5916", "author" : [ { "dropping-particle" : "", "family" : "Dennis", "given" : "John P.", "non-dropping-particle" : "", "parse-names" : false, "suffix" : "" }, { "dropping-particle" : "", "family" : "Wal", "given" : "Jillon S.", "non-dropping-particle" : "Vander", "parse-names" : false, "suffix" : "" } ], "container-title" : "Cognitive Therapy and Research", "id" : "ITEM-4", "issue" : "3", "issued" : { "date-parts" : [ [ "2009", "11", "11" ] ] }, "page" : "241-253", "title" : "The Cognitive Flexibility Inventory: Instrument Development and Estimates of Reliability and Validity", "type" : "article-journal", "volume" : "34" }, "uris" : [ "http://www.mendeley.com/documents/?uuid=2740696c-bcf5-434a-9103-3af9aa6a07a2" ] } ], "mendeley" : { "formattedCitation" : "(Ca\u00f1as, Quesada, Antol\u00ed, &amp; Fajardo, 2003; Dennis &amp; Vander Wal, 2009; Geurts, Corbett, &amp; Solomon, 2009; Ionescu, 2012)", "plainTextFormattedCitation" : "(Ca\u00f1as, Quesada, Antol\u00ed, &amp; Fajardo, 2003; Dennis &amp; Vander Wal, 2009; Geurts, Corbett, &amp; Solomon, 2009; Ionescu, 2012)", "previouslyFormattedCitation" : "(Ca\u00f1as, Quesada, Antol\u00ed, &amp; Fajardo, 2003; Dennis &amp; Vander Wal, 2009; Geurts, Corbett, &amp; Solomon, 2009; Ionescu, 2012)" }, "properties" : { "noteIndex" : 0 }, "schema" : "https://github.com/citation-style-language/schema/raw/master/csl-citation.json" }</w:instrText>
      </w:r>
      <w:r w:rsidR="00AA1F6F" w:rsidRPr="0013016F">
        <w:rPr>
          <w:rFonts w:eastAsia="Calibri" w:cs="Times New Roman"/>
          <w:lang w:val="en-US"/>
        </w:rPr>
        <w:fldChar w:fldCharType="separate"/>
      </w:r>
      <w:r w:rsidR="005A353A" w:rsidRPr="0013016F">
        <w:rPr>
          <w:rFonts w:eastAsia="Calibri" w:cs="Times New Roman"/>
          <w:noProof/>
          <w:lang w:val="en-US"/>
        </w:rPr>
        <w:t>(Cañas, Quesada, Antolí, &amp; Fajardo, 2003; Dennis &amp; Vander Wal, 2009; Geurts, Corbett, &amp; Solomon, 2009; Ionescu, 2012)</w:t>
      </w:r>
      <w:r w:rsidR="00AA1F6F" w:rsidRPr="0013016F">
        <w:rPr>
          <w:rFonts w:eastAsia="Calibri" w:cs="Times New Roman"/>
          <w:lang w:val="en-US"/>
        </w:rPr>
        <w:fldChar w:fldCharType="end"/>
      </w:r>
      <w:r w:rsidRPr="0013016F">
        <w:rPr>
          <w:rFonts w:eastAsia="Calibri" w:cs="Times New Roman"/>
          <w:lang w:val="en-US"/>
        </w:rPr>
        <w:t xml:space="preserve">. </w:t>
      </w:r>
      <w:r w:rsidR="00570DDB" w:rsidRPr="0013016F">
        <w:rPr>
          <w:rFonts w:eastAsia="Calibri" w:cs="Times New Roman"/>
          <w:lang w:val="en-US"/>
        </w:rPr>
        <w:t>T</w:t>
      </w:r>
      <w:r w:rsidRPr="0013016F">
        <w:rPr>
          <w:rFonts w:eastAsia="Calibri" w:cs="Times New Roman"/>
          <w:lang w:val="en-US"/>
        </w:rPr>
        <w:t>his flexibility</w:t>
      </w:r>
      <w:r w:rsidR="00570DDB" w:rsidRPr="0013016F">
        <w:rPr>
          <w:rFonts w:eastAsia="Calibri" w:cs="Times New Roman"/>
          <w:lang w:val="en-US"/>
        </w:rPr>
        <w:t xml:space="preserve"> depends on</w:t>
      </w:r>
      <w:r w:rsidRPr="0013016F">
        <w:rPr>
          <w:rFonts w:eastAsia="Calibri" w:cs="Times New Roman"/>
          <w:lang w:val="en-US"/>
        </w:rPr>
        <w:t xml:space="preserve"> </w:t>
      </w:r>
      <w:r w:rsidR="007D3E89" w:rsidRPr="0013016F">
        <w:rPr>
          <w:rFonts w:eastAsia="Calibri" w:cs="Times New Roman"/>
          <w:lang w:val="en-US"/>
        </w:rPr>
        <w:t xml:space="preserve">strong </w:t>
      </w:r>
      <w:r w:rsidRPr="0013016F">
        <w:rPr>
          <w:rFonts w:eastAsia="Calibri" w:cs="Times New Roman"/>
          <w:lang w:val="en-US"/>
        </w:rPr>
        <w:t xml:space="preserve">executive control, particularly </w:t>
      </w:r>
      <w:r w:rsidR="007D3E89" w:rsidRPr="0013016F">
        <w:rPr>
          <w:rFonts w:eastAsia="Calibri" w:cs="Times New Roman"/>
          <w:lang w:val="en-US"/>
        </w:rPr>
        <w:t xml:space="preserve">in terms of </w:t>
      </w:r>
      <w:r w:rsidRPr="0013016F">
        <w:rPr>
          <w:rFonts w:eastAsia="Calibri" w:cs="Times New Roman"/>
          <w:lang w:val="en-US"/>
        </w:rPr>
        <w:t xml:space="preserve">efficient shifting of attentional and cognitive resources to </w:t>
      </w:r>
      <w:r w:rsidR="00B8063E" w:rsidRPr="0013016F">
        <w:rPr>
          <w:rFonts w:eastAsia="Calibri" w:cs="Times New Roman"/>
          <w:lang w:val="en-US"/>
        </w:rPr>
        <w:t xml:space="preserve">processing of </w:t>
      </w:r>
      <w:r w:rsidRPr="0013016F">
        <w:rPr>
          <w:rFonts w:eastAsia="Calibri" w:cs="Times New Roman"/>
          <w:lang w:val="en-US"/>
        </w:rPr>
        <w:t xml:space="preserve">new </w:t>
      </w:r>
      <w:r w:rsidR="004563D6" w:rsidRPr="0013016F">
        <w:rPr>
          <w:rFonts w:eastAsia="Calibri" w:cs="Times New Roman"/>
          <w:lang w:val="en-US"/>
        </w:rPr>
        <w:t xml:space="preserve">information </w:t>
      </w:r>
      <w:r w:rsidRPr="0013016F">
        <w:rPr>
          <w:rFonts w:eastAsia="Calibri" w:cs="Times New Roman"/>
          <w:lang w:val="en-US"/>
        </w:rPr>
        <w:t xml:space="preserve">while inhibiting the previously relevant </w:t>
      </w:r>
      <w:r w:rsidR="004563D6" w:rsidRPr="0013016F">
        <w:rPr>
          <w:rFonts w:eastAsia="Calibri" w:cs="Times New Roman"/>
          <w:lang w:val="en-US"/>
        </w:rPr>
        <w:t xml:space="preserve">information </w:t>
      </w:r>
      <w:r w:rsidR="00AA1F6F" w:rsidRPr="0013016F">
        <w:rPr>
          <w:rFonts w:eastAsia="Calibri" w:cs="Times New Roman"/>
          <w:lang w:val="en-US"/>
        </w:rPr>
        <w:fldChar w:fldCharType="begin" w:fldLock="1"/>
      </w:r>
      <w:r w:rsidR="00EF1EB2" w:rsidRPr="0013016F">
        <w:rPr>
          <w:rFonts w:eastAsia="Calibri" w:cs="Times New Roman"/>
          <w:lang w:val="en-US"/>
        </w:rPr>
        <w:instrText>ADDIN CSL_CITATION { "citationItems" : [ { "id" : "ITEM-1", "itemData" : { "DOI" : "10.1006/cogp.1999.0734", "ISSN" : "0010-0285", "PMID" : "10945922", "abstract" : "This individual differences study examined the separability of three often postulated executive functions-mental set shifting (\"Shifting\"), information updating and monitoring (\"Updating\"), and inhibition of prepotent responses (\"Inhibition\")-and their roles in complex \"frontal lobe\" or \"executive\" tasks. One hundred thirty-seven college students performed a set of relatively simple experimental tasks that are considered to predominantly tap each target executive function as well as a set of frequently used executive tasks: the Wisconsin Card Sorting Test (WCST), Tower of Hanoi (TOH), random number generation (RNG), operation span, and dual tasking. Confirmatory factor analysis indicated that the three target executive functions are moderately correlated with one another, but are clearly separable. Moreover, structural equation modeling suggested that the three functions contribute differentially to performance on complex executive tasks. Specifically, WCST performance was related most strongly to Shifting, TOH to Inhibition, RNG to Inhibition and Updating, and operation span to Updating. Dual task performance was not related to any of the three target functions. These results suggest that it is important to recognize both the unity and diversity of executive functions and that latent variable analysis is a useful approach to studying the organization and roles of executive functions.", "author" : [ { "dropping-particle" : "", "family" : "Miyake", "given" : "A", "non-dropping-particle" : "", "parse-names" : false, "suffix" : "" }, { "dropping-particle" : "", "family" : "Friedman", "given" : "N P", "non-dropping-particle" : "", "parse-names" : false, "suffix" : "" }, { "dropping-particle" : "", "family" : "Emerson", "given" : "M J", "non-dropping-particle" : "", "parse-names" : false, "suffix" : "" }, { "dropping-particle" : "", "family" : "Witzki", "given" : "A H", "non-dropping-particle" : "", "parse-names" : false, "suffix" : "" }, { "dropping-particle" : "", "family" : "Howerter", "given" : "A", "non-dropping-particle" : "", "parse-names" : false, "suffix" : "" }, { "dropping-particle" : "", "family" : "Wager", "given" : "T D", "non-dropping-particle" : "", "parse-names" : false, "suffix" : "" } ], "container-title" : "Cognitive psychology", "id" : "ITEM-1", "issue" : "1", "issued" : { "date-parts" : [ [ "2000", "8" ] ] }, "page" : "49-100", "title" : "The unity and diversity of executive functions and their contributions to complex \"Frontal Lobe\" tasks: a latent variable analysis.", "type" : "article-journal", "volume" : "41" }, "uris" : [ "http://www.mendeley.com/documents/?uuid=a54931e5-5527-4dab-b719-5e274b398651" ] } ], "mendeley" : { "formattedCitation" : "(Miyake et al., 2000)", "plainTextFormattedCitation" : "(Miyake et al., 2000)", "previouslyFormattedCitation" : "(Miyake et al., 2000)" }, "properties" : { "noteIndex" : 0 }, "schema" : "https://github.com/citation-style-language/schema/raw/master/csl-citation.json" }</w:instrText>
      </w:r>
      <w:r w:rsidR="00AA1F6F" w:rsidRPr="0013016F">
        <w:rPr>
          <w:rFonts w:eastAsia="Calibri" w:cs="Times New Roman"/>
          <w:lang w:val="en-US"/>
        </w:rPr>
        <w:fldChar w:fldCharType="separate"/>
      </w:r>
      <w:r w:rsidR="00EF1EB2" w:rsidRPr="0013016F">
        <w:rPr>
          <w:rFonts w:eastAsia="Calibri" w:cs="Times New Roman"/>
          <w:noProof/>
          <w:lang w:val="en-US"/>
        </w:rPr>
        <w:t>(Miyake et al., 2000)</w:t>
      </w:r>
      <w:r w:rsidR="00AA1F6F" w:rsidRPr="0013016F">
        <w:rPr>
          <w:rFonts w:eastAsia="Calibri" w:cs="Times New Roman"/>
          <w:lang w:val="en-US"/>
        </w:rPr>
        <w:fldChar w:fldCharType="end"/>
      </w:r>
      <w:r w:rsidR="00A461EB" w:rsidRPr="0013016F">
        <w:rPr>
          <w:rFonts w:eastAsia="Calibri" w:cs="Times New Roman"/>
          <w:lang w:val="en-US"/>
        </w:rPr>
        <w:t xml:space="preserve"> </w:t>
      </w:r>
      <w:r w:rsidRPr="0013016F">
        <w:rPr>
          <w:rFonts w:eastAsia="Calibri" w:cs="Times New Roman"/>
          <w:lang w:val="en-US"/>
        </w:rPr>
        <w:t xml:space="preserve">In the experimental context, cognitive flexibility </w:t>
      </w:r>
      <w:r w:rsidR="002170C2" w:rsidRPr="0013016F">
        <w:rPr>
          <w:rFonts w:eastAsia="Calibri" w:cs="Times New Roman"/>
          <w:lang w:val="en-US"/>
        </w:rPr>
        <w:t xml:space="preserve">has </w:t>
      </w:r>
      <w:r w:rsidRPr="0013016F">
        <w:rPr>
          <w:rFonts w:eastAsia="Calibri" w:cs="Times New Roman"/>
          <w:lang w:val="en-US"/>
        </w:rPr>
        <w:t>thus be</w:t>
      </w:r>
      <w:r w:rsidR="002170C2" w:rsidRPr="0013016F">
        <w:rPr>
          <w:rFonts w:eastAsia="Calibri" w:cs="Times New Roman"/>
          <w:lang w:val="en-US"/>
        </w:rPr>
        <w:t>en</w:t>
      </w:r>
      <w:r w:rsidRPr="0013016F">
        <w:rPr>
          <w:rFonts w:eastAsia="Calibri" w:cs="Times New Roman"/>
          <w:lang w:val="en-US"/>
        </w:rPr>
        <w:t xml:space="preserve"> operationalized as cognitive task switching, whereby </w:t>
      </w:r>
      <w:r w:rsidR="002170C2" w:rsidRPr="0013016F">
        <w:rPr>
          <w:rFonts w:eastAsia="Calibri" w:cs="Times New Roman"/>
          <w:lang w:val="en-US"/>
        </w:rPr>
        <w:t xml:space="preserve">participants alternate between evaluating different </w:t>
      </w:r>
      <w:r w:rsidRPr="0013016F">
        <w:rPr>
          <w:rFonts w:eastAsia="Calibri" w:cs="Times New Roman"/>
          <w:lang w:val="en-US"/>
        </w:rPr>
        <w:t xml:space="preserve">aspects of stimuli </w:t>
      </w:r>
      <w:r w:rsidR="00AA1F6F" w:rsidRPr="0013016F">
        <w:rPr>
          <w:rFonts w:eastAsia="Calibri" w:cs="Times New Roman"/>
          <w:lang w:val="en-US"/>
        </w:rPr>
        <w:fldChar w:fldCharType="begin" w:fldLock="1"/>
      </w:r>
      <w:r w:rsidR="00EF1EB2" w:rsidRPr="0013016F">
        <w:rPr>
          <w:rFonts w:eastAsia="Calibri" w:cs="Times New Roman"/>
          <w:lang w:val="en-US"/>
        </w:rPr>
        <w:instrText>ADDIN CSL_CITATION { "citationItems" : [ { "id" : "ITEM-1", "itemData" : { "DOI" : "10.1016/j.newideapsych.2011.11.001", "ISSN" : "0732118X", "author" : [ { "dropping-particle" : "", "family" : "Ionescu", "given" : "Thea", "non-dropping-particle" : "", "parse-names" : false, "suffix" : "" } ], "container-title" : "New Ideas in Psychology", "id" : "ITEM-1", "issue" : "2", "issued" : { "date-parts" : [ [ "2012", "8" ] ] }, "page" : "190-200", "publisher" : "Elsevier Ltd", "title" : "Exploring the nature of cognitive flexibility", "type" : "article-journal", "volume" : "30" }, "uris" : [ "http://www.mendeley.com/documents/?uuid=53c5c34b-1550-48ef-bc20-23e65e7c6759" ] } ], "mendeley" : { "formattedCitation" : "(Ionescu, 2012)", "manualFormatting" : "(Ionescu, 2012)", "plainTextFormattedCitation" : "(Ionescu, 2012)", "previouslyFormattedCitation" : "(Ionescu, 2012)"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(Ionescu, 2012)</w:t>
      </w:r>
      <w:r w:rsidR="00AA1F6F" w:rsidRPr="0013016F">
        <w:rPr>
          <w:rFonts w:eastAsia="Calibri" w:cs="Times New Roman"/>
          <w:lang w:val="en-US"/>
        </w:rPr>
        <w:fldChar w:fldCharType="end"/>
      </w:r>
      <w:r w:rsidRPr="0013016F">
        <w:rPr>
          <w:rFonts w:eastAsia="Calibri" w:cs="Times New Roman"/>
          <w:lang w:val="en-US"/>
        </w:rPr>
        <w:t>.</w:t>
      </w:r>
      <w:r w:rsidR="002170C2" w:rsidRPr="0013016F">
        <w:rPr>
          <w:rFonts w:eastAsia="Calibri" w:cs="Times New Roman"/>
          <w:lang w:val="en-US"/>
        </w:rPr>
        <w:t xml:space="preserve"> Cognitive flexibility is likely critical i</w:t>
      </w:r>
      <w:r w:rsidRPr="0013016F">
        <w:rPr>
          <w:rFonts w:eastAsia="Calibri" w:cs="Times New Roman"/>
          <w:lang w:val="en-US"/>
        </w:rPr>
        <w:t xml:space="preserve">n a threatening situation, where ongoing cognitive processes need to be inhibited </w:t>
      </w:r>
      <w:r w:rsidR="002170C2" w:rsidRPr="0013016F">
        <w:rPr>
          <w:rFonts w:eastAsia="Calibri" w:cs="Times New Roman"/>
          <w:lang w:val="en-US"/>
        </w:rPr>
        <w:t xml:space="preserve">and </w:t>
      </w:r>
      <w:r w:rsidRPr="0013016F">
        <w:rPr>
          <w:rFonts w:eastAsia="Calibri" w:cs="Times New Roman"/>
          <w:lang w:val="en-US"/>
        </w:rPr>
        <w:t xml:space="preserve">resources shifted to processing the current </w:t>
      </w:r>
      <w:r w:rsidR="005A353A" w:rsidRPr="0013016F">
        <w:rPr>
          <w:rFonts w:eastAsia="Calibri" w:cs="Times New Roman"/>
          <w:lang w:val="en-US"/>
        </w:rPr>
        <w:t>threat</w:t>
      </w:r>
      <w:r w:rsidRPr="0013016F">
        <w:rPr>
          <w:rFonts w:eastAsia="Calibri" w:cs="Times New Roman"/>
          <w:lang w:val="en-US"/>
        </w:rPr>
        <w:t xml:space="preserve">. Indeed, inflexibility in shifting and inhibition has been related to a threat bias found in anxiety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"10.1037/1528-3542.7.2.336", "ISSN" : "1528-3542", "PMID" : "17516812", "abstract" : "Attentional control theory is an approach to anxiety and cognition representing a major development of Eysenck and Calvo's (1992) processing efficiency theory. It is assumed that anxiety impairs efficient functioning of the goal-directed attentional system and increases the extent to which processing is influenced by the stimulus-driven attentional system. In addition to decreasing attentional control, anxiety increases attention to threat-related stimuli. Adverse effects of anxiety on processing efficiency depend on two central executive functions involving attentional control: inhibition and shifting. However, anxiety may not impair performance effectiveness (quality of performance) when it leads to the use of compensatory strategies (e.g., enhanced effort; increased use of processing resources). Directions for future research are discussed.", "author" : [ { "dropping-particle" : "", "family" : "Eysenck", "given" : "Michael W", "non-dropping-particle" : "", "parse-names" : false, "suffix" : "" }, { "dropping-particle" : "", "family" : "Derakshan", "given" : "Nazanin", "non-dropping-particle" : "", "parse-names" : false, "suffix" : "" }, { "dropping-particle" : "", "family" : "Santos", "given" : "Rita", "non-dropping-particle" : "", "parse-names" : false, "suffix" : "" }, { "dropping-particle" : "", "family" : "Calvo", "given" : "Manuel G", "non-dropping-particle" : "", "parse-names" : false, "suffix" : "" } ], "container-title" : "Emotion", "id" : "ITEM-1", "issue" : "2", "issued" : { "date-parts" : [ [ "2007", "5" ] ] }, "note" : "attention, anxiety", "page" : "336-53", "title" : "Anxiety and cognitive performance: attentional control theory.", "type" : "article-journal", "volume" : "7" }, "uris" : [ "http://www.mendeley.com/documents/?uuid=2b80d400-ca79-4069-a26a-53ac43d1efef" ] }, { "id" : "ITEM-2", "itemData" : { "DOI" : "10.1016/S0191-8869(99)00157-9", "ISSN" : "01918869", "author" : [ { "dropping-particle" : "", "family" : "Mogg", "given" : "Karin", "non-dropping-particle" : "", "parse-names" : false, "suffix" : "" }, { "dropping-particle" : "", "family" : "Bradley", "given" : "Brendan P", "non-dropping-particle" : "", "parse-names" : false, "suffix" : "" }, { "dropping-particle" : "", "family" : "Dixon", "given" : "Claire", "non-dropping-particle" : "", "parse-names" : false, "suffix" : "" }, { "dropping-particle" : "", "family" : "Fisher", "given" : "Susan", "non-dropping-particle" : "", "parse-names" : false, "suffix" : "" }, { "dropping-particle" : "", "family" : "Twelftree", "given" : "Helen", "non-dropping-particle" : "", "parse-names" : false, "suffix" : "" }, { "dropping-particle" : "", "family" : "McWilliams", "given" : "Andrew", "non-dropping-particle" : "", "parse-names" : false, "suffix" : "" } ], "container-title" : "Personality and Individual Differences", "id" : "ITEM-2", "issue" : "6", "issued" : { "date-parts" : [ [ "2000", "6" ] ] }, "page" : "1063-1077", "title" : "Trait anxiety, defensiveness and selective processing of threat: an investigation using two measures of attentional bias", "type" : "article-journal", "volume" : "28" }, "uris" : [ "http://www.mendeley.com/documents/?uuid=fa1bbba6-b900-4f73-aaea-23d8b4f23cb4" ] }, { "id" : "ITEM-3", "itemData" : { "author" : [ { "dropping-particle" : "", "family" : "Mogg", "given" : "Karin", "non-dropping-particle" : "", "parse-names" : false, "suffix" : "" }, { "dropping-particle" : "", "family" : "Bradley", "given" : "Brendan P", "non-dropping-particle" : "", "parse-names" : false, "suffix" : "" } ], "id" : "ITEM-3", "issued" : { "date-parts" : [ [ "1999" ] ] }, "title" : "Some methodological issues in assessing attentional biases for threatening faces in anxiety: A replication study using a modified version of the probe detection task", "type" : "article-journal", "volume" : "37" }, "uris" : [ "http://www.mendeley.com/documents/?uuid=0e757719-0391-4cd8-afcf-f97c411a8117" ] }, { "id" : "ITEM-4", "itemData" : { "DOI" : "10.1037/a0031236", "ISSN" : "1931-1516", "PMID" : "23356563", "abstract" : "Threat-related attentional biases represent a basic survival mechanism. These biases include an engagement bias involving rapid direction of attention toward threat and a disengagement bias involving slow direction of attention away from threat. The exact nature of these biases in healthy and anxious individuals remains controversial because of the challenges associated with accurately isolating each of these attentional biases. Combining a cognitive attentional task with classical conditioning using electric stimulation, we created a new paradigm that makes it possible to more clearly isolate these attentional biases. Utilizing this novel paradigm, we detected both types of attentional bias and differentiated between levels of trait anxiety, in which low- and high-trait anxiety individuals showed equal levels of engagement bias, but only high-trait anxiety individuals showed impaired disengagement from threat.", "author" : [ { "dropping-particle" : "", "family" : "Sheppes", "given" : "Gal", "non-dropping-particle" : "", "parse-names" : false, "suffix" : "" }, { "dropping-particle" : "", "family" : "Luria", "given" : "Roy", "non-dropping-particle" : "", "parse-names" : false, "suffix" : "" }, { "dropping-particle" : "", "family" : "Fukuda", "given" : "Keisuke", "non-dropping-particle" : "", "parse-names" : false, "suffix" : "" }, { "dropping-particle" : "", "family" : "Gross", "given" : "James J", "non-dropping-particle" : "", "parse-names" : false, "suffix" : "" } ], "container-title" : "Emotion", "id" : "ITEM-4", "issue" : "3", "issued" : { "date-parts" : [ [ "2013", "6" ] ] }, "note" : "bias towards threat! important!", "page" : "520-8", "title" : "There's more to anxiety than meets the eye: isolating threat-related attentional engagement and disengagement biases.", "type" : "article-journal", "volume" : "13" }, "uris" : [ "http://www.mendeley.com/documents/?uuid=437e0d31-a353-4a65-9f2a-b5ce8f2afb37" ] } ], "mendeley" : { "formattedCitation" : "(Eysenck, Derakshan, Santos, &amp; Calvo, 2007; Mogg &amp; Bradley, 1999; Mogg et al., 2000; Sheppes, Luria, Fukuda, &amp; Gross, 2013)", "plainTextFormattedCitation" : "(Eysenck, Derakshan, Santos, &amp; Calvo, 2007; Mogg &amp; Bradley, 1999; Mogg et al., 2000; Sheppes, Luria, Fukuda, &amp; Gross, 2013)", "previouslyFormattedCitation" : "(Eysenck, Derakshan, Santos, &amp; Calvo, 2007; Mogg &amp; Bradley, 1999; Mogg et al., 2000; Sheppes, Luria, Fukuda, &amp; Gross, 2013)"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 xml:space="preserve">(Eysenck, Derakshan, Santos, &amp; Calvo, 2007; Mogg &amp; Bradley, 1999; Mogg et al., 2000; </w:t>
      </w:r>
      <w:r w:rsidRPr="0013016F">
        <w:rPr>
          <w:rFonts w:eastAsia="Calibri" w:cs="Times New Roman"/>
          <w:noProof/>
          <w:lang w:val="en-US"/>
        </w:rPr>
        <w:lastRenderedPageBreak/>
        <w:t>Sheppes, Luria, Fukuda, &amp; Gross, 2013)</w:t>
      </w:r>
      <w:r w:rsidR="00AA1F6F" w:rsidRPr="0013016F">
        <w:rPr>
          <w:rFonts w:eastAsia="Calibri" w:cs="Times New Roman"/>
          <w:lang w:val="en-US"/>
        </w:rPr>
        <w:fldChar w:fldCharType="end"/>
      </w:r>
      <w:r w:rsidRPr="0013016F">
        <w:rPr>
          <w:rFonts w:eastAsia="Calibri" w:cs="Times New Roman"/>
          <w:lang w:val="en-US"/>
        </w:rPr>
        <w:t xml:space="preserve"> and depression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"author" : [ { "dropping-particle" : "", "family" : "Whitmer", "given" : "Anson J", "non-dropping-particle" : "", "parse-names" : false, "suffix" : "" }, { "dropping-particle" : "", "family" : "Banich", "given" : "Marie T", "non-dropping-particle" : "", "parse-names" : false, "suffix" : "" } ], "container-title" : "Psychological Science", "id" : "ITEM-1", "issue" : "6", "issued" : { "date-parts" : [ [ "2007" ] ] }, "page" : "546-553", "title" : "Inhibition Versus Switching Deficits in Different Forms of Rumination", "type" : "article-journal", "volume" : "18" }, "uris" : [ "http://www.mendeley.com/documents/?uuid=89f54897-702f-414b-bed9-e99aa928af72" ] } ], "mendeley" : { "formattedCitation" : "(Whitmer &amp; Banich, 2007)", "plainTextFormattedCitation" : "(Whitmer &amp; Banich, 2007)", "previouslyFormattedCitation" : "(Whitmer &amp; Banich, 2007)"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(Whitmer &amp; Banich, 2007)</w:t>
      </w:r>
      <w:r w:rsidR="00AA1F6F" w:rsidRPr="0013016F">
        <w:rPr>
          <w:rFonts w:eastAsia="Calibri" w:cs="Times New Roman"/>
          <w:lang w:val="en-US"/>
        </w:rPr>
        <w:fldChar w:fldCharType="end"/>
      </w:r>
      <w:r w:rsidRPr="0013016F">
        <w:rPr>
          <w:rFonts w:eastAsia="Calibri" w:cs="Times New Roman"/>
          <w:lang w:val="en-US"/>
        </w:rPr>
        <w:t xml:space="preserve">, which is characterized by </w:t>
      </w:r>
      <w:r w:rsidR="007D3E89" w:rsidRPr="0013016F">
        <w:rPr>
          <w:rFonts w:eastAsia="Calibri" w:cs="Times New Roman"/>
          <w:lang w:val="en-US"/>
        </w:rPr>
        <w:t xml:space="preserve">both a facilitated attention to threatening stimuli and </w:t>
      </w:r>
      <w:r w:rsidRPr="0013016F">
        <w:rPr>
          <w:rFonts w:eastAsia="Calibri" w:cs="Times New Roman"/>
          <w:lang w:val="en-US"/>
        </w:rPr>
        <w:t xml:space="preserve">a failure to disengage from </w:t>
      </w:r>
      <w:r w:rsidR="007D3E89" w:rsidRPr="0013016F">
        <w:rPr>
          <w:rFonts w:eastAsia="Calibri" w:cs="Times New Roman"/>
          <w:lang w:val="en-US"/>
        </w:rPr>
        <w:t>them</w:t>
      </w:r>
      <w:r w:rsidRPr="0013016F">
        <w:rPr>
          <w:rFonts w:eastAsia="Calibri" w:cs="Times New Roman"/>
          <w:lang w:val="en-US"/>
        </w:rPr>
        <w:t xml:space="preserve"> (for a review,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"ISSN" : "1873-7811", "PMID" : "20005616", "abstract" : "A wealth of research demonstrates attentional biases toward threat in the anxiety disorders. Several models have been advanced to explain these biases in anxiety, yet the mechanisms comprising and mediating the biases remain unclear. In the present article, we review evidence regarding the mechanisms of attentional biases through careful examination of the components of attentional bias, the mechanisms underlying these components, and the stage of information processing during which the biases occur. Facilitated attention, difficulty in disengagement, and attentional avoidance comprise the components of attentional bias. A threat detection mechanism likely underlies facilitated attention, a process that may be neurally centered around the amygdala. Attentional control ability likely underlies difficulty in disengagement, emotion regulation goals likely underlie attentional avoidance, and both of these processes may be neurally centered around prefrontal cortex functioning. The threat detection mechanism may be a mostly automatic process, attentional avoidance may be a mostly strategic process, and difficulty in disengagement may be a mixture of automatic and strategic processing. Recommendations for future research are discussed.", "author" : [ { "dropping-particle" : "", "family" : "Cisler", "given" : "Josh M", "non-dropping-particle" : "", "parse-names" : false, "suffix" : "" }, { "dropping-particle" : "", "family" : "Koster", "given" : "Ernst H W", "non-dropping-particle" : "", "parse-names" : false, "suffix" : "" } ], "container-title" : "Clinical psychology review", "id" : "ITEM-1", "issue" : "2", "issued" : { "date-parts" : [ [ "2010", "3" ] ] }, "page" : "203-16", "publisher" : "Elsevier Ltd", "title" : "Mechanisms of attentional biases towards threat in anxiety disorders: An integrative review.", "type" : "article-journal", "volume" : "30" }, "uris" : [ "http://www.mendeley.com/documents/?uuid=8cb75066-1191-4b97-9efb-09c9f0d99e83" ] } ], "mendeley" : { "formattedCitation" : "(Cisler &amp; Koster, 2010)", "manualFormatting" : "see Cisler &amp; Koster, 2010)", "plainTextFormattedCitation" : "(Cisler &amp; Koster, 2010)", "previouslyFormattedCitation" : "(Cisler &amp; Koster, 2010)"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see Cisler &amp; Koster, 2010)</w:t>
      </w:r>
      <w:r w:rsidR="00AA1F6F" w:rsidRPr="0013016F">
        <w:rPr>
          <w:rFonts w:eastAsia="Calibri" w:cs="Times New Roman"/>
          <w:lang w:val="en-US"/>
        </w:rPr>
        <w:fldChar w:fldCharType="end"/>
      </w:r>
      <w:r w:rsidRPr="0013016F">
        <w:rPr>
          <w:rFonts w:eastAsia="Calibri" w:cs="Times New Roman"/>
          <w:lang w:val="en-US"/>
        </w:rPr>
        <w:t xml:space="preserve">. </w:t>
      </w:r>
      <w:r w:rsidR="00E15C98" w:rsidRPr="0013016F">
        <w:rPr>
          <w:rFonts w:eastAsia="Calibri" w:cs="Times New Roman"/>
          <w:lang w:val="en-US"/>
        </w:rPr>
        <w:t xml:space="preserve">For example,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"DOI" : "10.1016/j.paid.2008.05.003", "ISSN" : "01918869", "author" : [ { "dropping-particle" : "", "family" : "Paulitzki", "given" : "Jeffrey R.", "non-dropping-particle" : "", "parse-names" : false, "suffix" : "" }, { "dropping-particle" : "", "family" : "Risko", "given" : "Evan F.", "non-dropping-particle" : "", "parse-names" : false, "suffix" : "" }, { "dropping-particle" : "", "family" : "Oakman", "given" : "Jonathan M.", "non-dropping-particle" : "", "parse-names" : false, "suffix" : "" }, { "dropping-particle" : "", "family" : "Stolz", "given" : "Jennifer A.", "non-dropping-particle" : "", "parse-names" : false, "suffix" : "" } ], "container-title" : "Personality and Individual Differences", "id" : "ITEM-1", "issue" : "5", "issued" : { "date-parts" : [ [ "2008", "10" ] ] }, "page" : "350-355", "title" : "Doing the unpleasant: How the emotional nature of a threat-relevant task affects task-switching", "type" : "article-journal", "volume" : "45" }, "uris" : [ "http://www.mendeley.com/documents/?uuid=95663e17-0d96-4f6a-9839-756c583a5c89" ] } ], "mendeley" : { "formattedCitation" : "(Paulitzki, Risko, Oakman, &amp; Stolz, 2008)", "manualFormatting" : "Paulitzki, Risko, Oakman, and Stolz", "plainTextFormattedCitation" : "(Paulitzki, Risko, Oakman, &amp; Stolz, 2008)", "previouslyFormattedCitation" : "(Paulitzki, Risko, Oakman, &amp; Stolz, 2008)"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Paulitzki, Risko, Oakman, and Stolz</w:t>
      </w:r>
      <w:r w:rsidR="00AA1F6F" w:rsidRPr="0013016F">
        <w:rPr>
          <w:rFonts w:eastAsia="Calibri" w:cs="Times New Roman"/>
          <w:lang w:val="en-US"/>
        </w:rPr>
        <w:fldChar w:fldCharType="end"/>
      </w:r>
      <w:r w:rsidRPr="0013016F">
        <w:rPr>
          <w:rFonts w:eastAsia="Calibri" w:cs="Times New Roman"/>
          <w:lang w:val="en-US"/>
        </w:rPr>
        <w:t xml:space="preserve"> (2008) used a task switching task to show that the higher the participants’ fear of spiders, the more accelerated engagement with (i.e. shifting to) and decelerated disengagement from (i.e. shifting from or inhibiting) fear-relevant pictures compared to neutral pictures. </w:t>
      </w:r>
      <w:r w:rsidR="00E50427" w:rsidRPr="0013016F">
        <w:rPr>
          <w:rFonts w:eastAsia="Calibri" w:cs="Times New Roman"/>
          <w:lang w:val="en-US"/>
        </w:rPr>
        <w:t>Although a bias towards detecting threats might be adaptive (“When in doubt, prepare for the worst.”), this research suggests that an exaggerated focus on threatening stimuli including a difficulty to disengage from those stimuli (i.e. cognitive inflexibility) is maladaptive.</w:t>
      </w:r>
    </w:p>
    <w:p w:rsidR="004C0A36" w:rsidRPr="0013016F" w:rsidRDefault="00AF3942" w:rsidP="00354EA1">
      <w:pPr>
        <w:spacing w:line="480" w:lineRule="auto"/>
        <w:ind w:firstLine="700"/>
        <w:rPr>
          <w:rFonts w:eastAsia="Calibri" w:cs="Times New Roman"/>
          <w:lang w:val="en-US"/>
        </w:rPr>
      </w:pPr>
      <w:r w:rsidRPr="0013016F">
        <w:rPr>
          <w:rFonts w:eastAsia="Calibri" w:cs="Times New Roman"/>
          <w:lang w:val="en-US"/>
        </w:rPr>
        <w:t>T</w:t>
      </w:r>
      <w:r w:rsidR="00E15C98" w:rsidRPr="0013016F">
        <w:rPr>
          <w:rFonts w:eastAsia="Calibri" w:cs="Times New Roman"/>
          <w:lang w:val="en-US"/>
        </w:rPr>
        <w:t xml:space="preserve">he two components of the threat bias, </w:t>
      </w:r>
      <w:r w:rsidR="00CD7E06" w:rsidRPr="0013016F">
        <w:rPr>
          <w:rFonts w:eastAsia="Calibri" w:cs="Times New Roman"/>
          <w:lang w:val="en-US"/>
        </w:rPr>
        <w:t>facilitated attention</w:t>
      </w:r>
      <w:r w:rsidR="00E15C98" w:rsidRPr="0013016F">
        <w:rPr>
          <w:rFonts w:eastAsia="Calibri" w:cs="Times New Roman"/>
          <w:lang w:val="en-US"/>
        </w:rPr>
        <w:t xml:space="preserve"> and difficulty in disengagement, are due to </w:t>
      </w:r>
      <w:r w:rsidR="004C0A36" w:rsidRPr="0013016F">
        <w:rPr>
          <w:rFonts w:eastAsia="Calibri" w:cs="Times New Roman"/>
          <w:lang w:val="en-US"/>
        </w:rPr>
        <w:t xml:space="preserve">an imbalance of two </w:t>
      </w:r>
      <w:r w:rsidR="00E15C98" w:rsidRPr="0013016F">
        <w:rPr>
          <w:rFonts w:eastAsia="Calibri" w:cs="Times New Roman"/>
          <w:lang w:val="en-US"/>
        </w:rPr>
        <w:t>different mechanisms:</w:t>
      </w:r>
      <w:r w:rsidR="004C0A36" w:rsidRPr="0013016F">
        <w:rPr>
          <w:rFonts w:eastAsia="Calibri" w:cs="Times New Roman"/>
          <w:lang w:val="en-US"/>
        </w:rPr>
        <w:t xml:space="preserve"> increased stimulus-driven</w:t>
      </w:r>
      <w:r w:rsidR="00E15C98" w:rsidRPr="0013016F">
        <w:rPr>
          <w:rFonts w:eastAsia="Calibri" w:cs="Times New Roman"/>
          <w:lang w:val="en-US"/>
        </w:rPr>
        <w:t xml:space="preserve"> automatic and </w:t>
      </w:r>
      <w:r w:rsidR="004C0A36" w:rsidRPr="0013016F">
        <w:rPr>
          <w:rFonts w:eastAsia="Calibri" w:cs="Times New Roman"/>
          <w:lang w:val="en-US"/>
        </w:rPr>
        <w:t xml:space="preserve">decreased top-down </w:t>
      </w:r>
      <w:r w:rsidR="00E15C98" w:rsidRPr="0013016F">
        <w:rPr>
          <w:rFonts w:eastAsia="Calibri" w:cs="Times New Roman"/>
          <w:lang w:val="en-US"/>
        </w:rPr>
        <w:t>strategic processing</w:t>
      </w:r>
      <w:r w:rsidR="00B20CBB" w:rsidRPr="0013016F">
        <w:rPr>
          <w:rFonts w:eastAsia="Calibri" w:cs="Times New Roman"/>
          <w:lang w:val="en-US"/>
        </w:rPr>
        <w:t>, respectively</w:t>
      </w:r>
      <w:r w:rsidRPr="0013016F">
        <w:rPr>
          <w:rFonts w:eastAsia="Calibri" w:cs="Times New Roman"/>
          <w:lang w:val="en-US"/>
        </w:rPr>
        <w:t xml:space="preserv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"ISSN" : "1873-7811", "PMID" : "20005616", "abstract" : "A wealth of research demonstrates attentional biases toward threat in the anxiety disorders. Several models have been advanced to explain these biases in anxiety, yet the mechanisms comprising and mediating the biases remain unclear. In the present article, we review evidence regarding the mechanisms of attentional biases through careful examination of the components of attentional bias, the mechanisms underlying these components, and the stage of information processing during which the biases occur. Facilitated attention, difficulty in disengagement, and attentional avoidance comprise the components of attentional bias. A threat detection mechanism likely underlies facilitated attention, a process that may be neurally centered around the amygdala. Attentional control ability likely underlies difficulty in disengagement, emotion regulation goals likely underlie attentional avoidance, and both of these processes may be neurally centered around prefrontal cortex functioning. The threat detection mechanism may be a mostly automatic process, attentional avoidance may be a mostly strategic process, and difficulty in disengagement may be a mixture of automatic and strategic processing. Recommendations for future research are discussed.", "author" : [ { "dropping-particle" : "", "family" : "Cisler", "given" : "Josh M", "non-dropping-particle" : "", "parse-names" : false, "suffix" : "" }, { "dropping-particle" : "", "family" : "Koster", "given" : "Ernst H W", "non-dropping-particle" : "", "parse-names" : false, "suffix" : "" } ], "container-title" : "Clinical psychology review", "id" : "ITEM-1", "issue" : "2", "issued" : { "date-parts" : [ [ "2010", "3" ] ] }, "page" : "203-16", "publisher" : "Elsevier Ltd", "title" : "Mechanisms of attentional biases towards threat in anxiety disorders: An integrative review.", "type" : "article-journal", "volume" : "30" }, "uris" : [ "http://www.mendeley.com/documents/?uuid=8cb75066-1191-4b97-9efb-09c9f0d99e83" ] }, { "id" : "ITEM-2", "itemData" : { "DOI" : "10.1037/1528-3542.7.2.336", "ISSN" : "1528-3542", "PMID" : "17516812", "abstract" : "Attentional control theory is an approach to anxiety and cognition representing a major development of Eysenck and Calvo's (1992) processing efficiency theory. It is assumed that anxiety impairs efficient functioning of the goal-directed attentional system and increases the extent to which processing is influenced by the stimulus-driven attentional system. In addition to decreasing attentional control, anxiety increases attention to threat-related stimuli. Adverse effects of anxiety on processing efficiency depend on two central executive functions involving attentional control: inhibition and shifting. However, anxiety may not impair performance effectiveness (quality of performance) when it leads to the use of compensatory strategies (e.g., enhanced effort; increased use of processing resources). Directions for future research are discussed.", "author" : [ { "dropping-particle" : "", "family" : "Eysenck", "given" : "Michael W", "non-dropping-particle" : "", "parse-names" : false, "suffix" : "" }, { "dropping-particle" : "", "family" : "Derakshan", "given" : "Nazanin", "non-dropping-particle" : "", "parse-names" : false, "suffix" : "" }, { "dropping-particle" : "", "family" : "Santos", "given" : "Rita", "non-dropping-particle" : "", "parse-names" : false, "suffix" : "" }, { "dropping-particle" : "", "family" : "Calvo", "given" : "Manuel G", "non-dropping-particle" : "", "parse-names" : false, "suffix" : "" } ], "container-title" : "Emotion", "id" : "ITEM-2", "issue" : "2", "issued" : { "date-parts" : [ [ "2007", "5" ] ] }, "note" : "attention, anxiety", "page" : "336-53", "title" : "Anxiety and cognitive performance: attentional control theory.", "type" : "article-journal", "volume" : "7" }, "uris" : [ "http://www.mendeley.com/documents/?uuid=2b80d400-ca79-4069-a26a-53ac43d1efef" ] } ], "mendeley" : { "formattedCitation" : "(Cisler &amp; Koster, 2010; Eysenck et al., 2007)", "plainTextFormattedCitation" : "(Cisler &amp; Koster, 2010; Eysenck et al., 2007)", "previouslyFormattedCitation" : "(Cisler &amp; Koster, 2010; Eysenck et al., 2007)" }, "properties" : { "noteIndex" : 0 }, "schema" : "https://github.com/citation-style-language/schema/raw/master/csl-citation.json" }</w:instrText>
      </w:r>
      <w:r w:rsidR="00AA1F6F" w:rsidRPr="0013016F">
        <w:rPr>
          <w:rFonts w:eastAsia="Calibri" w:cs="Times New Roman"/>
          <w:lang w:val="en-US"/>
        </w:rPr>
        <w:fldChar w:fldCharType="separate"/>
      </w:r>
      <w:r w:rsidR="005A353A" w:rsidRPr="0013016F">
        <w:rPr>
          <w:rFonts w:eastAsia="Calibri" w:cs="Times New Roman"/>
          <w:noProof/>
          <w:lang w:val="en-US"/>
        </w:rPr>
        <w:t>(Cisler &amp; Koster, 2010; Eysenck et al., 2007)</w:t>
      </w:r>
      <w:r w:rsidR="00AA1F6F" w:rsidRPr="0013016F">
        <w:rPr>
          <w:rFonts w:eastAsia="Calibri" w:cs="Times New Roman"/>
          <w:lang w:val="en-US"/>
        </w:rPr>
        <w:fldChar w:fldCharType="end"/>
      </w:r>
      <w:r w:rsidR="00B20CBB" w:rsidRPr="0013016F">
        <w:rPr>
          <w:rFonts w:eastAsia="Calibri" w:cs="Times New Roman"/>
          <w:lang w:val="en-US"/>
        </w:rPr>
        <w:t xml:space="preserve">. This imbalance is </w:t>
      </w:r>
      <w:r w:rsidR="00FD4FAC" w:rsidRPr="0013016F">
        <w:rPr>
          <w:rFonts w:eastAsia="Calibri" w:cs="Times New Roman"/>
          <w:lang w:val="en-US"/>
        </w:rPr>
        <w:t xml:space="preserve">associated with inefficient </w:t>
      </w:r>
      <w:r w:rsidR="00FC0248" w:rsidRPr="0013016F">
        <w:rPr>
          <w:rFonts w:eastAsia="Calibri" w:cs="Times New Roman"/>
          <w:lang w:val="en-US"/>
        </w:rPr>
        <w:t>cortical (dis-)inhibition of subcortical structures</w:t>
      </w:r>
      <w:r w:rsidR="00AE0BBD" w:rsidRPr="0013016F">
        <w:rPr>
          <w:rFonts w:eastAsia="Calibri" w:cs="Times New Roman"/>
          <w:lang w:val="en-US"/>
        </w:rPr>
        <w:t xml:space="preserv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"10.5127/jep.009110", "ISSN" : "20438087", "author" : [ { "dropping-particle" : "", "family" : "Verkuil", "given" : "Bart", "non-dropping-particle" : "", "parse-names" : false, "suffix" : "" }, { "dropping-particle" : "", "family" : "Brosschot", "given" : "Jos", "non-dropping-particle" : "", "parse-names" : false, "suffix" : "" }, { "dropping-particle" : "", "family" : "Gebhardt", "given" : "Winifred", "non-dropping-particle" : "", "parse-names" : false, "suffix" : "" }, { "dropping-particle" : "", "family" : "Thayer", "given" : "Julian", "non-dropping-particle" : "", "parse-names" : false, "suffix" : "" } ], "container-title" : "Journal of Experimental Psychopathology", "id" : "ITEM-1", "issue" : "1", "issued" : { "date-parts" : [ [ "2010" ] ] }, "page" : "87-118", "title" : "When worries make you sick: A review of perseverative cognition, the default stress response and somatic health", "type" : "article-journal", "volume" : "1" }, "uris" : [ "http://www.mendeley.com/documents/?uuid=aca7ff67-8bdd-471e-ab69-a6a0db985ebc" ] }, { "id" : "ITEM-2", "itemData" : { "DOI" : "10.1016/j.neuron.2012.02.004", "ISSN" : "1097-4199", "PMID" : "22365542", "abstract" : "I propose a reconceptualization of key phenomena important in the study of emotion-those phenomena that reflect functions and circuits related to survival, and that are shared by humans and other animals. The approach shifts the focus from questions about whether emotions that humans consciously feel are also present in other animals, and toward questions about the extent to which circuits and corresponding functions that are present in other animals (survival circuits and functions) are also present in humans. Survival circuit functions are not causally related to emotional feelings but obviously contribute to these, at least indirectly. The survival circuit concept integrates ideas about emotion, motivation, reinforcement, and arousal in the effort to understand how organisms survive and thrive by detecting and responding to challenges and opportunities in daily life.", "author" : [ { "dropping-particle" : "", "family" : "LeDoux", "given" : "Joseph E.", "non-dropping-particle" : "", "parse-names" : false, "suffix" : "" } ], "container-title" : "Neuron", "id" : "ITEM-2", "issue" : "4", "issued" : { "date-parts" : [ [ "2012", "2", "23" ] ] }, "page" : "653-76", "publisher" : "Elsevier Inc.", "title" : "Rethinking the emotional brain.", "type" : "article-journal", "volume" : "73" }, "uris" : [ "http://www.mendeley.com/documents/?uuid=39a54eb1-c9bb-432a-a7ee-7720dd345cd2" ] }, { "id" : "ITEM-3", "itemData" : { "DOI" : "10.1016/j.neubiorev.2011.11.009", "ISSN" : "1873-7528", "PMID" : "22178086", "abstract" : "The intimate connection between the brain and the heart was enunciated by Claude Bernard over 150 years ago. In our neurovisceral integration model we have tried to build on this pioneering work. In the present paper we further elaborate our model and update it with recent results. Specifically, we performed a meta-analysis of recent neuroimaging studies on the relationship between heart rate variability and regional cerebral blood flow. We identified a number of regions, including the amygdala and ventromedial prefrontal cortex, in which significant associations across studies were found. We further propose that the default response to uncertainty is the threat response and may be related to the well known negativity bias. Heart rate variability may provide an index of how strongly 'top-down' appraisals, mediated by cortical-subcortical pathways, shape brainstem activity and autonomic responses in the body. If the default response to uncertainty is the threat response, as we propose here, contextual information represented in 'appraisal' systems may be necessary to overcome this bias during daily life. Thus, HRV may serve as a proxy for 'vertical integration' of the brain mechanisms that guide flexible control over behavior with peripheral physiology, and as such provides an important window into understanding stress and health.", "author" : [ { "dropping-particle" : "", "family" : "Thayer", "given" : "Julian F", "non-dropping-particle" : "", "parse-names" : false, "suffix" : "" }, { "dropping-particle" : "", "family" : "Ahs", "given" : "Fredrik", "non-dropping-particle" : "", "parse-names" : false, "suffix" : "" }, { "dropping-particle" : "", "family" : "Fredrikson", "given" : "Mats", "non-dropping-particle" : "", "parse-names" : false, "suffix" : "" }, { "dropping-particle" : "", "family" : "Sollers", "given" : "John J", "non-dropping-particle" : "", "parse-names" : false, "suffix" : "" }, { "dropping-particle" : "", "family" : "Wager", "given" : "Tor D", "non-dropping-particle" : "", "parse-names" : false, "suffix" : "" } ], "container-title" : "Neuroscience and biobehavioral reviews", "id" : "ITEM-3", "issue" : "2", "issued" : { "date-parts" : [ [ "2012", "2" ] ] }, "page" : "747-56", "publisher" : "Elsevier Ltd", "title" : "A meta-analysis of heart rate variability and neuroimaging studies: implications for heart rate variability as a marker of stress and health.", "type" : "article-journal", "volume" : "36" }, "uris" : [ "http://www.mendeley.com/documents/?uuid=0c51e789-cabc-4b3d-be45-93baf6f79a5e" ] }, { "id" : "ITEM-4", "itemData" : { "DOI" : "10.1016/j.biopsycho.2005.08.009", "ISSN" : "0301-0511", "PMID" : "17069959", "abstract" : "Research on heart rate variability (HRV), cardiac vagal tone, and their relationship to anxiety is reviewed in the context of the autonomic flexibility and neurovisceral integration models of adaptive functioning. These perspectives address the qualities of response flexibility and inhibition across multiple levels, incorporating central and autonomic nervous system mechanisms of environmental engagement, as well as principles derived from non-linear dynamics. These models predict reduced HRV and vagal tone in anxiety, and the literature has generally supported this prediction, with exceptions as are noted. State, trait, and clinical expressions of anxiety are considered, along with the clinical, methodological, and theoretical implications of this research. A portrayal of anxiety as a restricted response range across biological and behavioral realms of functioning is drawn from the literature on anxiety and HRV.", "author" : [ { "dropping-particle" : "", "family" : "Friedman", "given" : "Bruce H", "non-dropping-particle" : "", "parse-names" : false, "suffix" : "" } ], "container-title" : "Biological psychology", "id" : "ITEM-4", "issue" : "2", "issued" : { "date-parts" : [ [ "2007", "2" ] ] }, "page" : "185-99", "title" : "An autonomic flexibility-neurovisceral integration model of anxiety and cardiac vagal tone.", "type" : "article-journal", "volume" : "74" }, "uris" : [ "http://www.mendeley.com/documents/?uuid=4cc5461c-c85e-4d38-96d4-9bab04ebc48d" ] }, { "id" : "ITEM-5", "itemData" : { "author" : [ { "dropping-particle" : "", "family" : "LeDoux", "given" : "Joseph E", "non-dropping-particle" : "", "parse-names" : false, "suffix" : "" } ], "container-title" : "Annual Review Neuroscience", "id" : "ITEM-5", "issued" : { "date-parts" : [ [ "2000" ] ] }, "page" : "155-184", "title" : "Emotion circuits in the brain", "type" : "article-journal", "volume" : "23" }, "uris" : [ "http://www.mendeley.com/documents/?uuid=c29c39bb-dd03-44f3-9fbc-e1cd0e284fb9" ] } ], "mendeley" : { "formattedCitation" : "(Friedman, 2007; LeDoux, 2000, 2012; Thayer, Ahs, Fredrikson, Sollers, &amp; Wager, 2012; Verkuil, Brosschot, Gebhardt, &amp; Thayer, 2010)", "manualFormatting" : "(for details, see Friedman, 2007; LeDoux, 2000, 2012; Thayer, Ahs, Fredrikson, Sollers, &amp; Wager, 2012; Verkuil et al., 2010)", "plainTextFormattedCitation" : "(Friedman, 2007; LeDoux, 2000, 2012; Thayer, Ahs, Fredrikson, Sollers, &amp; Wager, 2012; Verkuil, Brosschot, Gebhardt, &amp; Thayer, 2010)", "previouslyFormattedCitation" : "(Friedman, 2007; LeDoux, 2000, 2012; Thayer, Ahs, Fredrikson, Sollers, &amp; Wager, 2012; Verkuil, Brosschot, Gebhardt, &amp; Thayer, 2010)" }, "properties" : { "noteIndex" : 0 }, "schema" : "https://github.com/citation-style-language/schema/raw/master/csl-citation.json" }</w:instrText>
      </w:r>
      <w:r w:rsidR="00AA1F6F" w:rsidRPr="0013016F">
        <w:rPr>
          <w:rFonts w:eastAsia="Calibri" w:cs="Times New Roman"/>
          <w:lang w:val="en-US"/>
        </w:rPr>
        <w:fldChar w:fldCharType="separate"/>
      </w:r>
      <w:r w:rsidR="008B0611" w:rsidRPr="0013016F">
        <w:rPr>
          <w:rFonts w:eastAsia="Calibri" w:cs="Times New Roman"/>
          <w:noProof/>
          <w:lang w:val="en-US"/>
        </w:rPr>
        <w:t>(for</w:t>
      </w:r>
      <w:r w:rsidR="005A353A" w:rsidRPr="0013016F">
        <w:rPr>
          <w:rFonts w:eastAsia="Calibri" w:cs="Times New Roman"/>
          <w:noProof/>
          <w:lang w:val="en-US"/>
        </w:rPr>
        <w:t xml:space="preserve"> details, see </w:t>
      </w:r>
      <w:r w:rsidR="008B0611" w:rsidRPr="0013016F">
        <w:rPr>
          <w:rFonts w:eastAsia="Calibri" w:cs="Times New Roman"/>
          <w:noProof/>
          <w:lang w:val="en-US"/>
        </w:rPr>
        <w:t>Friedman, 2007; LeDoux, 2000, 2012; Thayer, Ahs, Fredrikson, Sollers, &amp; Wager, 2012; Verkuil et al., 2010)</w:t>
      </w:r>
      <w:r w:rsidR="00AA1F6F" w:rsidRPr="0013016F">
        <w:rPr>
          <w:rFonts w:eastAsia="Calibri" w:cs="Times New Roman"/>
          <w:lang w:val="en-US"/>
        </w:rPr>
        <w:fldChar w:fldCharType="end"/>
      </w:r>
      <w:r w:rsidR="008B0611" w:rsidRPr="0013016F">
        <w:rPr>
          <w:rFonts w:eastAsia="Calibri" w:cs="Times New Roman"/>
          <w:lang w:val="en-US"/>
        </w:rPr>
        <w:t xml:space="preserve">. </w:t>
      </w:r>
      <w:r w:rsidR="005A353A" w:rsidRPr="0013016F">
        <w:rPr>
          <w:rFonts w:eastAsia="Calibri" w:cs="Times New Roman"/>
          <w:lang w:val="en-US"/>
        </w:rPr>
        <w:t>D</w:t>
      </w:r>
      <w:r w:rsidR="008F46CC" w:rsidRPr="0013016F">
        <w:rPr>
          <w:rFonts w:eastAsia="Calibri" w:cs="Times New Roman"/>
          <w:lang w:val="en-US"/>
        </w:rPr>
        <w:t xml:space="preserve">ynamic </w:t>
      </w:r>
      <w:r w:rsidR="00E25CAD" w:rsidRPr="0013016F">
        <w:rPr>
          <w:rFonts w:eastAsia="Calibri" w:cs="Times New Roman"/>
          <w:lang w:val="en-US"/>
        </w:rPr>
        <w:t xml:space="preserve">(dis-)inhibition is </w:t>
      </w:r>
      <w:r w:rsidR="00FC0248" w:rsidRPr="0013016F">
        <w:rPr>
          <w:rFonts w:eastAsia="Calibri" w:cs="Times New Roman"/>
          <w:lang w:val="en-US"/>
        </w:rPr>
        <w:t xml:space="preserve">thus </w:t>
      </w:r>
      <w:r w:rsidR="00E25CAD" w:rsidRPr="0013016F">
        <w:rPr>
          <w:rFonts w:eastAsia="Calibri" w:cs="Times New Roman"/>
          <w:lang w:val="en-US"/>
        </w:rPr>
        <w:t xml:space="preserve">a component of self-regulation and </w:t>
      </w:r>
      <w:r w:rsidR="008F46CC" w:rsidRPr="0013016F">
        <w:rPr>
          <w:rFonts w:eastAsia="Calibri" w:cs="Times New Roman"/>
          <w:lang w:val="en-US"/>
        </w:rPr>
        <w:t>allows for flexible</w:t>
      </w:r>
      <w:r w:rsidR="00E25CAD" w:rsidRPr="0013016F">
        <w:rPr>
          <w:rFonts w:eastAsia="Calibri" w:cs="Times New Roman"/>
          <w:lang w:val="en-US"/>
        </w:rPr>
        <w:t xml:space="preserve"> </w:t>
      </w:r>
      <w:r w:rsidR="008F46CC" w:rsidRPr="0013016F">
        <w:rPr>
          <w:rFonts w:eastAsia="Calibri" w:cs="Times New Roman"/>
          <w:lang w:val="en-US"/>
        </w:rPr>
        <w:t xml:space="preserve">cognitive responses </w:t>
      </w:r>
      <w:r w:rsidR="000A10EC" w:rsidRPr="0013016F">
        <w:rPr>
          <w:rFonts w:eastAsia="Calibri" w:cs="Times New Roman"/>
          <w:lang w:val="en-US"/>
        </w:rPr>
        <w:t xml:space="preserve">to the ever-changing nature of </w:t>
      </w:r>
      <w:r w:rsidR="008F46CC" w:rsidRPr="0013016F">
        <w:rPr>
          <w:rFonts w:eastAsia="Calibri" w:cs="Times New Roman"/>
          <w:lang w:val="en-US"/>
        </w:rPr>
        <w:t>threats in the environment.</w:t>
      </w:r>
    </w:p>
    <w:p w:rsidR="00A951E1" w:rsidRPr="0013016F" w:rsidRDefault="00AA1F6F" w:rsidP="00A951E1">
      <w:pPr>
        <w:spacing w:line="480" w:lineRule="auto"/>
        <w:ind w:firstLine="700"/>
        <w:rPr>
          <w:rFonts w:eastAsia="Calibri" w:cs="Times New Roman"/>
          <w:lang w:val="en-US"/>
        </w:rPr>
      </w:pPr>
      <w:r w:rsidRPr="0013016F">
        <w:rPr>
          <w:rFonts w:eastAsia="Calibri" w:cs="Times New Roman"/>
          <w:lang w:val="en-US"/>
        </w:rPr>
        <w:t xml:space="preserve">Heart rate variability (HRV) – reflecting vagally-mediated cardiac control and sometimes referred to as autonomic flexibility </w:t>
      </w:r>
      <w:r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"DOI" : "10.1016/j.biopsycho.2010.09.005", "ISSN" : "1873-6246", "PMID" : "20851735", "abstract" : "Vagal tone (VT), an index of autonomic flexibility, is linked to social and psychological well-being. We posit that the association between VT and well-being reflects an \"upward spiral\" in which autonomic flexibility, represented by VT, facilitates capitalizing on social and emotional opportunities and the resulting opportunistic gains, in turn, lead to higher VT. Community-dwelling adults were asked to monitor and report their positive emotions and the degree to which they felt socially connected each day for 9 weeks. VT was measured at the beginning and end of the 9-week period. Adults who possessed higher initial levels of VT increased in connectedness and positive emotions more rapidly than others. Furthermore, increases in connectedness and positive emotions predicted increases in VT, independent of initial VT level. This evidence is consistent with an \"upward spiral\" relationship of reciprocal causality, in which VT and psychosocial well-being reciprocally and prospectively predict one another.", "author" : [ { "dropping-particle" : "", "family" : "Kok", "given" : "Bethany E", "non-dropping-particle" : "", "parse-names" : false, "suffix" : "" }, { "dropping-particle" : "", "family" : "Fredrickson", "given" : "Barbara L", "non-dropping-particle" : "", "parse-names" : false, "suffix" : "" } ], "container-title" : "Biological psychology", "id" : "ITEM-1", "issue" : "3", "issued" : { "date-parts" : [ [ "2010", "12" ] ] }, "page" : "432-6", "title" : "Upward spirals of the heart: autonomic flexibility, as indexed by vagal tone, reciprocally and prospectively predicts positive emotions and social connectedness.", "type" : "article-journal", "volume" : "85" }, "uris" : [ "http://www.mendeley.com/documents/?uuid=9ad4565c-5e22-4abb-850f-8a7762965fff" ] }, { "id" : "ITEM-2", "itemData" : { "DOI" : "10.1016/j.biopsycho.2005.08.009", "ISSN" : "0301-0511", "PMID" : "17069959", "abstract" : "Research on heart rate variability (HRV), cardiac vagal tone, and their relationship to anxiety is reviewed in the context of the autonomic flexibility and neurovisceral integration models of adaptive functioning. These perspectives address the qualities of response flexibility and inhibition across multiple levels, incorporating central and autonomic nervous system mechanisms of environmental engagement, as well as principles derived from non-linear dynamics. These models predict reduced HRV and vagal tone in anxiety, and the literature has generally supported this prediction, with exceptions as are noted. State, trait, and clinical expressions of anxiety are considered, along with the clinical, methodological, and theoretical implications of this research. A portrayal of anxiety as a restricted response range across biological and behavioral realms of functioning is drawn from the literature on anxiety and HRV.", "author" : [ { "dropping-particle" : "", "family" : "Friedman", "given" : "Bruce H", "non-dropping-particle" : "", "parse-names" : false, "suffix" : "" } ], "container-title" : "Biological psychology", "id" : "ITEM-2", "issue" : "2", "issued" : { "date-parts" : [ [ "2007", "2" ] ] }, "page" : "185-99", "title" : "An autonomic flexibility-neurovisceral integration model of anxiety and cardiac vagal tone.", "type" : "article-journal", "volume" : "74" }, "uris" : [ "http://www.mendeley.com/documents/?uuid=4cc5461c-c85e-4d38-96d4-9bab04ebc48d" ] }, { "id" : "ITEM-3", "itemData" : { "DOI" : "10.1111/j.1469-7610.2011.02417.x", "ISSN" : "1469-7610", "PMID" : "21615735", "abstract" : "BACKGROUND: Psychophysiological hyperresponsiveness to social-evaluative stress plays a key role in current theories of social phobia (SP). Owing to the early onset of this disorder, the study of children with SP can help to improve etiological models. However, research to date has failed to clarify whether children with SP are physiologically hyperresponsive to stress or not. In addition, the existence of elevated pre-stressor baseline group differences complicates the interpretation of acute stress responses and therefore poses a challenge for this line of research. Drawing on current models of autonomic control to explain the relationship between baseline and stress responding in SP children and healthy controls (HC), we acquired a broad set of autonomic measures in our study.\n\nMETHOD: To index baseline and stress reactivity and to assess autonomic flexibility, we assessed a comprehensive array of sympathetic and parasympathetic measures in SP children (aged 8 to 12 years; n = 30) and healthy control children (HC, n = 26), while exposing them to the Trier Social Stress Test for Children (TSST-C).\n\nRESULTS: At baseline, the SP children showed higher levels of sympathetic (heart rate, electrodermal activity) and lower levels of parasympathetic (respiratory sinus arrhythmia, RSA) activation when compared to the HC children. During the TSST-C, the SP children showed similar HR responses but a limited RSA reactivity and a slower HR recovery relative to the HC children.\n\nCONCLUSION: Our study extends previous research by showing elevated baseline arousal and comparable stress responding in SP children relative to HC children. In addition, based on the autonomic flexibility model, we provide a potential explanation for the null findings of previous studies during stress. The pattern of elevated baseline heart rates and reduced RSA point to restricted autonomic flexibility in children with SP.", "author" : [ { "dropping-particle" : "", "family" : "Schmitz", "given" : "Julian", "non-dropping-particle" : "", "parse-names" : false, "suffix" : "" }, { "dropping-particle" : "", "family" : "Kr\u00e4mer", "given" : "Martina", "non-dropping-particle" : "", "parse-names" : false, "suffix" : "" }, { "dropping-particle" : "", "family" : "Tuschen-Caffier", "given" : "Brunna", "non-dropping-particle" : "", "parse-names" : false, "suffix" : "" }, { "dropping-particle" : "", "family" : "Heinrichs", "given" : "Nina", "non-dropping-particle" : "", "parse-names" : false, "suffix" : "" }, { "dropping-particle" : "", "family" : "Blechert", "given" : "Jens", "non-dropping-particle" : "", "parse-names" : false, "suffix" : "" } ], "container-title" : "Journal of child psychology and psychiatry, and allied disciplines", "id" : "ITEM-3", "issue" : "11", "issued" : { "date-parts" : [ [ "2011", "11" ] ] }, "page" : "1203-11", "title" : "Restricted autonomic flexibility in children with social phobia.", "type" : "article-journal", "volume" : "52" }, "uris" : [ "http://www.mendeley.com/documents/?uuid=a237e5ac-c149-4dba-9690-846c2af33431" ] } ], "mendeley" : { "formattedCitation" : "(Friedman, 2007; Kok &amp; Fredrickson, 2010; Schmitz, Kr\u00e4mer, Tuschen-Caffier, Heinrichs, &amp; Blechert, 2011)", "manualFormatting" : "(e.g. Friedman, 2007; Kok &amp; Fredrickson, 2010; Schmitz, Kr\u00e4mer, Tuschen-Caffier, Heinrichs, &amp; Blechert, 2011)", "plainTextFormattedCitation" : "(Friedman, 2007; Kok &amp; Fredrickson, 2010; Schmitz, Kr\u00e4mer, Tuschen-Caffier, Heinrichs, &amp; Blechert, 2011)", "previouslyFormattedCitation" : "(Friedman, 2007; Kok &amp; Fredrickson, 2010; Schmitz, Kr\u00e4mer, Tuschen-Caffier, Heinrichs, &amp; Blechert, 2011)" }, "properties" : { "noteIndex" : 0 }, "schema" : "https://github.com/citation-style-language/schema/raw/master/csl-citation.json" }</w:instrText>
      </w:r>
      <w:r w:rsidRPr="0013016F">
        <w:rPr>
          <w:rFonts w:eastAsia="Calibri" w:cs="Times New Roman"/>
          <w:lang w:val="en-US"/>
        </w:rPr>
        <w:fldChar w:fldCharType="separate"/>
      </w:r>
      <w:r w:rsidRPr="0013016F">
        <w:rPr>
          <w:rFonts w:eastAsia="Calibri" w:cs="Times New Roman"/>
          <w:noProof/>
          <w:lang w:val="en-US"/>
        </w:rPr>
        <w:t>(e.g. Friedman, 2007; Kok &amp; Fredrickson, 2010; Schmitz, Krämer, Tuschen-Caffier, Heinrichs, &amp; Blechert, 2011)</w:t>
      </w:r>
      <w:r w:rsidRPr="0013016F">
        <w:rPr>
          <w:rFonts w:eastAsia="Calibri" w:cs="Times New Roman"/>
          <w:lang w:val="en-US"/>
        </w:rPr>
        <w:fldChar w:fldCharType="end"/>
      </w:r>
      <w:r w:rsidRPr="0013016F">
        <w:rPr>
          <w:rFonts w:eastAsia="Calibri" w:cs="Times New Roman"/>
          <w:lang w:val="en-US"/>
        </w:rPr>
        <w:t xml:space="preserve"> – has been suggested </w:t>
      </w:r>
      <w:r w:rsidR="007C3BB5" w:rsidRPr="0013016F">
        <w:rPr>
          <w:rFonts w:eastAsia="Calibri" w:cs="Times New Roman"/>
          <w:lang w:val="en-US"/>
        </w:rPr>
        <w:t>as</w:t>
      </w:r>
      <w:r w:rsidRPr="0013016F">
        <w:rPr>
          <w:rFonts w:eastAsia="Calibri" w:cs="Times New Roman"/>
          <w:lang w:val="en-US"/>
        </w:rPr>
        <w:t xml:space="preserve"> a proxy for efficient cortical-subcortical integration (</w:t>
      </w:r>
      <w:r w:rsidRPr="0013016F">
        <w:rPr>
          <w:rFonts w:eastAsia="Calibri" w:cs="Times New Roman"/>
        </w:rPr>
        <w:fldChar w:fldCharType="begin" w:fldLock="1"/>
      </w:r>
      <w:r w:rsidRPr="0013016F">
        <w:rPr>
          <w:rFonts w:eastAsia="Calibri" w:cs="Times New Roman"/>
          <w:lang w:val="en-US"/>
        </w:rPr>
        <w:instrText>ADDIN CSL_CITATION { "citationItems" : [ { "id" : "ITEM-1", "itemData" : { "ISSN" : "0165-0327", "PMID" : "11163422", "abstract" : "In the present paper we present the outlines of a model that integrates autonomic, attentional, and affective systems into a functional and structural network that may help to guide us in our understanding of emotion regulation and dysregulation. We will emphasize the relationship between attentional regulation and affective processes and propose a group of underlying physiological systems that serve to integrate these functions in the service of self-regulation and adaptability of the organism. We will attempt to place this network in the context of dynamical systems models which involve feedback and feedforward circuits with special attention to negative feedback mechanisms, inhibitory processes, and their role in response selection. From a systems perspective, inhibitory processes can be viewed as negative feedback circuits that allow for the interruption of ongoing behavior and the re-deployment of resources to other tasks. When these negative feedback mechanisms are compromised, positive feedback loops may develop as a result (of dis-inhibition). From this perspective, the relative sympathetic activation seen in anxiety disorders may represent dis-inhibition due to faulty inhibitory mechanisms.", "author" : [ { "dropping-particle" : "", "family" : "Thayer", "given" : "Julian F", "non-dropping-particle" : "", "parse-names" : false, "suffix" : "" }, { "dropping-particle" : "", "family" : "Lane", "given" : "Richard D", "non-dropping-particle" : "", "parse-names" : false, "suffix" : "" } ], "container-title" : "Journal of affective disorders", "id" : "ITEM-1", "issue" : "3", "issued" : { "date-parts" : [ [ "2000", "12" ] ] }, "page" : "201-16", "title" : "A model of neurovisceral integration in emotion regulation and dysregulation.", "type" : "article-journal", "volume" : "61" }, "uris" : [ "http://www.mendeley.com/documents/?uuid=2d968661-6951-49de-9d49-2b0542aefadb" ] }, { "id" : "ITEM-2", "itemData" : { "DOI" : "10.1016/j.neubiorev.2011.11.009", "ISSN" : "1873-7528", "PMID" : "22178086", "abstract" : "The intimate connection between the brain and the heart was enunciated by Claude Bernard over 150 years ago. In our neurovisceral integration model we have tried to build on this pioneering work. In the present paper we further elaborate our model and update it with recent results. Specifically, we performed a meta-analysis of recent neuroimaging studies on the relationship between heart rate variability and regional cerebral blood flow. We identified a number of regions, including the amygdala and ventromedial prefrontal cortex, in which significant associations across studies were found. We further propose that the default response to uncertainty is the threat response and may be related to the well known negativity bias. Heart rate variability may provide an index of how strongly 'top-down' appraisals, mediated by cortical-subcortical pathways, shape brainstem activity and autonomic responses in the body. If the default response to uncertainty is the threat response, as we propose here, contextual information represented in 'appraisal' systems may be necessary to overcome this bias during daily life. Thus, HRV may serve as a proxy for 'vertical integration' of the brain mechanisms that guide flexible control over behavior with peripheral physiology, and as such provides an important window into understanding stress and health.", "author" : [ { "dropping-particle" : "", "family" : "Thayer", "given" : "Julian F", "non-dropping-particle" : "", "parse-names" : false, "suffix" : "" }, { "dropping-particle" : "", "family" : "Ahs", "given" : "Fredrik", "non-dropping-particle" : "", "parse-names" : false, "suffix" : "" }, { "dropping-particle" : "", "family" : "Fredrikson", "given" : "Mats", "non-dropping-particle" : "", "parse-names" : false, "suffix" : "" }, { "dropping-particle" : "", "family" : "Sollers", "given" : "John J", "non-dropping-particle" : "", "parse-names" : false, "suffix" : "" }, { "dropping-particle" : "", "family" : "Wager", "given" : "Tor D", "non-dropping-particle" : "", "parse-names" : false, "suffix" : "" } ], "container-title" : "Neuroscience and biobehavioral reviews", "id" : "ITEM-2", "issue" : "2", "issued" : { "date-parts" : [ [ "2012", "2" ] ] }, "page" : "747-56", "publisher" : "Elsevier Ltd", "title" : "A meta-analysis of heart rate variability and neuroimaging studies: implications for heart rate variability as a marker of stress and health.", "type" : "article-journal", "volume" : "36" }, "uris" : [ "http://www.mendeley.com/documents/?uuid=0c51e789-cabc-4b3d-be45-93baf6f79a5e" ] }, { "id" : "ITEM-3", "itemData" : { "DOI" : "10.1016/j.neubiorev.2008.08.004", "ISSN" : "0149-7634", "PMID" : "18771686", "abstract" : "The intimate connection between the brain and the heart was enunciated by Claude Bernard over 150 years ago. In our neurovisceral integration model we have tried to build on this pioneering work. In the present paper we further elaborate our model. Specifically we review recent neuroanatomical studies that implicate inhibitory GABAergic pathways from the prefrontal cortex to the amygdala and additional inhibitory pathways between the amygdala and the sympathetic and parasympathetic medullary output neurons that modulate heart rate and thus heart rate variability. We propose that the default response to uncertainty is the threat response and may be related to the well known negativity bias. We next review the evidence on the role of vagally mediated heart rate variability (HRV) in the regulation of physiological, affective, and cognitive processes. Low HRV is a risk factor for pathophysiology and psychopathology. Finally we review recent work on the genetics of HRV and suggest that low HRV may be an endophenotype for a broad range of dysfunctions.", "author" : [ { "dropping-particle" : "", "family" : "Thayer", "given" : "Julian F", "non-dropping-particle" : "", "parse-names" : false, "suffix" : "" }, { "dropping-particle" : "", "family" : "Lane", "given" : "Richard D", "non-dropping-particle" : "", "parse-names" : false, "suffix" : "" } ], "container-title" : "Neuroscience and biobehavioral reviews", "id" : "ITEM-3", "issue" : "2", "issued" : { "date-parts" : [ [ "2009", "2" ] ] }, "page" : "81-8", "title" : "Claude Bernard and the heart-brain connection: further elaboration of a model of neurovisceral integration.", "type" : "article-journal", "volume" : "33" }, "uris" : [ "http://www.mendeley.com/documents/?uuid=945b4f82-434b-4bb9-a567-042f8d862d60" ] }, { "id" : "ITEM-4", "itemData" : { "DOI" : "10.1016/j.biopsycho.2005.08.009", "ISSN" : "0301-0511", "PMID" : "17069959", "abstract" : "Research on heart rate variability (HRV), cardiac vagal tone, and their relationship to anxiety is reviewed in the context of the autonomic flexibility and neurovisceral integration models of adaptive functioning. These perspectives address the qualities of response flexibility and inhibition across multiple levels, incorporating central and autonomic nervous system mechanisms of environmental engagement, as well as principles derived from non-linear dynamics. These models predict reduced HRV and vagal tone in anxiety, and the literature has generally supported this prediction, with exceptions as are noted. State, trait, and clinical expressions of anxiety are considered, along with the clinical, methodological, and theoretical implications of this research. A portrayal of anxiety as a restricted response range across biological and behavioral realms of functioning is drawn from the literature on anxiety and HRV.", "author" : [ { "dropping-particle" : "", "family" : "Friedman", "given" : "Bruce H", "non-dropping-particle" : "", "parse-names" : false, "suffix" : "" } ], "container-title" : "Biological psychology", "id" : "ITEM-4", "issue" : "2", "issued" : { "date-parts" : [ [ "2007", "2" ] ] }, "page" : "185-99", "title" : "An autonomic flexibility-neurovisceral integration model of anxiety and cardiac vagal tone.", "type" : "article-journal", "volume" : "74" }, "uris" : [ "http://www.mendeley.com/documents/?uuid=4cc5461c-c85e-4d38-96d4-9bab04ebc48d" ] }, { "id" : "ITEM-5", "itemData" : { "author" : [ { "dropping-particle" : "", "family" : "Porges", "given" : "Stephen W", "non-dropping-particle" : "", "parse-names" : false, "suffix" : "" } ], "container-title" : "Psychophysiology", "id" : "ITEM-5", "issued" : { "date-parts" : [ [ "1995" ] ] }, "note" : "Erkl\u00e4rung 2 vagi", "page" : "301-318", "title" : "Orienting in a defensive world: Mammalian modifications of our evolutionary heritage. A polyvagal theory", "type" : "article-journal", "volume" : "32" }, "uris" : [ "http://www.mendeley.com/documents/?uuid=42dd8649-cd62-4dfd-b8fa-25195d2020c1" ] } ], "mendeley" : { "formattedCitation" : "(Friedman, 2007; Porges, 1995; Thayer et al., 2012; Thayer &amp; Lane, 2000, 2009)", "manualFormatting" : "Friedman, 2007; Porges, 1995; Thayer et al., 2012; Thayer &amp; Lane, 2000, 2009)", "plainTextFormattedCitation" : "(Friedman, 2007; Porges, 1995; Thayer et al., 2012; Thayer &amp; Lane, 2000, 2009)", "previouslyFormattedCitation" : "(Friedman, 2007; Porges, 1995; Thayer et al., 2012; Thayer &amp; Lane, 2000, 2009)" }, "properties" : { "noteIndex" : 0 }, "schema" : "https://github.com/citation-style-language/schema/raw/master/csl-citation.json" }</w:instrText>
      </w:r>
      <w:r w:rsidRPr="0013016F">
        <w:rPr>
          <w:rFonts w:eastAsia="Calibri" w:cs="Times New Roman"/>
        </w:rPr>
        <w:fldChar w:fldCharType="separate"/>
      </w:r>
      <w:r w:rsidRPr="0013016F">
        <w:rPr>
          <w:rFonts w:eastAsia="Calibri" w:cs="Times New Roman"/>
          <w:noProof/>
          <w:lang w:val="en-US"/>
        </w:rPr>
        <w:t xml:space="preserve">Friedman, 2007; Porges, 1995; Thayer et al., 2012; Thayer &amp; Lane, 2000, 2009; but see Jennings, Allen, Gianaros, Thayer, &amp; Manuck, 2015, who show independent relationships of HRV and resting cerebral blood flow on non-affective </w:t>
      </w:r>
      <w:r w:rsidRPr="0013016F">
        <w:rPr>
          <w:rFonts w:eastAsia="Calibri" w:cs="Times New Roman"/>
          <w:noProof/>
          <w:lang w:val="en-US"/>
        </w:rPr>
        <w:lastRenderedPageBreak/>
        <w:t>executive functions)</w:t>
      </w:r>
      <w:r w:rsidRPr="0013016F">
        <w:rPr>
          <w:rFonts w:eastAsia="Calibri" w:cs="Times New Roman"/>
        </w:rPr>
        <w:fldChar w:fldCharType="end"/>
      </w:r>
      <w:r w:rsidRPr="0013016F">
        <w:rPr>
          <w:rFonts w:eastAsia="Calibri" w:cs="Times New Roman"/>
          <w:lang w:val="en-US"/>
        </w:rPr>
        <w:t>.</w:t>
      </w:r>
      <w:r w:rsidR="00FC0248" w:rsidRPr="0013016F">
        <w:rPr>
          <w:rFonts w:eastAsia="Calibri" w:cs="Times New Roman"/>
          <w:lang w:val="en-US"/>
        </w:rPr>
        <w:t xml:space="preserve"> </w:t>
      </w:r>
      <w:r w:rsidR="008B0611" w:rsidRPr="0013016F">
        <w:rPr>
          <w:rFonts w:eastAsia="Calibri" w:cs="Times New Roman"/>
          <w:lang w:val="en-US"/>
        </w:rPr>
        <w:t xml:space="preserve">Correspondingly, </w:t>
      </w:r>
      <w:r w:rsidR="00FC0248" w:rsidRPr="0013016F">
        <w:rPr>
          <w:rFonts w:eastAsia="Calibri" w:cs="Times New Roman"/>
          <w:lang w:val="en-US"/>
        </w:rPr>
        <w:t>h</w:t>
      </w:r>
      <w:r w:rsidR="00354EA1" w:rsidRPr="0013016F">
        <w:rPr>
          <w:rFonts w:eastAsia="Calibri" w:cs="Times New Roman"/>
          <w:lang w:val="en-US"/>
        </w:rPr>
        <w:t>igh</w:t>
      </w:r>
      <w:r w:rsidR="005D13EE" w:rsidRPr="0013016F">
        <w:rPr>
          <w:rFonts w:eastAsia="Calibri" w:cs="Times New Roman"/>
          <w:lang w:val="en-US"/>
        </w:rPr>
        <w:t>er compared to lower</w:t>
      </w:r>
      <w:r w:rsidR="00354EA1" w:rsidRPr="0013016F">
        <w:rPr>
          <w:rFonts w:eastAsia="Calibri" w:cs="Times New Roman"/>
          <w:lang w:val="en-US"/>
        </w:rPr>
        <w:t xml:space="preserve"> HRV </w:t>
      </w:r>
      <w:r w:rsidR="00A951E1" w:rsidRPr="0013016F">
        <w:rPr>
          <w:rFonts w:eastAsia="Calibri" w:cs="Times New Roman"/>
          <w:lang w:val="en-US"/>
        </w:rPr>
        <w:t>is</w:t>
      </w:r>
      <w:r w:rsidR="00354EA1" w:rsidRPr="0013016F">
        <w:rPr>
          <w:rFonts w:eastAsia="Calibri" w:cs="Times New Roman"/>
          <w:lang w:val="en-US"/>
        </w:rPr>
        <w:t xml:space="preserve"> related to</w:t>
      </w:r>
      <w:r w:rsidR="005D13EE" w:rsidRPr="0013016F">
        <w:rPr>
          <w:rFonts w:eastAsia="Calibri" w:cs="Times New Roman"/>
          <w:lang w:val="en-US"/>
        </w:rPr>
        <w:t xml:space="preserve"> efficient</w:t>
      </w:r>
      <w:r w:rsidR="00FD4FAC" w:rsidRPr="0013016F">
        <w:rPr>
          <w:rFonts w:eastAsia="Calibri" w:cs="Times New Roman"/>
          <w:lang w:val="en-US"/>
        </w:rPr>
        <w:t xml:space="preserve"> cognitive processing,</w:t>
      </w:r>
      <w:r w:rsidR="00354EA1" w:rsidRPr="0013016F">
        <w:rPr>
          <w:rFonts w:eastAsia="Calibri" w:cs="Times New Roman"/>
          <w:lang w:val="en-US"/>
        </w:rPr>
        <w:t xml:space="preserve"> </w:t>
      </w:r>
      <w:r w:rsidR="00FD4FAC" w:rsidRPr="0013016F">
        <w:rPr>
          <w:rFonts w:eastAsia="Calibri" w:cs="Times New Roman"/>
          <w:lang w:val="en-US"/>
        </w:rPr>
        <w:t>especially</w:t>
      </w:r>
      <w:r w:rsidR="005F2242" w:rsidRPr="0013016F">
        <w:rPr>
          <w:rFonts w:eastAsia="Calibri" w:cs="Times New Roman"/>
          <w:lang w:val="en-US"/>
        </w:rPr>
        <w:t xml:space="preserve"> with regards to</w:t>
      </w:r>
      <w:r w:rsidR="00FD4FAC" w:rsidRPr="0013016F">
        <w:rPr>
          <w:rFonts w:eastAsia="Calibri" w:cs="Times New Roman"/>
          <w:lang w:val="en-US"/>
        </w:rPr>
        <w:t xml:space="preserve"> </w:t>
      </w:r>
      <w:r w:rsidR="00B117FF" w:rsidRPr="0013016F">
        <w:rPr>
          <w:rFonts w:eastAsia="Calibri" w:cs="Times New Roman"/>
          <w:lang w:val="en-US"/>
        </w:rPr>
        <w:t>enhanced</w:t>
      </w:r>
      <w:r w:rsidR="00354EA1" w:rsidRPr="0013016F">
        <w:rPr>
          <w:rFonts w:eastAsia="Calibri" w:cs="Times New Roman"/>
          <w:lang w:val="en-US"/>
        </w:rPr>
        <w:t xml:space="preserve"> executive functions </w:t>
      </w:r>
      <w:r w:rsidR="00FD4FAC" w:rsidRPr="0013016F">
        <w:rPr>
          <w:rFonts w:eastAsia="Calibri" w:cs="Times New Roman"/>
          <w:lang w:val="en-US"/>
        </w:rPr>
        <w:t xml:space="preserve">including </w:t>
      </w:r>
      <w:r w:rsidR="00D815E8" w:rsidRPr="0013016F">
        <w:rPr>
          <w:rFonts w:eastAsia="Calibri" w:cs="Times New Roman"/>
          <w:lang w:val="en-US"/>
        </w:rPr>
        <w:t>inhibition</w:t>
      </w:r>
      <w:r w:rsidR="00FD4FAC" w:rsidRPr="0013016F">
        <w:rPr>
          <w:rFonts w:eastAsia="Calibri" w:cs="Times New Roman"/>
          <w:lang w:val="en-US"/>
        </w:rPr>
        <w:t xml:space="preserve"> </w:t>
      </w:r>
      <w:r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"10.1016/S0167-8760(03)00073-4", "ISSN" : "01678760", "author" : [ { "dropping-particle" : "", "family" : "Hansen", "given" : "Anita Lill", "non-dropping-particle" : "", "parse-names" : false, "suffix" : "" }, { "dropping-particle" : "", "family" : "Johnsen", "given" : "Bj\u00f8rn Helge", "non-dropping-particle" : "", "parse-names" : false, "suffix" : "" }, { "dropping-particle" : "", "family" : "Thayer", "given" : "Julian F", "non-dropping-particle" : "", "parse-names" : false, "suffix" : "" } ], "container-title" : "International Journal of Psychophysiology", "id" : "ITEM-1", "issue" : "3", "issued" : { "date-parts" : [ [ "2003", "6" ] ] }, "page" : "263-274", "title" : "Vagal influence on working memory and attention", "type" : "article-journal", "volume" : "48" }, "uris" : [ "http://www.mendeley.com/documents/?uuid=817ffb30-144d-43a1-b241-82d53d4ffea7" ] }, { "id" : "ITEM-2", "itemData" : { "DOI" : "10.1037/a0028528", "ISSN" : "1931-1516", "PMID" : "22642338", "abstract" : "The neurovisceral integration model (Thayer, J. F., &amp; Lane, R. D., 2000, A model of neurovisceral integration in emotion regulation and dysregulation. Journal of Affective Disorders, 61, 201-216. doi:10.1016/S0165-0327(00)00338-4) proposes that individual differences in heart rate variability (HRV)-an index of cardiac vagal tone-are associated with attentional and emotional self-regulation. In this article, we demonstrate that individual differences in resting HRV predict the functioning of the inhibition of return (IOR), an inhibitory attentional mechanism highly adaptive to novelty search, in response to affectively significant face cues. As predicted, participants with lower HRV exhibited a smaller IOR effect to fearful versus neutral face cues than participants with higher HRV, which shows a failure to inhibit attention from affectively significant cues and instigate novelty search. In contrast, participants with higher HRV exhibited similar IOR effects to fearful and neutral face cues, which shows an ability to inhibit attention from cues and instigate novelty search. Their ability to inhibit attention was most pronounced to high spatial frequency fearful face cues, suggesting that this effect may be mediated by cortical mechanisms. The current research demonstrates that individual differences in HRV predict attentional inhibition and suggests that successful inhibition and novelty search may be mediated by cortical inhibitory mechanisms among people with high cardiac vagal tone.", "author" : [ { "dropping-particle" : "", "family" : "Park", "given" : "Gewnhi", "non-dropping-particle" : "", "parse-names" : false, "suffix" : "" }, { "dropping-particle" : "", "family" : "Bavel", "given" : "Jay J", "non-dropping-particle" : "Van", "parse-names" : false, "suffix" : "" }, { "dropping-particle" : "", "family" : "Vasey", "given" : "Michael W", "non-dropping-particle" : "", "parse-names" : false, "suffix" : "" }, { "dropping-particle" : "", "family" : "Thayer", "given" : "Julian F", "non-dropping-particle" : "", "parse-names" : false, "suffix" : "" } ], "container-title" : "Emotion", "id" : "ITEM-2", "issue" : "6", "issued" : { "date-parts" : [ [ "2012", "12" ] ] }, "page" : "1292-302", "title" : "Cardiac vagal tone predicts inhibited attention to fearful faces.", "type" : "article-journal", "volume" : "12" }, "uris" : [ "http://www.mendeley.com/documents/?uuid=6fba87c0-c05d-4f92-a11b-2db0cbca9f7e" ] }, { "id" : "ITEM-3", "itemData" : { "DOI" : "10.1007/s12160-009-9101-z", "ISSN" : "1532-4796", "PMID" : "19424767", "abstract" : "BACKGROUND: In the present paper, we describe a model of neurovisceral integration in which a set of neural structures involved in cognitive, affective, and autonomic regulation are related to heart rate variability (HRV) and cognitive performance.\n\nMETHODS: We detail the pathways involved in the neural regulation of the cardiovascular system and provide pharmacological and neuroimaging data in support of the neural structures linking the central nervous system to HRV in humans. We review a number of studies from our group showing that individual differences in HRV are related to performance on tasks associated with executive function and prefrontal cortical activity. These studies include comparisons of executive- and nonexecutive-function tasks in healthy participants, in both threatening and nonthreatening conditions. In addition, we show that manipulating resting HRV levels is associated with changes in performance on executive-function tasks. We also examine the relationship between HRV and cognitive performance in ecologically valid situations using a police shooting simulation and a naval navigation simulation. Finally, we review our studies in anxiety patients, as well as studies examining psychopathy.\n\nCONCLUSION: These findings in total suggest an important relationship among cognitive performance, HRV, and prefrontal neural function that has important implications for both physical and mental health. Future studies are needed to determine exactly which executive functions are associated with individual differences in HRV in a wider range of situations and populations.", "author" : [ { "dropping-particle" : "", "family" : "Thayer", "given" : "Julian F", "non-dropping-particle" : "", "parse-names" : false, "suffix" : "" }, { "dropping-particle" : "", "family" : "Hansen", "given" : "Anita L", "non-dropping-particle" : "", "parse-names" : false, "suffix" : "" }, { "dropping-particle" : "", "family" : "Saus-Rose", "given" : "Evelyn", "non-dropping-particle" : "", "parse-names" : false, "suffix" : "" }, { "dropping-particle" : "", "family" : "Johnsen", "given" : "Bjorn Helge", "non-dropping-particle" : "", "parse-names" : false, "suffix" : "" } ], "container-title" : "Annals of behavioral medicine : a publication of the Society of Behavioral Medicine", "id" : "ITEM-3", "issue" : "2", "issued" : { "date-parts" : [ [ "2009", "4" ] ] }, "page" : "141-53", "title" : "Heart rate variability, prefrontal neural function, and cognitive performance: the neurovisceral integration perspective on self-regulation, adaptation, and health.", "type" : "article-journal", "volume" : "37" }, "uris" : [ "http://www.mendeley.com/documents/?uuid=3e5e5f06-8a86-4385-813d-9ee6915dc442" ] }, { "id" : "ITEM-4", "itemData" : { "DOI" : "10.1016/j.ijpsycho.2012.10.004", "ISSN" : "1872-7697", "PMID" : "23069273", "abstract" : "Heart rate variability (HRV) is reduced in patients who suffer from panic disorder (PD). Reduced HRV is related to hypoactivity in the prefrontal cortex (PFC), which negatively affects executive functioning. The present study assessed the relationships between vagally mediated HRV at baseline and measures of executive functioning in 36 patients with PD. Associations between these physiological and cognitive measures and panic-related variables were also investigated. HRV was measured using HF-power (ms(2)), and executive functions were assessed with the Wisconsin Card Sorting Test (WCST) and the Color-Word Interference Test (CWIT) from the Delis-Kaplan Executive Function System (D-KEFS). Panic-related variables comprised panic frequency, panic-related distress, and duration of PD. Performance on the neuropsychological measures correlated significantly with HRV. Both panic-related distress and duration of PD were inversely related with measures of HRV and cognitive inhibition. The current findings support the purported relationship between HRV and executive functions involving the PFC.", "author" : [ { "dropping-particle" : "", "family" : "Hovland", "given" : "Anders", "non-dropping-particle" : "", "parse-names" : false, "suffix" : "" }, { "dropping-particle" : "", "family" : "Pallesen", "given" : "St\u00e5le", "non-dropping-particle" : "", "parse-names" : false, "suffix" : "" }, { "dropping-particle" : "", "family" : "Hammar", "given" : "\u00c5sa", "non-dropping-particle" : "", "parse-names" : false, "suffix" : "" }, { "dropping-particle" : "", "family" : "Hansen", "given" : "Anita Lill", "non-dropping-particle" : "", "parse-names" : false, "suffix" : "" }, { "dropping-particle" : "", "family" : "Thayer", "given" : "Julian F", "non-dropping-particle" : "", "parse-names" : false, "suffix" : "" }, { "dropping-particle" : "", "family" : "Tarvainen", "given" : "Mika P", "non-dropping-particle" : "", "parse-names" : false, "suffix" : "" }, { "dropping-particle" : "", "family" : "Nordhus", "given" : "Inger Hilde", "non-dropping-particle" : "", "parse-names" : false, "suffix" : "" } ], "container-title" : "International journal of psychophysiology : official journal of the International Organization of Psychophysiology", "id" : "ITEM-4", "issue" : "3", "issued" : { "date-parts" : [ [ "2012", "12" ] ] }, "page" : "269-75", "publisher" : "Elsevier B.V.", "title" : "The relationships among heart rate variability, executive functions, and clinical variables in patients with panic disorder.", "type" : "article-journal", "volume" : "86" }, "uris" : [ "http://www.mendeley.com/documents/?uuid=a5838150-0ee9-4e7c-911e-648d79970486" ] }, { "id" : "ITEM-5", "itemData" : { "DOI" : "10.3389/fpsyg.2011.00278", "ISSN" : "1664-1078", "PMID" : "22059080", "abstract" : "Response inhibition is a hallmark of executive control and crucial to support flexible behavior in a constantly changing environment. Recently, it has been shown that response inhibition is influenced by the presentation of emotional stimuli (Verbruggen and De Houwer, 2007). Healthy individuals typically differ in the degree to which they are able to regulate their emotional state, but it remains unknown whether individual differences in emotion regulation (ER) may alter the interplay between emotion and response inhibition. Here we address this issue by testing healthy volunteers who were equally divided in groups with high and low heart rate variability (HRV) during rest, a physiological measure that serves as proxy of ER. Both groups performed an emotional stop-signal task, in which negative high arousing pictures served as negative emotional stimuli and neutral low arousing pictures served as neutral non-emotional stimuli. We found that individuals with high HRV activated and inhibited their responses faster compared to individuals with low HRV, but only in the presence of negative stimuli. No group differences emerged for the neutral stimuli. Thus, individuals with low HRV are more susceptible to the adverse effects of negative emotion on response initiation and inhibition. The present research corroborates the idea that the presentation of emotional stimuli may interfere with inhibition and it also adds to previous research by demonstrating that the aforementioned relationship varies for individuals differing in HRV. We suggest that focusing on individual differences in HRV and its associative ER may shed more light on the dynamic interplay between emotion and cognition.", "author" : [ { "dropping-particle" : "", "family" : "Krypotos", "given" : "Angelos-Miltiadis", "non-dropping-particle" : "", "parse-names" : false, "suffix" : "" }, { "dropping-particle" : "", "family" : "Jahfari", "given" : "Sara", "non-dropping-particle" : "", "parse-names" : false, "suffix" : "" }, { "dropping-particle" : "", "family" : "Ast", "given" : "Vanessa a", "non-dropping-particle" : "van", "parse-names" : false, "suffix" : "" }, { "dropping-particle" : "", "family" : "Kindt", "given" : "Merel", "non-dropping-particle" : "", "parse-names" : false, "suffix" : "" }, { "dropping-particle" : "", "family" : "Forstmann", "given" : "Birte U", "non-dropping-particle" : "", "parse-names" : false, "suffix" : "" } ], "container-title" : "Frontiers in psychology", "id" : "ITEM-5", "issue" : "October", "issued" : { "date-parts" : [ [ "2011", "1" ] ] }, "page" : "278", "title" : "Individual Differences in Heart Rate Variability Predict the Degree of Slowing during Response Inhibition and Initiation in the Presence of Emotional Stimuli.", "type" : "article-journal", "volume" : "2" }, "uris" : [ "http://www.mendeley.com/documents/?uuid=47e6d023-e30a-41d2-af13-58533392f1a4" ] } ], "mendeley" : { "formattedCitation" : "(Hansen, Johnsen, &amp; Thayer, 2003; Hovland et al., 2012; Krypotos, Jahfari, van Ast, Kindt, &amp; Forstmann, 2011; Park, Van Bavel, Vasey, &amp; Thayer, 2012; Thayer, Hansen, Saus-Rose, &amp; Johnsen, 2009)", "plainTextFormattedCitation" : "(Hansen, Johnsen, &amp; Thayer, 2003; Hovland et al., 2012; Krypotos, Jahfari, van Ast, Kindt, &amp; Forstmann, 2011; Park, Van Bavel, Vasey, &amp; Thayer, 2012; Thayer, Hansen, Saus-Rose, &amp; Johnsen, 2009)", "previouslyFormattedCitation" : "(Hansen, Johnsen, &amp; Thayer, 2003; Hovland et al., 2012; Krypotos, Jahfari, van Ast, Kindt, &amp; Forstmann, 2011; Park, Van Bavel, Vasey, &amp; Thayer, 2012; Thayer, Hansen, Saus-Rose, &amp; Johnsen, 2009)" }, "properties" : { "noteIndex" : 0 }, "schema" : "https://github.com/citation-style-language/schema/raw/master/csl-citation.json" }</w:instrText>
      </w:r>
      <w:r w:rsidRPr="0013016F">
        <w:rPr>
          <w:rFonts w:eastAsia="Calibri" w:cs="Times New Roman"/>
          <w:lang w:val="en-US"/>
        </w:rPr>
        <w:fldChar w:fldCharType="separate"/>
      </w:r>
      <w:r w:rsidR="00D94364" w:rsidRPr="0013016F">
        <w:rPr>
          <w:rFonts w:eastAsia="Calibri" w:cs="Times New Roman"/>
          <w:noProof/>
          <w:lang w:val="en-US"/>
        </w:rPr>
        <w:t>(Hansen, Johnsen, &amp; Thayer, 2003; Hovland et al., 2012; Krypotos, Jahfari, van Ast, Kindt, &amp; Forstmann, 2011; Park, Van Bavel, Vasey, &amp; Thayer, 2012; Thayer, Hansen, Saus-Rose, &amp; Johnsen, 2009)</w:t>
      </w:r>
      <w:r w:rsidRPr="0013016F">
        <w:rPr>
          <w:rFonts w:eastAsia="Calibri" w:cs="Times New Roman"/>
          <w:lang w:val="en-US"/>
        </w:rPr>
        <w:fldChar w:fldCharType="end"/>
      </w:r>
      <w:r w:rsidR="00354EA1" w:rsidRPr="0013016F">
        <w:rPr>
          <w:rFonts w:eastAsia="Calibri" w:cs="Times New Roman"/>
          <w:lang w:val="en-US"/>
        </w:rPr>
        <w:t xml:space="preserve">. </w:t>
      </w:r>
      <w:r w:rsidR="005F2242" w:rsidRPr="0013016F">
        <w:rPr>
          <w:rFonts w:eastAsia="Calibri" w:cs="Times New Roman"/>
          <w:lang w:val="en-US"/>
        </w:rPr>
        <w:t>For example</w:t>
      </w:r>
      <w:r w:rsidR="008963DB" w:rsidRPr="0013016F">
        <w:rPr>
          <w:rFonts w:eastAsia="Calibri" w:cs="Times New Roman"/>
          <w:lang w:val="en-US"/>
        </w:rPr>
        <w:t>, i</w:t>
      </w:r>
      <w:r w:rsidR="00A951E1" w:rsidRPr="0013016F">
        <w:rPr>
          <w:rFonts w:eastAsia="Calibri" w:cs="Times New Roman"/>
          <w:lang w:val="en-US"/>
        </w:rPr>
        <w:t>ndividuals with high</w:t>
      </w:r>
      <w:r w:rsidR="005D13EE" w:rsidRPr="0013016F">
        <w:rPr>
          <w:rFonts w:eastAsia="Calibri" w:cs="Times New Roman"/>
          <w:lang w:val="en-US"/>
        </w:rPr>
        <w:t>er</w:t>
      </w:r>
      <w:r w:rsidR="00A951E1" w:rsidRPr="0013016F">
        <w:rPr>
          <w:rFonts w:eastAsia="Calibri" w:cs="Times New Roman"/>
          <w:lang w:val="en-US"/>
        </w:rPr>
        <w:t xml:space="preserve"> HRV engage </w:t>
      </w:r>
      <w:r w:rsidR="008963DB" w:rsidRPr="0013016F">
        <w:rPr>
          <w:rFonts w:eastAsia="Calibri" w:cs="Times New Roman"/>
          <w:lang w:val="en-US"/>
        </w:rPr>
        <w:t>slower with</w:t>
      </w:r>
      <w:r w:rsidR="005F2242" w:rsidRPr="0013016F">
        <w:rPr>
          <w:rFonts w:eastAsia="Calibri" w:cs="Times New Roman"/>
          <w:lang w:val="en-US"/>
        </w:rPr>
        <w:t>,</w:t>
      </w:r>
      <w:r w:rsidR="008963DB" w:rsidRPr="0013016F">
        <w:rPr>
          <w:rFonts w:eastAsia="Calibri" w:cs="Times New Roman"/>
          <w:lang w:val="en-US"/>
        </w:rPr>
        <w:t xml:space="preserve"> </w:t>
      </w:r>
      <w:r w:rsidR="00A951E1" w:rsidRPr="0013016F">
        <w:rPr>
          <w:rFonts w:eastAsia="Calibri" w:cs="Times New Roman"/>
          <w:lang w:val="en-US"/>
        </w:rPr>
        <w:t xml:space="preserve">but disengage </w:t>
      </w:r>
      <w:r w:rsidR="008963DB" w:rsidRPr="0013016F">
        <w:rPr>
          <w:rFonts w:eastAsia="Calibri" w:cs="Times New Roman"/>
          <w:lang w:val="en-US"/>
        </w:rPr>
        <w:t>faster from</w:t>
      </w:r>
      <w:r w:rsidR="005F2242" w:rsidRPr="0013016F">
        <w:rPr>
          <w:rFonts w:eastAsia="Calibri" w:cs="Times New Roman"/>
          <w:lang w:val="en-US"/>
        </w:rPr>
        <w:t>,</w:t>
      </w:r>
      <w:r w:rsidR="008963DB" w:rsidRPr="0013016F">
        <w:rPr>
          <w:rFonts w:eastAsia="Calibri" w:cs="Times New Roman"/>
          <w:lang w:val="en-US"/>
        </w:rPr>
        <w:t xml:space="preserve"> fearful faces </w:t>
      </w:r>
      <w:r w:rsidR="00A951E1" w:rsidRPr="0013016F">
        <w:rPr>
          <w:rFonts w:eastAsia="Calibri" w:cs="Times New Roman"/>
          <w:lang w:val="en-US"/>
        </w:rPr>
        <w:t>compared to individuals with low</w:t>
      </w:r>
      <w:r w:rsidR="005D13EE" w:rsidRPr="0013016F">
        <w:rPr>
          <w:rFonts w:eastAsia="Calibri" w:cs="Times New Roman"/>
          <w:lang w:val="en-US"/>
        </w:rPr>
        <w:t>er</w:t>
      </w:r>
      <w:r w:rsidR="00A951E1" w:rsidRPr="0013016F">
        <w:rPr>
          <w:rFonts w:eastAsia="Calibri" w:cs="Times New Roman"/>
          <w:lang w:val="en-US"/>
        </w:rPr>
        <w:t xml:space="preserve"> HRV</w:t>
      </w:r>
      <w:r w:rsidR="008963DB" w:rsidRPr="0013016F">
        <w:rPr>
          <w:rFonts w:eastAsia="Calibri" w:cs="Times New Roman"/>
          <w:lang w:val="en-US"/>
        </w:rPr>
        <w:t xml:space="preserve">, </w:t>
      </w:r>
      <w:r w:rsidR="005F2242" w:rsidRPr="0013016F">
        <w:rPr>
          <w:rFonts w:eastAsia="Calibri" w:cs="Times New Roman"/>
          <w:lang w:val="en-US"/>
        </w:rPr>
        <w:t xml:space="preserve">an effect </w:t>
      </w:r>
      <w:r w:rsidR="008963DB" w:rsidRPr="0013016F">
        <w:rPr>
          <w:rFonts w:eastAsia="Calibri" w:cs="Times New Roman"/>
          <w:lang w:val="en-US"/>
        </w:rPr>
        <w:t>which has been shown to depend on subcortical and cortical processing, respectively</w:t>
      </w:r>
      <w:r w:rsidR="00A951E1" w:rsidRPr="0013016F">
        <w:rPr>
          <w:rFonts w:eastAsia="Calibri" w:cs="Times New Roman"/>
          <w:lang w:val="en-US"/>
        </w:rPr>
        <w:t xml:space="preserve"> </w:t>
      </w:r>
      <w:r w:rsidRPr="0013016F">
        <w:rPr>
          <w:rFonts w:eastAsia="Calibri" w:cs="Times New Roman"/>
          <w:lang w:val="en-US"/>
        </w:rPr>
        <w:fldChar w:fldCharType="begin" w:fldLock="1"/>
      </w:r>
      <w:r w:rsidR="00BE051A" w:rsidRPr="0013016F">
        <w:rPr>
          <w:rFonts w:eastAsia="Calibri" w:cs="Times New Roman"/>
          <w:lang w:val="en-US"/>
        </w:rPr>
        <w:instrText>ADDIN CSL_CITATION { "citationItems" : [ { "id" : "ITEM-1", "itemData" : { "DOI" : "10.1037/a0032971", "ISSN" : "1931-1516", "PMID" : "23914769", "abstract" : "The current research examines individual differences in flexible emotional attention. In two experiments, we investigated the relationship between individual differences in cardiac vagal tone and top-down and bottom-up processes associated with emotional attention. To help determine the role of cortical and subcortical mechanisms underlying top-down and bottom-up emotional attention, fearful faces at broad, high, and low spatial frequency were presented as cues that triggered either exogenous or endogenous orienting. Participants with lower heart rate variability (HRV) exhibited faster attentional engagement to low-spatial-frequency fearful faces at short stimulus-onset asynchronies, but showed delayed attentional disengagement from high-spatial-frequency fearful faces at long stimulus-onset asynchronies in contrast to participants with higher HRV. This research suggests that cardiac vagal tone is associated with more adaptive top-down and bottom-up modulation of emotional attention. Implications for various affective disorders, including depression, anxiety disorders, and posttraumatic stress disorder, are discussed.", "author" : [ { "dropping-particle" : "", "family" : "Park", "given" : "Gewnhi", "non-dropping-particle" : "", "parse-names" : false, "suffix" : "" }, { "dropping-particle" : "", "family" : "Bavel", "given" : "Jay J", "non-dropping-particle" : "Van", "parse-names" : false, "suffix" : "" }, { "dropping-particle" : "", "family" : "Vasey", "given" : "Michael W", "non-dropping-particle" : "", "parse-names" : false, "suffix" : "" }, { "dropping-particle" : "", "family" : "Thayer", "given" : "Julian F", "non-dropping-particle" : "", "parse-names" : false, "suffix" : "" } ], "container-title" : "Emotion", "id" : "ITEM-1", "issue" : "4", "issued" : { "date-parts" : [ [ "2013", "8" ] ] }, "page" : "645-56", "title" : "Cardiac vagal tone predicts attentional engagement to and disengagement from fearful faces.", "type" : "article-journal", "volume" : "13" }, "uris" : [ "http://www.mendeley.com/documents/?uuid=041b4bdc-f611-4bd4-bc61-48828a5bfef0" ] }, { "id" : "ITEM-2", "itemData" : { "DOI" : "10.1016/j.biopsycho.2012.02.012", "ISSN" : "1873-6246", "PMID" : "22391523", "abstract" : "The neurovisceral integration model (Thayer and Lane, 2000) proposes that vagally mediated heart rate variability (HRV)--an index of cardiac vagal tone--is associated with autonomic flexibility and emotional self-regulation. Two experiments examined the relationship between vagally mediated HRV and visual perception of affectively significant stimuli at different spatial frequencies. In Experiment 1, HRV was positively correlated with superior performance discriminating the emotion of affectively significant (i.e., fearful) faces at high spatial frequency (HSF). In Experiment 2, processing goals moderated the relationship between HRV and successful discrimination of HSF fearful faces. In contrast to Experiment 1, discriminating the expressiveness of HSF fearful faces was not correlated with HRV. The current research suggests that HRV is positively associated with superior visual discrimination of affectively significant stimuli at high spatial frequency, and this relationship may be sensitive to the top-down influence of different processing goals.", "author" : [ { "dropping-particle" : "", "family" : "Park", "given" : "Gewnhi", "non-dropping-particle" : "", "parse-names" : false, "suffix" : "" }, { "dropping-particle" : "", "family" : "Bavel", "given" : "Jay J", "non-dropping-particle" : "Van", "parse-names" : false, "suffix" : "" }, { "dropping-particle" : "", "family" : "Vasey", "given" : "Michael W", "non-dropping-particle" : "", "parse-names" : false, "suffix" : "" }, { "dropping-particle" : "", "family" : "Egan", "given" : "Eric J L", "non-dropping-particle" : "", "parse-names" : false, "suffix" : "" }, { "dropping-particle" : "", "family" : "Thayer", "given" : "Julian F", "non-dropping-particle" : "", "parse-names" : false, "suffix" : "" } ], "container-title" : "Biological Psychology", "id" : "ITEM-2", "issue" : "2", "issued" : { "date-parts" : [ [ "2012", "5" ] ] }, "page" : "171-8", "publisher" : "Elsevier B.V.", "title" : "From the heart to the mind's eye: cardiac vagal tone is related to visual perception of fearful faces at high spatial frequency.", "type" : "article-journal", "volume" : "90" }, "uris" : [ "http://www.mendeley.com/documents/?uuid=56f7f503-4340-4b63-beb5-cac430d03b3d" ] } ], "mendeley" : { "formattedCitation" : "(Park, Van Bavel, Vasey, Egan, &amp; Thayer, 2012; Park, Van Bavel, Vasey, &amp; Thayer, 2013)", "plainTextFormattedCitation" : "(Park, Van Bavel, Vasey, Egan, &amp; Thayer, 2012; Park, Van Bavel, Vasey, &amp; Thayer, 2013)", "previouslyFormattedCitation" : "(Park, Van Bavel, Vasey, Egan, &amp; Thayer, 2012; Park, Van Bavel, Vasey, &amp; Thayer, 2013)" }, "properties" : { "noteIndex" : 0 }, "schema" : "https://github.com/citation-style-language/schema/raw/master/csl-citation.json" }</w:instrText>
      </w:r>
      <w:r w:rsidRPr="0013016F">
        <w:rPr>
          <w:rFonts w:eastAsia="Calibri" w:cs="Times New Roman"/>
          <w:lang w:val="en-US"/>
        </w:rPr>
        <w:fldChar w:fldCharType="separate"/>
      </w:r>
      <w:r w:rsidR="00D94364" w:rsidRPr="0013016F">
        <w:rPr>
          <w:rFonts w:eastAsia="Calibri" w:cs="Times New Roman"/>
          <w:noProof/>
          <w:lang w:val="en-US"/>
        </w:rPr>
        <w:t>(Park, Van Bavel, Vasey, Egan, &amp; Thayer, 2012; Park, Van Bavel, Vasey, &amp; Thayer, 2013)</w:t>
      </w:r>
      <w:r w:rsidRPr="0013016F">
        <w:rPr>
          <w:rFonts w:eastAsia="Calibri" w:cs="Times New Roman"/>
          <w:lang w:val="en-US"/>
        </w:rPr>
        <w:fldChar w:fldCharType="end"/>
      </w:r>
      <w:r w:rsidR="00A951E1" w:rsidRPr="0013016F">
        <w:rPr>
          <w:rFonts w:eastAsia="Calibri" w:cs="Times New Roman"/>
          <w:lang w:val="en-US"/>
        </w:rPr>
        <w:t xml:space="preserve">. </w:t>
      </w:r>
    </w:p>
    <w:p w:rsidR="00354EA1" w:rsidRPr="0013016F" w:rsidRDefault="00354EA1" w:rsidP="00354EA1">
      <w:pPr>
        <w:spacing w:line="480" w:lineRule="auto"/>
        <w:ind w:firstLine="700"/>
        <w:rPr>
          <w:rFonts w:eastAsia="Calibri" w:cs="Times New Roman"/>
          <w:lang w:val="en-US"/>
        </w:rPr>
      </w:pPr>
      <w:r w:rsidRPr="0013016F">
        <w:rPr>
          <w:rFonts w:eastAsia="Calibri" w:cs="Times New Roman"/>
          <w:lang w:val="en-US"/>
        </w:rPr>
        <w:t xml:space="preserve">HRV </w:t>
      </w:r>
      <w:r w:rsidR="00D815E8" w:rsidRPr="0013016F">
        <w:rPr>
          <w:rFonts w:eastAsia="Calibri" w:cs="Times New Roman"/>
          <w:lang w:val="en-US"/>
        </w:rPr>
        <w:t>is</w:t>
      </w:r>
      <w:r w:rsidRPr="0013016F">
        <w:rPr>
          <w:rFonts w:eastAsia="Calibri" w:cs="Times New Roman"/>
          <w:lang w:val="en-US"/>
        </w:rPr>
        <w:t xml:space="preserve"> also </w:t>
      </w:r>
      <w:r w:rsidR="00D815E8" w:rsidRPr="0013016F">
        <w:rPr>
          <w:rFonts w:eastAsia="Calibri" w:cs="Times New Roman"/>
          <w:lang w:val="en-US"/>
        </w:rPr>
        <w:t>related to</w:t>
      </w:r>
      <w:r w:rsidRPr="0013016F">
        <w:rPr>
          <w:rFonts w:eastAsia="Calibri" w:cs="Times New Roman"/>
          <w:lang w:val="en-US"/>
        </w:rPr>
        <w:t xml:space="preserve"> </w:t>
      </w:r>
      <w:r w:rsidR="00343422" w:rsidRPr="0013016F">
        <w:rPr>
          <w:rFonts w:eastAsia="Calibri" w:cs="Times New Roman"/>
          <w:lang w:val="en-US"/>
        </w:rPr>
        <w:t>context-specific</w:t>
      </w:r>
      <w:r w:rsidRPr="0013016F">
        <w:rPr>
          <w:rFonts w:eastAsia="Calibri" w:cs="Times New Roman"/>
          <w:lang w:val="en-US"/>
        </w:rPr>
        <w:t xml:space="preserve"> emotional response</w:t>
      </w:r>
      <w:r w:rsidR="005F2242" w:rsidRPr="0013016F">
        <w:rPr>
          <w:rFonts w:eastAsia="Calibri" w:cs="Times New Roman"/>
          <w:lang w:val="en-US"/>
        </w:rPr>
        <w:t>s</w:t>
      </w:r>
      <w:r w:rsidRPr="0013016F">
        <w:rPr>
          <w:rFonts w:eastAsia="Calibri" w:cs="Times New Roman"/>
          <w:lang w:val="en-US"/>
        </w:rPr>
        <w:t xml:space="preserv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"ISSN" : "0048-5772", "PMID" : "12820871", "abstract" : "Emotion-modulated startle is a robust phenomenon that has been demonstrated in a wide range of experimental situations. Similarly, heart rate variability (HRV) has been associated with a diverse range of processes including affective and attentional regulation. The present study sought to examine the relationship between these two important measures of affective behavior. Ninety female participants viewed pleasant, neutral, and unpleasant pictures while exposed to acoustic startle stimuli. The eyeblink startle was recorded both during the affective foregrounds and during intertrial intervals. HRV was assessed during a resting baseline and relationships between HRV and startle magnitudes examined. Results indicated that resting HRV was inversely related to startle magnitude during both intertrial intervals and affective foregrounds. In addition, the participants with the highest HRV showed the most differentiated emotion-modulated startle effects, whereas those with the lowest HRV, compared to those with the highest HRV, showed significantly potentiated startle to neutral foregrounds and marginally potentiated startle to pleasant foregrounds. The findings are consistent with models that posit that prefrontal cortical activity modulates subcortical motivation circuits. These results have important implications for the use of startle probe methodology and for HRV in the study of emotional regulation and dysregulation.", "author" : [ { "dropping-particle" : "", "family" : "Ruiz-Padial", "given" : "Elisabeth", "non-dropping-particle" : "", "parse-names" : false, "suffix" : "" }, { "dropping-particle" : "", "family" : "Sollers", "given" : "John J", "non-dropping-particle" : "", "parse-names" : false, "suffix" : "" }, { "dropping-particle" : "", "family" : "Vila", "given" : "Jaime", "non-dropping-particle" : "", "parse-names" : false, "suffix" : "" }, { "dropping-particle" : "", "family" : "Thayer", "given" : "Julian F", "non-dropping-particle" : "", "parse-names" : false, "suffix" : "" } ], "container-title" : "Psychophysiology", "id" : "ITEM-1", "issue" : "2", "issued" : { "date-parts" : [ [ "2003", "3" ] ] }, "note" : "From Duplicate 2 ( The rhythm of the heart in the blink of an eye: emotion-modulated startle magnitude covaries with heart rate variability. - Ruiz-Padial, Elisabeth; Sollers, John J; Vila, Jaime; Thayer, Julian F )", "page" : "306-13", "title" : "The rhythm of the heart in the blink of an eye: emotion-modulated startle magnitude covaries with heart rate variability.", "type" : "article-journal", "volume" : "40" }, "uris" : [ "http://www.mendeley.com/documents/?uuid=bfd26c61-732e-4e4a-918b-06041a9e4ac0" ] } ], "mendeley" : { "formattedCitation" : "(Ruiz-Padial, Sollers, Vila, &amp; Thayer, 2003)", "manualFormatting" : "Ruiz-Padial, Sollers, Vila, and Thayer (2003)", "plainTextFormattedCitation" : "(Ruiz-Padial, Sollers, Vila, &amp; Thayer, 2003)", "previouslyFormattedCitation" : "(Ruiz-Padial, Sollers, Vila, &amp; Thayer, 2003)"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Ruiz-Padial, Sollers, Vila, and Thayer (2003)</w:t>
      </w:r>
      <w:r w:rsidR="00AA1F6F" w:rsidRPr="0013016F">
        <w:rPr>
          <w:rFonts w:eastAsia="Calibri" w:cs="Times New Roman"/>
          <w:lang w:val="en-US"/>
        </w:rPr>
        <w:fldChar w:fldCharType="end"/>
      </w:r>
      <w:r w:rsidRPr="0013016F">
        <w:rPr>
          <w:rFonts w:eastAsia="Calibri" w:cs="Times New Roman"/>
          <w:lang w:val="en-US"/>
        </w:rPr>
        <w:t xml:space="preserve"> showed that high, in contrast to low, HRV is related to more differentiable, </w:t>
      </w:r>
      <w:r w:rsidR="005C6382" w:rsidRPr="0013016F">
        <w:rPr>
          <w:rFonts w:eastAsia="Calibri" w:cs="Times New Roman"/>
          <w:lang w:val="en-US"/>
        </w:rPr>
        <w:t>stimulus</w:t>
      </w:r>
      <w:r w:rsidRPr="0013016F">
        <w:rPr>
          <w:rFonts w:eastAsia="Calibri" w:cs="Times New Roman"/>
          <w:lang w:val="en-US"/>
        </w:rPr>
        <w:t xml:space="preserve">-matching startle responses (a defensive reflex to a sudden onset of threat, which is potentiated with increasing fear;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"ISSN" : "0033-295X", "PMID" : "2200076", "abstract" : "This theoretical model of emotion is based on research using the startle-probe methodology. It explains inconsistencies in probe studies of attention and fear conditioning and provides a new approach to emotional perception, imagery, and memory. Emotions are organized biphasically, as appetitive or aversive (defensive). Reflexes with the same valence as an ongoing emotional state are augmented; mismatched reflexes are inhibited. Thus, the startle response (an aversive reflex) is enhanced during a fear state and is diminished in a pleasant emotional context. This affect-startle effect is not determined by general arousal, simple attention, or probe modality. The effect is found when affects are prompted by pictures or memory images, changes appropriately with aversive conditioning, and may be dependent on right-hemisphere processing. Implications for clinical, neurophysiological, and basic research in emotion are outlined.", "author" : [ { "dropping-particle" : "", "family" : "Lang", "given" : "P J", "non-dropping-particle" : "", "parse-names" : false, "suffix" : "" }, { "dropping-particle" : "", "family" : "Bradley", "given" : "M M", "non-dropping-particle" : "", "parse-names" : false, "suffix" : "" }, { "dropping-particle" : "", "family" : "Cuthbert", "given" : "B N", "non-dropping-particle" : "", "parse-names" : false, "suffix" : "" } ], "container-title" : "Psychological Review", "id" : "ITEM-1", "issue" : "3", "issued" : { "date-parts" : [ [ "1990", "7" ] ] }, "page" : "377-95", "title" : "Emotion, attention, and the startle reflex.", "type" : "article-journal", "volume" : "97" }, "uris" : [ "http://www.mendeley.com/documents/?uuid=52053b40-12ce-4d96-8188-38c34fdb23f6" ] } ], "mendeley" : { "formattedCitation" : "(Lang, Bradley, &amp; Cuthbert, 1990)", "manualFormatting" : "Lang, Bradley, &amp; Cuthbert, 1990)", "plainTextFormattedCitation" : "(Lang, Bradley, &amp; Cuthbert, 1990)", "previouslyFormattedCitation" : "(Lang, Bradley, &amp; Cuthbert, 1990)"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Lang, Bradley, &amp; Cuthbert, 1990)</w:t>
      </w:r>
      <w:r w:rsidR="00AA1F6F" w:rsidRPr="0013016F">
        <w:rPr>
          <w:rFonts w:eastAsia="Calibri" w:cs="Times New Roman"/>
          <w:lang w:val="en-US"/>
        </w:rPr>
        <w:fldChar w:fldCharType="end"/>
      </w:r>
      <w:r w:rsidRPr="0013016F">
        <w:rPr>
          <w:rFonts w:eastAsia="Calibri" w:cs="Times New Roman"/>
          <w:lang w:val="en-US"/>
        </w:rPr>
        <w:t xml:space="preserve"> within neutral, positive, and negative contexts. In </w:t>
      </w:r>
      <w:r w:rsidR="005F2242" w:rsidRPr="0013016F">
        <w:rPr>
          <w:rFonts w:eastAsia="Calibri" w:cs="Times New Roman"/>
          <w:lang w:val="en-US"/>
        </w:rPr>
        <w:t xml:space="preserve">more </w:t>
      </w:r>
      <w:r w:rsidRPr="0013016F">
        <w:rPr>
          <w:rFonts w:eastAsia="Calibri" w:cs="Times New Roman"/>
          <w:lang w:val="en-US"/>
        </w:rPr>
        <w:t>general</w:t>
      </w:r>
      <w:r w:rsidR="005F2242" w:rsidRPr="0013016F">
        <w:rPr>
          <w:rFonts w:eastAsia="Calibri" w:cs="Times New Roman"/>
          <w:lang w:val="en-US"/>
        </w:rPr>
        <w:t xml:space="preserve"> terms</w:t>
      </w:r>
      <w:r w:rsidRPr="0013016F">
        <w:rPr>
          <w:rFonts w:eastAsia="Calibri" w:cs="Times New Roman"/>
          <w:lang w:val="en-US"/>
        </w:rPr>
        <w:t>, high</w:t>
      </w:r>
      <w:r w:rsidR="00412C74" w:rsidRPr="0013016F">
        <w:rPr>
          <w:rFonts w:eastAsia="Calibri" w:cs="Times New Roman"/>
          <w:lang w:val="en-US"/>
        </w:rPr>
        <w:t>er</w:t>
      </w:r>
      <w:r w:rsidRPr="0013016F">
        <w:rPr>
          <w:rFonts w:eastAsia="Calibri" w:cs="Times New Roman"/>
          <w:lang w:val="en-US"/>
        </w:rPr>
        <w:t xml:space="preserve"> HRV has been associated with successful emotion regulation (for a review, see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"ISSN" : "1939-1552", "author" : [ { "dropping-particle" : "", "family" : "Appelhans", "given" : "Bradley M.", "non-dropping-particle" : "", "parse-names" : false, "suffix" : "" }, { "dropping-particle" : "", "family" : "Luecken", "given" : "Linda J.", "non-dropping-particle" : "", "parse-names" : false, "suffix" : "" } ], "container-title" : "Review of General Psychology", "id" : "ITEM-1", "issue" : "3", "issued" : { "date-parts" : [ [ "2006" ] ] }, "page" : "229-240", "title" : "Heart rate variability as an index of regulated emotional responding.", "type" : "article-journal", "volume" : "10" }, "uris" : [ "http://www.mendeley.com/documents/?uuid=085e6eca-b28d-47fe-9b6f-f4588f939858" ] } ], "mendeley" : { "formattedCitation" : "(Appelhans &amp; Luecken, 2006)", "manualFormatting" : "Appelhans &amp; Luecken, 2006)", "plainTextFormattedCitation" : "(Appelhans &amp; Luecken, 2006)", "previouslyFormattedCitation" : "(Appelhans &amp; Luecken, 2006)"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Appelhans &amp; Luecken, 2006)</w:t>
      </w:r>
      <w:r w:rsidR="00AA1F6F" w:rsidRPr="0013016F">
        <w:rPr>
          <w:rFonts w:eastAsia="Calibri" w:cs="Times New Roman"/>
          <w:lang w:val="en-US"/>
        </w:rPr>
        <w:fldChar w:fldCharType="end"/>
      </w:r>
      <w:r w:rsidRPr="0013016F">
        <w:rPr>
          <w:rFonts w:eastAsia="Calibri" w:cs="Times New Roman"/>
          <w:lang w:val="en-US"/>
        </w:rPr>
        <w:t xml:space="preserve">. </w:t>
      </w:r>
    </w:p>
    <w:p w:rsidR="00354EA1" w:rsidRPr="0013016F" w:rsidRDefault="00C954F2" w:rsidP="00354EA1">
      <w:pPr>
        <w:spacing w:line="480" w:lineRule="auto"/>
        <w:ind w:firstLine="700"/>
        <w:rPr>
          <w:rFonts w:eastAsia="Calibri" w:cs="Times New Roman"/>
          <w:lang w:val="en-US"/>
        </w:rPr>
      </w:pPr>
      <w:r w:rsidRPr="0013016F">
        <w:rPr>
          <w:rFonts w:eastAsia="Calibri" w:cs="Times New Roman"/>
          <w:lang w:val="en-US"/>
        </w:rPr>
        <w:t xml:space="preserve">Resilience is a third construct associated with flexibility in the </w:t>
      </w:r>
      <w:r w:rsidR="003C0F27" w:rsidRPr="0013016F">
        <w:rPr>
          <w:rFonts w:eastAsia="Calibri" w:cs="Times New Roman"/>
          <w:lang w:val="en-US"/>
        </w:rPr>
        <w:t>literature</w:t>
      </w:r>
      <w:r w:rsidR="00354EA1" w:rsidRPr="0013016F">
        <w:rPr>
          <w:rFonts w:eastAsia="Calibri" w:cs="Times New Roman"/>
          <w:lang w:val="en-US"/>
        </w:rPr>
        <w:t xml:space="preserve">. </w:t>
      </w:r>
      <w:r w:rsidR="00911E78" w:rsidRPr="0013016F">
        <w:rPr>
          <w:rFonts w:eastAsia="Calibri" w:cs="Times New Roman"/>
          <w:lang w:val="en-US"/>
        </w:rPr>
        <w:t xml:space="preserve">It </w:t>
      </w:r>
      <w:r w:rsidR="00354EA1" w:rsidRPr="0013016F">
        <w:rPr>
          <w:rFonts w:eastAsia="Calibri" w:cs="Times New Roman"/>
          <w:lang w:val="en-US"/>
        </w:rPr>
        <w:t xml:space="preserve">is defined as the ability to achieve a positive psychological outcome despite having been exposed to life adversities </w:t>
      </w:r>
      <w:r w:rsidR="00AA1F6F" w:rsidRPr="0013016F">
        <w:rPr>
          <w:rFonts w:eastAsia="Calibri" w:cs="Times New Roman"/>
          <w:lang w:val="en-US"/>
        </w:rPr>
        <w:fldChar w:fldCharType="begin" w:fldLock="1"/>
      </w:r>
      <w:r w:rsidR="00354EA1" w:rsidRPr="0013016F">
        <w:rPr>
          <w:rFonts w:eastAsia="Calibri" w:cs="Times New Roman"/>
          <w:lang w:val="en-US"/>
        </w:rPr>
        <w:instrText>ADDIN CSL_CITATION { "citationItems" : [ { "id" : "ITEM-1", "itemData" : { "DOI" : "10.1196/annals.1376.002", "ISSN" : "0077-8923", "PMID" : "17347337", "abstract" : "Resilience is an interactive concept that refers to a relative resistance to environmental risk experiences, or the overcoming of stress or adversity. As such, it differs from both social competence positive mental health. Resilience differs from traditional concepts of risk and protection in its focus on individual variations in response to comparable experiences. Accordingly, the research focus needs to be on those individual differences and the causal processes that they reflect, rather than on resilience as a general quality. Because resilience in relation to childhood adversities may stem from positive adult experiences, a life-span trajectory approach is needed. Also, because of the crucial importance of gene-environment interactions in relation to resilience, a wide range of research strategies spanning psychosocial and biological methods is needed. Five main implications stem from the research to date: (1) resistance to hazards may derive from controlled exposure to risk (rather than its avoidance); (2) resistance may derive from traits or circumstances that are without major effects in the absence of the relevant environmental hazards; (3) resistance may derive from physiological or psychological coping processes rather than external risk or protective factors; (4) delayed recovery may derive from \"turning point\" experiences in adult life; and (5) resilience may be constrained by biological programming or damaging effects of stress/adversity on neural structures.", "author" : [ { "dropping-particle" : "", "family" : "Rutter", "given" : "Michael", "non-dropping-particle" : "", "parse-names" : false, "suffix" : "" } ], "container-title" : "Annals of the New York Academy of Sciences", "id" : "ITEM-1", "issued" : { "date-parts" : [ [ "2006", "12" ] ] }, "page" : "1-12", "title" : "Implications of resilience concepts for scientific understanding.", "type" : "article-journal", "volume" : "1094" }, "uris" : [ "http://www.mendeley.com/documents/?uuid=f56e2c4e-7c79-4a78-9ee0-3ee4022076d3" ] } ], "mendeley" : { "formattedCitation" : "(Rutter, 2006)", "plainTextFormattedCitation" : "(Rutter, 2006)", "previouslyFormattedCitation" : "(Rutter, 2006)" }, "properties" : { "noteIndex" : 0 }, "schema" : "https://github.com/citation-style-language/schema/raw/master/csl-citation.json" }</w:instrText>
      </w:r>
      <w:r w:rsidR="00AA1F6F" w:rsidRPr="0013016F">
        <w:rPr>
          <w:rFonts w:eastAsia="Calibri" w:cs="Times New Roman"/>
          <w:lang w:val="en-US"/>
        </w:rPr>
        <w:fldChar w:fldCharType="separate"/>
      </w:r>
      <w:r w:rsidR="00354EA1" w:rsidRPr="0013016F">
        <w:rPr>
          <w:rFonts w:eastAsia="Calibri" w:cs="Times New Roman"/>
          <w:noProof/>
          <w:lang w:val="en-US"/>
        </w:rPr>
        <w:t>(Rutter, 2006)</w:t>
      </w:r>
      <w:r w:rsidR="00AA1F6F" w:rsidRPr="0013016F">
        <w:rPr>
          <w:rFonts w:eastAsia="Calibri" w:cs="Times New Roman"/>
          <w:lang w:val="en-US"/>
        </w:rPr>
        <w:fldChar w:fldCharType="end"/>
      </w:r>
      <w:r w:rsidR="00331232" w:rsidRPr="0013016F">
        <w:rPr>
          <w:rFonts w:eastAsia="Calibri" w:cs="Times New Roman"/>
          <w:lang w:val="en-US"/>
        </w:rPr>
        <w:t xml:space="preserve"> and is the outcome of successful emotion regulation</w:t>
      </w:r>
      <w:r w:rsidR="003C0F27" w:rsidRPr="0013016F">
        <w:rPr>
          <w:rFonts w:eastAsia="Calibri" w:cs="Times New Roman"/>
          <w:lang w:val="en-US"/>
        </w:rPr>
        <w:t xml:space="preserve"> </w:t>
      </w:r>
      <w:r w:rsidR="00AA1F6F" w:rsidRPr="0013016F">
        <w:rPr>
          <w:rFonts w:eastAsia="Calibri" w:cs="Times New Roman"/>
          <w:lang w:val="en-US"/>
        </w:rPr>
        <w:fldChar w:fldCharType="begin" w:fldLock="1"/>
      </w:r>
      <w:r w:rsidR="009F4CDE" w:rsidRPr="0013016F">
        <w:rPr>
          <w:rFonts w:eastAsia="Calibri" w:cs="Times New Roman"/>
          <w:lang w:val="en-US"/>
        </w:rPr>
        <w:instrText>ADDIN CSL_CITATION { "citationItems" : [ { "id" : "ITEM-1", "itemData" : { "DOI" : "10.1016/j.comppsych.2013.05.008", "ISSN" : "1532-8384", "PMID" : "23806709", "abstract" : "OBJECTIVE: Research suggests that resilience is associated with favorable treatment outcome in patients with depression and/or anxiety disorders. In this regard, the identification of specific characteristics related to resilience that could provide targets for resilience-enhancement interventions is needed. Since the type of cognitive coping strategies is a possible marker of resilience, we investigated adaptive and maladaptive cognitive emotion regulation strategies contributing to resilience in patients with depression and/or anxiety disorders.\n\nMETHODS: A total of 230 outpatients with depression and anxiety disorders were consecutively recruited and completed the Cognitive Emotion Regulation Questionnaire, the Connor-Davidson Resilience Scale, the Beck Depression Inventory, and the State Anxiety Inventory. A linear regression model was used to determine which cognitive emotion regulation strategies predicted resilience after controlling for relevant covariates. Additionally, this model of resilience was compared with those of depression and anxiety symptoms.\n\nRESULTS: Adaptive strategies were more strongly correlated with resilience than maladaptive strategies. In the regression model, more use of refocus on planning and positive reappraisal as well as less use of rumination predicted high resilience after controlling for age, gender, marital status, depression, and anxiety. Among these strategies, refocus on planning was the common strategy contributing to resilience and depression.\n\nCONCLUSION: These results suggested that the cognitive emotion regulation strategies of refocus on planning, positive reappraisal, and less rumination contribute to resilience in patients with depression and anxiety disorders. It might provide potential targets for psychotherapeutic intervention to improve resilience in these patients.", "author" : [ { "dropping-particle" : "", "family" : "Min", "given" : "Jung-Ah", "non-dropping-particle" : "", "parse-names" : false, "suffix" : "" }, { "dropping-particle" : "", "family" : "Yu", "given" : "Jeong Jin", "non-dropping-particle" : "", "parse-names" : false, "suffix" : "" }, { "dropping-particle" : "", "family" : "Lee", "given" : "Chang-Uk", "non-dropping-particle" : "", "parse-names" : false, "suffix" : "" }, { "dropping-particle" : "", "family" : "Chae", "given" : "Jeong-Ho", "non-dropping-particle" : "", "parse-names" : false, "suffix" : "" } ], "container-title" : "Comprehensive psychiatry", "id" : "ITEM-1", "issue" : "8", "issued" : { "date-parts" : [ [ "2013", "11" ] ] }, "page" : "1190-7", "publisher" : "Elsevier B.V.", "title" : "Cognitive emotion regulation strategies contributing to resilience in patients with depression and/or anxiety disorders.", "type" : "article-journal", "volume" : "54" }, "uris" : [ "http://www.mendeley.com/documents/?uuid=31dc7b61-8aad-442e-a193-3259dcd2cb51" ] }, { "id" : "ITEM-2", "itemData" : { "DOI" : "10.1007/s10902-006-9015-4", "ISSN" : "1389-4978", "author" : [ { "dropping-particle" : "", "family" : "Tugade", "given" : "Michele M.", "non-dropping-particle" : "", "parse-names" : false, "suffix" : "" }, { "dropping-particle" : "", "family" : "Fredrickson", "given" : "Barbara L.", "non-dropping-particle" : "", "parse-names" : false, "suffix" : "" } ], "container-title" : "Journal of Happiness Studies", "id" : "ITEM-2", "issue" : "3", "issued" : { "date-parts" : [ [ "2006", "12", "19" ] ] }, "page" : "311-333", "title" : "Regulation of Positive Emotions: Emotion Regulation Strategies that Promote Resilience", "type" : "article-journal", "volume" : "8" }, "uris" : [ "http://www.mendeley.com/documents/?uuid=5568fba6-484a-4d1f-bd14-309a6d1ffcb1" ] }, { "id" : "ITEM-3", "itemData" : { "ISBN" : "9780521898393", "author" : [ { "dropping-particle" : "", "family" : "Troy", "given" : "Allison S", "non-dropping-particle" : "", "parse-names" : false, "suffix" : "" }, { "dropping-particle" : "", "family" : "Mauss", "given" : "Iris B", "non-dropping-particle" : "", "parse-names" : false, "suffix" : "" } ], "container-title" : "Resilience and Mental Health: Challenged Across the Lifespan", "editor" : [ { "dropping-particle" : "", "family" : "Southwick", "given" : "Steven M", "non-dropping-particle" : "", "parse-names" : false, "suffix" : "" }, { "dropping-particle" : "", "family" : "Litz", "given" : "Brett T", "non-dropping-particle" : "", "parse-names" : false, "suffix" : "" }, { "dropping-particle" : "", "family" : "Charney", "given" : "Dennis", "non-dropping-particle" : "", "parse-names" : false, "suffix" : "" }, { "dropping-particle" : "", "family" : "Friedman", "given" : "Matthew J", "non-dropping-particle" : "", "parse-names" : false, "suffix" : "" } ], "id" : "ITEM-3", "issued" : { "date-parts" : [ [ "2011" ] ] }, "page" : "30-44", "publisher" : "Cambridge University Press", "publisher-place" : "Cambridge", "title" : "Resilience in the face of stress: emotion regulation as a protective factor", "type" : "chapter" }, "uris" : [ "http://www.mendeley.com/documents/?uuid=d75846c9-9043-43d5-9219-f6b26461f819" ] } ], "mendeley" : { "formattedCitation" : "(Min, Yu, Lee, &amp; Chae, 2013; Troy &amp; Mauss, 2011; Tugade &amp; Fredrickson, 2006)", "plainTextFormattedCitation" : "(Min, Yu, Lee, &amp; Chae, 2013; Troy &amp; Mauss, 2011; Tugade &amp; Fredrickson, 2006)", "previouslyFormattedCitation" : "(Min, Yu, Lee, &amp; Chae, 2013; Troy &amp; Mauss, 2011; Tugade &amp; Fredrickson, 2006)" }, "properties" : { "noteIndex" : 0 }, "schema" : "https://github.com/citation-style-language/schema/raw/master/csl-citation.json" }</w:instrText>
      </w:r>
      <w:r w:rsidR="00AA1F6F" w:rsidRPr="0013016F">
        <w:rPr>
          <w:rFonts w:eastAsia="Calibri" w:cs="Times New Roman"/>
          <w:lang w:val="en-US"/>
        </w:rPr>
        <w:fldChar w:fldCharType="separate"/>
      </w:r>
      <w:r w:rsidR="0018363C" w:rsidRPr="0013016F">
        <w:rPr>
          <w:rFonts w:eastAsia="Calibri" w:cs="Times New Roman"/>
          <w:noProof/>
          <w:lang w:val="en-US"/>
        </w:rPr>
        <w:t>(Min, Yu, Lee, &amp; Chae, 2013; Troy &amp; Mauss, 2011; Tugade &amp; Fredrickson, 2006)</w:t>
      </w:r>
      <w:r w:rsidR="00AA1F6F" w:rsidRPr="0013016F">
        <w:rPr>
          <w:rFonts w:eastAsia="Calibri" w:cs="Times New Roman"/>
          <w:lang w:val="en-US"/>
        </w:rPr>
        <w:fldChar w:fldCharType="end"/>
      </w:r>
      <w:r w:rsidR="00354EA1" w:rsidRPr="0013016F">
        <w:rPr>
          <w:rFonts w:eastAsia="Calibri" w:cs="Times New Roman"/>
          <w:lang w:val="en-US"/>
        </w:rPr>
        <w:t xml:space="preserve">. For example, widows high in previously assessed trait resilience showed a relatively lower post-loss decrease in positive emotions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"10.1037/a0018870", "ISSN" : "1939-1498", "PMID" : "20853971", "abstract" : "Whereas theoreticians are interested in modeling how bereavement contributes to health, the bulk of research on spousal bereavement is conducted after a loss has occurred. Using prospective longitudinal data, this study examined the extent to which positive emotion following spousal loss varies on the basis of preloss characteristics of the bereaved spouse and the marital relationship prior to loss. Analyses are based on the National Survey of Midlife Development (MIDUS), a 2-wave panel survey of adults in the contiguous United States. Results indicate that compared with continuously married controls, widowed participants experienced a significant decline in positive emotion within 3 years following loss. Conversely, no significant declines in positive emotion were evident among widowed persons with greater preloss trait resilience or greater marital strain. Results provide support for the notion that adjustment to loss may be linked to factors that precede actual loss.", "author" : [ { "dropping-particle" : "", "family" : "Ong", "given" : "Anthony D", "non-dropping-particle" : "", "parse-names" : false, "suffix" : "" }, { "dropping-particle" : "", "family" : "Fuller-Rowell", "given" : "Thomas E", "non-dropping-particle" : "", "parse-names" : false, "suffix" : "" }, { "dropping-particle" : "", "family" : "Bonanno", "given" : "George A", "non-dropping-particle" : "", "parse-names" : false, "suffix" : "" } ], "container-title" : "Psychology and aging", "id" : "ITEM-1", "issue" : "3", "issued" : { "date-parts" : [ [ "2010", "9" ] ] }, "page" : "653-60", "title" : "Prospective predictors of positive emotions following spousal loss.", "type" : "article-journal", "volume" : "25" }, "uris" : [ "http://www.mendeley.com/documents/?uuid=9c41348e-eb2b-4588-9893-5a132c572641" ] } ], "mendeley" : { "formattedCitation" : "(Ong, Fuller-Rowell, &amp; Bonanno, 2010)", "plainTextFormattedCitation" : "(Ong, Fuller-Rowell, &amp; Bonanno, 2010)", "previouslyFormattedCitation" : "(Ong, Fuller-Rowell, &amp; Bonanno, 2010)" }, "properties" : { "noteIndex" : 0 }, "schema" : "https://github.com/citation-style-language/schema/raw/master/csl-citation.json" }</w:instrText>
      </w:r>
      <w:r w:rsidR="00AA1F6F" w:rsidRPr="0013016F">
        <w:rPr>
          <w:rFonts w:eastAsia="Calibri" w:cs="Times New Roman"/>
          <w:lang w:val="en-US"/>
        </w:rPr>
        <w:fldChar w:fldCharType="separate"/>
      </w:r>
      <w:r w:rsidR="00354EA1" w:rsidRPr="0013016F">
        <w:rPr>
          <w:rFonts w:eastAsia="Calibri" w:cs="Times New Roman"/>
          <w:noProof/>
          <w:lang w:val="en-US"/>
        </w:rPr>
        <w:t>(Ong, Fuller-Rowell, &amp; Bonanno, 2010)</w:t>
      </w:r>
      <w:r w:rsidR="00AA1F6F" w:rsidRPr="0013016F">
        <w:rPr>
          <w:rFonts w:eastAsia="Calibri" w:cs="Times New Roman"/>
          <w:lang w:val="en-US"/>
        </w:rPr>
        <w:fldChar w:fldCharType="end"/>
      </w:r>
      <w:r w:rsidR="00354EA1" w:rsidRPr="0013016F">
        <w:rPr>
          <w:rFonts w:eastAsia="Calibri" w:cs="Times New Roman"/>
          <w:lang w:val="en-US"/>
        </w:rPr>
        <w:t xml:space="preserve">. On a smaller </w:t>
      </w:r>
      <w:r w:rsidR="005F2242" w:rsidRPr="0013016F">
        <w:rPr>
          <w:rFonts w:eastAsia="Calibri" w:cs="Times New Roman"/>
          <w:lang w:val="en-US"/>
        </w:rPr>
        <w:t xml:space="preserve">time </w:t>
      </w:r>
      <w:r w:rsidR="00354EA1" w:rsidRPr="0013016F">
        <w:rPr>
          <w:rFonts w:eastAsia="Calibri" w:cs="Times New Roman"/>
          <w:lang w:val="en-US"/>
        </w:rPr>
        <w:t xml:space="preserve">scale, resilience </w:t>
      </w:r>
      <w:r w:rsidR="005F2242" w:rsidRPr="0013016F">
        <w:rPr>
          <w:rFonts w:eastAsia="Calibri" w:cs="Times New Roman"/>
          <w:lang w:val="en-US"/>
        </w:rPr>
        <w:t>is</w:t>
      </w:r>
      <w:r w:rsidR="00354EA1" w:rsidRPr="0013016F">
        <w:rPr>
          <w:rFonts w:eastAsia="Calibri" w:cs="Times New Roman"/>
          <w:lang w:val="en-US"/>
        </w:rPr>
        <w:t xml:space="preserve"> the capacity to dynamically modulate the level of control over one’s impulses to match the current environmental demands </w:t>
      </w:r>
      <w:r w:rsidR="00AA1F6F" w:rsidRPr="0013016F">
        <w:rPr>
          <w:rFonts w:eastAsia="Calibri" w:cs="Times New Roman"/>
          <w:lang w:val="en-US"/>
        </w:rPr>
        <w:fldChar w:fldCharType="begin" w:fldLock="1"/>
      </w:r>
      <w:r w:rsidR="00354EA1" w:rsidRPr="0013016F">
        <w:rPr>
          <w:rFonts w:eastAsia="Calibri" w:cs="Times New Roman"/>
          <w:lang w:val="en-US"/>
        </w:rPr>
        <w:instrText>ADDIN CSL_CITATION { "citationItems" : [ { "id" : "ITEM-1", "itemData" : { "DOI" : "10.1037//0022-3514.70.2.349", "ISSN" : "0022-3514", "author" : [ { "dropping-particle" : "", "family" : "Block", "given" : "Jack", "non-dropping-particle" : "", "parse-names" : false, "suffix" : "" }, { "dropping-particle" : "", "family" : "Kremen", "given" : "Adam M.", "non-dropping-particle" : "", "parse-names" : false, "suffix" : "" } ], "container-title" : "Journal of Personality and Social Psychology", "id" : "ITEM-1", "issue" : "2", "issued" : { "date-parts" : [ [ "1996" ] ] }, "page" : "349-361", "title" : "IQ and ego-resiliency: Conceptual and empirical connections and separateness.", "type" : "article-journal", "volume" : "70" }, "uris" : [ "http://www.mendeley.com/documents/?uuid=f8b49d06-5010-4a68-8fa6-3b62a4cfa508" ] } ], "mendeley" : { "formattedCitation" : "(Block &amp; Kremen, 1996)", "plainTextFormattedCitation" : "(Block &amp; Kremen, 1996)", "previouslyFormattedCitation" : "(Block &amp; Kremen, 1996)" }, "properties" : { "noteIndex" : 0 }, "schema" : "https://github.com/citation-style-language/schema/raw/master/csl-citation.json" }</w:instrText>
      </w:r>
      <w:r w:rsidR="00AA1F6F" w:rsidRPr="0013016F">
        <w:rPr>
          <w:rFonts w:eastAsia="Calibri" w:cs="Times New Roman"/>
          <w:lang w:val="en-US"/>
        </w:rPr>
        <w:fldChar w:fldCharType="separate"/>
      </w:r>
      <w:r w:rsidR="00354EA1" w:rsidRPr="0013016F">
        <w:rPr>
          <w:rFonts w:eastAsia="Calibri" w:cs="Times New Roman"/>
          <w:noProof/>
          <w:lang w:val="en-US"/>
        </w:rPr>
        <w:t>(Block &amp; Kremen, 1996)</w:t>
      </w:r>
      <w:r w:rsidR="00AA1F6F" w:rsidRPr="0013016F">
        <w:rPr>
          <w:rFonts w:eastAsia="Calibri" w:cs="Times New Roman"/>
          <w:lang w:val="en-US"/>
        </w:rPr>
        <w:fldChar w:fldCharType="end"/>
      </w:r>
      <w:r w:rsidR="00354EA1" w:rsidRPr="0013016F">
        <w:rPr>
          <w:rFonts w:eastAsia="Calibri" w:cs="Times New Roman"/>
          <w:lang w:val="en-US"/>
        </w:rPr>
        <w:t xml:space="preserve">, a definition that is very similar to the notion of flexibility as discussed above. In a study by Waugh, Thompson, and Gotlib </w:t>
      </w:r>
      <w:r w:rsidR="00AA1F6F" w:rsidRPr="0013016F">
        <w:rPr>
          <w:rFonts w:eastAsia="Calibri" w:cs="Times New Roman"/>
          <w:lang w:val="en-US"/>
        </w:rPr>
        <w:fldChar w:fldCharType="begin" w:fldLock="1"/>
      </w:r>
      <w:r w:rsidR="00354EA1" w:rsidRPr="0013016F">
        <w:rPr>
          <w:rFonts w:eastAsia="Calibri" w:cs="Times New Roman"/>
          <w:lang w:val="en-US"/>
        </w:rPr>
        <w:instrText>ADDIN CSL_CITATION { "citationItems" : [ { "id" : "ITEM-1", "itemData" : { "DOI" : "10.1037/a0021786", "ISSN" : "1931-1516", "PMID" : "21707168", "abstract" : "Field studies and laboratory experiments have documented that a key component of resilience is emotional flexibility--the ability to respond flexibly to changing emotional circumstances. In the present study we tested the hypotheses that resilient people exhibit emotional flexibility: (a) in response to frequently changing emotional stimuli and (b) across multiple modalities of emotional responding. As participants viewed a series of emotional pictures, we assessed their self-reported affect, facial muscle activity, and startle reflexes. Higher trait resilience predicted more divergent affective and facial responses (corrugator and zygomatic) to positive versus negative pictures. Thus, compared with their low-resilient counterparts, resilient people appear to be able to more flexibly match their emotional responses to the frequently changing emotional stimuli. Moreover, whereas high-trait-resilient participants exhibited divergent startle responses to positive versus negative pictures regardless of the valence of the preceding trial, low-trait-resilient participants did not exhibit divergent startle responses when the preceding picture was negative. High-trait-resilient individuals, therefore, appear to be better able than are their low-resilient counterparts to either switch or maintain their emotional responses depending on whether the emotional context changes. The present findings broaden our understanding of the mechanisms underlying resilience by demonstrating that resilient people are able to flexibly change their affective and physiological responses to match the demands of frequently changing environmental circumstances.", "author" : [ { "dropping-particle" : "", "family" : "Waugh", "given" : "Christian E", "non-dropping-particle" : "", "parse-names" : false, "suffix" : "" }, { "dropping-particle" : "", "family" : "Thompson", "given" : "Renee J", "non-dropping-particle" : "", "parse-names" : false, "suffix" : "" }, { "dropping-particle" : "", "family" : "Gotlib", "given" : "Ian H", "non-dropping-particle" : "", "parse-names" : false, "suffix" : "" } ], "container-title" : "Emotion (Washington, D.C.)", "id" : "ITEM-1", "issue" : "5", "issued" : { "date-parts" : [ [ "2011", "10" ] ] }, "page" : "1059-67", "title" : "Flexible emotional responsiveness in trait resilience.", "type" : "article-journal", "volume" : "11" }, "suppress-author" : 1, "uris" : [ "http://www.mendeley.com/documents/?uuid=41ae8b18-3131-434f-8f32-3e8cef3883c3" ] } ], "mendeley" : { "formattedCitation" : "(2011)", "plainTextFormattedCitation" : "(2011)", "previouslyFormattedCitation" : "(2011)" }, "properties" : { "noteIndex" : 0 }, "schema" : "https://github.com/citation-style-language/schema/raw/master/csl-citation.json" }</w:instrText>
      </w:r>
      <w:r w:rsidR="00AA1F6F" w:rsidRPr="0013016F">
        <w:rPr>
          <w:rFonts w:eastAsia="Calibri" w:cs="Times New Roman"/>
          <w:lang w:val="en-US"/>
        </w:rPr>
        <w:fldChar w:fldCharType="separate"/>
      </w:r>
      <w:r w:rsidR="00354EA1" w:rsidRPr="0013016F">
        <w:rPr>
          <w:rFonts w:eastAsia="Calibri" w:cs="Times New Roman"/>
          <w:noProof/>
          <w:lang w:val="en-US"/>
        </w:rPr>
        <w:t>(2011)</w:t>
      </w:r>
      <w:r w:rsidR="00AA1F6F" w:rsidRPr="0013016F">
        <w:rPr>
          <w:rFonts w:eastAsia="Calibri" w:cs="Times New Roman"/>
          <w:lang w:val="en-US"/>
        </w:rPr>
        <w:fldChar w:fldCharType="end"/>
      </w:r>
      <w:r w:rsidR="00354EA1" w:rsidRPr="0013016F">
        <w:rPr>
          <w:rFonts w:eastAsia="Calibri" w:cs="Times New Roman"/>
          <w:lang w:val="en-US"/>
        </w:rPr>
        <w:t xml:space="preserve">, highly </w:t>
      </w:r>
      <w:r w:rsidR="00354EA1" w:rsidRPr="0013016F">
        <w:rPr>
          <w:rFonts w:eastAsia="Calibri" w:cs="Times New Roman"/>
          <w:lang w:val="en-US"/>
        </w:rPr>
        <w:lastRenderedPageBreak/>
        <w:t>resilient individuals, in contrast to less resilient participants, were better able to match their emotional responses (facial muscle activity) to changing emotional stimuli and showed no carry-over effect on startle responses of negative stimuli. Resilience is thus not only a broad-scale ability to readjust after significant life events, but also embraces differences in small scale emotional reactivity to and, especially, regulation and recovery from stressors.</w:t>
      </w:r>
    </w:p>
    <w:p w:rsidR="00A85CD6" w:rsidRPr="0013016F" w:rsidRDefault="00B20605" w:rsidP="00354EA1">
      <w:pPr>
        <w:spacing w:line="480" w:lineRule="auto"/>
        <w:ind w:firstLine="700"/>
        <w:rPr>
          <w:rFonts w:eastAsia="Calibri" w:cs="Times New Roman"/>
          <w:lang w:val="en-US"/>
        </w:rPr>
      </w:pPr>
      <w:r w:rsidRPr="0013016F">
        <w:rPr>
          <w:rFonts w:eastAsia="Calibri" w:cs="Times New Roman"/>
          <w:lang w:val="en-US"/>
        </w:rPr>
        <w:t>T</w:t>
      </w:r>
      <w:r w:rsidR="005F2242" w:rsidRPr="0013016F">
        <w:rPr>
          <w:rFonts w:eastAsia="Calibri" w:cs="Times New Roman"/>
          <w:lang w:val="en-US"/>
        </w:rPr>
        <w:t>hese three different forms of flexibility</w:t>
      </w:r>
      <w:r w:rsidRPr="0013016F">
        <w:rPr>
          <w:rFonts w:eastAsia="Calibri" w:cs="Times New Roman"/>
          <w:lang w:val="en-US"/>
        </w:rPr>
        <w:t xml:space="preserve"> have repeatedly been linked in the literature. </w:t>
      </w:r>
      <w:r w:rsidR="001B0A2E" w:rsidRPr="0013016F">
        <w:rPr>
          <w:rFonts w:eastAsia="Calibri" w:cs="Times New Roman"/>
          <w:lang w:val="en-US"/>
        </w:rPr>
        <w:t>HRV is related to emotion regulation (</w:t>
      </w:r>
      <w:r w:rsidR="00BC7599" w:rsidRPr="0013016F">
        <w:rPr>
          <w:rFonts w:eastAsia="Calibri" w:cs="Times New Roman"/>
          <w:noProof/>
          <w:lang w:val="en-US"/>
        </w:rPr>
        <w:t>Appelhans &amp; Luecken, 2006</w:t>
      </w:r>
      <w:r w:rsidR="001B0A2E" w:rsidRPr="0013016F">
        <w:rPr>
          <w:rFonts w:eastAsia="Calibri" w:cs="Times New Roman"/>
          <w:lang w:val="en-US"/>
        </w:rPr>
        <w:t xml:space="preserve">), resilience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"10.1080/10253890701419886", "ISSN" : "1025-3890", "PMID" : "17853065", "abstract" : "Previous studies showed that heart period decreases during and recovers after an acute stress. We investigated if individual predispositions and emotional priming influence heart period recovery after a speech stress task. Psychometric scales and resting cardiac vagal tone were used to measure individual traits. The presentation of a sequence of either pleasant or unpleasant pictures, as emotional primers, preceded the speech stress. Heart period was measured throughout the experiment. Stress induced tachycardia irrespective of emotional priming or traits. In the recovery period, participants with higher resting cardiac vagal tone or presenting higher resilience significantly reduced the heart acceleration. Furthermore, these traits interacted synergistically in the promotion of the recovery of heart period. Pleasant priming also improved recovery for participants with lower negative affect. In conclusion, the stress recovery measured through heart period seemed dependent upon individual predispositions and emotional priming. These findings further strengthen previous observations on the association between greater cardiac vagal tone and the ability to regulate emotion.", "author" : [ { "dropping-particle" : "", "family" : "Souza", "given" : "Gabriela Guerra Leal", "non-dropping-particle" : "", "parse-names" : false, "suffix" : "" }, { "dropping-particle" : "", "family" : "Mendon\u00e7a-De-Souza", "given" : "Ana Carolina Ferraz", "non-dropping-particle" : "", "parse-names" : false, "suffix" : "" }, { "dropping-particle" : "", "family" : "Barros", "given" : "E M", "non-dropping-particle" : "", "parse-names" : false, "suffix" : "" }, { "dropping-particle" : "", "family" : "Coutinho", "given" : "Evandro Da Silva F", "non-dropping-particle" : "", "parse-names" : false, "suffix" : "" }, { "dropping-particle" : "", "family" : "Oliveira", "given" : "L", "non-dropping-particle" : "", "parse-names" : false, "suffix" : "" }, { "dropping-particle" : "V", "family" : "Mendlowicz", "given" : "M", "non-dropping-particle" : "", "parse-names" : false, "suffix" : "" }, { "dropping-particle" : "", "family" : "Figueira", "given" : "Ivan", "non-dropping-particle" : "", "parse-names" : false, "suffix" : "" }, { "dropping-particle" : "", "family" : "Volchan", "given" : "Eliane", "non-dropping-particle" : "", "parse-names" : false, "suffix" : "" } ], "container-title" : "Stress", "id" : "ITEM-1", "issue" : "4", "issued" : { "date-parts" : [ [ "2007", "11" ] ] }, "page" : "368-74", "title" : "Resilience and vagal tone predict cardiac recovery from acute social stress.", "type" : "article-journal", "volume" : "10" }, "uris" : [ "http://www.mendeley.com/documents/?uuid=0cf8cd40-2a67-4d0b-91ca-1fcc687f47a8" ] } ], "mendeley" : { "formattedCitation" : "(Souza et al., 2007)", "manualFormatting" : "(e.g. Souza et al., 2007)", "plainTextFormattedCitation" : "(Souza et al., 2007)", "previouslyFormattedCitation" : "(Souza et al., 2007)" }, "properties" : { "noteIndex" : 0 }, "schema" : "https://github.com/citation-style-language/schema/raw/master/csl-citation.json" }</w:instrText>
      </w:r>
      <w:r w:rsidR="00AA1F6F" w:rsidRPr="0013016F">
        <w:rPr>
          <w:rFonts w:eastAsia="Calibri" w:cs="Times New Roman"/>
          <w:lang w:val="en-US"/>
        </w:rPr>
        <w:fldChar w:fldCharType="separate"/>
      </w:r>
      <w:r w:rsidR="00D94364" w:rsidRPr="0013016F">
        <w:rPr>
          <w:rFonts w:eastAsia="Calibri" w:cs="Times New Roman"/>
          <w:noProof/>
          <w:lang w:val="en-US"/>
        </w:rPr>
        <w:t>(e.g. Souza et al., 2007)</w:t>
      </w:r>
      <w:r w:rsidR="00AA1F6F" w:rsidRPr="0013016F">
        <w:rPr>
          <w:rFonts w:eastAsia="Calibri" w:cs="Times New Roman"/>
          <w:lang w:val="en-US"/>
        </w:rPr>
        <w:fldChar w:fldCharType="end"/>
      </w:r>
      <w:r w:rsidR="001B0A2E" w:rsidRPr="0013016F">
        <w:rPr>
          <w:rFonts w:eastAsia="Calibri" w:cs="Times New Roman"/>
          <w:lang w:val="en-US"/>
        </w:rPr>
        <w:t xml:space="preserve"> and cognitive flexibility (</w:t>
      </w:r>
      <w:r w:rsidR="000B31E2" w:rsidRPr="0013016F">
        <w:rPr>
          <w:rFonts w:eastAsia="Calibri" w:cs="Times New Roman"/>
          <w:lang w:val="en-US"/>
        </w:rPr>
        <w:t>e.g.</w:t>
      </w:r>
      <w:r w:rsidR="00AA1F6F" w:rsidRPr="0013016F">
        <w:rPr>
          <w:rFonts w:eastAsia="Calibri" w:cs="Times New Roman"/>
          <w:lang w:val="en-US"/>
        </w:rPr>
        <w:fldChar w:fldCharType="begin" w:fldLock="1"/>
      </w:r>
      <w:r w:rsidR="00BE051A" w:rsidRPr="0013016F">
        <w:rPr>
          <w:rFonts w:eastAsia="Calibri" w:cs="Times New Roman"/>
          <w:lang w:val="en-US"/>
        </w:rPr>
        <w:instrText>ADDIN CSL_CITATION { "citationItems" : [ { "id" : "ITEM-1", "itemData" : { "DOI" : "10.1016/j.biopsycho.2012.02.012", "ISSN" : "1873-6246", "PMID" : "22391523", "abstract" : "The neurovisceral integration model (Thayer and Lane, 2000) proposes that vagally mediated heart rate variability (HRV)--an index of cardiac vagal tone--is associated with autonomic flexibility and emotional self-regulation. Two experiments examined the relationship between vagally mediated HRV and visual perception of affectively significant stimuli at different spatial frequencies. In Experiment 1, HRV was positively correlated with superior performance discriminating the emotion of affectively significant (i.e., fearful) faces at high spatial frequency (HSF). In Experiment 2, processing goals moderated the relationship between HRV and successful discrimination of HSF fearful faces. In contrast to Experiment 1, discriminating the expressiveness of HSF fearful faces was not correlated with HRV. The current research suggests that HRV is positively associated with superior visual discrimination of affectively significant stimuli at high spatial frequency, and this relationship may be sensitive to the top-down influence of different processing goals.", "author" : [ { "dropping-particle" : "", "family" : "Park", "given" : "Gewnhi", "non-dropping-particle" : "", "parse-names" : false, "suffix" : "" }, { "dropping-particle" : "", "family" : "Bavel", "given" : "Jay J", "non-dropping-particle" : "Van", "parse-names" : false, "suffix" : "" }, { "dropping-particle" : "", "family" : "Vasey", "given" : "Michael W", "non-dropping-particle" : "", "parse-names" : false, "suffix" : "" }, { "dropping-particle" : "", "family" : "Egan", "given" : "Eric J L", "non-dropping-particle" : "", "parse-names" : false, "suffix" : "" }, { "dropping-particle" : "", "family" : "Thayer", "given" : "Julian F", "non-dropping-particle" : "", "parse-names" : false, "suffix" : "" } ], "container-title" : "Biological Psychology", "id" : "ITEM-1", "issue" : "2", "issued" : { "date-parts" : [ [ "2012", "5" ] ] }, "page" : "171-8", "publisher" : "Elsevier B.V.", "title" : "From the heart to the mind's eye: cardiac vagal tone is related to visual perception of fearful faces at high spatial frequency.", "type" : "article-journal", "volume" : "90" }, "uris" : [ "http://www.mendeley.com/documents/?uuid=56f7f503-4340-4b63-beb5-cac430d03b3d" ] }, { "id" : "ITEM-2", "itemData" : { "DOI" : "10.1111/psyp.12029", "ISSN" : "1540-5958", "PMID" : "23418911", "abstract" : "We examined whether cardiac vagal tone (indexed by heart rate variability, HRV) was associated with the functioning of selective attention under load. Participants were instructed to detect a target letter among letter strings superimposed on either fearful or neutral distractor faces. Under low load, when letter strings consisted of six target letters, there was no difference between people with high and low HRV on task performance. Under high load, when letter strings consisted of one target letter and five nontarget letters, people with high HRV were faster in trials with neutral distractors, but not with fearful distractors. However, people with low HRV were slower in trials with both fearful and neutral distractors. The current research suggests cardiac vagal tone is associated with successful control of selective attention critical for goal-directed behavior, and its impact is greater when fewer cognitive resources are available.", "author" : [ { "dropping-particle" : "", "family" : "Park", "given" : "Gewnhi", "non-dropping-particle" : "", "parse-names" : false, "suffix" : "" }, { "dropping-particle" : "", "family" : "Vasey", "given" : "Michael W", "non-dropping-particle" : "", "parse-names" : false, "suffix" : "" }, { "dropping-particle" : "", "family" : "Bavel", "given" : "Jay J", "non-dropping-particle" : "Van", "parse-names" : false, "suffix" : "" }, { "dropping-particle" : "", "family" : "Thayer", "given" : "Julian F", "non-dropping-particle" : "", "parse-names" : false, "suffix" : "" } ], "container-title" : "Psychophysiology", "id" : "ITEM-2", "issue" : "4", "issued" : { "date-parts" : [ [ "2013", "4" ] ] }, "page" : "398-406", "title" : "Cardiac vagal tone is correlated with selective attention to neutral distractors under load.", "type" : "article-journal", "volume" : "50" }, "uris" : [ "http://www.mendeley.com/documents/?uuid=c8129d0a-927b-40b9-a58d-0dfc369e282c" ] } ], "mendeley" : { "formattedCitation" : "(Park, Van Bavel, Vasey, Egan, et al., 2012; Park, Vasey, Van Bavel, &amp; Thayer, 2013)", "manualFormatting" : " Park et al., 2012; Park, Vasey, Van Bavel, &amp; Thayer, 2013)", "plainTextFormattedCitation" : "(Park, Van Bavel, Vasey, Egan, et al., 2012; Park, Vasey, Van Bavel, &amp; Thayer, 2013)", "previouslyFormattedCitation" : "(Park, Van Bavel, Vasey, Egan, et al., 2012; Park, Vasey, Van Bavel, &amp; Thayer, 2013)" }, "properties" : { "noteIndex" : 0 }, "schema" : "https://github.com/citation-style-language/schema/raw/master/csl-citation.json" }</w:instrText>
      </w:r>
      <w:r w:rsidR="00AA1F6F" w:rsidRPr="0013016F">
        <w:rPr>
          <w:rFonts w:eastAsia="Calibri" w:cs="Times New Roman"/>
          <w:lang w:val="en-US"/>
        </w:rPr>
        <w:fldChar w:fldCharType="separate"/>
      </w:r>
      <w:r w:rsidR="00D94364" w:rsidRPr="0013016F">
        <w:rPr>
          <w:rFonts w:eastAsia="Calibri" w:cs="Times New Roman"/>
          <w:noProof/>
          <w:lang w:val="en-US"/>
        </w:rPr>
        <w:t xml:space="preserve"> Park et al., 2012; 2013)</w:t>
      </w:r>
      <w:r w:rsidR="00AA1F6F" w:rsidRPr="0013016F">
        <w:rPr>
          <w:rFonts w:eastAsia="Calibri" w:cs="Times New Roman"/>
          <w:lang w:val="en-US"/>
        </w:rPr>
        <w:fldChar w:fldCharType="end"/>
      </w:r>
      <w:r w:rsidR="001B0A2E" w:rsidRPr="0013016F">
        <w:rPr>
          <w:rFonts w:eastAsia="Calibri" w:cs="Times New Roman"/>
          <w:lang w:val="en-US"/>
        </w:rPr>
        <w:t xml:space="preserve">. </w:t>
      </w:r>
      <w:r w:rsidR="00A85CD6" w:rsidRPr="0013016F">
        <w:rPr>
          <w:rFonts w:eastAsia="Calibri" w:cs="Times New Roman"/>
          <w:lang w:val="en-US"/>
        </w:rPr>
        <w:t>To close the circle, cognitive flexibility</w:t>
      </w:r>
      <w:r w:rsidR="000435A3" w:rsidRPr="0013016F">
        <w:rPr>
          <w:rFonts w:eastAsia="Calibri" w:cs="Times New Roman"/>
          <w:lang w:val="en-US"/>
        </w:rPr>
        <w:t>, especially when processing affective information</w:t>
      </w:r>
      <w:r w:rsidR="00A85CD6" w:rsidRPr="0013016F">
        <w:rPr>
          <w:rFonts w:eastAsia="Calibri" w:cs="Times New Roman"/>
          <w:lang w:val="en-US"/>
        </w:rPr>
        <w:t xml:space="preserve"> has also been related to </w:t>
      </w:r>
      <w:r w:rsidR="000435A3" w:rsidRPr="0013016F">
        <w:rPr>
          <w:rFonts w:eastAsia="Calibri" w:cs="Times New Roman"/>
          <w:lang w:val="en-US"/>
        </w:rPr>
        <w:t xml:space="preserve">resilience and </w:t>
      </w:r>
      <w:r w:rsidR="00A85CD6" w:rsidRPr="0013016F">
        <w:rPr>
          <w:rFonts w:eastAsia="Calibri" w:cs="Times New Roman"/>
          <w:lang w:val="en-US"/>
        </w:rPr>
        <w:t xml:space="preserve">emotion regulation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"10.1080/02699931.2012.733351", "ISSN" : "1464-0600", "PMID" : "23088513", "abstract" : "The present study examined whether cognitive flexibility in the processing of emotional material (i.e., affective flexibility) predicts the use of rumination in response to negative events in daily life. One hundred fifty-seven undergraduate participants completed daily diaries for six consecutive days. Affective flexibility was measured with a novel task-switching paradigm using emotional pictures. Results show that affective inflexibility when switching away from processing the emotional meaning of negative material was associated with increased use of rumination in daily life. In contrast, affective inflexibility when switching away from processing the emotional meaning of positive material was related to decreased use of rumination. Importantly, affective flexibility predicted use of rumination beyond non-affective measures of executive functioning. This is the first study to show that inflexibility is not uniformly associated with increased rumination but that inflexibility in the processing of positive material can predict lower levels of rumination.", "author" : [ { "dropping-particle" : "", "family" : "Genet", "given" : "Jessica J", "non-dropping-particle" : "", "parse-names" : false, "suffix" : "" }, { "dropping-particle" : "", "family" : "Malooly", "given" : "Ashley M", "non-dropping-particle" : "", "parse-names" : false, "suffix" : "" }, { "dropping-particle" : "", "family" : "Siemer", "given" : "Matthias", "non-dropping-particle" : "", "parse-names" : false, "suffix" : "" } ], "container-title" : "Cognition &amp; emotion", "id" : "ITEM-1", "issue" : "4", "issued" : { "date-parts" : [ [ "2013", "1" ] ] }, "page" : "685-95", "title" : "Flexibility is not always adaptive: affective flexibility and inflexibility predict rumination use in everyday life.", "type" : "article-journal", "volume" : "27" }, "uris" : [ "http://www.mendeley.com/documents/?uuid=58f5918b-6ceb-4bae-9296-e0bd721af0cd" ] }, { "id" : "ITEM-2", "itemData" : { "DOI" : "10.1037/a0029980", "ISSN" : "1931-1516", "PMID" : "23163706", "abstract" : "The present study examined the relation between a specific type of executive control and cognitive emotion regulation. The authors propose that successful reappraisal is related to \"affective flexibility\": The ability to flexibly attend to and disengage from emotional aspects of a situation or a stimulus. A new affective task-switching paradigm that required participants to shift between categorizing positive and negative affective pictures according to emotional or nonemotional features was used to assess individual differences in affective flexibility. The results showed that greater affective flexibility (less switch costs) predicted the ability to use reappraisal to down-regulate emotions in response to a sad film clip. In particular, more efficient shifts toward the neutral aspects of negative pictures and toward the emotional aspects of positive pictures were found to predict reappraisal ability. The results imply that executive control of emotional material is a capacity that is closely associated with effective reappraisal.", "author" : [ { "dropping-particle" : "", "family" : "Malooly", "given" : "Ashley M", "non-dropping-particle" : "", "parse-names" : false, "suffix" : "" }, { "dropping-particle" : "", "family" : "Genet", "given" : "Jessica J", "non-dropping-particle" : "", "parse-names" : false, "suffix" : "" }, { "dropping-particle" : "", "family" : "Siemer", "given" : "Matthias", "non-dropping-particle" : "", "parse-names" : false, "suffix" : "" } ], "container-title" : "Emotion", "id" : "ITEM-2", "issue" : "2", "issued" : { "date-parts" : [ [ "2013", "4" ] ] }, "page" : "302-13", "title" : "Individual differences in reappraisal effectiveness: the role of affective flexibility.", "type" : "article-journal", "volume" : "13" }, "uris" : [ "http://www.mendeley.com/documents/?uuid=1622246a-8f47-4b9e-a444-50f28e883fb2" ] } ], "mendeley" : { "formattedCitation" : "(Genet, Malooly, &amp; Siemer, 2013; Malooly, Genet, &amp; Siemer, 2013)", "manualFormatting" : "(Genet &amp; Siemer, 2011; Genet, Malooly, &amp; Siemer, 2013; Malooly, Genet, &amp; Siemer, 2013)", "plainTextFormattedCitation" : "(Genet, Malooly, &amp; Siemer, 2013; Malooly, Genet, &amp; Siemer, 2013)", "previouslyFormattedCitation" : "(Genet, Malooly, &amp; Siemer, 2013; Malooly, Genet, &amp; Siemer, 2013)" }, "properties" : { "noteIndex" : 0 }, "schema" : "https://github.com/citation-style-language/schema/raw/master/csl-citation.json" }</w:instrText>
      </w:r>
      <w:r w:rsidR="00AA1F6F" w:rsidRPr="0013016F">
        <w:rPr>
          <w:rFonts w:eastAsia="Calibri" w:cs="Times New Roman"/>
          <w:lang w:val="en-US"/>
        </w:rPr>
        <w:fldChar w:fldCharType="separate"/>
      </w:r>
      <w:r w:rsidR="00A85CD6" w:rsidRPr="0013016F">
        <w:rPr>
          <w:rFonts w:eastAsia="Calibri" w:cs="Times New Roman"/>
          <w:noProof/>
          <w:lang w:val="en-US"/>
        </w:rPr>
        <w:t>(Genet &amp; Siemer, 2011; Genet, Malooly, &amp; Siemer, 2013; Malooly, Genet, &amp; Siemer, 2013)</w:t>
      </w:r>
      <w:r w:rsidR="00AA1F6F" w:rsidRPr="0013016F">
        <w:rPr>
          <w:rFonts w:eastAsia="Calibri" w:cs="Times New Roman"/>
          <w:lang w:val="en-US"/>
        </w:rPr>
        <w:fldChar w:fldCharType="end"/>
      </w:r>
      <w:r w:rsidR="00A85CD6" w:rsidRPr="0013016F">
        <w:rPr>
          <w:rFonts w:eastAsia="Calibri" w:cs="Times New Roman"/>
          <w:lang w:val="en-US"/>
        </w:rPr>
        <w:t xml:space="preserve">. </w:t>
      </w:r>
      <w:r w:rsidR="001B0A2E" w:rsidRPr="0013016F">
        <w:rPr>
          <w:rFonts w:eastAsia="Calibri" w:cs="Times New Roman"/>
          <w:lang w:val="en-US"/>
        </w:rPr>
        <w:t>For example</w:t>
      </w:r>
      <w:r w:rsidR="000435A3" w:rsidRPr="0013016F">
        <w:rPr>
          <w:rFonts w:eastAsia="Calibri" w:cs="Times New Roman"/>
          <w:lang w:val="en-US"/>
        </w:rPr>
        <w:t xml:space="preserve">, Genet and colleagues found that </w:t>
      </w:r>
      <w:r w:rsidR="00EF1EB2" w:rsidRPr="0013016F">
        <w:rPr>
          <w:rFonts w:eastAsia="Calibri" w:cs="Times New Roman"/>
          <w:lang w:val="en-US"/>
        </w:rPr>
        <w:t xml:space="preserve">participants who </w:t>
      </w:r>
      <w:r w:rsidR="000435A3" w:rsidRPr="0013016F">
        <w:rPr>
          <w:rFonts w:eastAsia="Calibri" w:cs="Times New Roman"/>
          <w:lang w:val="en-US"/>
        </w:rPr>
        <w:t>efficiently switch</w:t>
      </w:r>
      <w:r w:rsidR="00EF1EB2" w:rsidRPr="0013016F">
        <w:rPr>
          <w:rFonts w:eastAsia="Calibri" w:cs="Times New Roman"/>
          <w:lang w:val="en-US"/>
        </w:rPr>
        <w:t>ed</w:t>
      </w:r>
      <w:r w:rsidR="000435A3" w:rsidRPr="0013016F">
        <w:rPr>
          <w:rFonts w:eastAsia="Calibri" w:cs="Times New Roman"/>
          <w:lang w:val="en-US"/>
        </w:rPr>
        <w:t xml:space="preserve"> from </w:t>
      </w:r>
      <w:r w:rsidR="001B0A2E" w:rsidRPr="0013016F">
        <w:rPr>
          <w:rFonts w:eastAsia="Calibri" w:cs="Times New Roman"/>
          <w:lang w:val="en-US"/>
        </w:rPr>
        <w:t xml:space="preserve">evaluating </w:t>
      </w:r>
      <w:r w:rsidR="000435A3" w:rsidRPr="0013016F">
        <w:rPr>
          <w:rFonts w:eastAsia="Calibri" w:cs="Times New Roman"/>
          <w:lang w:val="en-US"/>
        </w:rPr>
        <w:t xml:space="preserve">negative or to </w:t>
      </w:r>
      <w:r w:rsidR="00DF20BA" w:rsidRPr="0013016F">
        <w:rPr>
          <w:rFonts w:eastAsia="Calibri" w:cs="Times New Roman"/>
          <w:lang w:val="en-US"/>
        </w:rPr>
        <w:t xml:space="preserve">evaluating </w:t>
      </w:r>
      <w:r w:rsidR="000435A3" w:rsidRPr="0013016F">
        <w:rPr>
          <w:rFonts w:eastAsia="Calibri" w:cs="Times New Roman"/>
          <w:lang w:val="en-US"/>
        </w:rPr>
        <w:t xml:space="preserve">positive aspects of stimuli </w:t>
      </w:r>
      <w:r w:rsidR="00EF1EB2" w:rsidRPr="0013016F">
        <w:rPr>
          <w:rFonts w:eastAsia="Calibri" w:cs="Times New Roman"/>
          <w:lang w:val="en-US"/>
        </w:rPr>
        <w:t>also had</w:t>
      </w:r>
      <w:r w:rsidR="000435A3" w:rsidRPr="0013016F">
        <w:rPr>
          <w:rFonts w:eastAsia="Calibri" w:cs="Times New Roman"/>
          <w:lang w:val="en-US"/>
        </w:rPr>
        <w:t xml:space="preserve"> better reappraisal abilities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"10.1037/a0029980", "ISSN" : "1931-1516", "PMID" : "23163706", "abstract" : "The present study examined the relation between a specific type of executive control and cognitive emotion regulation. The authors propose that successful reappraisal is related to \"affective flexibility\": The ability to flexibly attend to and disengage from emotional aspects of a situation or a stimulus. A new affective task-switching paradigm that required participants to shift between categorizing positive and negative affective pictures according to emotional or nonemotional features was used to assess individual differences in affective flexibility. The results showed that greater affective flexibility (less switch costs) predicted the ability to use reappraisal to down-regulate emotions in response to a sad film clip. In particular, more efficient shifts toward the neutral aspects of negative pictures and toward the emotional aspects of positive pictures were found to predict reappraisal ability. The results imply that executive control of emotional material is a capacity that is closely associated with effective reappraisal.", "author" : [ { "dropping-particle" : "", "family" : "Malooly", "given" : "Ashley M", "non-dropping-particle" : "", "parse-names" : false, "suffix" : "" }, { "dropping-particle" : "", "family" : "Genet", "given" : "Jessica J", "non-dropping-particle" : "", "parse-names" : false, "suffix" : "" }, { "dropping-particle" : "", "family" : "Siemer", "given" : "Matthias", "non-dropping-particle" : "", "parse-names" : false, "suffix" : "" } ], "container-title" : "Emotion", "id" : "ITEM-1", "issue" : "2", "issued" : { "date-parts" : [ [ "2013", "4" ] ] }, "page" : "302-13", "title" : "Individual differences in reappraisal effectiveness: the role of affective flexibility.", "type" : "article-journal", "volume" : "13" }, "uris" : [ "http://www.mendeley.com/documents/?uuid=1622246a-8f47-4b9e-a444-50f28e883fb2" ] } ], "mendeley" : { "formattedCitation" : "(Malooly et al., 2013)", "plainTextFormattedCitation" : "(Malooly et al., 2013)", "previouslyFormattedCitation" : "(Malooly et al., 2013)" }, "properties" : { "noteIndex" : 0 }, "schema" : "https://github.com/citation-style-language/schema/raw/master/csl-citation.json" }</w:instrText>
      </w:r>
      <w:r w:rsidR="00AA1F6F" w:rsidRPr="0013016F">
        <w:rPr>
          <w:rFonts w:eastAsia="Calibri" w:cs="Times New Roman"/>
          <w:lang w:val="en-US"/>
        </w:rPr>
        <w:fldChar w:fldCharType="separate"/>
      </w:r>
      <w:r w:rsidR="00EF1EB2" w:rsidRPr="0013016F">
        <w:rPr>
          <w:rFonts w:eastAsia="Calibri" w:cs="Times New Roman"/>
          <w:noProof/>
          <w:lang w:val="en-US"/>
        </w:rPr>
        <w:t>(Malooly et al., 2013)</w:t>
      </w:r>
      <w:r w:rsidR="00AA1F6F" w:rsidRPr="0013016F">
        <w:rPr>
          <w:rFonts w:eastAsia="Calibri" w:cs="Times New Roman"/>
          <w:lang w:val="en-US"/>
        </w:rPr>
        <w:fldChar w:fldCharType="end"/>
      </w:r>
      <w:r w:rsidR="000435A3" w:rsidRPr="0013016F">
        <w:rPr>
          <w:rFonts w:eastAsia="Calibri" w:cs="Times New Roman"/>
          <w:lang w:val="en-US"/>
        </w:rPr>
        <w:t xml:space="preserve">. Conversely, slower switching from </w:t>
      </w:r>
      <w:r w:rsidR="001B0A2E" w:rsidRPr="0013016F">
        <w:rPr>
          <w:rFonts w:eastAsia="Calibri" w:cs="Times New Roman"/>
          <w:lang w:val="en-US"/>
        </w:rPr>
        <w:t xml:space="preserve">evaluating </w:t>
      </w:r>
      <w:r w:rsidR="000435A3" w:rsidRPr="0013016F">
        <w:rPr>
          <w:rFonts w:eastAsia="Calibri" w:cs="Times New Roman"/>
          <w:lang w:val="en-US"/>
        </w:rPr>
        <w:t xml:space="preserve">negative and faster switching from </w:t>
      </w:r>
      <w:r w:rsidR="001B0A2E" w:rsidRPr="0013016F">
        <w:rPr>
          <w:rFonts w:eastAsia="Calibri" w:cs="Times New Roman"/>
          <w:lang w:val="en-US"/>
        </w:rPr>
        <w:t xml:space="preserve">evaluating </w:t>
      </w:r>
      <w:r w:rsidR="000435A3" w:rsidRPr="0013016F">
        <w:rPr>
          <w:rFonts w:eastAsia="Calibri" w:cs="Times New Roman"/>
          <w:lang w:val="en-US"/>
        </w:rPr>
        <w:t xml:space="preserve">positive </w:t>
      </w:r>
      <w:r w:rsidR="001B0A2E" w:rsidRPr="0013016F">
        <w:rPr>
          <w:rFonts w:eastAsia="Calibri" w:cs="Times New Roman"/>
          <w:lang w:val="en-US"/>
        </w:rPr>
        <w:t xml:space="preserve">stimuli </w:t>
      </w:r>
      <w:r w:rsidR="000435A3" w:rsidRPr="0013016F">
        <w:rPr>
          <w:rFonts w:eastAsia="Calibri" w:cs="Times New Roman"/>
          <w:lang w:val="en-US"/>
        </w:rPr>
        <w:t xml:space="preserve">predicted greater use of rumination as emotion regulation strategy </w:t>
      </w:r>
      <w:r w:rsidR="00AA1F6F" w:rsidRPr="0013016F">
        <w:rPr>
          <w:rFonts w:eastAsia="Calibri" w:cs="Times New Roman"/>
          <w:lang w:val="en-US"/>
        </w:rPr>
        <w:fldChar w:fldCharType="begin" w:fldLock="1"/>
      </w:r>
      <w:r w:rsidR="00EF1EB2" w:rsidRPr="0013016F">
        <w:rPr>
          <w:rFonts w:eastAsia="Calibri" w:cs="Times New Roman"/>
          <w:lang w:val="en-US"/>
        </w:rPr>
        <w:instrText>ADDIN CSL_CITATION { "citationItems" : [ { "id" : "ITEM-1", "itemData" : { "DOI" : "10.1080/02699931.2012.733351", "ISSN" : "1464-0600", "PMID" : "23088513", "abstract" : "The present study examined whether cognitive flexibility in the processing of emotional material (i.e., affective flexibility) predicts the use of rumination in response to negative events in daily life. One hundred fifty-seven undergraduate participants completed daily diaries for six consecutive days. Affective flexibility was measured with a novel task-switching paradigm using emotional pictures. Results show that affective inflexibility when switching away from processing the emotional meaning of negative material was associated with increased use of rumination in daily life. In contrast, affective inflexibility when switching away from processing the emotional meaning of positive material was related to decreased use of rumination. Importantly, affective flexibility predicted use of rumination beyond non-affective measures of executive functioning. This is the first study to show that inflexibility is not uniformly associated with increased rumination but that inflexibility in the processing of positive material can predict lower levels of rumination.", "author" : [ { "dropping-particle" : "", "family" : "Genet", "given" : "Jessica J", "non-dropping-particle" : "", "parse-names" : false, "suffix" : "" }, { "dropping-particle" : "", "family" : "Malooly", "given" : "Ashley M", "non-dropping-particle" : "", "parse-names" : false, "suffix" : "" }, { "dropping-particle" : "", "family" : "Siemer", "given" : "Matthias", "non-dropping-particle" : "", "parse-names" : false, "suffix" : "" } ], "container-title" : "Cognition &amp; emotion", "id" : "ITEM-1", "issue" : "4", "issued" : { "date-parts" : [ [ "2013", "1" ] ] }, "page" : "685-95", "title" : "Flexibility is not always adaptive: affective flexibility and inflexibility predict rumination use in everyday life.", "type" : "article-journal", "volume" : "27" }, "uris" : [ "http://www.mendeley.com/documents/?uuid=58f5918b-6ceb-4bae-9296-e0bd721af0cd" ] } ], "mendeley" : { "formattedCitation" : "(Genet et al., 2013)", "plainTextFormattedCitation" : "(Genet et al., 2013)", "previouslyFormattedCitation" : "(Genet et al., 2013)" }, "properties" : { "noteIndex" : 0 }, "schema" : "https://github.com/citation-style-language/schema/raw/master/csl-citation.json" }</w:instrText>
      </w:r>
      <w:r w:rsidR="00AA1F6F" w:rsidRPr="0013016F">
        <w:rPr>
          <w:rFonts w:eastAsia="Calibri" w:cs="Times New Roman"/>
          <w:lang w:val="en-US"/>
        </w:rPr>
        <w:fldChar w:fldCharType="separate"/>
      </w:r>
      <w:r w:rsidR="00EF1EB2" w:rsidRPr="0013016F">
        <w:rPr>
          <w:rFonts w:eastAsia="Calibri" w:cs="Times New Roman"/>
          <w:noProof/>
          <w:lang w:val="en-US"/>
        </w:rPr>
        <w:t>(Genet et al., 2013)</w:t>
      </w:r>
      <w:r w:rsidR="00AA1F6F" w:rsidRPr="0013016F">
        <w:rPr>
          <w:rFonts w:eastAsia="Calibri" w:cs="Times New Roman"/>
          <w:lang w:val="en-US"/>
        </w:rPr>
        <w:fldChar w:fldCharType="end"/>
      </w:r>
      <w:r w:rsidR="000435A3" w:rsidRPr="0013016F">
        <w:rPr>
          <w:rFonts w:eastAsia="Calibri" w:cs="Times New Roman"/>
          <w:lang w:val="en-US"/>
        </w:rPr>
        <w:t>. Similarly</w:t>
      </w:r>
      <w:r w:rsidR="00A85CD6" w:rsidRPr="0013016F">
        <w:rPr>
          <w:rFonts w:eastAsia="Calibri" w:cs="Times New Roman"/>
          <w:lang w:val="en-US"/>
        </w:rPr>
        <w:t xml:space="preserve">, Ottaviani and colleagues </w:t>
      </w:r>
      <w:r w:rsidR="00AA1F6F" w:rsidRPr="0013016F">
        <w:rPr>
          <w:rFonts w:eastAsia="Calibri" w:cs="Times New Roman"/>
          <w:lang w:val="en-US"/>
        </w:rPr>
        <w:fldChar w:fldCharType="begin" w:fldLock="1"/>
      </w:r>
      <w:r w:rsidR="00A85CD6" w:rsidRPr="0013016F">
        <w:rPr>
          <w:rFonts w:eastAsia="Calibri" w:cs="Times New Roman"/>
          <w:lang w:val="en-US"/>
        </w:rPr>
        <w:instrText>ADDIN CSL_CITATION { "citationItems" : [ { "id" : "ITEM-1", "itemData" : { "DOI" : "10.1016/j.biopsycho.2013.05.003", "ISBN" : "3474454366", "ISSN" : "03010511", "PMID" : "23680439", "abstract" : "Mind wandering (MW) has been defined as the brain's default mode of operation. It is a common experience, however, that this process can become maladaptive, and take the form of repetitive thoughts. We aimed to compare the cardiac and cognitive correlates of perseverative cognition (PC) and MW. Seventy-three healthy participants were engaged in two recall interviews designed to draw their attention to a neutral and a personally relevant negative episode. After each interview, participants performed a 20-min tracking task with thought probe while the electrocardiogram was continuously recorded. Perseverative cognition was associated with higher levels of cognitive inflexibility (slower reaction times, highest intrusiveness, efforts to inhibit), autonomic rigidity (low heart rate variability), and mood worsening compared to being focused on task or MW. Results suggest that MW fails to serve its adaptive function, and turns into a risk factor for health whenever it becomes a rigid and inflexible pattern (PC). \u00a9 2013 Elsevier B.V.", "author" : [ { "dropping-particle" : "", "family" : "Ottaviani", "given" : "Cristina", "non-dropping-particle" : "", "parse-names" : false, "suffix" : "" }, { "dropping-particle" : "", "family" : "Shapiro", "given" : "David", "non-dropping-particle" : "", "parse-names" : false, "suffix" : "" }, { "dropping-particle" : "", "family" : "Couyoumdjian", "given" : "Alessandro", "non-dropping-particle" : "", "parse-names" : false, "suffix" : "" } ], "container-title" : "Biological Psychology", "id" : "ITEM-1", "issue" : "1", "issued" : { "date-parts" : [ [ "2013" ] ] }, "page" : "38-43", "publisher" : "Elsevier B.V.", "title" : "Flexibility as the key for somatic health: From mind wandering to perseverative cognition", "type" : "article-journal", "volume" : "94" }, "uris" : [ "http://www.mendeley.com/documents/?uuid=d19200c9-a92a-468a-bde8-3d151c341d32" ] }, { "id" : "ITEM-2", "itemData" : { "DOI" : "10.1016/j.biopsycho.2015.02.011", "ISSN" : "03010511", "author" : [ { "dropping-particle" : "", "family" : "Ottaviani", "given" : "Cristina", "non-dropping-particle" : "", "parse-names" : false, "suffix" : "" }, { "dropping-particle" : "", "family" : "Medea", "given" : "Barbara", "non-dropping-particle" : "", "parse-names" : false, "suffix" : "" }, { "dropping-particle" : "", "family" : "Lonigro", "given" : "Antonia", "non-dropping-particle" : "", "parse-names" : false, "suffix" : "" }, { "dropping-particle" : "", "family" : "Tarvainen", "given" : "Mika", "non-dropping-particle" : "", "parse-names" : false, "suffix" : "" }, { "dropping-particle" : "", "family" : "Couyoumdjian", "given" : "Alessandro", "non-dropping-particle" : "", "parse-names" : false, "suffix" : "" } ], "container-title" : "Biological Psychology", "id" : "ITEM-2", "issued" : { "date-parts" : [ [ "2015" ] ] }, "page" : "24-30", "publisher" : "Elsevier B.V.", "title" : "Cognitive rigidity is mirrored by autonomic inflexibility in daily life perseverative cognition", "type" : "article-journal", "volume" : "107" }, "uris" : [ "http://www.mendeley.com/documents/?uuid=6cc8dc5c-851b-449e-b896-38258902b5f2" ] } ], "mendeley" : { "formattedCitation" : "(Ottaviani, Medea, Lonigro, Tarvainen, &amp; Couyoumdjian, 2015; Ottaviani et al., 2013)", "plainTextFormattedCitation" : "(Ottaviani, Medea, Lonigro, Tarvainen, &amp; Couyoumdjian, 2015; Ottaviani et al., 2013)", "previouslyFormattedCitation" : "(Ottaviani, Medea, Lonigro, Tarvainen, &amp; Couyoumdjian, 2015; Ottaviani et al., 2013)" }, "properties" : { "noteIndex" : 0 }, "schema" : "https://github.com/citation-style-language/schema/raw/master/csl-citation.json" }</w:instrText>
      </w:r>
      <w:r w:rsidR="00AA1F6F" w:rsidRPr="0013016F">
        <w:rPr>
          <w:rFonts w:eastAsia="Calibri" w:cs="Times New Roman"/>
          <w:lang w:val="en-US"/>
        </w:rPr>
        <w:fldChar w:fldCharType="separate"/>
      </w:r>
      <w:r w:rsidR="00A85CD6" w:rsidRPr="0013016F">
        <w:rPr>
          <w:rFonts w:eastAsia="Calibri" w:cs="Times New Roman"/>
          <w:noProof/>
          <w:lang w:val="en-US"/>
        </w:rPr>
        <w:t>(Ottaviani, Medea, Lonigro, Tarvainen, &amp; Couyoumdjian, 2015; Ottaviani et al., 2013)</w:t>
      </w:r>
      <w:r w:rsidR="00AA1F6F" w:rsidRPr="0013016F">
        <w:rPr>
          <w:rFonts w:eastAsia="Calibri" w:cs="Times New Roman"/>
          <w:lang w:val="en-US"/>
        </w:rPr>
        <w:fldChar w:fldCharType="end"/>
      </w:r>
      <w:r w:rsidR="00A85CD6" w:rsidRPr="0013016F">
        <w:rPr>
          <w:rFonts w:eastAsia="Calibri" w:cs="Times New Roman"/>
          <w:lang w:val="en-US"/>
        </w:rPr>
        <w:t xml:space="preserve"> have </w:t>
      </w:r>
      <w:r w:rsidR="005C6382" w:rsidRPr="0013016F">
        <w:rPr>
          <w:rFonts w:eastAsia="Calibri" w:cs="Times New Roman"/>
          <w:lang w:val="en-US"/>
        </w:rPr>
        <w:t>related</w:t>
      </w:r>
      <w:r w:rsidR="0018363C" w:rsidRPr="0013016F">
        <w:rPr>
          <w:rFonts w:eastAsia="Calibri" w:cs="Times New Roman"/>
          <w:lang w:val="en-US"/>
        </w:rPr>
        <w:t xml:space="preserve"> both</w:t>
      </w:r>
      <w:r w:rsidR="00A85CD6" w:rsidRPr="0013016F">
        <w:rPr>
          <w:rFonts w:eastAsia="Calibri" w:cs="Times New Roman"/>
          <w:lang w:val="en-US"/>
        </w:rPr>
        <w:t xml:space="preserve"> cognitive inflexibility</w:t>
      </w:r>
      <w:r w:rsidR="0018363C" w:rsidRPr="0013016F">
        <w:rPr>
          <w:rFonts w:eastAsia="Calibri" w:cs="Times New Roman"/>
          <w:lang w:val="en-US"/>
        </w:rPr>
        <w:t xml:space="preserve"> and low</w:t>
      </w:r>
      <w:r w:rsidR="00412C74" w:rsidRPr="0013016F">
        <w:rPr>
          <w:rFonts w:eastAsia="Calibri" w:cs="Times New Roman"/>
          <w:lang w:val="en-US"/>
        </w:rPr>
        <w:t>er</w:t>
      </w:r>
      <w:r w:rsidR="0018363C" w:rsidRPr="0013016F">
        <w:rPr>
          <w:rFonts w:eastAsia="Calibri" w:cs="Times New Roman"/>
          <w:lang w:val="en-US"/>
        </w:rPr>
        <w:t xml:space="preserve"> HRV</w:t>
      </w:r>
      <w:r w:rsidR="00A85CD6" w:rsidRPr="0013016F">
        <w:rPr>
          <w:rFonts w:eastAsia="Calibri" w:cs="Times New Roman"/>
          <w:lang w:val="en-US"/>
        </w:rPr>
        <w:t xml:space="preserve"> </w:t>
      </w:r>
      <w:r w:rsidR="005C6382" w:rsidRPr="0013016F">
        <w:rPr>
          <w:rFonts w:eastAsia="Calibri" w:cs="Times New Roman"/>
          <w:lang w:val="en-US"/>
        </w:rPr>
        <w:t>to</w:t>
      </w:r>
      <w:r w:rsidR="00A85CD6" w:rsidRPr="0013016F">
        <w:rPr>
          <w:rFonts w:eastAsia="Calibri" w:cs="Times New Roman"/>
          <w:lang w:val="en-US"/>
        </w:rPr>
        <w:t xml:space="preserve"> worry and rumination.</w:t>
      </w:r>
      <w:r w:rsidR="00984649" w:rsidRPr="0013016F">
        <w:rPr>
          <w:rFonts w:eastAsia="Calibri" w:cs="Times New Roman"/>
          <w:lang w:val="en-US"/>
        </w:rPr>
        <w:t xml:space="preserve"> </w:t>
      </w:r>
    </w:p>
    <w:p w:rsidR="00354EA1" w:rsidRPr="0013016F" w:rsidRDefault="00B20605" w:rsidP="00354EA1">
      <w:pPr>
        <w:spacing w:line="480" w:lineRule="auto"/>
        <w:ind w:firstLine="700"/>
        <w:rPr>
          <w:rFonts w:eastAsia="Calibri" w:cs="Times New Roman"/>
          <w:lang w:val="en-US"/>
        </w:rPr>
      </w:pPr>
      <w:r w:rsidRPr="0013016F">
        <w:rPr>
          <w:rFonts w:eastAsia="Calibri" w:cs="Times New Roman"/>
          <w:lang w:val="en-US"/>
        </w:rPr>
        <w:t>In sum</w:t>
      </w:r>
      <w:r w:rsidR="00354EA1" w:rsidRPr="0013016F">
        <w:rPr>
          <w:rFonts w:eastAsia="Calibri" w:cs="Times New Roman"/>
          <w:lang w:val="en-US"/>
        </w:rPr>
        <w:t xml:space="preserve">, cognitive flexibility, HRV, and resilience </w:t>
      </w:r>
      <w:r w:rsidR="00B969F3" w:rsidRPr="0013016F">
        <w:rPr>
          <w:rFonts w:eastAsia="Calibri" w:cs="Times New Roman"/>
          <w:lang w:val="en-US"/>
        </w:rPr>
        <w:t>are</w:t>
      </w:r>
      <w:r w:rsidR="00354EA1" w:rsidRPr="0013016F">
        <w:rPr>
          <w:rFonts w:eastAsia="Calibri" w:cs="Times New Roman"/>
          <w:lang w:val="en-US"/>
        </w:rPr>
        <w:t xml:space="preserve"> interrelated </w:t>
      </w:r>
      <w:r w:rsidR="00B969F3" w:rsidRPr="0013016F">
        <w:rPr>
          <w:rFonts w:eastAsia="Calibri" w:cs="Times New Roman"/>
          <w:lang w:val="en-US"/>
        </w:rPr>
        <w:t xml:space="preserve">constructs </w:t>
      </w:r>
      <w:r w:rsidR="00354EA1" w:rsidRPr="0013016F">
        <w:rPr>
          <w:rFonts w:eastAsia="Calibri" w:cs="Times New Roman"/>
          <w:lang w:val="en-US"/>
        </w:rPr>
        <w:t xml:space="preserve">that </w:t>
      </w:r>
      <w:r w:rsidRPr="0013016F">
        <w:rPr>
          <w:rFonts w:eastAsia="Calibri" w:cs="Times New Roman"/>
          <w:lang w:val="en-US"/>
        </w:rPr>
        <w:t xml:space="preserve">likely </w:t>
      </w:r>
      <w:r w:rsidR="00354EA1" w:rsidRPr="0013016F">
        <w:rPr>
          <w:rFonts w:eastAsia="Calibri" w:cs="Times New Roman"/>
          <w:lang w:val="en-US"/>
        </w:rPr>
        <w:t xml:space="preserve">enable a flexible, </w:t>
      </w:r>
      <w:r w:rsidR="009465D1" w:rsidRPr="0013016F">
        <w:rPr>
          <w:rFonts w:eastAsia="Calibri" w:cs="Times New Roman"/>
          <w:lang w:val="en-US"/>
        </w:rPr>
        <w:t xml:space="preserve">nuanced </w:t>
      </w:r>
      <w:r w:rsidR="00354EA1" w:rsidRPr="0013016F">
        <w:rPr>
          <w:rFonts w:eastAsia="Calibri" w:cs="Times New Roman"/>
          <w:lang w:val="en-US"/>
        </w:rPr>
        <w:t>response to changing environmental demands</w:t>
      </w:r>
      <w:r w:rsidR="00B969F3" w:rsidRPr="0013016F">
        <w:rPr>
          <w:rFonts w:eastAsia="Calibri" w:cs="Times New Roman"/>
          <w:lang w:val="en-US"/>
        </w:rPr>
        <w:t xml:space="preserve"> in</w:t>
      </w:r>
      <w:r w:rsidR="00354EA1" w:rsidRPr="0013016F">
        <w:rPr>
          <w:rFonts w:eastAsia="Calibri" w:cs="Times New Roman"/>
          <w:lang w:val="en-US"/>
        </w:rPr>
        <w:t xml:space="preserve"> threatening situations. </w:t>
      </w:r>
      <w:r w:rsidR="002B6DDA" w:rsidRPr="0013016F">
        <w:rPr>
          <w:rFonts w:eastAsia="Calibri" w:cs="Times New Roman"/>
          <w:lang w:val="en-US"/>
        </w:rPr>
        <w:t xml:space="preserve">Research so far has shown that inflexibility is maladaptive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"author" : [ { "dropping-particle" : "", "family" : "Charney", "given" : "Dennis S", "non-dropping-particle" : "", "parse-names" : false, "suffix" : "" } ], "container-title" : "Dialogues in Clinical Neuroscience", "id" : "ITEM-1", "issue" : "3", "issued" : { "date-parts" : [ [ "2003" ] ] }, "page" : "207-221", "title" : "The psychobiology of resilience and vulnerability to anxiety disorders: implications for prevention and treatment", "type" : "article-journal", "volume" : "5" }, "prefix" : "see ", "uris" : [ "http://www.mendeley.com/documents/?uuid=3737d3fb-43fe-431e-9bce-e59c5a014ac8" ] }, { "id" : "ITEM-2", "itemData" : { "author" : [ { "dropping-particle" : "", "family" : "Bitsika", "given" : "Vicki", "non-dropping-particle" : "", "parse-names" : false, "suffix" : "" }, { "dropping-particle" : "", "family" : "Sharpley", "given" : "Christopher F", "non-dropping-particle" : "", "parse-names" : false, "suffix" : "" }, { "dropping-particle" : "", "family" : "Peters", "given" : "Kylie", "non-dropping-particle" : "", "parse-names" : false, "suffix" : "" } ], "container-title" : "German Journal of Psychiatry", "id" : "ITEM-2", "issued" : { "date-parts" : [ [ "2010" ] ] }, "page" : "9-16", "title" : "How is resilience associated with anxiety and depression? Analysis of factor score interactions within a homogeneous sample", "type" : "article-journal", "volume" : "13" }, "uris" : [ "http://www.mendeley.com/documents/?uuid=267c2161-e2e8-4bbd-b1f3-9be1bebc21a2" ] }, { "id" : "ITEM-3", "itemData" : { "DOI" : "10.1016/j.biopsycho.2005.08.009", "ISSN" : "0301-0511", "PMID" : "17069959", "abstract" : "Research on heart rate variability (HRV), cardiac vagal tone, and their relationship to anxiety is reviewed in the context of the autonomic flexibility and neurovisceral integration models of adaptive functioning. These perspectives address the qualities of response flexibility and inhibition across multiple levels, incorporating central and autonomic nervous system mechanisms of environmental engagement, as well as principles derived from non-linear dynamics. These models predict reduced HRV and vagal tone in anxiety, and the literature has generally supported this prediction, with exceptions as are noted. State, trait, and clinical expressions of anxiety are considered, along with the clinical, methodological, and theoretical implications of this research. A portrayal of anxiety as a restricted response range across biological and behavioral realms of functioning is drawn from the literature on anxiety and HRV.", "author" : [ { "dropping-particle" : "", "family" : "Friedman", "given" : "Bruce H", "non-dropping-particle" : "", "parse-names" : false, "suffix" : "" } ], "container-title" : "Biological psychology", "id" : "ITEM-3", "issue" : "2", "issued" : { "date-parts" : [ [ "2007", "2" ] ] }, "page" : "185-99", "title" : "An autonomic flexibility-neurovisceral integration model of anxiety and cardiac vagal tone.", "type" : "article-journal", "volume" : "74" }, "uris" : [ "http://www.mendeley.com/documents/?uuid=4cc5461c-c85e-4d38-96d4-9bab04ebc48d" ] }, { "id" : "ITEM-4", "itemData" : { "ISSN" : "1873-7811", "PMID" : "20005616", "abstract" : "A wealth of research demonstrates attentional biases toward threat in the anxiety disorders. Several models have been advanced to explain these biases in anxiety, yet the mechanisms comprising and mediating the biases remain unclear. In the present article, we review evidence regarding the mechanisms of attentional biases through careful examination of the components of attentional bias, the mechanisms underlying these components, and the stage of information processing during which the biases occur. Facilitated attention, difficulty in disengagement, and attentional avoidance comprise the components of attentional bias. A threat detection mechanism likely underlies facilitated attention, a process that may be neurally centered around the amygdala. Attentional control ability likely underlies difficulty in disengagement, emotion regulation goals likely underlie attentional avoidance, and both of these processes may be neurally centered around prefrontal cortex functioning. The threat detection mechanism may be a mostly automatic process, attentional avoidance may be a mostly strategic process, and difficulty in disengagement may be a mixture of automatic and strategic processing. Recommendations for future research are discussed.", "author" : [ { "dropping-particle" : "", "family" : "Cisler", "given" : "Josh M", "non-dropping-particle" : "", "parse-names" : false, "suffix" : "" }, { "dropping-particle" : "", "family" : "Koster", "given" : "Ernst H W", "non-dropping-particle" : "", "parse-names" : false, "suffix" : "" } ], "container-title" : "Clinical psychology review", "id" : "ITEM-4", "issue" : "2", "issued" : { "date-parts" : [ [ "2010", "3" ] ] }, "page" : "203-16", "publisher" : "Elsevier Ltd", "title" : "Mechanisms of attentional biases towards threat in anxiety disorders: An integrative review.", "type" : "article-journal", "volume" : "30" }, "uris" : [ "http://www.mendeley.com/documents/?uuid=8cb75066-1191-4b97-9efb-09c9f0d99e83" ] } ], "mendeley" : { "formattedCitation" : "(Bitsika, Sharpley, &amp; Peters, 2010; see Charney, 2003; Cisler &amp; Koster, 2010; Friedman, 2007)", "manualFormatting" : "(see Bitsika, Sharpley, &amp; Peters, 2005; Charney, 2003; Cisler &amp; Koster, 2010; Friedman, 2007)", "plainTextFormattedCitation" : "(Bitsika, Sharpley, &amp; Peters, 2010; see Charney, 2003; Cisler &amp; Koster, 2010; Friedman, 2007)", "previouslyFormattedCitation" : "(Bitsika, Sharpley, &amp; Peters, 2010; see Charney, 2003; Cisler &amp; Koster, 2010; Friedman, 2007)" }, "properties" : { "noteIndex" : 0 }, "schema" : "https://github.com/citation-style-language/schema/raw/master/csl-citation.json" }</w:instrText>
      </w:r>
      <w:r w:rsidR="00AA1F6F" w:rsidRPr="0013016F">
        <w:rPr>
          <w:rFonts w:eastAsia="Calibri" w:cs="Times New Roman"/>
          <w:lang w:val="en-US"/>
        </w:rPr>
        <w:fldChar w:fldCharType="separate"/>
      </w:r>
      <w:r w:rsidR="00FC0248" w:rsidRPr="0013016F">
        <w:rPr>
          <w:rFonts w:eastAsia="Calibri" w:cs="Times New Roman"/>
          <w:noProof/>
          <w:lang w:val="en-US"/>
        </w:rPr>
        <w:t>(see Bitsika, Sharpley, &amp; Peters, 2005; Charney, 2003; Cisler &amp; Koster, 2010; Friedman, 2007)</w:t>
      </w:r>
      <w:r w:rsidR="00AA1F6F" w:rsidRPr="0013016F">
        <w:rPr>
          <w:rFonts w:eastAsia="Calibri" w:cs="Times New Roman"/>
          <w:lang w:val="en-US"/>
        </w:rPr>
        <w:fldChar w:fldCharType="end"/>
      </w:r>
      <w:r w:rsidR="002B6DDA" w:rsidRPr="0013016F">
        <w:rPr>
          <w:rFonts w:eastAsia="Calibri" w:cs="Times New Roman"/>
          <w:lang w:val="en-US"/>
        </w:rPr>
        <w:t>, but</w:t>
      </w:r>
      <w:r w:rsidRPr="0013016F">
        <w:rPr>
          <w:rFonts w:eastAsia="Calibri" w:cs="Times New Roman"/>
          <w:lang w:val="en-US"/>
        </w:rPr>
        <w:t xml:space="preserve"> that research has usually focused on </w:t>
      </w:r>
      <w:r w:rsidR="002B6DDA" w:rsidRPr="0013016F">
        <w:rPr>
          <w:rFonts w:eastAsia="Calibri" w:cs="Times New Roman"/>
          <w:lang w:val="en-US"/>
        </w:rPr>
        <w:t>re</w:t>
      </w:r>
      <w:r w:rsidR="00FC0248" w:rsidRPr="0013016F">
        <w:rPr>
          <w:rFonts w:eastAsia="Calibri" w:cs="Times New Roman"/>
          <w:lang w:val="en-US"/>
        </w:rPr>
        <w:t>activity</w:t>
      </w:r>
      <w:r w:rsidR="002B6DDA" w:rsidRPr="0013016F">
        <w:rPr>
          <w:rFonts w:eastAsia="Calibri" w:cs="Times New Roman"/>
          <w:lang w:val="en-US"/>
        </w:rPr>
        <w:t xml:space="preserve"> to</w:t>
      </w:r>
      <w:r w:rsidRPr="0013016F">
        <w:rPr>
          <w:rFonts w:eastAsia="Calibri" w:cs="Times New Roman"/>
          <w:lang w:val="en-US"/>
        </w:rPr>
        <w:t>,</w:t>
      </w:r>
      <w:r w:rsidR="002B6DDA" w:rsidRPr="0013016F">
        <w:rPr>
          <w:rFonts w:eastAsia="Calibri" w:cs="Times New Roman"/>
          <w:lang w:val="en-US"/>
        </w:rPr>
        <w:t xml:space="preserve"> and recovery from</w:t>
      </w:r>
      <w:r w:rsidRPr="0013016F">
        <w:rPr>
          <w:rFonts w:eastAsia="Calibri" w:cs="Times New Roman"/>
          <w:lang w:val="en-US"/>
        </w:rPr>
        <w:t>,</w:t>
      </w:r>
      <w:r w:rsidR="002B6DDA" w:rsidRPr="0013016F">
        <w:rPr>
          <w:rFonts w:eastAsia="Calibri" w:cs="Times New Roman"/>
          <w:lang w:val="en-US"/>
        </w:rPr>
        <w:t xml:space="preserve"> short static threats</w:t>
      </w:r>
      <w:r w:rsidRPr="0013016F">
        <w:rPr>
          <w:rFonts w:eastAsia="Calibri" w:cs="Times New Roman"/>
          <w:lang w:val="en-US"/>
        </w:rPr>
        <w:t xml:space="preserve"> (</w:t>
      </w:r>
      <w:r w:rsidR="002B6DDA" w:rsidRPr="0013016F">
        <w:rPr>
          <w:rFonts w:eastAsia="Calibri" w:cs="Times New Roman"/>
          <w:lang w:val="en-US"/>
        </w:rPr>
        <w:t>such as startles or pictures</w:t>
      </w:r>
      <w:r w:rsidRPr="0013016F">
        <w:rPr>
          <w:rFonts w:eastAsia="Calibri" w:cs="Times New Roman"/>
          <w:lang w:val="en-US"/>
        </w:rPr>
        <w:t>)</w:t>
      </w:r>
      <w:r w:rsidR="002B6DDA" w:rsidRPr="0013016F">
        <w:rPr>
          <w:rFonts w:eastAsia="Calibri" w:cs="Times New Roman"/>
          <w:lang w:val="en-US"/>
        </w:rPr>
        <w:t>, or</w:t>
      </w:r>
      <w:r w:rsidRPr="0013016F">
        <w:rPr>
          <w:rFonts w:eastAsia="Calibri" w:cs="Times New Roman"/>
          <w:lang w:val="en-US"/>
        </w:rPr>
        <w:t xml:space="preserve"> on</w:t>
      </w:r>
      <w:r w:rsidR="002B6DDA" w:rsidRPr="0013016F">
        <w:rPr>
          <w:rFonts w:eastAsia="Calibri" w:cs="Times New Roman"/>
          <w:lang w:val="en-US"/>
        </w:rPr>
        <w:t xml:space="preserve"> </w:t>
      </w:r>
      <w:r w:rsidRPr="0013016F">
        <w:rPr>
          <w:rFonts w:eastAsia="Calibri" w:cs="Times New Roman"/>
          <w:lang w:val="en-US"/>
        </w:rPr>
        <w:t xml:space="preserve">retrospective reports of </w:t>
      </w:r>
      <w:r w:rsidR="002B6DDA" w:rsidRPr="0013016F">
        <w:rPr>
          <w:rFonts w:eastAsia="Calibri" w:cs="Times New Roman"/>
          <w:lang w:val="en-US"/>
        </w:rPr>
        <w:t>past negative life events. Hence</w:t>
      </w:r>
      <w:r w:rsidR="00B969F3" w:rsidRPr="0013016F">
        <w:rPr>
          <w:rFonts w:eastAsia="Calibri" w:cs="Times New Roman"/>
          <w:lang w:val="en-US"/>
        </w:rPr>
        <w:t xml:space="preserve">, we know little about the </w:t>
      </w:r>
      <w:r w:rsidRPr="0013016F">
        <w:rPr>
          <w:rFonts w:eastAsia="Calibri" w:cs="Times New Roman"/>
          <w:lang w:val="en-US"/>
        </w:rPr>
        <w:lastRenderedPageBreak/>
        <w:t>influence of</w:t>
      </w:r>
      <w:r w:rsidR="00B969F3" w:rsidRPr="0013016F">
        <w:rPr>
          <w:rFonts w:eastAsia="Calibri" w:cs="Times New Roman"/>
          <w:lang w:val="en-US"/>
        </w:rPr>
        <w:t xml:space="preserve"> these forms of flexibility </w:t>
      </w:r>
      <w:r w:rsidRPr="0013016F">
        <w:rPr>
          <w:rFonts w:eastAsia="Calibri" w:cs="Times New Roman"/>
          <w:lang w:val="en-US"/>
        </w:rPr>
        <w:t xml:space="preserve">in a moment-to-moment basis </w:t>
      </w:r>
      <w:r w:rsidR="00B969F3" w:rsidRPr="0013016F">
        <w:rPr>
          <w:rFonts w:eastAsia="Calibri" w:cs="Times New Roman"/>
          <w:lang w:val="en-US"/>
        </w:rPr>
        <w:t>in the ongoing and unpredictable presence of threats. Accordingly, t</w:t>
      </w:r>
      <w:r w:rsidR="00354EA1" w:rsidRPr="0013016F">
        <w:rPr>
          <w:rFonts w:eastAsia="Calibri" w:cs="Times New Roman"/>
          <w:lang w:val="en-US"/>
        </w:rPr>
        <w:t>he aim of the current study was to investigate whether individual differences in cognitive flexibility, HRV, and resilience predict the fine-grained dynamics of the threat response during a prolonged</w:t>
      </w:r>
      <w:r w:rsidR="00D815E8" w:rsidRPr="0013016F">
        <w:rPr>
          <w:rFonts w:eastAsia="Calibri" w:cs="Times New Roman"/>
          <w:lang w:val="en-US"/>
        </w:rPr>
        <w:t>,</w:t>
      </w:r>
      <w:r w:rsidR="00354EA1" w:rsidRPr="0013016F">
        <w:rPr>
          <w:rFonts w:eastAsia="Calibri" w:cs="Times New Roman"/>
          <w:lang w:val="en-US"/>
        </w:rPr>
        <w:t xml:space="preserve"> ever-changing</w:t>
      </w:r>
      <w:r w:rsidR="00D815E8" w:rsidRPr="0013016F">
        <w:rPr>
          <w:rFonts w:eastAsia="Calibri" w:cs="Times New Roman"/>
          <w:lang w:val="en-US"/>
        </w:rPr>
        <w:t>, and unpredictable</w:t>
      </w:r>
      <w:r w:rsidR="00354EA1" w:rsidRPr="0013016F">
        <w:rPr>
          <w:rFonts w:eastAsia="Calibri" w:cs="Times New Roman"/>
          <w:lang w:val="en-US"/>
        </w:rPr>
        <w:t xml:space="preserve"> threatening</w:t>
      </w:r>
      <w:r w:rsidR="00D815E8" w:rsidRPr="0013016F">
        <w:rPr>
          <w:rFonts w:eastAsia="Calibri" w:cs="Times New Roman"/>
          <w:lang w:val="en-US"/>
        </w:rPr>
        <w:t xml:space="preserve"> </w:t>
      </w:r>
      <w:r w:rsidR="00354EA1" w:rsidRPr="0013016F">
        <w:rPr>
          <w:rFonts w:eastAsia="Calibri" w:cs="Times New Roman"/>
          <w:lang w:val="en-US"/>
        </w:rPr>
        <w:t xml:space="preserve">experience. </w:t>
      </w:r>
    </w:p>
    <w:p w:rsidR="00354EA1" w:rsidRPr="0013016F" w:rsidRDefault="00354EA1" w:rsidP="00354EA1">
      <w:pPr>
        <w:spacing w:line="480" w:lineRule="auto"/>
        <w:ind w:firstLine="700"/>
        <w:rPr>
          <w:rFonts w:eastAsia="Calibri" w:cs="Times New Roman"/>
          <w:lang w:val="en-US"/>
        </w:rPr>
      </w:pPr>
      <w:r w:rsidRPr="0013016F">
        <w:rPr>
          <w:rFonts w:eastAsia="Calibri" w:cs="Times New Roman"/>
          <w:lang w:val="en-US"/>
        </w:rPr>
        <w:t xml:space="preserve">We designed such an evolving threatening experience using an immersive virtual environment (IVE) in which </w:t>
      </w:r>
      <w:r w:rsidR="00D815E8" w:rsidRPr="0013016F">
        <w:rPr>
          <w:rFonts w:eastAsia="Calibri" w:cs="Times New Roman"/>
          <w:lang w:val="en-US"/>
        </w:rPr>
        <w:t xml:space="preserve">participants are exposed to </w:t>
      </w:r>
      <w:r w:rsidRPr="0013016F">
        <w:rPr>
          <w:rFonts w:eastAsia="Calibri" w:cs="Times New Roman"/>
          <w:lang w:val="en-US"/>
        </w:rPr>
        <w:t>intermittent and prolonged threats</w:t>
      </w:r>
      <w:r w:rsidR="00D815E8" w:rsidRPr="0013016F">
        <w:rPr>
          <w:rFonts w:eastAsia="Calibri" w:cs="Times New Roman"/>
          <w:lang w:val="en-US"/>
        </w:rPr>
        <w:t xml:space="preserve"> for five minutes</w:t>
      </w:r>
      <w:r w:rsidR="00B20605" w:rsidRPr="0013016F">
        <w:rPr>
          <w:rFonts w:eastAsia="Calibri" w:cs="Times New Roman"/>
          <w:lang w:val="en-US"/>
        </w:rPr>
        <w:t xml:space="preserve"> (“Room 101”)</w:t>
      </w:r>
      <w:r w:rsidRPr="0013016F">
        <w:rPr>
          <w:rFonts w:eastAsia="Calibri" w:cs="Times New Roman"/>
          <w:lang w:val="en-US"/>
        </w:rPr>
        <w:t xml:space="preserve">. </w:t>
      </w:r>
      <w:r w:rsidR="00AA1F6F" w:rsidRPr="0013016F">
        <w:rPr>
          <w:rFonts w:eastAsia="Calibri" w:cs="Times New Roman"/>
          <w:lang w:val="en-US"/>
        </w:rPr>
        <w:t xml:space="preserve">As a proxy for dynamics in the threat response, we measured both physiological and subjectively rated arousal continuously. Increased physiological arousal is a key feature of the threat response, signaling mobilization of the body for defensive behaviors (such as fight or flight, </w:t>
      </w:r>
      <w:r w:rsidR="00AA1F6F" w:rsidRPr="0013016F">
        <w:rPr>
          <w:rFonts w:eastAsia="Calibri" w:cs="Times New Roman"/>
          <w:lang w:val="en-US"/>
        </w:rPr>
        <w:fldChar w:fldCharType="begin" w:fldLock="1"/>
      </w:r>
      <w:r w:rsidR="00AA1F6F" w:rsidRPr="0013016F">
        <w:rPr>
          <w:rFonts w:eastAsia="Calibri" w:cs="Times New Roman"/>
          <w:lang w:val="en-US"/>
        </w:rPr>
        <w:instrText>ADDIN CSL_CITATION { "citationItems" : [ { "id" : "ITEM-1", "itemData" : { "author" : [ { "dropping-particle" : "", "family" : "Cannon", "given" : "Walter B", "non-dropping-particle" : "", "parse-names" : false, "suffix" : "" } ], "id" : "ITEM-1", "issued" : { "date-parts" : [ [ "1929" ] ] }, "publisher" : "Appleton-Century-Crofts", "publisher-place" : "New York", "title" : "Bodily Changes in Pain, Hunger, Fear, and Rage", "type" : "book" }, "uris" : [ "http://www.mendeley.com/documents/?uuid=eed6fff9-ad3a-473e-9f3a-9fb8cccd2f17" ] } ], "mendeley" : { "formattedCitation" : "(Cannon, 1929)", "manualFormatting" : "Cannon, 1929)", "plainTextFormattedCitation" : "(Cannon, 1929)", "previouslyFormattedCitation" : "(Cannon, 1929)" }, "properties" : { "noteIndex" : 0 }, "schema" : "https://github.com/citation-style-language/schema/raw/master/csl-citation.json" }</w:instrText>
      </w:r>
      <w:r w:rsidR="00AA1F6F" w:rsidRPr="0013016F">
        <w:rPr>
          <w:rFonts w:eastAsia="Calibri" w:cs="Times New Roman"/>
          <w:lang w:val="en-US"/>
        </w:rPr>
        <w:fldChar w:fldCharType="separate"/>
      </w:r>
      <w:r w:rsidR="00AA1F6F" w:rsidRPr="0013016F">
        <w:rPr>
          <w:rFonts w:eastAsia="Calibri" w:cs="Times New Roman"/>
          <w:noProof/>
          <w:lang w:val="en-US"/>
        </w:rPr>
        <w:t>Cannon, 1929)</w:t>
      </w:r>
      <w:r w:rsidR="00AA1F6F" w:rsidRPr="0013016F">
        <w:rPr>
          <w:rFonts w:eastAsia="Calibri" w:cs="Times New Roman"/>
          <w:lang w:val="en-US"/>
        </w:rPr>
        <w:fldChar w:fldCharType="end"/>
      </w:r>
      <w:r w:rsidR="00AA1F6F" w:rsidRPr="0013016F">
        <w:rPr>
          <w:rFonts w:eastAsia="Calibri" w:cs="Times New Roman"/>
          <w:lang w:val="en-US"/>
        </w:rPr>
        <w:t xml:space="preserve"> and can be measured using skin conductance (SCL, </w:t>
      </w:r>
      <w:r w:rsidR="00AA1F6F" w:rsidRPr="0013016F">
        <w:rPr>
          <w:rFonts w:eastAsia="Calibri" w:cs="Times New Roman"/>
          <w:lang w:val="en-US"/>
        </w:rPr>
        <w:fldChar w:fldCharType="begin" w:fldLock="1"/>
      </w:r>
      <w:r w:rsidR="00AA1F6F" w:rsidRPr="0013016F">
        <w:rPr>
          <w:rFonts w:eastAsia="Calibri" w:cs="Times New Roman"/>
          <w:lang w:val="en-US"/>
        </w:rPr>
        <w:instrText>ADDIN CSL_CITATION { "citationItems" : [ { "id" : "ITEM-1", "itemData" : { "DOI" : "10.1037//1528-3542.1.3.276", "ISSN" : "1528-3542", "author" : [ { "dropping-particle" : "", "family" : "Bradley", "given" : "Margaret M.", "non-dropping-particle" : "", "parse-names" : false, "suffix" : "" }, { "dropping-particle" : "", "family" : "Codispoti", "given" : "Maurizio", "non-dropping-particle" : "", "parse-names" : false, "suffix" : "" }, { "dropping-particle" : "", "family" : "Cuthbert", "given" : "Bruce N.", "non-dropping-particle" : "", "parse-names" : false, "suffix" : "" }, { "dropping-particle" : "", "family" : "Lang", "given" : "Peter J.", "non-dropping-particle" : "", "parse-names" : false, "suffix" : "" } ], "container-title" : "Emotion", "id" : "ITEM-1", "issue" : "3", "issued" : { "date-parts" : [ [ "2001" ] ] }, "page" : "276-298", "title" : "Emotion and motivation I: Defensive and appetitive reactions in picture processing.", "type" : "article-journal", "volume" : "1" }, "uris" : [ "http://www.mendeley.com/documents/?uuid=26858d57-5292-44f5-838c-f61abc6a0dae" ] } ], "mendeley" : { "formattedCitation" : "(Bradley, Codispoti, Cuthbert, &amp; Lang, 2001)", "manualFormatting" : "Bradley, Codispoti, Cuthbert, &amp; Lang, 2001)", "plainTextFormattedCitation" : "(Bradley, Codispoti, Cuthbert, &amp; Lang, 2001)", "previouslyFormattedCitation" : "(Bradley, Codispoti, Cuthbert, &amp; Lang, 2001)" }, "properties" : { "noteIndex" : 0 }, "schema" : "https://github.com/citation-style-language/schema/raw/master/csl-citation.json" }</w:instrText>
      </w:r>
      <w:r w:rsidR="00AA1F6F" w:rsidRPr="0013016F">
        <w:rPr>
          <w:rFonts w:eastAsia="Calibri" w:cs="Times New Roman"/>
          <w:lang w:val="en-US"/>
        </w:rPr>
        <w:fldChar w:fldCharType="separate"/>
      </w:r>
      <w:r w:rsidR="00AA1F6F" w:rsidRPr="0013016F">
        <w:rPr>
          <w:rFonts w:eastAsia="Calibri" w:cs="Times New Roman"/>
          <w:noProof/>
          <w:lang w:val="en-US"/>
        </w:rPr>
        <w:t>Bradley, Codispoti, Cuthbert, &amp; Lang, 2001)</w:t>
      </w:r>
      <w:r w:rsidR="00AA1F6F" w:rsidRPr="0013016F">
        <w:rPr>
          <w:rFonts w:eastAsia="Calibri" w:cs="Times New Roman"/>
          <w:lang w:val="en-US"/>
        </w:rPr>
        <w:fldChar w:fldCharType="end"/>
      </w:r>
      <w:r w:rsidR="00AA1F6F" w:rsidRPr="0013016F">
        <w:rPr>
          <w:rFonts w:eastAsia="Calibri" w:cs="Times New Roman"/>
          <w:lang w:val="en-US"/>
        </w:rPr>
        <w:t>.</w:t>
      </w:r>
      <w:r w:rsidRPr="0013016F">
        <w:rPr>
          <w:rFonts w:eastAsia="Calibri" w:cs="Times New Roman"/>
          <w:lang w:val="en-US"/>
        </w:rPr>
        <w:t xml:space="preserve"> Subjective ratings of arousal are generally</w:t>
      </w:r>
      <w:r w:rsidR="009465D1" w:rsidRPr="0013016F">
        <w:rPr>
          <w:rFonts w:eastAsia="Calibri" w:cs="Times New Roman"/>
          <w:lang w:val="en-US"/>
        </w:rPr>
        <w:t xml:space="preserv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"10.1037/1528-3542.5.2.175", "ISSN" : "1528-3542", "PMID" : "15982083", "abstract" : "Emotion theories commonly postulate that emotions impose coherence across multiple response systems. However, empirical support for this coherence postulate is surprisingly limited. In the present study, the authors (a) examined the within-individual associations among experiential, facial behavioral, and peripheral physiological responses during emotional responding and (b) assessed whether emotion intensity moderates these associations. Experiential, behavioral, and physiological responses were measured second-by-second during a film that induced amusement and sadness. Results indicate that experience and behavior were highly associated but that physiological responses were only modestly associated with experience and behavior. Intensity of amusement experience was associated with greater coherence between behavior and physiological responding; intensity of sadness experience was not. These findings provide new evidence about response system coherence in emotions.", "author" : [ { "dropping-particle" : "", "family" : "Mauss", "given" : "Iris B", "non-dropping-particle" : "", "parse-names" : false, "suffix" : "" }, { "dropping-particle" : "", "family" : "Levenson", "given" : "Robert W", "non-dropping-particle" : "", "parse-names" : false, "suffix" : "" }, { "dropping-particle" : "", "family" : "McCarter", "given" : "Loren", "non-dropping-particle" : "", "parse-names" : false, "suffix" : "" }, { "dropping-particle" : "", "family" : "Wilhelm", "given" : "Frank H", "non-dropping-particle" : "", "parse-names" : false, "suffix" : "" }, { "dropping-particle" : "", "family" : "Gross", "given" : "James J", "non-dropping-particle" : "", "parse-names" : false, "suffix" : "" } ], "container-title" : "Emotion", "id" : "ITEM-1", "issue" : "2", "issued" : { "date-parts" : [ [ "2005", "7" ] ] }, "page" : "175-90", "title" : "The tie that binds? Coherence among emotion experience, behavior, and physiology.", "type" : "article-journal", "volume" : "5" }, "uris" : [ "http://www.mendeley.com/documents/?uuid=030eeac5-493a-46a4-9759-ea4d0cc87a6c" ] } ], "mendeley" : { "formattedCitation" : "(Mauss, Levenson, McCarter, Wilhelm, &amp; Gross, 2005)", "plainTextFormattedCitation" : "(Mauss, Levenson, McCarter, Wilhelm, &amp; Gross, 2005)", "previouslyFormattedCitation" : "(Mauss, Levenson, McCarter, Wilhelm, &amp; Gross, 2005)" }, "properties" : { "noteIndex" : 0 }, "schema" : "https://github.com/citation-style-language/schema/raw/master/csl-citation.json" }</w:instrText>
      </w:r>
      <w:r w:rsidR="00AA1F6F" w:rsidRPr="0013016F">
        <w:rPr>
          <w:rFonts w:eastAsia="Calibri" w:cs="Times New Roman"/>
          <w:lang w:val="en-US"/>
        </w:rPr>
        <w:fldChar w:fldCharType="separate"/>
      </w:r>
      <w:r w:rsidR="009465D1" w:rsidRPr="0013016F">
        <w:rPr>
          <w:rFonts w:eastAsia="Calibri" w:cs="Times New Roman"/>
          <w:noProof/>
          <w:lang w:val="en-US"/>
        </w:rPr>
        <w:t>(Mauss, Levenson, McCarter, Wilhelm, &amp; Gross, 2005)</w:t>
      </w:r>
      <w:r w:rsidR="00AA1F6F" w:rsidRPr="0013016F">
        <w:rPr>
          <w:rFonts w:eastAsia="Calibri" w:cs="Times New Roman"/>
          <w:lang w:val="en-US"/>
        </w:rPr>
        <w:fldChar w:fldCharType="end"/>
      </w:r>
      <w:r w:rsidR="009465D1" w:rsidRPr="0013016F">
        <w:rPr>
          <w:rFonts w:eastAsia="Calibri" w:cs="Times New Roman"/>
          <w:lang w:val="en-US"/>
        </w:rPr>
        <w:t xml:space="preserve"> </w:t>
      </w:r>
      <w:r w:rsidR="00984649" w:rsidRPr="0013016F">
        <w:rPr>
          <w:rFonts w:eastAsia="Calibri" w:cs="Times New Roman"/>
          <w:lang w:val="en-US"/>
        </w:rPr>
        <w:t xml:space="preserve">– </w:t>
      </w:r>
      <w:r w:rsidR="009465D1" w:rsidRPr="0013016F">
        <w:rPr>
          <w:rFonts w:eastAsia="Calibri" w:cs="Times New Roman"/>
          <w:lang w:val="en-US"/>
        </w:rPr>
        <w:t xml:space="preserve">as well as in the task presented here </w:t>
      </w:r>
      <w:r w:rsidR="00AA1F6F" w:rsidRPr="0013016F">
        <w:rPr>
          <w:rFonts w:eastAsia="Calibri" w:cs="Times New Roman"/>
          <w:lang w:val="en-US"/>
        </w:rPr>
        <w:fldChar w:fldCharType="begin" w:fldLock="1"/>
      </w:r>
      <w:r w:rsidR="009465D1" w:rsidRPr="0013016F">
        <w:rPr>
          <w:rFonts w:eastAsia="Calibri" w:cs="Times New Roman"/>
          <w:lang w:val="en-US"/>
        </w:rPr>
        <w:instrText>ADDIN CSL_CITATION { "citationItems" : [ { "id" : "ITEM-1", "itemData" : { "author" : [ { "dropping-particle" : "", "family" : "McCall", "given" : "Cade", "non-dropping-particle" : "", "parse-names" : false, "suffix" : "" }, { "dropping-particle" : "", "family" : "Hildebrandt", "given" : "Lea Katharina", "non-dropping-particle" : "", "parse-names" : false, "suffix" : "" }, { "dropping-particle" : "", "family" : "Bornemann", "given" : "Boris", "non-dropping-particle" : "", "parse-names" : false, "suffix" : "" }, { "dropping-particle" : "", "family" : "Singer", "given" : "Tania", "non-dropping-particle" : "", "parse-names" : false, "suffix" : "" } ], "id" : "ITEM-1", "issued" : { "date-parts" : [ [ "0" ] ] }, "title" : "Physiophenomenology and recall of arousal during threatening experience", "type" : "article-journal" }, "uris" : [ "http://www.mendeley.com/documents/?uuid=b1129539-7980-4556-855d-1c76f06450b2" ] } ], "mendeley" : { "formattedCitation" : "(McCall, Hildebrandt, Bornemann, &amp; Singer, n.d.)", "manualFormatting" : "(McCall, Hildebrandt, Bornemann, &amp; Singer, under review)", "plainTextFormattedCitation" : "(McCall, Hildebrandt, Bornemann, &amp; Singer, n.d.)", "previouslyFormattedCitation" : "(McCall, Hildebrandt, Bornemann, &amp; Singer, n.d.)" }, "properties" : { "noteIndex" : 0 }, "schema" : "https://github.com/citation-style-language/schema/raw/master/csl-citation.json" }</w:instrText>
      </w:r>
      <w:r w:rsidR="00AA1F6F" w:rsidRPr="0013016F">
        <w:rPr>
          <w:rFonts w:eastAsia="Calibri" w:cs="Times New Roman"/>
          <w:lang w:val="en-US"/>
        </w:rPr>
        <w:fldChar w:fldCharType="separate"/>
      </w:r>
      <w:r w:rsidR="009465D1" w:rsidRPr="0013016F">
        <w:rPr>
          <w:rFonts w:eastAsia="Calibri" w:cs="Times New Roman"/>
          <w:noProof/>
          <w:lang w:val="en-US"/>
        </w:rPr>
        <w:t xml:space="preserve">(McCall, Hildebrandt, Bornemann, &amp; Singer, </w:t>
      </w:r>
      <w:r w:rsidR="00095240" w:rsidRPr="0013016F">
        <w:rPr>
          <w:rFonts w:eastAsia="Calibri" w:cs="Times New Roman"/>
          <w:noProof/>
          <w:lang w:val="en-US"/>
        </w:rPr>
        <w:t>2015</w:t>
      </w:r>
      <w:r w:rsidR="009465D1" w:rsidRPr="0013016F">
        <w:rPr>
          <w:rFonts w:eastAsia="Calibri" w:cs="Times New Roman"/>
          <w:noProof/>
          <w:lang w:val="en-US"/>
        </w:rPr>
        <w:t>)</w:t>
      </w:r>
      <w:r w:rsidR="00AA1F6F" w:rsidRPr="0013016F">
        <w:rPr>
          <w:rFonts w:eastAsia="Calibri" w:cs="Times New Roman"/>
          <w:lang w:val="en-US"/>
        </w:rPr>
        <w:fldChar w:fldCharType="end"/>
      </w:r>
      <w:r w:rsidR="00984649" w:rsidRPr="0013016F">
        <w:rPr>
          <w:rFonts w:eastAsia="Calibri" w:cs="Times New Roman"/>
          <w:lang w:val="en-US"/>
        </w:rPr>
        <w:t xml:space="preserve"> –</w:t>
      </w:r>
      <w:r w:rsidRPr="0013016F">
        <w:rPr>
          <w:rFonts w:eastAsia="Calibri" w:cs="Times New Roman"/>
          <w:lang w:val="en-US"/>
        </w:rPr>
        <w:t xml:space="preserve"> coherent with SCL. By measuring both SCL and subjective ratings of arousal, we hoped to gain a complete picture of objective and experienced arousal. </w:t>
      </w:r>
    </w:p>
    <w:p w:rsidR="009D62BD" w:rsidRPr="0013016F" w:rsidRDefault="008B0611" w:rsidP="009D62BD">
      <w:pPr>
        <w:pStyle w:val="Standard1"/>
        <w:spacing w:line="480" w:lineRule="auto"/>
        <w:ind w:firstLine="708"/>
        <w:rPr>
          <w:rFonts w:cs="Times New Roman"/>
          <w:lang w:val="en-US"/>
        </w:rPr>
      </w:pPr>
      <w:r w:rsidRPr="0013016F">
        <w:rPr>
          <w:rFonts w:cs="Times New Roman"/>
          <w:lang w:val="en-US"/>
        </w:rPr>
        <w:t xml:space="preserve">We expected that all three measures of flexible cognitive-affective regulation (resilience, HRV, and cognitive flexibility) would be related to arousal as it rises and falls in response to changes in the threatening nature of the environment. In particular, we expected that high flexibility would be especially effective in phases that </w:t>
      </w:r>
      <w:r w:rsidR="0018363C" w:rsidRPr="0013016F">
        <w:rPr>
          <w:rFonts w:cs="Times New Roman"/>
          <w:lang w:val="en-US"/>
        </w:rPr>
        <w:t>depend on</w:t>
      </w:r>
      <w:r w:rsidRPr="0013016F">
        <w:rPr>
          <w:rFonts w:cs="Times New Roman"/>
          <w:lang w:val="en-US"/>
        </w:rPr>
        <w:t xml:space="preserve"> regulation, i.e. in the prolonged presence or after the disappearance of a potential threat. Such a result would lend support to a nuanced allocation of resources that matches the environmental demands. We had no hypotheses </w:t>
      </w:r>
      <w:r w:rsidRPr="0013016F">
        <w:rPr>
          <w:rFonts w:cs="Times New Roman"/>
          <w:lang w:val="en-US"/>
        </w:rPr>
        <w:lastRenderedPageBreak/>
        <w:t xml:space="preserve">regarding differential effects of flexibility on the two different measures of arousal. Instead, we hoped to shed light on the congruencies and differences between these measures. </w:t>
      </w:r>
    </w:p>
    <w:p w:rsidR="00354EA1" w:rsidRPr="0013016F" w:rsidRDefault="00354EA1" w:rsidP="00354EA1">
      <w:pPr>
        <w:spacing w:line="480" w:lineRule="auto"/>
        <w:jc w:val="center"/>
        <w:rPr>
          <w:rFonts w:cs="Times New Roman"/>
          <w:b/>
          <w:lang w:val="en-US"/>
        </w:rPr>
      </w:pPr>
      <w:r w:rsidRPr="0013016F">
        <w:rPr>
          <w:rFonts w:eastAsia="Calibri" w:cs="Times New Roman"/>
          <w:b/>
          <w:lang w:val="en-US"/>
        </w:rPr>
        <w:t>Method</w:t>
      </w:r>
    </w:p>
    <w:p w:rsidR="00354EA1" w:rsidRPr="0013016F" w:rsidRDefault="00354EA1" w:rsidP="00354EA1">
      <w:pPr>
        <w:spacing w:line="480" w:lineRule="auto"/>
        <w:rPr>
          <w:rFonts w:cs="Times New Roman"/>
          <w:b/>
          <w:lang w:val="en-US"/>
        </w:rPr>
      </w:pPr>
      <w:r w:rsidRPr="0013016F">
        <w:rPr>
          <w:rFonts w:eastAsia="Calibri" w:cs="Times New Roman"/>
          <w:b/>
          <w:lang w:val="en-US"/>
        </w:rPr>
        <w:t>Participants</w:t>
      </w:r>
    </w:p>
    <w:p w:rsidR="00354EA1" w:rsidRPr="0013016F" w:rsidRDefault="00354EA1" w:rsidP="00354EA1">
      <w:pPr>
        <w:spacing w:line="480" w:lineRule="auto"/>
        <w:rPr>
          <w:rFonts w:eastAsia="Calibri" w:cs="Times New Roman"/>
          <w:lang w:val="en-US"/>
        </w:rPr>
      </w:pPr>
      <w:r w:rsidRPr="0013016F">
        <w:rPr>
          <w:rFonts w:eastAsia="Calibri" w:cs="Times New Roman"/>
          <w:lang w:val="en-US"/>
        </w:rPr>
        <w:tab/>
        <w:t xml:space="preserve">The present study was part of a larger longitudinal study on the effects of mental training (The ReSource Project, for details see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"ISBN" : "978-3-941 504-49-3", "author" : [ { "dropping-particle" : "", "family" : "Singer", "given" : "Tania", "non-dropping-particle" : "", "parse-names" : false, "suffix" : "" }, { "dropping-particle" : "", "family" : "Kok", "given" : "Bethany E", "non-dropping-particle" : "", "parse-names" : false, "suffix" : "" }, { "dropping-particle" : "", "family" : "Bornemann", "given" : "Boris", "non-dropping-particle" : "", "parse-names" : false, "suffix" : "" }, { "dropping-particle" : "", "family" : "Bolz", "given" : "Matthias", "non-dropping-particle" : "", "parse-names" : false, "suffix" : "" }, { "dropping-particle" : "", "family" : "Bochow", "given" : "Christina A", "non-dropping-particle" : "", "parse-names" : false, "suffix" : "" } ], "id" : "ITEM-1", "issued" : { "date-parts" : [ [ "2015" ] ] }, "number-of-pages" : "1-89", "publisher" : "Max Planck Institute for Human Cognitive and Brain Sciences", "publisher-place" : "Leipzig", "title" : "The ReSource Project. Background, Design, Samples, and Measurements", "type" : "book" }, "uris" : [ "http://www.mendeley.com/documents/?uuid=d672c8bf-b448-4f26-b58f-aca7fa6e3afd" ] } ], "mendeley" : { "formattedCitation" : "(Singer, Kok, Bornemann, Bolz, &amp; Bochow, 2015)", "manualFormatting" : "Singer, Kok, Bornemann, Bolz, &amp; Bochow, 2015)", "plainTextFormattedCitation" : "(Singer, Kok, Bornemann, Bolz, &amp; Bochow, 2015)", "previouslyFormattedCitation" : "(Singer, Kok, Bornemann, Bolz, &amp; Bochow, 2015)"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Singer, Kok, Bornemann, Bolz, &amp; Bochow, 2015)</w:t>
      </w:r>
      <w:r w:rsidR="00AA1F6F" w:rsidRPr="0013016F">
        <w:rPr>
          <w:rFonts w:eastAsia="Calibri" w:cs="Times New Roman"/>
          <w:lang w:val="en-US"/>
        </w:rPr>
        <w:fldChar w:fldCharType="end"/>
      </w:r>
      <w:r w:rsidRPr="0013016F">
        <w:rPr>
          <w:rFonts w:eastAsia="Calibri" w:cs="Times New Roman"/>
          <w:lang w:val="en-US"/>
        </w:rPr>
        <w:t xml:space="preserve">. </w:t>
      </w:r>
      <w:r w:rsidR="008D6D29" w:rsidRPr="0013016F">
        <w:rPr>
          <w:rFonts w:eastAsia="Calibri" w:cs="Times New Roman"/>
          <w:lang w:val="en-US"/>
        </w:rPr>
        <w:t>Before participation, p</w:t>
      </w:r>
      <w:r w:rsidR="00413F69" w:rsidRPr="0013016F">
        <w:rPr>
          <w:rFonts w:eastAsia="Calibri" w:cs="Times New Roman"/>
          <w:lang w:val="en-US"/>
        </w:rPr>
        <w:t xml:space="preserve">articipants were </w:t>
      </w:r>
      <w:r w:rsidR="00DA47FF" w:rsidRPr="0013016F">
        <w:rPr>
          <w:rFonts w:eastAsia="Calibri" w:cs="Times New Roman"/>
          <w:lang w:val="en-US"/>
        </w:rPr>
        <w:t xml:space="preserve">extensively screened and, among others, </w:t>
      </w:r>
      <w:r w:rsidR="00413F69" w:rsidRPr="0013016F">
        <w:rPr>
          <w:rFonts w:eastAsia="Calibri" w:cs="Times New Roman"/>
          <w:lang w:val="en-US"/>
        </w:rPr>
        <w:t>only selected if they did not have any neurological or psychological disorder (the latter defined as being symptom-free for at leas</w:t>
      </w:r>
      <w:r w:rsidR="00EF1EB2" w:rsidRPr="0013016F">
        <w:rPr>
          <w:rFonts w:eastAsia="Calibri" w:cs="Times New Roman"/>
          <w:lang w:val="en-US"/>
        </w:rPr>
        <w:t>t</w:t>
      </w:r>
      <w:r w:rsidR="00413F69" w:rsidRPr="0013016F">
        <w:rPr>
          <w:rFonts w:eastAsia="Calibri" w:cs="Times New Roman"/>
          <w:lang w:val="en-US"/>
        </w:rPr>
        <w:t xml:space="preserve"> two years). We particularly ensured that the participants </w:t>
      </w:r>
      <w:r w:rsidR="008D6D29" w:rsidRPr="0013016F">
        <w:rPr>
          <w:rFonts w:eastAsia="Calibri" w:cs="Times New Roman"/>
          <w:lang w:val="en-US"/>
        </w:rPr>
        <w:t xml:space="preserve">did not have any ongoing affective disorders by conducting computer-based </w:t>
      </w:r>
      <w:r w:rsidR="004E575E" w:rsidRPr="0013016F">
        <w:rPr>
          <w:rFonts w:eastAsia="Calibri" w:cs="Times New Roman"/>
          <w:lang w:val="en-US"/>
        </w:rPr>
        <w:t>diagnostic clinical</w:t>
      </w:r>
      <w:r w:rsidR="008D6D29" w:rsidRPr="0013016F">
        <w:rPr>
          <w:rFonts w:eastAsia="Calibri" w:cs="Times New Roman"/>
          <w:lang w:val="en-US"/>
        </w:rPr>
        <w:t xml:space="preserve"> screening </w:t>
      </w:r>
      <w:r w:rsidR="004E575E" w:rsidRPr="0013016F">
        <w:rPr>
          <w:rFonts w:eastAsia="Calibri" w:cs="Times New Roman"/>
          <w:lang w:val="en-US"/>
        </w:rPr>
        <w:t>for psychological disorders</w:t>
      </w:r>
      <w:r w:rsidR="008D6D29" w:rsidRPr="0013016F">
        <w:rPr>
          <w:rFonts w:eastAsia="Calibri" w:cs="Times New Roman"/>
          <w:lang w:val="en-US"/>
        </w:rPr>
        <w:t>, including depression and anxiety disorders (DIA-X, Wittchen &amp; Pfister, 1997)</w:t>
      </w:r>
      <w:r w:rsidR="004E575E" w:rsidRPr="0013016F">
        <w:rPr>
          <w:rFonts w:eastAsia="Calibri" w:cs="Times New Roman"/>
          <w:lang w:val="en-US"/>
        </w:rPr>
        <w:t xml:space="preserve">, as well as </w:t>
      </w:r>
      <w:r w:rsidR="00413F69" w:rsidRPr="0013016F">
        <w:rPr>
          <w:rFonts w:eastAsia="Calibri" w:cs="Times New Roman"/>
          <w:lang w:val="en-US"/>
        </w:rPr>
        <w:t>by excluding participants who scored high on the Major Depression Inventory</w:t>
      </w:r>
      <w:r w:rsidR="00E61BA8" w:rsidRPr="0013016F">
        <w:rPr>
          <w:rFonts w:eastAsia="Calibri" w:cs="Times New Roman"/>
          <w:lang w:val="en-US"/>
        </w:rPr>
        <w:t xml:space="preserve"> </w:t>
      </w:r>
      <w:r w:rsidR="00AA1F6F" w:rsidRPr="0013016F">
        <w:rPr>
          <w:rFonts w:eastAsia="Calibri" w:cs="Times New Roman"/>
          <w:lang w:val="en-US"/>
        </w:rPr>
        <w:fldChar w:fldCharType="begin" w:fldLock="1"/>
      </w:r>
      <w:r w:rsidR="00EF1EB2" w:rsidRPr="0013016F">
        <w:rPr>
          <w:rFonts w:eastAsia="Calibri" w:cs="Times New Roman"/>
          <w:lang w:val="en-US"/>
        </w:rPr>
        <w:instrText>ADDIN CSL_CITATION { "citationItems" : [ { "id" : "ITEM-1", "itemData" : { "author" : [ { "dropping-particle" : "", "family" : "Bech", "given" : "P.", "non-dropping-particle" : "", "parse-names" : false, "suffix" : "" }, { "dropping-particle" : "", "family" : "Rasmussen", "given" : "N.-A.", "non-dropping-particle" : "", "parse-names" : false, "suffix" : "" }, { "dropping-particle" : "", "family" : "Olsen", "given" : "L. R.", "non-dropping-particle" : "", "parse-names" : false, "suffix" : "" }, { "dropping-particle" : "", "family" : "Noerholm", "given" : "V.", "non-dropping-particle" : "", "parse-names" : false, "suffix" : "" }, { "dropping-particle" : "", "family" : "Abildgaard", "given" : "W.", "non-dropping-particle" : "", "parse-names" : false, "suffix" : "" } ], "container-title" : "Journal of Affective Disorders", "id" : "ITEM-1", "issue" : "2", "issued" : { "date-parts" : [ [ "2001" ] ] }, "page" : "159-164", "title" : "The sensitivity and specificty of the Major Depression Inventory, using the Present State Examination as the index of diagnostic validity", "type" : "article-journal", "volume" : "66" }, "uris" : [ "http://www.mendeley.com/documents/?uuid=a16d235f-2e88-4c82-98ca-ba87962fc04f" ] } ], "mendeley" : { "formattedCitation" : "(Bech, Rasmussen, Olsen, Noerholm, &amp; Abildgaard, 2001)", "plainTextFormattedCitation" : "(Bech, Rasmussen, Olsen, Noerholm, &amp; Abildgaard, 2001)", "previouslyFormattedCitation" : "(Bech, Rasmussen, Olsen, Noerholm, &amp; Abildgaard, 2001)" }, "properties" : { "noteIndex" : 0 }, "schema" : "https://github.com/citation-style-language/schema/raw/master/csl-citation.json" }</w:instrText>
      </w:r>
      <w:r w:rsidR="00AA1F6F" w:rsidRPr="0013016F">
        <w:rPr>
          <w:rFonts w:eastAsia="Calibri" w:cs="Times New Roman"/>
          <w:lang w:val="en-US"/>
        </w:rPr>
        <w:fldChar w:fldCharType="separate"/>
      </w:r>
      <w:r w:rsidR="00EF1EB2" w:rsidRPr="0013016F">
        <w:rPr>
          <w:rFonts w:eastAsia="Calibri" w:cs="Times New Roman"/>
          <w:noProof/>
          <w:lang w:val="en-US"/>
        </w:rPr>
        <w:t>(Bech, Rasmussen, Olsen, Noerholm, &amp; Abildgaard, 2001)</w:t>
      </w:r>
      <w:r w:rsidR="00AA1F6F" w:rsidRPr="0013016F">
        <w:rPr>
          <w:rFonts w:eastAsia="Calibri" w:cs="Times New Roman"/>
          <w:lang w:val="en-US"/>
        </w:rPr>
        <w:fldChar w:fldCharType="end"/>
      </w:r>
      <w:r w:rsidR="00EF1EB2" w:rsidRPr="0013016F">
        <w:rPr>
          <w:rFonts w:eastAsia="Calibri" w:cs="Times New Roman"/>
          <w:lang w:val="en-US"/>
        </w:rPr>
        <w:t xml:space="preserve"> </w:t>
      </w:r>
      <w:r w:rsidR="00413F69" w:rsidRPr="0013016F">
        <w:rPr>
          <w:rFonts w:eastAsia="Calibri" w:cs="Times New Roman"/>
          <w:lang w:val="en-US"/>
        </w:rPr>
        <w:t>or the trait subscale of the State-Trait Anxiety Inventory</w:t>
      </w:r>
      <w:r w:rsidR="00EF1EB2" w:rsidRPr="0013016F">
        <w:rPr>
          <w:rFonts w:eastAsia="Calibri" w:cs="Times New Roman"/>
          <w:lang w:val="en-US"/>
        </w:rPr>
        <w:t xml:space="preserve"> </w:t>
      </w:r>
      <w:r w:rsidR="00AA1F6F" w:rsidRPr="0013016F">
        <w:rPr>
          <w:rFonts w:eastAsia="Calibri" w:cs="Times New Roman"/>
          <w:lang w:val="en-US"/>
        </w:rPr>
        <w:fldChar w:fldCharType="begin" w:fldLock="1"/>
      </w:r>
      <w:r w:rsidR="000A2E08" w:rsidRPr="0013016F">
        <w:rPr>
          <w:rFonts w:eastAsia="Calibri" w:cs="Times New Roman"/>
          <w:lang w:val="en-US"/>
        </w:rPr>
        <w:instrText>ADDIN CSL_CITATION { "citationItems" : [ { "id" : "ITEM-1", "itemData" : { "author" : [ { "dropping-particle" : "", "family" : "Laux", "given" : "L.", "non-dropping-particle" : "", "parse-names" : false, "suffix" : "" }, { "dropping-particle" : "", "family" : "Glanzmann", "given" : "P.", "non-dropping-particle" : "", "parse-names" : false, "suffix" : "" }, { "dropping-particle" : "", "family" : "Schaffner", "given" : "P.", "non-dropping-particle" : "", "parse-names" : false, "suffix" : "" }, { "dropping-particle" : "", "family" : "Spielberger", "given" : "C. D.", "non-dropping-particle" : "", "parse-names" : false, "suffix" : "" } ], "id" : "ITEM-1", "issued" : { "date-parts" : [ [ "1981" ] ] }, "publisher" : "Beltz", "publisher-place" : "Weinheim", "title" : "Das State-Trait Angstinventar (Testmappe mit Handanweisung, Fragebogen STAI-G Form X1 und Fragebogen STAI-G form X2).", "type" : "book" }, "uris" : [ "http://www.mendeley.com/documents/?uuid=3b5b1202-07c1-451b-9b5e-0ec54a535f8e" ] } ], "mendeley" : { "formattedCitation" : "(Laux, Glanzmann, Schaffner, &amp; Spielberger, 1981)", "plainTextFormattedCitation" : "(Laux, Glanzmann, Schaffner, &amp; Spielberger, 1981)", "previouslyFormattedCitation" : "(Laux, Glanzmann, Schaffner, &amp; Spielberger, 1981)" }, "properties" : { "noteIndex" : 0 }, "schema" : "https://github.com/citation-style-language/schema/raw/master/csl-citation.json" }</w:instrText>
      </w:r>
      <w:r w:rsidR="00AA1F6F" w:rsidRPr="0013016F">
        <w:rPr>
          <w:rFonts w:eastAsia="Calibri" w:cs="Times New Roman"/>
          <w:lang w:val="en-US"/>
        </w:rPr>
        <w:fldChar w:fldCharType="separate"/>
      </w:r>
      <w:r w:rsidR="00EF1EB2" w:rsidRPr="0013016F">
        <w:rPr>
          <w:rFonts w:eastAsia="Calibri" w:cs="Times New Roman"/>
          <w:noProof/>
          <w:lang w:val="en-US"/>
        </w:rPr>
        <w:t>(Laux, Glanzmann, Schaffner, &amp; Spielberger, 1981)</w:t>
      </w:r>
      <w:r w:rsidR="00AA1F6F" w:rsidRPr="0013016F">
        <w:rPr>
          <w:rFonts w:eastAsia="Calibri" w:cs="Times New Roman"/>
          <w:lang w:val="en-US"/>
        </w:rPr>
        <w:fldChar w:fldCharType="end"/>
      </w:r>
      <w:r w:rsidR="00413F69" w:rsidRPr="0013016F">
        <w:rPr>
          <w:rFonts w:eastAsia="Calibri" w:cs="Times New Roman"/>
          <w:lang w:val="en-US"/>
        </w:rPr>
        <w:t xml:space="preserve">. In addition, selected participants fulfilled the MRI safety requirements (incl. no obesity; no </w:t>
      </w:r>
      <w:r w:rsidR="00A83504" w:rsidRPr="0013016F">
        <w:rPr>
          <w:rFonts w:eastAsia="Calibri" w:cs="Times New Roman"/>
          <w:lang w:val="en-US"/>
        </w:rPr>
        <w:t xml:space="preserve">cardiovascular disease, pacemakers or artificial heart valves; </w:t>
      </w:r>
      <w:r w:rsidR="00413F69" w:rsidRPr="0013016F">
        <w:rPr>
          <w:rFonts w:eastAsia="Calibri" w:cs="Times New Roman"/>
          <w:lang w:val="en-US"/>
        </w:rPr>
        <w:t>and no medication that affects the central nervous system)</w:t>
      </w:r>
      <w:r w:rsidR="00AA1F6F" w:rsidRPr="0013016F">
        <w:rPr>
          <w:rFonts w:eastAsia="Calibri" w:cs="Times New Roman"/>
          <w:vertAlign w:val="superscript"/>
          <w:lang w:val="en-US"/>
        </w:rPr>
        <w:t>1</w:t>
      </w:r>
      <w:r w:rsidR="00AA1F6F" w:rsidRPr="0013016F">
        <w:rPr>
          <w:rFonts w:eastAsia="Calibri" w:cs="Times New Roman"/>
          <w:lang w:val="en-US"/>
        </w:rPr>
        <w:t>.</w:t>
      </w:r>
      <w:r w:rsidR="009D0848" w:rsidRPr="0013016F">
        <w:rPr>
          <w:rFonts w:eastAsia="Calibri" w:cs="Times New Roman"/>
          <w:lang w:val="en-US"/>
        </w:rPr>
        <w:t xml:space="preserve"> </w:t>
      </w:r>
      <w:r w:rsidRPr="0013016F">
        <w:rPr>
          <w:rFonts w:eastAsia="Calibri" w:cs="Times New Roman"/>
          <w:lang w:val="en-US"/>
        </w:rPr>
        <w:t xml:space="preserve">The data presented here were collected at baseline prior to any intervention. </w:t>
      </w:r>
    </w:p>
    <w:p w:rsidR="00354EA1" w:rsidRPr="0013016F" w:rsidRDefault="00354EA1" w:rsidP="00354EA1">
      <w:pPr>
        <w:spacing w:line="480" w:lineRule="auto"/>
        <w:ind w:firstLine="720"/>
        <w:rPr>
          <w:rFonts w:cs="Times New Roman"/>
          <w:lang w:val="en-US"/>
        </w:rPr>
      </w:pPr>
      <w:r w:rsidRPr="0013016F">
        <w:rPr>
          <w:rFonts w:eastAsia="Calibri" w:cs="Times New Roman"/>
          <w:lang w:val="en-US"/>
        </w:rPr>
        <w:t xml:space="preserve">We invited 327 participants to this part of the study, of which 15 did not complete the current experiment. Out of these 15, 11 felt dizzy or nauseated in the immersive virtual environment, 3 found Room 101 too frightening, and 1 could not be run due to technical problems. In addition, the skin conductance data of 6 participants was not available due to problems recording the physiological data. The data of 6 additional participants was unusable due to signal dropout or gross artifacts. Data of 300 participants remained for analyses (172 </w:t>
      </w:r>
      <w:r w:rsidRPr="0013016F">
        <w:rPr>
          <w:rFonts w:eastAsia="Calibri" w:cs="Times New Roman"/>
          <w:lang w:val="en-US"/>
        </w:rPr>
        <w:lastRenderedPageBreak/>
        <w:t>women; Age: mean = 40.65, SD</w:t>
      </w:r>
      <w:r w:rsidRPr="0013016F">
        <w:rPr>
          <w:rFonts w:eastAsia="Calibri" w:cs="Times New Roman"/>
          <w:vertAlign w:val="subscript"/>
          <w:lang w:val="en-US"/>
        </w:rPr>
        <w:t xml:space="preserve"> </w:t>
      </w:r>
      <w:r w:rsidRPr="0013016F">
        <w:rPr>
          <w:rFonts w:eastAsia="Calibri" w:cs="Times New Roman"/>
          <w:lang w:val="en-US"/>
        </w:rPr>
        <w:t>= 9.35). Out of these 300, the heart rate variability could not be calculated for 3 participants due to technical problems (2) or gross artifacts (1), which left 297 datasets for the HRV analysis (173 women; Age: mean = 40.73, SD</w:t>
      </w:r>
      <w:r w:rsidRPr="0013016F">
        <w:rPr>
          <w:rFonts w:eastAsia="Calibri" w:cs="Times New Roman"/>
          <w:vertAlign w:val="subscript"/>
          <w:lang w:val="en-US"/>
        </w:rPr>
        <w:t xml:space="preserve"> </w:t>
      </w:r>
      <w:r w:rsidRPr="0013016F">
        <w:rPr>
          <w:rFonts w:eastAsia="Calibri" w:cs="Times New Roman"/>
          <w:lang w:val="en-US"/>
        </w:rPr>
        <w:t>= 9.33). Finally, of the 300, we had 297 complete datasets of the task switching task (172 women; Age: mean = 40.65, SD</w:t>
      </w:r>
      <w:r w:rsidRPr="0013016F">
        <w:rPr>
          <w:rFonts w:eastAsia="Calibri" w:cs="Times New Roman"/>
          <w:vertAlign w:val="subscript"/>
          <w:lang w:val="en-US"/>
        </w:rPr>
        <w:t xml:space="preserve"> </w:t>
      </w:r>
      <w:r w:rsidRPr="0013016F">
        <w:rPr>
          <w:rFonts w:eastAsia="Calibri" w:cs="Times New Roman"/>
          <w:lang w:val="en-US"/>
        </w:rPr>
        <w:t>= 9.33), and completed resilience questionnaires for 295 participants (174 women; Age: mean = 40.56, SD</w:t>
      </w:r>
      <w:r w:rsidRPr="0013016F">
        <w:rPr>
          <w:rFonts w:eastAsia="Calibri" w:cs="Times New Roman"/>
          <w:vertAlign w:val="subscript"/>
          <w:lang w:val="en-US"/>
        </w:rPr>
        <w:t xml:space="preserve"> </w:t>
      </w:r>
      <w:r w:rsidRPr="0013016F">
        <w:rPr>
          <w:rFonts w:eastAsia="Calibri" w:cs="Times New Roman"/>
          <w:lang w:val="en-US"/>
        </w:rPr>
        <w:t xml:space="preserve">= 9.36). </w:t>
      </w:r>
      <w:r w:rsidR="00AA1F6F" w:rsidRPr="0013016F">
        <w:rPr>
          <w:rFonts w:eastAsia="Calibri" w:cs="Times New Roman"/>
          <w:lang w:val="en-US"/>
        </w:rPr>
        <w:t>For 274 participants</w:t>
      </w:r>
      <w:r w:rsidR="002A7E79" w:rsidRPr="0013016F">
        <w:rPr>
          <w:rFonts w:eastAsia="Calibri" w:cs="Times New Roman"/>
          <w:lang w:val="en-US"/>
        </w:rPr>
        <w:t xml:space="preserve"> we had all five datasets</w:t>
      </w:r>
      <w:r w:rsidR="00AA1F6F" w:rsidRPr="0013016F">
        <w:rPr>
          <w:rFonts w:eastAsia="Calibri" w:cs="Times New Roman"/>
          <w:lang w:val="en-US"/>
        </w:rPr>
        <w:t>.</w:t>
      </w:r>
      <w:r w:rsidR="00EB57F9" w:rsidRPr="0013016F">
        <w:rPr>
          <w:rFonts w:eastAsia="Calibri" w:cs="Times New Roman"/>
          <w:lang w:val="en-US"/>
        </w:rPr>
        <w:t xml:space="preserve"> </w:t>
      </w:r>
      <w:r w:rsidRPr="0013016F">
        <w:rPr>
          <w:rFonts w:eastAsia="Calibri" w:cs="Times New Roman"/>
          <w:lang w:val="en-US"/>
        </w:rPr>
        <w:t>The study was approved by the Research Ethics Committees of the University of Leipzig (376/12-ff) and the Humboldt University in Berlin (2013-02, 2013-29, 2014-10; Mathematisch-Naturwissenschaftliche Fakultät II). Participants gave written informed consent for all of the procedures.</w:t>
      </w:r>
    </w:p>
    <w:p w:rsidR="00354EA1" w:rsidRPr="0013016F" w:rsidRDefault="00354EA1" w:rsidP="00354EA1">
      <w:pPr>
        <w:spacing w:line="480" w:lineRule="auto"/>
        <w:rPr>
          <w:rFonts w:cs="Times New Roman"/>
          <w:b/>
          <w:lang w:val="en-US"/>
        </w:rPr>
      </w:pPr>
      <w:r w:rsidRPr="0013016F">
        <w:rPr>
          <w:rFonts w:eastAsia="Calibri" w:cs="Times New Roman"/>
          <w:b/>
          <w:lang w:val="en-US"/>
        </w:rPr>
        <w:t>Materials</w:t>
      </w:r>
    </w:p>
    <w:p w:rsidR="00354EA1" w:rsidRPr="0013016F" w:rsidRDefault="00354EA1" w:rsidP="00354EA1">
      <w:pPr>
        <w:spacing w:line="480" w:lineRule="auto"/>
        <w:ind w:firstLine="720"/>
        <w:rPr>
          <w:rFonts w:cs="Times New Roman"/>
          <w:lang w:val="en-US"/>
        </w:rPr>
      </w:pPr>
      <w:r w:rsidRPr="0013016F">
        <w:rPr>
          <w:rFonts w:eastAsia="Calibri" w:cs="Times New Roman"/>
          <w:b/>
          <w:lang w:val="en-US"/>
        </w:rPr>
        <w:t>Immersive virtual environment and display devices.</w:t>
      </w:r>
      <w:r w:rsidRPr="0013016F">
        <w:rPr>
          <w:rFonts w:eastAsia="Calibri" w:cs="Times New Roman"/>
          <w:lang w:val="en-US"/>
        </w:rPr>
        <w:t xml:space="preserve"> A stereoscopic head-mounted display (HMD, NVIS nVisor SX60 with integrated Sennheiser headphones) enabled participants to experience the immersive virtual environment (IVE) while walking around freely. The head and right hand were tracked, using custom made markers on the HMD and around the wrist, by a 10 camera system (Vicon MX3+) and tracking software (Vicon Tracker). The position and orientation data were streamed to a second computer that rendered the virtual world using Vizard 4.0. Subjective arousal was assessed with a “playback” of the IVE using a standard desktop monitor and headphones (procedure described below).</w:t>
      </w:r>
    </w:p>
    <w:p w:rsidR="00354EA1" w:rsidRPr="0013016F" w:rsidRDefault="00354EA1" w:rsidP="00354EA1">
      <w:pPr>
        <w:spacing w:line="480" w:lineRule="auto"/>
        <w:ind w:firstLine="720"/>
        <w:rPr>
          <w:rFonts w:cs="Times New Roman"/>
          <w:lang w:val="en-US"/>
        </w:rPr>
      </w:pPr>
      <w:r w:rsidRPr="0013016F">
        <w:rPr>
          <w:rFonts w:eastAsia="Calibri" w:cs="Times New Roman"/>
          <w:b/>
          <w:lang w:val="en-US"/>
        </w:rPr>
        <w:t>Physiological equipment.</w:t>
      </w:r>
      <w:r w:rsidRPr="0013016F">
        <w:rPr>
          <w:rFonts w:eastAsia="Calibri" w:cs="Times New Roman"/>
          <w:lang w:val="en-US"/>
        </w:rPr>
        <w:t xml:space="preserve"> Physiological signals were recorded using a Biopac (Biopac Systems Inc., Santa Barbara, CA) MP150 acquisition system and AcqKnowledge 4.3 software at a sampling rate of 2000Hz. For skin conductance, we used a wireless Biopac BioNomadix amplifier for electrodermal activity (BN-PPGED), a 15 cm BioNomadix dual electrode lead (BN-EDA-LEAD2), and pre-gelled, disposable Ag/AgCl foam electrodes (Biopac, EL507). The </w:t>
      </w:r>
      <w:r w:rsidRPr="0013016F">
        <w:rPr>
          <w:rFonts w:eastAsia="Calibri" w:cs="Times New Roman"/>
          <w:lang w:val="en-US"/>
        </w:rPr>
        <w:lastRenderedPageBreak/>
        <w:t>electrodes were placed on the middle phalanges of the left middle and index fingers. Heart rate was recorded using a Biopac BioNomadix electrocardiography (BN-RSPEC) amplifier, a (45 cm) 3-lead set (BN-EL45-LEAD3), and pre-gelled, disposable Ag/AgCl foam electrodes (Swaromed, Nessler Medizintechnik, Innsbruck, Austria). The electrodes were placed on the sternal end of the right clavicle, the left mid-clavicle (grounding), and the lower left ribcage. Facial (startle) EMG and respiration were also recorded but are not presented here. Events in the IVE were recorded in a parallel channel by connecting the rendering computer and the AcqKnowledge computer via network.</w:t>
      </w:r>
    </w:p>
    <w:p w:rsidR="00354EA1" w:rsidRPr="0013016F" w:rsidRDefault="00354EA1" w:rsidP="00354EA1">
      <w:pPr>
        <w:spacing w:line="480" w:lineRule="auto"/>
        <w:rPr>
          <w:rFonts w:cs="Times New Roman"/>
          <w:b/>
          <w:lang w:val="en-US"/>
        </w:rPr>
      </w:pPr>
      <w:r w:rsidRPr="0013016F">
        <w:rPr>
          <w:rFonts w:eastAsia="Calibri" w:cs="Times New Roman"/>
          <w:b/>
          <w:lang w:val="en-US"/>
        </w:rPr>
        <w:t>Procedure and Measures</w:t>
      </w:r>
    </w:p>
    <w:p w:rsidR="00354EA1" w:rsidRPr="0013016F" w:rsidRDefault="00354EA1" w:rsidP="00354EA1">
      <w:pPr>
        <w:spacing w:line="480" w:lineRule="auto"/>
        <w:ind w:firstLine="720"/>
        <w:rPr>
          <w:rFonts w:cs="Times New Roman"/>
          <w:lang w:val="en-US"/>
        </w:rPr>
      </w:pPr>
      <w:r w:rsidRPr="0013016F">
        <w:rPr>
          <w:rFonts w:eastAsia="Calibri" w:cs="Times New Roman"/>
          <w:lang w:val="en-US"/>
        </w:rPr>
        <w:t xml:space="preserve">Arousal was continuously measured during Room 101 (SCL) and the playback (subjective arousal). Cognitive flexibility was assessed </w:t>
      </w:r>
      <w:r w:rsidR="000A2E08" w:rsidRPr="0013016F">
        <w:rPr>
          <w:rFonts w:eastAsia="Calibri" w:cs="Times New Roman"/>
          <w:lang w:val="en-US"/>
        </w:rPr>
        <w:t>with</w:t>
      </w:r>
      <w:r w:rsidRPr="0013016F">
        <w:rPr>
          <w:rFonts w:eastAsia="Calibri" w:cs="Times New Roman"/>
          <w:lang w:val="en-US"/>
        </w:rPr>
        <w:t xml:space="preserve"> a task switching task, HRV was measured during a baseline measurement, and resilience was determined using a questionnaire.</w:t>
      </w:r>
    </w:p>
    <w:p w:rsidR="006F07A7" w:rsidRPr="0013016F" w:rsidRDefault="00354EA1" w:rsidP="00354EA1">
      <w:pPr>
        <w:spacing w:line="480" w:lineRule="auto"/>
        <w:ind w:firstLine="720"/>
        <w:rPr>
          <w:rFonts w:eastAsia="Calibri" w:cs="Times New Roman"/>
          <w:lang w:val="en-US"/>
        </w:rPr>
      </w:pPr>
      <w:r w:rsidRPr="0013016F">
        <w:rPr>
          <w:rFonts w:eastAsia="Calibri" w:cs="Times New Roman"/>
          <w:lang w:val="en-US"/>
        </w:rPr>
        <w:t xml:space="preserve">Room 101, the baseline, and the playback were part of the same experimental session. The session started with an introduction of the two experimenters and some time to acclimatize to the lab, during which a short health questionnaire (incl. questions about current dizziness, motion sickness, and phobias) was filled in. Subsequently, the electrodes and tracking markers were attached, and the baseline was carried out. Then, three unrelated tasks were executed, followed by Room 101. After a short recovery period of usually not more than 5 minutes, the playback was carried out. </w:t>
      </w:r>
    </w:p>
    <w:p w:rsidR="000A2E08" w:rsidRPr="0013016F" w:rsidRDefault="00354EA1" w:rsidP="00354EA1">
      <w:pPr>
        <w:spacing w:line="480" w:lineRule="auto"/>
        <w:ind w:firstLine="720"/>
        <w:rPr>
          <w:rFonts w:eastAsia="Calibri" w:cs="Times New Roman"/>
          <w:lang w:val="en-US"/>
        </w:rPr>
      </w:pPr>
      <w:r w:rsidRPr="0013016F">
        <w:rPr>
          <w:rFonts w:eastAsia="Calibri" w:cs="Times New Roman"/>
          <w:lang w:val="en-US"/>
        </w:rPr>
        <w:t>The task switching task was part of a bigger testing session of different, unrelated behavioral tasks, which never happened on the same day as, but up to 5 weeks apart from, the Room 101 session. The questionnaire was part of a big battery of questionnaires (see Singer et al., 2015) that were completed online within 5 weeks of the two test sessions.</w:t>
      </w:r>
      <w:r w:rsidR="00606DAF" w:rsidRPr="0013016F">
        <w:rPr>
          <w:rFonts w:eastAsia="Calibri" w:cs="Times New Roman"/>
          <w:lang w:val="en-US"/>
        </w:rPr>
        <w:t xml:space="preserve"> Participants were </w:t>
      </w:r>
      <w:r w:rsidR="00606DAF" w:rsidRPr="0013016F">
        <w:rPr>
          <w:rFonts w:eastAsia="Calibri" w:cs="Times New Roman"/>
          <w:lang w:val="en-US"/>
        </w:rPr>
        <w:lastRenderedPageBreak/>
        <w:t xml:space="preserve">not restrained in their consumption of caffeine or nicotine before any of the experimental sessions. </w:t>
      </w:r>
    </w:p>
    <w:p w:rsidR="00354EA1" w:rsidRPr="0013016F" w:rsidRDefault="00354EA1" w:rsidP="00354EA1">
      <w:pPr>
        <w:spacing w:line="480" w:lineRule="auto"/>
        <w:ind w:firstLine="720"/>
        <w:rPr>
          <w:rFonts w:cs="Times New Roman"/>
          <w:lang w:val="en-US"/>
        </w:rPr>
      </w:pPr>
      <w:r w:rsidRPr="0013016F">
        <w:rPr>
          <w:rFonts w:eastAsia="Calibri" w:cs="Times New Roman"/>
          <w:b/>
          <w:lang w:val="en-US"/>
        </w:rPr>
        <w:t>The HRV baseline.</w:t>
      </w:r>
      <w:r w:rsidRPr="0013016F">
        <w:rPr>
          <w:rFonts w:eastAsia="Calibri" w:cs="Times New Roman"/>
          <w:lang w:val="en-US"/>
        </w:rPr>
        <w:t xml:space="preserve"> A two-minute baseline measurement was carried out at the beginning of the session. Often in the existing literature, a 5-minute baseline is implemented for measuring resting HRV. Our baseline is two minutes because we had certain time constraints due to the test session being part of a long day of testing</w:t>
      </w:r>
      <w:r w:rsidR="003C2014" w:rsidRPr="0013016F">
        <w:rPr>
          <w:color w:val="333333"/>
          <w:lang w:val="en-US"/>
        </w:rPr>
        <w:t xml:space="preserve">. </w:t>
      </w:r>
      <w:r w:rsidR="00AA1F6F" w:rsidRPr="0013016F">
        <w:rPr>
          <w:color w:val="333333"/>
          <w:lang w:val="en-US"/>
        </w:rPr>
        <w:t>Although RMSSD, the time-domain measure of HRV we used here, has been shown to be reliable also for short recordings</w:t>
      </w:r>
      <w:r w:rsidR="00AA1F6F" w:rsidRPr="0013016F">
        <w:rPr>
          <w:rFonts w:eastAsia="Calibri" w:cs="Times New Roman"/>
          <w:lang w:val="en-US"/>
        </w:rPr>
        <w:t xml:space="preserve"> (see </w:t>
      </w:r>
      <w:r w:rsidR="00AA1F6F" w:rsidRPr="0013016F">
        <w:rPr>
          <w:rFonts w:eastAsia="Calibri" w:cs="Times New Roman"/>
          <w:lang w:val="en-US"/>
        </w:rPr>
        <w:fldChar w:fldCharType="begin" w:fldLock="1"/>
      </w:r>
      <w:r w:rsidR="00AA1F6F" w:rsidRPr="0013016F">
        <w:rPr>
          <w:rFonts w:eastAsia="Calibri" w:cs="Times New Roman"/>
          <w:lang w:val="en-US"/>
        </w:rPr>
        <w:instrText>ADDIN CSL_CITATION { "citationItems" : [ { "id" : "ITEM-1", "itemData" : { "DOI" : "10.1111/j.1540-8159.2011.03178.x", "ISSN" : "01478389", "PMID" : "21797904", "abstract" : "High values of resting heart rate were found to be correlated with adverse outcomes in various patient groups. Heart rate variability (HRV) is a reliable technique in determining autonomic nervous system function. Our aim was to evaluate whether a 10-second resting heart rate obtained from a resting electrocardiogram (ECG), could be used as a reliable evaluation of short-term HRV.", "author" : [ { "dropping-particle" : "", "family" : "Nussinovitch", "given" : "Udi", "non-dropping-particle" : "", "parse-names" : false, "suffix" : "" }, { "dropping-particle" : "", "family" : "Elishkevitz", "given" : "Keren Politi", "non-dropping-particle" : "", "parse-names" : false, "suffix" : "" }, { "dropping-particle" : "", "family" : "Kaminer", "given" : "Keren", "non-dropping-particle" : "", "parse-names" : false, "suffix" : "" }, { "dropping-particle" : "", "family" : "Nussinovitch", "given" : "Moshe", "non-dropping-particle" : "", "parse-names" : false, "suffix" : "" }, { "dropping-particle" : "", "family" : "Segev", "given" : "Shlomo", "non-dropping-particle" : "", "parse-names" : false, "suffix" : "" }, { "dropping-particle" : "", "family" : "Volovitz", "given" : "Benjamin", "non-dropping-particle" : "", "parse-names" : false, "suffix" : "" }, { "dropping-particle" : "", "family" : "Nussinovitch", "given" : "Naomi", "non-dropping-particle" : "", "parse-names" : false, "suffix" : "" } ], "container-title" : "PACE - Pacing and Clinical Electrophysiology", "id" : "ITEM-1", "issue" : "11", "issued" : { "date-parts" : [ [ "2011" ] ] }, "page" : "1498-1502", "title" : "The efficiency of 10-second resting heart rate for the evaluation of short-term heart rate variability indices", "type" : "article-journal", "volume" : "34" }, "uris" : [ "http://www.mendeley.com/documents/?uuid=61042f37-a88b-4794-b0c1-00c72a257728" ] }, { "id" : "ITEM-2", "itemData" : { "author" : [ { "dropping-particle" : "", "family" : "Task Force of The European Society of Cardiology and The North American Society of Pacing and Electrophysiology", "given" : "", "non-dropping-particle" : "", "parse-names" : false, "suffix" : "" } ], "container-title" : "European Heart Journal", "id" : "ITEM-2", "issued" : { "date-parts" : [ [ "1996" ] ] }, "page" : "354-381", "title" : "Heart Rate Variability: Standards of Measurement, Physiological Interpretation, and Clinical Use", "type" : "article-journal", "volume" : "17" }, "uris" : [ "http://www.mendeley.com/documents/?uuid=c31ea09c-4c6e-41c4-bfea-2b135535ea78" ] } ], "mendeley" : { "formattedCitation" : "(Nussinovitch et al., 2011; Task Force of The European Society of Cardiology and The North American Society of Pacing and Electrophysiology, 1996)", "manualFormatting" : "Nussinovitch et al., 2011; Task Force, 1996)", "plainTextFormattedCitation" : "(Nussinovitch et al., 2011; Task Force of The European Society of Cardiology and The North American Society of Pacing and Electrophysiology, 1996)", "previouslyFormattedCitation" : "(Nussinovitch et al., 2011; Task Force of The European Society of Cardiology and The North American Society of Pacing and Electrophysiology, 1996)" }, "properties" : { "noteIndex" : 0 }, "schema" : "https://github.com/citation-style-language/schema/raw/master/csl-citation.json" }</w:instrText>
      </w:r>
      <w:r w:rsidR="00AA1F6F" w:rsidRPr="0013016F">
        <w:rPr>
          <w:rFonts w:eastAsia="Calibri" w:cs="Times New Roman"/>
          <w:lang w:val="en-US"/>
        </w:rPr>
        <w:fldChar w:fldCharType="separate"/>
      </w:r>
      <w:r w:rsidR="00AA1F6F" w:rsidRPr="0013016F">
        <w:rPr>
          <w:rFonts w:eastAsia="Calibri" w:cs="Times New Roman"/>
          <w:noProof/>
          <w:lang w:val="en-US"/>
        </w:rPr>
        <w:t>Nussinovitch et al., 2011; Task Force, 1996)</w:t>
      </w:r>
      <w:r w:rsidR="00AA1F6F" w:rsidRPr="0013016F">
        <w:rPr>
          <w:rFonts w:eastAsia="Calibri" w:cs="Times New Roman"/>
          <w:lang w:val="en-US"/>
        </w:rPr>
        <w:fldChar w:fldCharType="end"/>
      </w:r>
      <w:r w:rsidR="00AA1F6F" w:rsidRPr="0013016F">
        <w:rPr>
          <w:rFonts w:eastAsia="Calibri" w:cs="Times New Roman"/>
          <w:lang w:val="en-US"/>
        </w:rPr>
        <w:t xml:space="preserve">, </w:t>
      </w:r>
      <w:r w:rsidR="009A7F63" w:rsidRPr="0013016F">
        <w:rPr>
          <w:rFonts w:eastAsia="Calibri" w:cs="Times New Roman"/>
          <w:lang w:val="en-US"/>
        </w:rPr>
        <w:t xml:space="preserve">it should be noted that </w:t>
      </w:r>
      <w:r w:rsidR="00AA1F6F" w:rsidRPr="0013016F">
        <w:rPr>
          <w:rFonts w:eastAsia="Calibri" w:cs="Times New Roman"/>
          <w:lang w:val="en-US"/>
        </w:rPr>
        <w:t>the short baseline recording might limit</w:t>
      </w:r>
      <w:r w:rsidR="009A7F63" w:rsidRPr="0013016F">
        <w:rPr>
          <w:rFonts w:eastAsia="Calibri" w:cs="Times New Roman"/>
          <w:lang w:val="en-US"/>
        </w:rPr>
        <w:t xml:space="preserve"> the</w:t>
      </w:r>
      <w:r w:rsidR="00AA1F6F" w:rsidRPr="0013016F">
        <w:rPr>
          <w:rFonts w:eastAsia="Calibri" w:cs="Times New Roman"/>
          <w:lang w:val="en-US"/>
        </w:rPr>
        <w:t xml:space="preserve"> validity for measuring trait differences. Before the baseline measurement</w:t>
      </w:r>
      <w:r w:rsidR="007D3E02" w:rsidRPr="0013016F">
        <w:rPr>
          <w:rFonts w:eastAsia="Calibri" w:cs="Times New Roman"/>
          <w:lang w:val="en-US"/>
        </w:rPr>
        <w:t xml:space="preserve">, </w:t>
      </w:r>
      <w:r w:rsidRPr="0013016F">
        <w:rPr>
          <w:rFonts w:eastAsia="Calibri" w:cs="Times New Roman"/>
          <w:lang w:val="en-US"/>
        </w:rPr>
        <w:t xml:space="preserve">participants were </w:t>
      </w:r>
      <w:r w:rsidR="007D3E02" w:rsidRPr="0013016F">
        <w:rPr>
          <w:rFonts w:eastAsia="Calibri" w:cs="Times New Roman"/>
          <w:lang w:val="en-US"/>
        </w:rPr>
        <w:t xml:space="preserve">instructed </w:t>
      </w:r>
      <w:r w:rsidRPr="0013016F">
        <w:rPr>
          <w:rFonts w:eastAsia="Calibri" w:cs="Times New Roman"/>
          <w:lang w:val="en-US"/>
        </w:rPr>
        <w:t xml:space="preserve">to sit in a chair for two minutes and relax without closing their eyes or crossing their feet. Physiological signals, including electrocardiogram (ECG), were recorded, which allowed us to calculate HRV. </w:t>
      </w:r>
      <w:r w:rsidR="00AA1F6F" w:rsidRPr="0013016F">
        <w:rPr>
          <w:rFonts w:eastAsia="Calibri" w:cs="Times New Roman"/>
          <w:lang w:val="en-US"/>
        </w:rPr>
        <w:t>The period between the hook-up of the electrodes and the baseline measurement was usually only a few minutes (5 to 8). Although we did so for efficiency sake, this did not provide a great deal of time for participants to acclimatize to the hook-up.</w:t>
      </w:r>
    </w:p>
    <w:p w:rsidR="00354EA1" w:rsidRPr="0013016F" w:rsidRDefault="00354EA1" w:rsidP="00354EA1">
      <w:pPr>
        <w:spacing w:line="480" w:lineRule="auto"/>
        <w:ind w:firstLine="720"/>
        <w:rPr>
          <w:rFonts w:eastAsia="Calibri" w:cs="Times New Roman"/>
          <w:lang w:val="en-US"/>
        </w:rPr>
      </w:pPr>
      <w:r w:rsidRPr="0013016F">
        <w:rPr>
          <w:rFonts w:eastAsia="Calibri" w:cs="Times New Roman"/>
          <w:b/>
          <w:lang w:val="en-US"/>
        </w:rPr>
        <w:t>Room 101.</w:t>
      </w:r>
      <w:r w:rsidRPr="0013016F">
        <w:rPr>
          <w:rFonts w:eastAsia="Calibri" w:cs="Times New Roman"/>
          <w:lang w:val="en-US"/>
        </w:rPr>
        <w:t xml:space="preserve"> Room 101 is a 3D digital IVE that was designed to incorporate different threats in a changing, complex, and naturalistic environment. In total, Room 101 takes 5:06 minutes to complete. It starts as a bare room slightly lit by fluorescent tubes, containing a number of wooden crates scattered and stacked in its middle and corners. To get participants to move around the room and notice the various stimuli, they have the task to collect jars </w:t>
      </w:r>
      <w:r w:rsidR="000A2E08" w:rsidRPr="0013016F">
        <w:rPr>
          <w:rFonts w:eastAsia="Calibri" w:cs="Times New Roman"/>
          <w:lang w:val="en-US"/>
        </w:rPr>
        <w:t xml:space="preserve">by touching them </w:t>
      </w:r>
      <w:r w:rsidRPr="0013016F">
        <w:rPr>
          <w:rFonts w:eastAsia="Calibri" w:cs="Times New Roman"/>
          <w:lang w:val="en-US"/>
        </w:rPr>
        <w:t>with their virtual hand as they appear sequentially throughout the room</w:t>
      </w:r>
      <w:r w:rsidR="000A2E08" w:rsidRPr="0013016F">
        <w:rPr>
          <w:rFonts w:eastAsia="Calibri" w:cs="Times New Roman"/>
          <w:lang w:val="en-US"/>
        </w:rPr>
        <w:t xml:space="preserve">. </w:t>
      </w:r>
      <w:r w:rsidRPr="0013016F">
        <w:rPr>
          <w:rFonts w:eastAsia="Calibri" w:cs="Times New Roman"/>
          <w:lang w:val="en-US"/>
        </w:rPr>
        <w:t>While progressing through the task, the participants traverse different phases of low threat (only ambient sounds), intermittent threats (such as exploding crates and neon tubes, or gunshots) and prolonged threats (such as the floor collapsing; see figure 1 for a timeline of Room 101 and</w:t>
      </w:r>
      <w:hyperlink r:id="rId8">
        <w:r w:rsidRPr="0013016F">
          <w:rPr>
            <w:rFonts w:cs="Times New Roman"/>
            <w:lang w:val="en-US"/>
          </w:rPr>
          <w:t xml:space="preserve"> </w:t>
        </w:r>
      </w:hyperlink>
      <w:r w:rsidR="00414016" w:rsidRPr="0013016F">
        <w:rPr>
          <w:lang w:val="en-US"/>
        </w:rPr>
        <w:t xml:space="preserve"> </w:t>
      </w:r>
      <w:r w:rsidR="00414016" w:rsidRPr="0013016F">
        <w:rPr>
          <w:lang w:val="en-US"/>
        </w:rPr>
        <w:lastRenderedPageBreak/>
        <w:t>https://youtu.be/Lnl8opbaP4U</w:t>
      </w:r>
      <w:r w:rsidRPr="0013016F">
        <w:rPr>
          <w:rFonts w:eastAsia="Calibri" w:cs="Times New Roman"/>
          <w:color w:val="000000"/>
          <w:lang w:val="en-US"/>
        </w:rPr>
        <w:t xml:space="preserve"> for </w:t>
      </w:r>
      <w:r w:rsidRPr="0013016F">
        <w:rPr>
          <w:rFonts w:eastAsia="Calibri" w:cs="Times New Roman"/>
          <w:lang w:val="en-US"/>
        </w:rPr>
        <w:t xml:space="preserve">a video of the environment). The exact design of Room 101 is described elsewhere in greater detail (McCall et al., </w:t>
      </w:r>
      <w:r w:rsidR="00095240" w:rsidRPr="0013016F">
        <w:rPr>
          <w:rFonts w:eastAsia="Calibri" w:cs="Times New Roman"/>
          <w:lang w:val="en-US"/>
        </w:rPr>
        <w:t>2015</w:t>
      </w:r>
      <w:r w:rsidRPr="0013016F">
        <w:rPr>
          <w:rFonts w:eastAsia="Calibri" w:cs="Times New Roman"/>
          <w:lang w:val="en-US"/>
        </w:rPr>
        <w:t>). The prolonged threats are especially interesting with regard to our hypotheses, as they allow for online regulations: 1) Spiders fill the room ( for 55 seconds), 2) four explosions destroy the floor aside from four remaining I-beams, revealing a 3.5m drop to the concrete floor beneath (60 seconds), and 3) a monstrous, hissing  spider appears from an exploding crate (20 seconds). If participants had stated to be spider phobic (16 participants) or afraid of heights (13 participants), we replaced the spiders by snakes or reduced the drop of the floor to a few centimeters, respectively</w:t>
      </w:r>
      <w:r w:rsidR="00AA1F6F" w:rsidRPr="0013016F">
        <w:rPr>
          <w:rFonts w:eastAsia="Calibri" w:cs="Times New Roman"/>
          <w:vertAlign w:val="superscript"/>
          <w:lang w:val="en-US"/>
        </w:rPr>
        <w:t>2</w:t>
      </w:r>
      <w:r w:rsidR="00AA1F6F" w:rsidRPr="0013016F">
        <w:rPr>
          <w:rFonts w:eastAsia="Calibri" w:cs="Times New Roman"/>
          <w:lang w:val="en-US"/>
        </w:rPr>
        <w:t>.</w:t>
      </w:r>
    </w:p>
    <w:p w:rsidR="00354EA1" w:rsidRPr="0013016F" w:rsidRDefault="00354EA1" w:rsidP="00354EA1">
      <w:pPr>
        <w:spacing w:line="480" w:lineRule="auto"/>
        <w:ind w:firstLine="720"/>
        <w:rPr>
          <w:rFonts w:eastAsia="Calibri" w:cs="Times New Roman"/>
          <w:lang w:val="en-US"/>
        </w:rPr>
      </w:pPr>
      <w:r w:rsidRPr="0013016F">
        <w:rPr>
          <w:rFonts w:eastAsia="Calibri" w:cs="Times New Roman"/>
          <w:b/>
          <w:lang w:val="en-US"/>
        </w:rPr>
        <w:t>The playback.</w:t>
      </w:r>
      <w:r w:rsidRPr="0013016F">
        <w:rPr>
          <w:rFonts w:eastAsia="Calibri" w:cs="Times New Roman"/>
          <w:lang w:val="en-US"/>
        </w:rPr>
        <w:t xml:space="preserve"> The playback </w:t>
      </w:r>
      <w:r w:rsidR="00306514" w:rsidRPr="0013016F">
        <w:rPr>
          <w:rFonts w:eastAsia="Calibri" w:cs="Times New Roman"/>
          <w:lang w:val="en-US"/>
        </w:rPr>
        <w:t>was</w:t>
      </w:r>
      <w:r w:rsidRPr="0013016F">
        <w:rPr>
          <w:rFonts w:eastAsia="Calibri" w:cs="Times New Roman"/>
          <w:lang w:val="en-US"/>
        </w:rPr>
        <w:t xml:space="preserve"> designed to obtain a continuous measure of subjectively experienced arousal. It is a simulation, including audio, of the participants’ (first person) viewpoint during Room 101, which is played back to them on a desktop computer. During the playback, the participants’ task was to watch the playback and continuously rate how aroused they had felt during every moment in Room 101, using the scroll wheel of the computers’ mouse. Scrolling would move a small horizontal line up or down on a vertical sliding scale, which was visible on the right side of the screen. Below and above this scale, respectively, we indicated the range of the scale:</w:t>
      </w:r>
      <w:r w:rsidR="006779CC" w:rsidRPr="0013016F">
        <w:rPr>
          <w:rFonts w:eastAsia="Calibri"/>
          <w:lang w:val="en-US"/>
        </w:rPr>
        <w:t xml:space="preserve"> “little emotionally aroused” to “highly emotionally aroused”</w:t>
      </w:r>
      <w:r w:rsidRPr="0013016F">
        <w:rPr>
          <w:rFonts w:eastAsia="Calibri" w:cs="Times New Roman"/>
          <w:lang w:val="en-US"/>
        </w:rPr>
        <w:t>. In the beginning, the horizontal line was in the middle of the scale, but we asked the participants to initially indicate on the scale how aroused they remembered to have been during the instructions of Room 101.</w:t>
      </w:r>
    </w:p>
    <w:p w:rsidR="00354EA1" w:rsidRPr="0013016F" w:rsidRDefault="00354EA1" w:rsidP="00354EA1">
      <w:pPr>
        <w:spacing w:line="480" w:lineRule="auto"/>
        <w:ind w:firstLine="720"/>
        <w:rPr>
          <w:rFonts w:cs="Times New Roman"/>
          <w:lang w:val="en-US"/>
        </w:rPr>
      </w:pPr>
      <w:r w:rsidRPr="0013016F">
        <w:rPr>
          <w:rFonts w:eastAsia="Calibri" w:cs="Times New Roman"/>
          <w:b/>
          <w:lang w:val="en-US"/>
        </w:rPr>
        <w:t>Task switching task.</w:t>
      </w:r>
      <w:r w:rsidRPr="0013016F">
        <w:rPr>
          <w:rFonts w:eastAsia="Calibri" w:cs="Times New Roman"/>
          <w:lang w:val="en-US"/>
        </w:rPr>
        <w:t xml:space="preserve"> The task switching task (Engen &amp; Singer, in preparation) was based on the tasks of Whitmer and Banich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"author" : [ { "dropping-particle" : "", "family" : "Whitmer", "given" : "Anson J", "non-dropping-particle" : "", "parse-names" : false, "suffix" : "" }, { "dropping-particle" : "", "family" : "Banich", "given" : "Marie T", "non-dropping-particle" : "", "parse-names" : false, "suffix" : "" } ], "container-title" : "Psychological Science", "id" : "ITEM-1", "issue" : "6", "issued" : { "date-parts" : [ [ "2007" ] ] }, "page" : "546-553", "title" : "Inhibition Versus Switching Deficits in Different Forms of Rumination", "type" : "article-journal", "volume" : "18" }, "uris" : [ "http://www.mendeley.com/documents/?uuid=89f54897-702f-414b-bed9-e99aa928af72" ] } ], "mendeley" : { "formattedCitation" : "(Whitmer &amp; Banich, 2007)", "manualFormatting" : "(2007)", "plainTextFormattedCitation" : "(Whitmer &amp; Banich, 2007)", "previouslyFormattedCitation" : "(Whitmer &amp; Banich, 2007)"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(2007)</w:t>
      </w:r>
      <w:r w:rsidR="00AA1F6F" w:rsidRPr="0013016F">
        <w:rPr>
          <w:rFonts w:eastAsia="Calibri" w:cs="Times New Roman"/>
          <w:lang w:val="en-US"/>
        </w:rPr>
        <w:fldChar w:fldCharType="end"/>
      </w:r>
      <w:r w:rsidRPr="0013016F">
        <w:rPr>
          <w:rFonts w:eastAsia="Calibri" w:cs="Times New Roman"/>
          <w:lang w:val="en-US"/>
        </w:rPr>
        <w:t xml:space="preserve">  and Genet and Siemer (2011). The task was designed to measure shifting between different rules of how to categorize the stimulus. The stimuli were words from the LANG database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"DOI" : "10.3758/BRM.42.4.987", "ISSN" : "1554-3528", "PMID" : "21139165", "abstract" : "To facilitate investigations of verbal emotional processing, we introduce the Leipzig Affective Norms for German (LANG), a list of 1,000 German nouns that have been rated for emotional valence, arousal, and concreteness. A critical factor regarding the quality of normative word data is their reliability. We therefore acquired ratings from a sample that was tested twice, with an interval of 2 years, to calculate test-retest reliability. Furthermore, we recruited a second sample to test reliability across independent samples. The results show (1) the typical quadratic relation of valence and arousal, replicating previous data, (2) very high test-retest reliability (&gt;.95), and (3) high correlations between the two samples (&gt;.85). Because the range of ratings was also very high, we provide a comprehensive set of words with reliable affective norms, which makes it possible to select highly controlled subsamples varying in emotional status. The database is available as a supplement for this article at http://brm.psychonomic-journals.org/content/supplemental.", "author" : [ { "dropping-particle" : "", "family" : "Kanske", "given" : "Philipp", "non-dropping-particle" : "", "parse-names" : false, "suffix" : "" }, { "dropping-particle" : "", "family" : "Kotz", "given" : "Sonja A", "non-dropping-particle" : "", "parse-names" : false, "suffix" : "" } ], "container-title" : "Behavior research methods", "id" : "ITEM-1", "issue" : "4", "issued" : { "date-parts" : [ [ "2010", "11" ] ] }, "page" : "987-91", "title" : "Leipzig Affective Norms for German: a reliability study.", "type" : "article-journal", "volume" : "42" }, "uris" : [ "http://www.mendeley.com/documents/?uuid=627d8482-526a-47bc-9044-585dcf04931d" ] } ], "mendeley" : { "formattedCitation" : "(Kanske &amp; Kotz, 2010)", "plainTextFormattedCitation" : "(Kanske &amp; Kotz, 2010)", "previouslyFormattedCitation" : "(Kanske &amp; Kotz, 2010)"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(Kanske &amp; Kotz, 2010)</w:t>
      </w:r>
      <w:r w:rsidR="00AA1F6F" w:rsidRPr="0013016F">
        <w:rPr>
          <w:rFonts w:eastAsia="Calibri" w:cs="Times New Roman"/>
          <w:lang w:val="en-US"/>
        </w:rPr>
        <w:fldChar w:fldCharType="end"/>
      </w:r>
      <w:r w:rsidRPr="0013016F">
        <w:rPr>
          <w:rFonts w:eastAsia="Calibri" w:cs="Times New Roman"/>
          <w:lang w:val="en-US"/>
        </w:rPr>
        <w:t xml:space="preserve">, selected on basis of the </w:t>
      </w:r>
      <w:r w:rsidRPr="0013016F">
        <w:rPr>
          <w:rFonts w:eastAsia="Calibri" w:cs="Times New Roman"/>
          <w:lang w:val="en-US"/>
        </w:rPr>
        <w:lastRenderedPageBreak/>
        <w:t xml:space="preserve">highest combination of ratings for valence and arousal. The words varied on three features: the valence (positive vs. negative), the color (blue vs. red), and the grammatical category (noun vs. adjective). Three different rules existed, one affective and two non-affective. For the affective rule, participants evaluated the valence of the word (Val). For the non-affective rules, participants either evaluated the word’s color (Col) or the grammar of the word (Gra). The task consisted of 3 blocks of 122 pseudo-randomized trials each. Words were presented on a desktop computer screen and were visible until the participant had responded by pushing a key. The response keys were the 1 and 3 keys on the number pad of the keyboard. Assignment of keys to responses was counterbalanced. The design is further described elsewhere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"author" : [ { "dropping-particle" : "", "family" : "Engen", "given" : "Haakon G", "non-dropping-particle" : "", "parse-names" : false, "suffix" : "" }, { "dropping-particle" : "", "family" : "Singer", "given" : "Tania", "non-dropping-particle" : "", "parse-names" : false, "suffix" : "" } ], "id" : "ITEM-1", "issued" : { "date-parts" : [ [ "0" ] ] }, "title" : "Neural and Behavioral Correlates of Emotional Task Switching", "type" : "article-journal" }, "uris" : [ "http://www.mendeley.com/documents/?uuid=f2fa2970-1cb2-432c-a229-83183273bd14" ] } ], "mendeley" : { "formattedCitation" : "(Engen &amp; Singer, n.d.)", "manualFormatting" : "(Engen &amp; Singer, ", "plainTextFormattedCitation" : "(Engen &amp; Singer, n.d.)", "previouslyFormattedCitation" : "(Engen &amp; Singer, n.d.)"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 xml:space="preserve">(Engen &amp; Singer, </w:t>
      </w:r>
      <w:r w:rsidR="00AA1F6F" w:rsidRPr="0013016F">
        <w:rPr>
          <w:rFonts w:eastAsia="Calibri" w:cs="Times New Roman"/>
          <w:lang w:val="en-US"/>
        </w:rPr>
        <w:fldChar w:fldCharType="end"/>
      </w:r>
      <w:r w:rsidRPr="0013016F">
        <w:rPr>
          <w:rFonts w:eastAsia="Calibri" w:cs="Times New Roman"/>
          <w:lang w:val="en-US"/>
        </w:rPr>
        <w:t>in preparation).</w:t>
      </w:r>
    </w:p>
    <w:p w:rsidR="00354EA1" w:rsidRPr="0013016F" w:rsidRDefault="00354EA1" w:rsidP="00675D16">
      <w:pPr>
        <w:spacing w:line="480" w:lineRule="auto"/>
        <w:ind w:firstLine="720"/>
        <w:rPr>
          <w:rFonts w:cs="Times New Roman"/>
          <w:lang w:val="en-US"/>
        </w:rPr>
      </w:pPr>
      <w:r w:rsidRPr="0013016F">
        <w:rPr>
          <w:rFonts w:eastAsia="Calibri" w:cs="Times New Roman"/>
          <w:b/>
          <w:lang w:val="en-US"/>
        </w:rPr>
        <w:t>Resilience Questionnaire.</w:t>
      </w:r>
      <w:r w:rsidRPr="0013016F">
        <w:rPr>
          <w:rFonts w:eastAsia="Calibri" w:cs="Times New Roman"/>
          <w:lang w:val="en-US"/>
        </w:rPr>
        <w:t xml:space="preserve"> We assessed trait resilience with the Ego-Resilience Scale (ER89,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"DOI" : "10.1037//0022-3514.70.2.349", "ISSN" : "0022-3514", "author" : [ { "dropping-particle" : "", "family" : "Block", "given" : "Jack", "non-dropping-particle" : "", "parse-names" : false, "suffix" : "" }, { "dropping-particle" : "", "family" : "Kremen", "given" : "Adam M.", "non-dropping-particle" : "", "parse-names" : false, "suffix" : "" } ], "container-title" : "Journal of Personality and Social Psychology", "id" : "ITEM-1", "issue" : "2", "issued" : { "date-parts" : [ [ "1996" ] ] }, "page" : "349-361", "title" : "IQ and ego-resiliency: Conceptual and empirical connections and separateness.", "type" : "article-journal", "volume" : "70" }, "uris" : [ "http://www.mendeley.com/documents/?uuid=f8b49d06-5010-4a68-8fa6-3b62a4cfa508" ] } ], "mendeley" : { "formattedCitation" : "(Block &amp; Kremen, 1996)", "manualFormatting" : "Block &amp; Kremen, 1996)", "plainTextFormattedCitation" : "(Block &amp; Kremen, 1996)", "previouslyFormattedCitation" : "(Block &amp; Kremen, 1996)"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Block &amp; Kremen, 1996)</w:t>
      </w:r>
      <w:r w:rsidR="00AA1F6F" w:rsidRPr="0013016F">
        <w:rPr>
          <w:rFonts w:eastAsia="Calibri" w:cs="Times New Roman"/>
          <w:lang w:val="en-US"/>
        </w:rPr>
        <w:fldChar w:fldCharType="end"/>
      </w:r>
      <w:r w:rsidRPr="0013016F">
        <w:rPr>
          <w:rFonts w:eastAsia="Calibri" w:cs="Times New Roman"/>
          <w:lang w:val="en-US"/>
        </w:rPr>
        <w:t>. The ER89 consists of 14 items related to bouncing back after everyday stress and openness to new experiences (e.g. “I quickly get over and recover from being startled”, “I usually succeed in making a favorable impression on people”).</w:t>
      </w:r>
    </w:p>
    <w:p w:rsidR="00354EA1" w:rsidRPr="0013016F" w:rsidRDefault="00354EA1" w:rsidP="00354EA1">
      <w:pPr>
        <w:spacing w:line="480" w:lineRule="auto"/>
        <w:rPr>
          <w:rFonts w:cs="Times New Roman"/>
          <w:b/>
          <w:lang w:val="en-US"/>
        </w:rPr>
      </w:pPr>
      <w:r w:rsidRPr="0013016F">
        <w:rPr>
          <w:rFonts w:eastAsia="Calibri" w:cs="Times New Roman"/>
          <w:b/>
          <w:lang w:val="en-US"/>
        </w:rPr>
        <w:t>Preprocessing and data reduction</w:t>
      </w:r>
    </w:p>
    <w:p w:rsidR="00354EA1" w:rsidRPr="0013016F" w:rsidRDefault="00354EA1" w:rsidP="00354EA1">
      <w:pPr>
        <w:spacing w:line="480" w:lineRule="auto"/>
        <w:ind w:firstLine="720"/>
        <w:rPr>
          <w:rFonts w:cs="Times New Roman"/>
          <w:lang w:val="en-US"/>
        </w:rPr>
      </w:pPr>
      <w:r w:rsidRPr="0013016F">
        <w:rPr>
          <w:rFonts w:eastAsia="Calibri" w:cs="Times New Roman"/>
          <w:b/>
          <w:lang w:val="en-US"/>
        </w:rPr>
        <w:t>Skin Conductance Level.</w:t>
      </w:r>
      <w:r w:rsidRPr="0013016F">
        <w:rPr>
          <w:rFonts w:eastAsia="Calibri" w:cs="Times New Roman"/>
          <w:lang w:val="en-US"/>
        </w:rPr>
        <w:t xml:space="preserve"> Skin conductance preprocessing was conducted in Matlab (The MathWorks, Inc., Natick, Massachusetts, US). First, data were downsampled to 500 Hz and gross artifacts, likely due to participants’ touching of the electrodes while moving in Room 101, were identified and corrected using an algorithm. The artifacts were characterized by spontaneous, immediate jumps of the skin conductance level to a higher or lower level. The algorithm scanned the absolute sample-by-sample differences and flagged those that exceeded 0.05 microsiemens per sample of 500 msec, which proved to be sensitive to the artifacts but insensitive to naturally occurring changes. Subsequently, the algorithm went through the artifacts, calculated for each artifact the change of skin conductance between the samples before </w:t>
      </w:r>
      <w:r w:rsidRPr="0013016F">
        <w:rPr>
          <w:rFonts w:eastAsia="Calibri" w:cs="Times New Roman"/>
          <w:lang w:val="en-US"/>
        </w:rPr>
        <w:lastRenderedPageBreak/>
        <w:t xml:space="preserve">and after, and subtracted this difference from all samples starting at the artifact to the end of the recording. Data were then further downsampled to 1Hz and centered on the first sample of the instructions preceding Room 101 in order to minimize between subject differences in baseline skin conductance level due to electrode placement, physical differences, and etc.  </w:t>
      </w:r>
    </w:p>
    <w:p w:rsidR="00354EA1" w:rsidRPr="0013016F" w:rsidRDefault="00354EA1" w:rsidP="00354EA1">
      <w:pPr>
        <w:spacing w:line="480" w:lineRule="auto"/>
        <w:ind w:firstLine="720"/>
        <w:rPr>
          <w:rFonts w:eastAsia="Calibri" w:cs="Times New Roman"/>
          <w:lang w:val="en-US"/>
        </w:rPr>
      </w:pPr>
      <w:r w:rsidRPr="0013016F">
        <w:rPr>
          <w:rFonts w:eastAsia="Calibri" w:cs="Times New Roman"/>
          <w:b/>
          <w:lang w:val="en-US"/>
        </w:rPr>
        <w:t>Subjective Ratings of Arousal.</w:t>
      </w:r>
      <w:r w:rsidRPr="0013016F">
        <w:rPr>
          <w:rFonts w:eastAsia="Calibri" w:cs="Times New Roman"/>
          <w:lang w:val="en-US"/>
        </w:rPr>
        <w:t xml:space="preserve"> The continuous subjective rating measured during the playback was downsampled to 1Hz.</w:t>
      </w:r>
    </w:p>
    <w:p w:rsidR="00354EA1" w:rsidRPr="0013016F" w:rsidRDefault="00354EA1" w:rsidP="00354EA1">
      <w:pPr>
        <w:spacing w:line="480" w:lineRule="auto"/>
        <w:ind w:firstLine="720"/>
        <w:rPr>
          <w:rFonts w:cs="Times New Roman"/>
          <w:lang w:val="en-US"/>
        </w:rPr>
      </w:pPr>
      <w:r w:rsidRPr="0013016F">
        <w:rPr>
          <w:rFonts w:eastAsia="Calibri" w:cs="Times New Roman"/>
          <w:b/>
          <w:lang w:val="en-US"/>
        </w:rPr>
        <w:t>Heart Rate Variability.</w:t>
      </w:r>
      <w:r w:rsidRPr="0013016F">
        <w:rPr>
          <w:rFonts w:eastAsia="Calibri" w:cs="Times New Roman"/>
          <w:lang w:val="en-US"/>
        </w:rPr>
        <w:t xml:space="preserve"> The ECG data was exported from Acqknowledge to a custom Python-based program. This program identified the R peaks by searching for local maxima within a certain window after the last R peak and allowed us to scroll through the data and change the location of misplaced R markers. Moreover, it allowed us to (linearly) interpolate up to four missing R peaks and exclude regions that were not salvageable. This program also provided the duration of the RR intervals. Subsequently, the RR interval data were fed into Kubios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"10.1016/j.cmpb.2013.07.024", "ISSN" : "1872-7565", "PMID" : "24054542", "abstract" : "Kubios HRV is an advanced and easy to use software for heart rate variability (HRV) analysis. The software supports several input data formats for electrocardiogram (ECG) data and beat-to-beat RR interval data. It includes an adaptive QRS detection algorithm and tools for artifact correction, trend removal and analysis sample selection. The software computes all the commonly used time-domain and frequency-domain HRV parameters and several nonlinear parameters. There are several adjustable analysis settings through which the analysis methods can be optimized for different data. The ECG derived respiratory frequency is also computed, which is important for reliable interpretation of the analysis results. The analysis results can be saved as an ASCII text file (easy to import into MS Excel or SPSS), Matlab MAT-file, or as a PDF report. The software is easy to use through its compact graphical user interface. The software is available free of charge for Windows and Linux operating systems at http://kubios.uef.fi.", "author" : [ { "dropping-particle" : "", "family" : "Tarvainen", "given" : "Mika P", "non-dropping-particle" : "", "parse-names" : false, "suffix" : "" }, { "dropping-particle" : "", "family" : "Niskanen", "given" : "Juha-Pekka", "non-dropping-particle" : "", "parse-names" : false, "suffix" : "" }, { "dropping-particle" : "", "family" : "Lipponen", "given" : "Jukka A", "non-dropping-particle" : "", "parse-names" : false, "suffix" : "" }, { "dropping-particle" : "", "family" : "Ranta-Aho", "given" : "Perttu O", "non-dropping-particle" : "", "parse-names" : false, "suffix" : "" }, { "dropping-particle" : "", "family" : "Karjalainen", "given" : "Pasi A", "non-dropping-particle" : "", "parse-names" : false, "suffix" : "" } ], "container-title" : "Computer Methods and Programs in Biomedicine", "id" : "ITEM-1", "issue" : "1", "issued" : { "date-parts" : [ [ "2014", "1" ] ] }, "page" : "210-20", "publisher" : "Elsevier Ireland Ltd", "title" : "Kubios HRV--heart rate variability analysis software.", "type" : "article-journal", "volume" : "113" }, "uris" : [ "http://www.mendeley.com/documents/?uuid=ac2b7d82-114e-4f7c-a90d-8a80bdeb8774" ] } ], "mendeley" : { "formattedCitation" : "(Tarvainen, Niskanen, Lipponen, Ranta-Aho, &amp; Karjalainen, 2014)", "plainTextFormattedCitation" : "(Tarvainen, Niskanen, Lipponen, Ranta-Aho, &amp; Karjalainen, 2014)", "previouslyFormattedCitation" : "(Tarvainen, Niskanen, Lipponen, Ranta-Aho, &amp; Karjalainen, 2014)" }, "properties" : { "noteIndex" : 0 }, "schema" : "https://github.com/citation-style-language/schema/raw/master/csl-citation.json" }</w:instrText>
      </w:r>
      <w:r w:rsidR="00AA1F6F" w:rsidRPr="0013016F">
        <w:rPr>
          <w:rFonts w:eastAsia="Calibri" w:cs="Times New Roman"/>
          <w:lang w:val="en-US"/>
        </w:rPr>
        <w:fldChar w:fldCharType="separate"/>
      </w:r>
      <w:r w:rsidR="00C60D1E" w:rsidRPr="0013016F">
        <w:rPr>
          <w:rFonts w:eastAsia="Calibri" w:cs="Times New Roman"/>
          <w:noProof/>
          <w:lang w:val="en-US"/>
        </w:rPr>
        <w:t>(Tarvainen, Niskanen, Lipponen, Ranta-Aho, &amp; Karjalainen, 2014)</w:t>
      </w:r>
      <w:r w:rsidR="00AA1F6F" w:rsidRPr="0013016F">
        <w:rPr>
          <w:rFonts w:eastAsia="Calibri" w:cs="Times New Roman"/>
          <w:lang w:val="en-US"/>
        </w:rPr>
        <w:fldChar w:fldCharType="end"/>
      </w:r>
      <w:r w:rsidRPr="0013016F">
        <w:rPr>
          <w:rFonts w:eastAsia="Calibri" w:cs="Times New Roman"/>
          <w:lang w:val="en-US"/>
        </w:rPr>
        <w:t>. Kubios was used to calculate the square root of the mean squared differences of successive RR intervals (RMSSD), which is a measure for vagally-mediated heart rate variability (Task Force, 1996) and has been suggested for short recordings (Nussinovitch</w:t>
      </w:r>
      <w:r w:rsidR="003C2014" w:rsidRPr="0013016F">
        <w:rPr>
          <w:rFonts w:eastAsia="Calibri" w:cs="Times New Roman"/>
          <w:lang w:val="en-US"/>
        </w:rPr>
        <w:t xml:space="preserve"> et al.</w:t>
      </w:r>
      <w:r w:rsidRPr="0013016F">
        <w:rPr>
          <w:rFonts w:eastAsia="Calibri" w:cs="Times New Roman"/>
          <w:lang w:val="en-US"/>
        </w:rPr>
        <w:t xml:space="preserve">, 2011). </w:t>
      </w:r>
    </w:p>
    <w:p w:rsidR="00354EA1" w:rsidRPr="0013016F" w:rsidRDefault="00354EA1" w:rsidP="00354EA1">
      <w:pPr>
        <w:spacing w:line="480" w:lineRule="auto"/>
        <w:ind w:firstLine="720"/>
        <w:rPr>
          <w:rFonts w:cs="Times New Roman"/>
          <w:lang w:val="en-US"/>
        </w:rPr>
      </w:pPr>
      <w:r w:rsidRPr="0013016F">
        <w:rPr>
          <w:rFonts w:eastAsia="Calibri" w:cs="Times New Roman"/>
          <w:b/>
          <w:lang w:val="en-US"/>
        </w:rPr>
        <w:t>Task Switching.</w:t>
      </w:r>
      <w:r w:rsidRPr="0013016F">
        <w:rPr>
          <w:rFonts w:eastAsia="Calibri" w:cs="Times New Roman"/>
          <w:lang w:val="en-US"/>
        </w:rPr>
        <w:t xml:space="preserve"> Trials were characterized based on the task set (Val, Col, Gra) of the current and the previous trial. Mean reaction times (see Table 1) of the possible 9 trial types were calculated: 3 repeated task set trial types (Col to Col, Gra to Gra, Val to Val), and 6 switch trial types (Col to Val, Col to Gra, Val to Col, Val to Gra, Gra to Col, Gra to Val).</w:t>
      </w:r>
    </w:p>
    <w:p w:rsidR="00C60D1E" w:rsidRPr="0013016F" w:rsidRDefault="00354EA1" w:rsidP="000A2E08">
      <w:pPr>
        <w:spacing w:line="480" w:lineRule="auto"/>
        <w:ind w:firstLine="720"/>
        <w:rPr>
          <w:rFonts w:cs="Times New Roman"/>
          <w:lang w:val="en-US"/>
        </w:rPr>
      </w:pPr>
      <w:r w:rsidRPr="0013016F">
        <w:rPr>
          <w:rFonts w:eastAsia="Calibri" w:cs="Times New Roman"/>
          <w:lang w:val="en-US"/>
        </w:rPr>
        <w:t>Non-affective task switching costs were defined as the difference in reaction times between non-affective switching trials and non-affective repetition trials. This calculation was carried out separately for Col and Gra trials and those resulting values were averaged:</w:t>
      </w:r>
    </w:p>
    <w:tbl>
      <w:tblPr>
        <w:tblW w:w="0" w:type="auto"/>
        <w:tblLook w:val="04A0" w:firstRow="1" w:lastRow="0" w:firstColumn="1" w:lastColumn="0" w:noHBand="0" w:noVBand="1"/>
      </w:tblPr>
      <w:tblGrid>
        <w:gridCol w:w="9360"/>
      </w:tblGrid>
      <w:tr w:rsidR="00354EA1" w:rsidRPr="005077AC" w:rsidTr="005077AC">
        <w:tc>
          <w:tcPr>
            <w:tcW w:w="9500" w:type="dxa"/>
            <w:shd w:val="clear" w:color="auto" w:fill="auto"/>
          </w:tcPr>
          <w:p w:rsidR="00354EA1" w:rsidRPr="005077AC" w:rsidRDefault="00354EA1" w:rsidP="005077AC">
            <w:pPr>
              <w:widowControl/>
              <w:suppressAutoHyphens w:val="0"/>
              <w:autoSpaceDN/>
              <w:spacing w:before="240" w:line="480" w:lineRule="auto"/>
              <w:jc w:val="center"/>
              <w:textAlignment w:val="auto"/>
              <w:rPr>
                <w:rFonts w:eastAsia="Calibri" w:cs="Times New Roman"/>
                <w:kern w:val="0"/>
                <w:lang w:val="en-US" w:eastAsia="en-US" w:bidi="ar-SA"/>
              </w:rPr>
            </w:pPr>
            <w:r w:rsidRPr="005077AC">
              <w:rPr>
                <w:rFonts w:eastAsia="Calibri" w:cs="Times New Roman"/>
                <w:kern w:val="0"/>
                <w:lang w:val="en-US" w:eastAsia="en-US" w:bidi="ar-SA"/>
              </w:rPr>
              <w:lastRenderedPageBreak/>
              <w:t>Switch costs between non-affective task sets:</w:t>
            </w:r>
          </w:p>
          <w:p w:rsidR="00354EA1" w:rsidRPr="005077AC" w:rsidRDefault="00354EA1" w:rsidP="005077AC">
            <w:pPr>
              <w:widowControl/>
              <w:suppressAutoHyphens w:val="0"/>
              <w:autoSpaceDN/>
              <w:spacing w:line="480" w:lineRule="auto"/>
              <w:jc w:val="center"/>
              <w:textAlignment w:val="auto"/>
              <w:rPr>
                <w:rFonts w:eastAsia="Calibri" w:cs="Times New Roman"/>
                <w:i/>
                <w:kern w:val="0"/>
                <w:sz w:val="22"/>
                <w:szCs w:val="22"/>
                <w:lang w:val="en-US" w:eastAsia="en-US" w:bidi="ar-SA"/>
              </w:rPr>
            </w:pPr>
            <w:r w:rsidRPr="005077AC">
              <w:rPr>
                <w:rFonts w:eastAsia="Calibri" w:cs="Times New Roman"/>
                <w:i/>
                <w:kern w:val="0"/>
                <w:lang w:val="en-US" w:eastAsia="en-US" w:bidi="ar-SA"/>
              </w:rPr>
              <w:t>SwitchNA = mean( (Col to Gra-Gra to Gra), (Gra to Col-Col to Col))</w:t>
            </w:r>
          </w:p>
        </w:tc>
      </w:tr>
    </w:tbl>
    <w:p w:rsidR="00354EA1" w:rsidRPr="0013016F" w:rsidRDefault="00354EA1" w:rsidP="00354EA1">
      <w:pPr>
        <w:spacing w:line="480" w:lineRule="auto"/>
        <w:ind w:firstLine="720"/>
        <w:rPr>
          <w:rFonts w:eastAsia="Calibri" w:cs="Times New Roman"/>
          <w:lang w:val="en-US"/>
        </w:rPr>
      </w:pPr>
      <w:r w:rsidRPr="0013016F">
        <w:rPr>
          <w:rFonts w:eastAsia="Calibri" w:cs="Times New Roman"/>
          <w:lang w:val="en-US"/>
        </w:rPr>
        <w:t>Switching costs to affective task sets was defined as the difference in reaction times between switch-to-Val trials and repeated-Val trial. To remove general switching ability, we subtracted the matching non-affective task switching costs from this value. Finally, we averaged over switching from Col and Gra to Val:</w:t>
      </w:r>
    </w:p>
    <w:tbl>
      <w:tblPr>
        <w:tblW w:w="0" w:type="auto"/>
        <w:tblLook w:val="04A0" w:firstRow="1" w:lastRow="0" w:firstColumn="1" w:lastColumn="0" w:noHBand="0" w:noVBand="1"/>
      </w:tblPr>
      <w:tblGrid>
        <w:gridCol w:w="9360"/>
      </w:tblGrid>
      <w:tr w:rsidR="00354EA1" w:rsidRPr="005077AC" w:rsidTr="005077AC">
        <w:tc>
          <w:tcPr>
            <w:tcW w:w="9500" w:type="dxa"/>
            <w:shd w:val="clear" w:color="auto" w:fill="auto"/>
          </w:tcPr>
          <w:p w:rsidR="00354EA1" w:rsidRPr="005077AC" w:rsidRDefault="00354EA1" w:rsidP="005077AC">
            <w:pPr>
              <w:widowControl/>
              <w:suppressAutoHyphens w:val="0"/>
              <w:autoSpaceDN/>
              <w:spacing w:before="240" w:line="480" w:lineRule="auto"/>
              <w:jc w:val="center"/>
              <w:textAlignment w:val="auto"/>
              <w:rPr>
                <w:rFonts w:eastAsia="Calibri" w:cs="Times New Roman"/>
                <w:kern w:val="0"/>
                <w:lang w:val="en-US" w:eastAsia="en-US" w:bidi="ar-SA"/>
              </w:rPr>
            </w:pPr>
            <w:r w:rsidRPr="005077AC">
              <w:rPr>
                <w:rFonts w:eastAsia="Calibri" w:cs="Times New Roman"/>
                <w:kern w:val="0"/>
                <w:lang w:val="en-US" w:eastAsia="en-US" w:bidi="ar-SA"/>
              </w:rPr>
              <w:t>Switch costs to affective task sets:</w:t>
            </w:r>
          </w:p>
          <w:p w:rsidR="00354EA1" w:rsidRPr="005077AC" w:rsidRDefault="00354EA1" w:rsidP="005077AC">
            <w:pPr>
              <w:widowControl/>
              <w:suppressAutoHyphens w:val="0"/>
              <w:autoSpaceDN/>
              <w:spacing w:line="480" w:lineRule="auto"/>
              <w:jc w:val="center"/>
              <w:textAlignment w:val="auto"/>
              <w:rPr>
                <w:rFonts w:eastAsia="Calibri" w:cs="Times New Roman"/>
                <w:i/>
                <w:kern w:val="0"/>
                <w:lang w:val="en-US" w:eastAsia="en-US" w:bidi="ar-SA"/>
              </w:rPr>
            </w:pPr>
            <w:r w:rsidRPr="005077AC">
              <w:rPr>
                <w:rFonts w:eastAsia="Calibri" w:cs="Times New Roman"/>
                <w:i/>
                <w:kern w:val="0"/>
                <w:sz w:val="22"/>
                <w:szCs w:val="22"/>
                <w:lang w:val="en-US" w:eastAsia="en-US" w:bidi="ar-SA"/>
              </w:rPr>
              <w:t>SwitchTo = mean[ ((Col to Val-Val to Val)-(Col to Gra-Gra to Gra)),</w:t>
            </w:r>
          </w:p>
          <w:p w:rsidR="00354EA1" w:rsidRPr="005077AC" w:rsidRDefault="00354EA1" w:rsidP="005077AC">
            <w:pPr>
              <w:widowControl/>
              <w:suppressAutoHyphens w:val="0"/>
              <w:autoSpaceDN/>
              <w:spacing w:line="480" w:lineRule="auto"/>
              <w:jc w:val="center"/>
              <w:textAlignment w:val="auto"/>
              <w:rPr>
                <w:rFonts w:eastAsia="Calibri" w:cs="Times New Roman"/>
                <w:kern w:val="0"/>
                <w:sz w:val="22"/>
                <w:szCs w:val="22"/>
                <w:lang w:val="en-US" w:eastAsia="en-US" w:bidi="ar-SA"/>
              </w:rPr>
            </w:pPr>
            <w:r w:rsidRPr="005077AC">
              <w:rPr>
                <w:rFonts w:eastAsia="Calibri" w:cs="Times New Roman"/>
                <w:i/>
                <w:kern w:val="0"/>
                <w:sz w:val="22"/>
                <w:szCs w:val="22"/>
                <w:lang w:val="en-US" w:eastAsia="en-US" w:bidi="ar-SA"/>
              </w:rPr>
              <w:t>((Gra to Val-Val to Val)-(Gra to Col-Col to Col))]</w:t>
            </w:r>
          </w:p>
        </w:tc>
      </w:tr>
    </w:tbl>
    <w:p w:rsidR="00354EA1" w:rsidRPr="0013016F" w:rsidRDefault="00354EA1" w:rsidP="00354EA1">
      <w:pPr>
        <w:spacing w:line="480" w:lineRule="auto"/>
        <w:ind w:firstLine="720"/>
        <w:rPr>
          <w:rFonts w:eastAsia="Calibri" w:cs="Times New Roman"/>
          <w:lang w:val="en-US"/>
        </w:rPr>
      </w:pPr>
      <w:r w:rsidRPr="0013016F">
        <w:rPr>
          <w:rFonts w:eastAsia="Calibri" w:cs="Times New Roman"/>
          <w:lang w:val="en-US"/>
        </w:rPr>
        <w:t>Switching costs from and affective task set were calculated analogously:</w:t>
      </w:r>
    </w:p>
    <w:tbl>
      <w:tblPr>
        <w:tblW w:w="0" w:type="auto"/>
        <w:tblLook w:val="04A0" w:firstRow="1" w:lastRow="0" w:firstColumn="1" w:lastColumn="0" w:noHBand="0" w:noVBand="1"/>
      </w:tblPr>
      <w:tblGrid>
        <w:gridCol w:w="9360"/>
      </w:tblGrid>
      <w:tr w:rsidR="00354EA1" w:rsidRPr="005077AC" w:rsidTr="005077AC">
        <w:tc>
          <w:tcPr>
            <w:tcW w:w="9500" w:type="dxa"/>
            <w:shd w:val="clear" w:color="auto" w:fill="auto"/>
          </w:tcPr>
          <w:p w:rsidR="00354EA1" w:rsidRPr="005077AC" w:rsidRDefault="00354EA1" w:rsidP="005077AC">
            <w:pPr>
              <w:widowControl/>
              <w:suppressAutoHyphens w:val="0"/>
              <w:autoSpaceDN/>
              <w:spacing w:before="240" w:line="480" w:lineRule="auto"/>
              <w:jc w:val="center"/>
              <w:textAlignment w:val="auto"/>
              <w:rPr>
                <w:rFonts w:eastAsia="Calibri" w:cs="Times New Roman"/>
                <w:kern w:val="0"/>
                <w:lang w:val="en-US" w:eastAsia="en-US" w:bidi="ar-SA"/>
              </w:rPr>
            </w:pPr>
            <w:r w:rsidRPr="005077AC">
              <w:rPr>
                <w:rFonts w:eastAsia="Arial" w:cs="Times New Roman"/>
                <w:kern w:val="0"/>
                <w:lang w:val="en-US" w:eastAsia="en-US" w:bidi="ar-SA"/>
              </w:rPr>
              <w:t>Switch costs from affective task sets:</w:t>
            </w:r>
          </w:p>
          <w:p w:rsidR="00354EA1" w:rsidRPr="005077AC" w:rsidRDefault="00354EA1" w:rsidP="005077AC">
            <w:pPr>
              <w:widowControl/>
              <w:suppressAutoHyphens w:val="0"/>
              <w:autoSpaceDN/>
              <w:spacing w:line="480" w:lineRule="auto"/>
              <w:jc w:val="center"/>
              <w:textAlignment w:val="auto"/>
              <w:rPr>
                <w:rFonts w:eastAsia="Calibri" w:cs="Times New Roman"/>
                <w:i/>
                <w:kern w:val="0"/>
                <w:lang w:val="en-US" w:eastAsia="en-US" w:bidi="ar-SA"/>
              </w:rPr>
            </w:pPr>
            <w:r w:rsidRPr="005077AC">
              <w:rPr>
                <w:rFonts w:eastAsia="Arial" w:cs="Times New Roman"/>
                <w:i/>
                <w:kern w:val="0"/>
                <w:lang w:val="en-US" w:eastAsia="en-US" w:bidi="ar-SA"/>
              </w:rPr>
              <w:t>SwitchFrom</w:t>
            </w:r>
            <w:r w:rsidRPr="005077AC">
              <w:rPr>
                <w:rFonts w:eastAsia="Calibri" w:cs="Times New Roman"/>
                <w:i/>
                <w:kern w:val="0"/>
                <w:lang w:val="en-US" w:eastAsia="en-US" w:bidi="ar-SA"/>
              </w:rPr>
              <w:t xml:space="preserve"> </w:t>
            </w:r>
            <w:r w:rsidRPr="005077AC">
              <w:rPr>
                <w:rFonts w:eastAsia="Arial" w:cs="Times New Roman"/>
                <w:i/>
                <w:kern w:val="0"/>
                <w:lang w:val="en-US" w:eastAsia="en-US" w:bidi="ar-SA"/>
              </w:rPr>
              <w:t>=</w:t>
            </w:r>
            <w:r w:rsidRPr="005077AC">
              <w:rPr>
                <w:rFonts w:eastAsia="Calibri" w:cs="Times New Roman"/>
                <w:i/>
                <w:kern w:val="0"/>
                <w:lang w:val="en-US" w:eastAsia="en-US" w:bidi="ar-SA"/>
              </w:rPr>
              <w:t xml:space="preserve"> </w:t>
            </w:r>
            <w:r w:rsidRPr="005077AC">
              <w:rPr>
                <w:rFonts w:eastAsia="Arial" w:cs="Times New Roman"/>
                <w:i/>
                <w:kern w:val="0"/>
                <w:lang w:val="en-US" w:eastAsia="en-US" w:bidi="ar-SA"/>
              </w:rPr>
              <w:t>mean[ ((Val to Col-Col to Col)-(Gra to Col-Col to Col))</w:t>
            </w:r>
          </w:p>
          <w:p w:rsidR="00354EA1" w:rsidRPr="005077AC" w:rsidRDefault="00354EA1" w:rsidP="005077AC">
            <w:pPr>
              <w:widowControl/>
              <w:suppressAutoHyphens w:val="0"/>
              <w:autoSpaceDN/>
              <w:spacing w:line="480" w:lineRule="auto"/>
              <w:jc w:val="center"/>
              <w:textAlignment w:val="auto"/>
              <w:rPr>
                <w:rFonts w:eastAsia="Calibri" w:cs="Times New Roman"/>
                <w:kern w:val="0"/>
                <w:sz w:val="22"/>
                <w:szCs w:val="22"/>
                <w:lang w:val="en-US" w:eastAsia="en-US" w:bidi="ar-SA"/>
              </w:rPr>
            </w:pPr>
            <w:r w:rsidRPr="005077AC">
              <w:rPr>
                <w:rFonts w:eastAsia="Arial" w:cs="Times New Roman"/>
                <w:i/>
                <w:kern w:val="0"/>
                <w:lang w:val="en-US" w:eastAsia="en-US" w:bidi="ar-SA"/>
              </w:rPr>
              <w:t>((Val to Gra-Gra to Gra)-(Col to Gra-Gra to Gra))]</w:t>
            </w:r>
          </w:p>
        </w:tc>
      </w:tr>
    </w:tbl>
    <w:p w:rsidR="00354EA1" w:rsidRPr="0013016F" w:rsidRDefault="00354EA1" w:rsidP="00354EA1">
      <w:pPr>
        <w:spacing w:line="480" w:lineRule="auto"/>
        <w:ind w:firstLine="700"/>
        <w:rPr>
          <w:rFonts w:cs="Times New Roman"/>
          <w:lang w:val="en-US"/>
        </w:rPr>
      </w:pPr>
      <w:r w:rsidRPr="0013016F">
        <w:rPr>
          <w:rFonts w:eastAsia="Calibri" w:cs="Times New Roman"/>
          <w:lang w:val="en-US"/>
        </w:rPr>
        <w:t>SwitchTo and SwitchFrom were separately calculated for positively and negatively valenced stimuli (SwitchToP, SwitchToN, SwitchFromP, SwitchFromN). It has to be noted that the SwitchTo and SwitchFrom measures are not calcu</w:t>
      </w:r>
      <w:r w:rsidR="00C60D1E" w:rsidRPr="0013016F">
        <w:rPr>
          <w:rFonts w:eastAsia="Calibri" w:cs="Times New Roman"/>
          <w:lang w:val="en-US"/>
        </w:rPr>
        <w:t>lated in the traditional way (c</w:t>
      </w:r>
      <w:r w:rsidRPr="0013016F">
        <w:rPr>
          <w:rFonts w:eastAsia="Calibri" w:cs="Times New Roman"/>
          <w:lang w:val="en-US"/>
        </w:rPr>
        <w:t xml:space="preserve">f.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"author" : [ { "dropping-particle" : "", "family" : "Whitmer", "given" : "Anson J", "non-dropping-particle" : "", "parse-names" : false, "suffix" : "" }, { "dropping-particle" : "", "family" : "Banich", "given" : "Marie T", "non-dropping-particle" : "", "parse-names" : false, "suffix" : "" } ], "container-title" : "Psychological Science", "id" : "ITEM-1", "issue" : "6", "issued" : { "date-parts" : [ [ "2007" ] ] }, "page" : "546-553", "title" : "Inhibition Versus Switching Deficits in Different Forms of Rumination", "type" : "article-journal", "volume" : "18" }, "uris" : [ "http://www.mendeley.com/documents/?uuid=89f54897-702f-414b-bed9-e99aa928af72" ] }, { "id" : "ITEM-2", "itemData" : { "DOI" : "10.1080/02699931.2010.491647", "ISSN" : "1464-0600", "PMID" : "21432680", "abstract" : "Trait resilience is a stable personality characteristic that involves the self-reported ability to flexibly adapt to emotional events and situations. The present study examined cognitive processes that may explain individual differences in trait resilience. Participants completed self-report measures of trait resilience, cognitive flexibility and working memory capacity tasks, and a novel affective task-switching paradigm that assesses the ability to flexibly switch between processing the affective versus non-affective qualities of affective stimuli (i.e., flexible affective processing). As hypothesised, cognitive flexibility and flexible affective processing were unique predictors of trait resilience. Working memory capacity was not predictive of trait resilience, indicating that trait resilience is tied to specific cognitive processes rather than overall better cognitive functioning. Cognitive flexibility and flexible affective processing were not associated with other trait measures, suggesting that these flexibility processes are unique to trait resilience. This study was among the first to investigate the cognitive abilities underlying trait resilience.", "author" : [ { "dropping-particle" : "", "family" : "Genet", "given" : "Jessica J", "non-dropping-particle" : "", "parse-names" : false, "suffix" : "" }, { "dropping-particle" : "", "family" : "Siemer", "given" : "Matthias", "non-dropping-particle" : "", "parse-names" : false, "suffix" : "" } ], "container-title" : "Cognition &amp; emotion", "id" : "ITEM-2", "issue" : "2", "issued" : { "date-parts" : [ [ "2011", "2" ] ] }, "note" : "resilience", "page" : "380-8", "title" : "Flexible control in processing affective and non-affective material predicts individual differences in trait resilience.", "type" : "article-journal", "volume" : "25" }, "uris" : [ "http://www.mendeley.com/documents/?uuid=60e27f74-1856-4ad3-87f2-77c1f7f60325" ] } ], "mendeley" : { "formattedCitation" : "(Genet &amp; Siemer, 2011; Whitmer &amp; Banich, 2007)", "manualFormatting" : "Genet &amp; Siemer, 2011; Whitmer &amp; Banich, 2007)", "plainTextFormattedCitation" : "(Genet &amp; Siemer, 2011; Whitmer &amp; Banich, 2007)", "previouslyFormattedCitation" : "(Genet &amp; Siemer, 2011; Whitmer &amp; Banich, 2007)"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Genet &amp; Siemer, 2011; Whitmer &amp; Banich, 2007)</w:t>
      </w:r>
      <w:r w:rsidR="00AA1F6F" w:rsidRPr="0013016F">
        <w:rPr>
          <w:rFonts w:eastAsia="Calibri" w:cs="Times New Roman"/>
          <w:lang w:val="en-US"/>
        </w:rPr>
        <w:fldChar w:fldCharType="end"/>
      </w:r>
      <w:r w:rsidRPr="0013016F">
        <w:rPr>
          <w:rFonts w:eastAsia="Calibri" w:cs="Times New Roman"/>
          <w:lang w:val="en-US"/>
        </w:rPr>
        <w:t xml:space="preserve">, as we wanted - and our design allowed </w:t>
      </w:r>
      <w:r w:rsidR="006779CC" w:rsidRPr="0013016F">
        <w:rPr>
          <w:rFonts w:eastAsia="Calibri"/>
          <w:lang w:val="en-US"/>
        </w:rPr>
        <w:t>us – to control for general, non-affective sources of switching abilities (i.e. by subtracting it) when calculating the affective switching costs (SwitchTo and SwitchFrom)</w:t>
      </w:r>
      <w:r w:rsidRPr="0013016F">
        <w:rPr>
          <w:rFonts w:eastAsia="Calibri" w:cs="Times New Roman"/>
          <w:lang w:val="en-US"/>
        </w:rPr>
        <w:t>.</w:t>
      </w:r>
    </w:p>
    <w:p w:rsidR="00354EA1" w:rsidRPr="0013016F" w:rsidRDefault="00354EA1" w:rsidP="00354EA1">
      <w:pPr>
        <w:spacing w:line="480" w:lineRule="auto"/>
        <w:rPr>
          <w:rFonts w:cs="Times New Roman"/>
          <w:b/>
          <w:lang w:val="en-US"/>
        </w:rPr>
      </w:pPr>
      <w:r w:rsidRPr="0013016F">
        <w:rPr>
          <w:rFonts w:eastAsia="Calibri" w:cs="Times New Roman"/>
          <w:b/>
          <w:lang w:val="en-US"/>
        </w:rPr>
        <w:t>Data Analysis</w:t>
      </w:r>
    </w:p>
    <w:p w:rsidR="00354EA1" w:rsidRPr="0013016F" w:rsidRDefault="00354EA1" w:rsidP="00354EA1">
      <w:pPr>
        <w:spacing w:line="480" w:lineRule="auto"/>
        <w:ind w:firstLine="700"/>
        <w:rPr>
          <w:rFonts w:cs="Times New Roman"/>
          <w:lang w:val="en-US"/>
        </w:rPr>
      </w:pPr>
      <w:r w:rsidRPr="0013016F">
        <w:rPr>
          <w:rFonts w:eastAsia="Calibri" w:cs="Times New Roman"/>
          <w:lang w:val="en-US"/>
        </w:rPr>
        <w:t xml:space="preserve">To be able to shed light on the dynamics of arousal, we analyzed the complete time series of skin conductance levels and subjective ratings by running 306 separate sample-wise </w:t>
      </w:r>
      <w:r w:rsidRPr="0013016F">
        <w:rPr>
          <w:rFonts w:eastAsia="Calibri" w:cs="Times New Roman"/>
          <w:lang w:val="en-US"/>
        </w:rPr>
        <w:lastRenderedPageBreak/>
        <w:t>regression analyses (one per second) for each combination of predictor variable (the switching costs, ER89</w:t>
      </w:r>
      <w:r w:rsidR="00763710" w:rsidRPr="0013016F">
        <w:rPr>
          <w:rFonts w:eastAsia="Calibri" w:cs="Times New Roman"/>
          <w:lang w:val="en-US"/>
        </w:rPr>
        <w:t xml:space="preserve"> scores</w:t>
      </w:r>
      <w:r w:rsidRPr="0013016F">
        <w:rPr>
          <w:rFonts w:eastAsia="Calibri" w:cs="Times New Roman"/>
          <w:lang w:val="en-US"/>
        </w:rPr>
        <w:t xml:space="preserve">, or RMSSD) and dependent variable (SCL or subjective rating). </w:t>
      </w:r>
      <w:r w:rsidR="00144EBC" w:rsidRPr="0013016F">
        <w:rPr>
          <w:rFonts w:eastAsia="Calibri" w:cs="Times New Roman"/>
          <w:lang w:val="en-US"/>
        </w:rPr>
        <w:t xml:space="preserve">We corrected for multiple comparisons (between the 306 tests) using cluster-based permutation testing that accounted for the maximum length of significant streaks in the permuted data. Streaks are periods of sequential samples for which the (sample-wise) regressions reached significance. This method is a novel approach tailored to our time-series data, but it is based on nonparametric ERP and fMRI analyses (e.g.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"ISSN" : "1065-9471", "PMID" : "11747097", "author" : [ { "dropping-particle" : "", "family" : "Nichols", "given" : "T E", "non-dropping-particle" : "", "parse-names" : false, "suffix" : "" }, { "dropping-particle" : "", "family" : "Holmes", "given" : "Andrew P", "non-dropping-particle" : "", "parse-names" : false, "suffix" : "" } ], "container-title" : "Human Brain Mapping", "id" : "ITEM-1", "issue" : "1", "issued" : { "date-parts" : [ [ "2001" ] ] }, "page" : "1-25", "title" : "Nonparametric Permutation Tests for functional Neuroimaging Experiments: A Primer with examples", "type" : "article-journal", "volume" : "15" }, "uris" : [ "http://www.mendeley.com/documents/?uuid=555557e5-2189-44e4-87c3-950607739abd" ] }, { "id" : "ITEM-2", "itemData" : { "DOI" : "10.1016/j.jneumeth.2007.03.024", "ISBN" : "0165-0270 (Print)\\r0165-0270 (Linking)", "ISSN" : "01650270", "PMID" : "17517438", "abstract" : "In this paper, we show how ElectroEncephaloGraphic (EEG) and MagnetoEncephaloGraphic (MEG) data can be analyzed statistically using nonparametric techniques. Nonparametric statistical tests offer complete freedom to the user with respect to the test statistic by means of which the experimental conditions are compared. This freedom provides a straightforward way to solve the multiple comparisons problem (MCP) and it allows to incorporate biophysically motivated constraints in the test statistic, which may drastically increase the sensitivity of the statistical test. The paper is written for two audiences: (1) empirical neuroscientists looking for the most appropriate data analysis method, and (2) methodologists interested in the theoretical concepts behind nonparametric statistical tests. For the empirical neuroscientist, a large part of the paper is written in a tutorial-like fashion, enabling neuroscientists to construct their own statistical test, maximizing the sensitivity to the expected effect. And for the methodologist, it is explained why the nonparametric test is formally correct. This means that we formulate a null hypothesis (identical probability distribution in the different experimental conditions) and show that the nonparametric test controls the false alarm rate under this null hypothesis. ?? 2007 Elsevier B.V. All rights reserved.", "author" : [ { "dropping-particle" : "", "family" : "Maris", "given" : "Eric", "non-dropping-particle" : "", "parse-names" : false, "suffix" : "" }, { "dropping-particle" : "", "family" : "Oostenveld", "given" : "Robert", "non-dropping-particle" : "", "parse-names" : false, "suffix" : "" } ], "container-title" : "Journal of Neuroscience Methods", "id" : "ITEM-2", "issue" : "1", "issued" : { "date-parts" : [ [ "2007" ] ] }, "page" : "177-190", "title" : "Nonparametric statistical testing of EEG- and MEG-data", "type" : "article-journal", "volume" : "164" }, "uris" : [ "http://www.mendeley.com/documents/?uuid=864af66e-d1a4-4eab-b184-069141ac13bd" ] } ], "mendeley" : { "formattedCitation" : "(Maris &amp; Oostenveld, 2007; Nichols &amp; Holmes, 2001)", "manualFormatting" : "Maris &amp; Oostenveld, 2007; Nichols &amp; Holmes, 2001, Hayasaka &amp; Nichols, 2003)", "plainTextFormattedCitation" : "(Maris &amp; Oostenveld, 2007; Nichols &amp; Holmes, 2001)", "previouslyFormattedCitation" : "(Maris &amp; Oostenveld, 2007; Nichols &amp; Holmes, 2001)" }, "properties" : { "noteIndex" : 0 }, "schema" : "https://github.com/citation-style-language/schema/raw/master/csl-citation.json" }</w:instrText>
      </w:r>
      <w:r w:rsidR="00AA1F6F" w:rsidRPr="0013016F">
        <w:rPr>
          <w:rFonts w:eastAsia="Calibri" w:cs="Times New Roman"/>
          <w:lang w:val="en-US"/>
        </w:rPr>
        <w:fldChar w:fldCharType="separate"/>
      </w:r>
      <w:r w:rsidR="00144EBC" w:rsidRPr="0013016F">
        <w:rPr>
          <w:rFonts w:eastAsia="Calibri" w:cs="Times New Roman"/>
          <w:noProof/>
          <w:lang w:val="en-US"/>
        </w:rPr>
        <w:t>Maris &amp; Oostenveld, 2007; Nichols &amp; Holmes, 2001, Hayasaka &amp; Nichols, 2003)</w:t>
      </w:r>
      <w:r w:rsidR="00AA1F6F" w:rsidRPr="0013016F">
        <w:rPr>
          <w:rFonts w:eastAsia="Calibri" w:cs="Times New Roman"/>
          <w:lang w:val="en-US"/>
        </w:rPr>
        <w:fldChar w:fldCharType="end"/>
      </w:r>
      <w:r w:rsidR="00144EBC" w:rsidRPr="0013016F">
        <w:rPr>
          <w:rFonts w:eastAsia="Calibri" w:cs="Times New Roman"/>
          <w:lang w:val="en-US"/>
        </w:rPr>
        <w:t>.</w:t>
      </w:r>
      <w:r w:rsidR="00144EBC" w:rsidRPr="0013016F">
        <w:rPr>
          <w:rFonts w:eastAsia="Calibri" w:cs="Times New Roman"/>
          <w:lang w:val="en-US"/>
        </w:rPr>
        <w:br/>
        <w:t xml:space="preserve"> </w:t>
      </w:r>
      <w:r w:rsidR="00144EBC" w:rsidRPr="0013016F">
        <w:rPr>
          <w:rFonts w:eastAsia="Calibri" w:cs="Times New Roman"/>
          <w:lang w:val="en-US"/>
        </w:rPr>
        <w:tab/>
      </w:r>
      <w:r w:rsidR="00F6020E" w:rsidRPr="0013016F">
        <w:rPr>
          <w:rFonts w:eastAsia="Calibri" w:cs="Times New Roman"/>
          <w:lang w:val="en-US"/>
        </w:rPr>
        <w:t>A</w:t>
      </w:r>
      <w:r w:rsidR="00144EBC" w:rsidRPr="0013016F">
        <w:rPr>
          <w:rFonts w:eastAsia="Calibri" w:cs="Times New Roman"/>
          <w:lang w:val="en-US"/>
        </w:rPr>
        <w:t>pproximately 5% of the 306 regressions in one of our analyses will be significant by chance (false positives). In these time series data, however, correct positives will likely occur in sequential samples due to their temporal dependency, i.e. differences in flexibility will predict differences in arousal over several seconds.</w:t>
      </w:r>
      <w:r w:rsidR="00144EBC" w:rsidRPr="0013016F">
        <w:rPr>
          <w:rFonts w:eastAsia="Calibri" w:cs="Times New Roman"/>
          <w:lang w:val="en-US"/>
        </w:rPr>
        <w:br/>
        <w:t xml:space="preserve"> </w:t>
      </w:r>
      <w:r w:rsidR="00144EBC" w:rsidRPr="0013016F">
        <w:rPr>
          <w:rFonts w:eastAsia="Calibri" w:cs="Times New Roman"/>
          <w:lang w:val="en-US"/>
        </w:rPr>
        <w:tab/>
        <w:t xml:space="preserve">In order to determine a cut-off for significant streak length, we permuted the scores on the predictor variable 1000 times (i.e. randomly assigned a predictor value to a time-series), ran the 306 second-wise regression analyses for every permutation, and saved the length of the longest streak in every permutation in order to determine the random distribution of streak lengths. If a streak in the original analysis (the unpermuted data) was longer than 95% of the streaks in that distribution, then it survived this multiple comparisons correction.  </w:t>
      </w:r>
      <w:r w:rsidR="00144EBC" w:rsidRPr="0013016F">
        <w:rPr>
          <w:rFonts w:eastAsia="Calibri" w:cs="Times New Roman"/>
          <w:lang w:val="en-US"/>
        </w:rPr>
        <w:br/>
        <w:t xml:space="preserve"> </w:t>
      </w:r>
      <w:r w:rsidR="00144EBC" w:rsidRPr="0013016F">
        <w:rPr>
          <w:rFonts w:eastAsia="Calibri" w:cs="Times New Roman"/>
          <w:lang w:val="en-US"/>
        </w:rPr>
        <w:tab/>
        <w:t>It must be noted, though, that this method does not allow us to find short-lived differences such as those found in reactivity (e.g. startles), but is rather aimed at discovering differences in regulation during prolonged periods.</w:t>
      </w:r>
      <w:r w:rsidR="008D1B33" w:rsidRPr="0013016F">
        <w:rPr>
          <w:rFonts w:eastAsia="Calibri" w:cs="Times New Roman"/>
          <w:lang w:val="en-US"/>
        </w:rPr>
        <w:t xml:space="preserve"> </w:t>
      </w:r>
      <w:r w:rsidRPr="0013016F">
        <w:rPr>
          <w:rFonts w:eastAsia="Calibri" w:cs="Times New Roman"/>
          <w:lang w:val="en-US"/>
        </w:rPr>
        <w:t>T</w:t>
      </w:r>
      <w:r w:rsidR="008D1B33" w:rsidRPr="0013016F">
        <w:rPr>
          <w:rFonts w:eastAsia="Calibri" w:cs="Times New Roman"/>
          <w:lang w:val="en-US"/>
        </w:rPr>
        <w:t xml:space="preserve">o visualize the differences, </w:t>
      </w:r>
      <w:r w:rsidRPr="0013016F">
        <w:rPr>
          <w:rFonts w:eastAsia="Calibri" w:cs="Times New Roman"/>
          <w:lang w:val="en-US"/>
        </w:rPr>
        <w:t xml:space="preserve">the </w:t>
      </w:r>
      <w:r w:rsidR="008D1B33" w:rsidRPr="0013016F">
        <w:rPr>
          <w:rFonts w:eastAsia="Calibri" w:cs="Times New Roman"/>
          <w:lang w:val="en-US"/>
        </w:rPr>
        <w:t xml:space="preserve">average </w:t>
      </w:r>
      <w:r w:rsidRPr="0013016F">
        <w:rPr>
          <w:rFonts w:eastAsia="Calibri" w:cs="Times New Roman"/>
          <w:lang w:val="en-US"/>
        </w:rPr>
        <w:t xml:space="preserve">values </w:t>
      </w:r>
      <w:r w:rsidR="008D1B33" w:rsidRPr="0013016F">
        <w:rPr>
          <w:rFonts w:eastAsia="Calibri" w:cs="Times New Roman"/>
          <w:lang w:val="en-US"/>
        </w:rPr>
        <w:t>of participants scoring above versus below the median of the predictor were plotted</w:t>
      </w:r>
      <w:r w:rsidRPr="0013016F">
        <w:rPr>
          <w:rFonts w:eastAsia="Calibri" w:cs="Times New Roman"/>
          <w:lang w:val="en-US"/>
        </w:rPr>
        <w:t xml:space="preserve">. All analyses were carried out in Matlab and all variables were winsorized at 3 standard deviations </w:t>
      </w:r>
      <w:r w:rsidRPr="0013016F">
        <w:rPr>
          <w:rFonts w:eastAsia="Calibri" w:cs="Times New Roman"/>
          <w:lang w:val="en-US"/>
        </w:rPr>
        <w:lastRenderedPageBreak/>
        <w:t>from the mean to remove outliers (SCL and subjective ratings on a sample-wise level).</w:t>
      </w:r>
      <w:r w:rsidR="00935BAB" w:rsidRPr="0013016F">
        <w:rPr>
          <w:rFonts w:eastAsia="Calibri" w:cs="Times New Roman"/>
          <w:lang w:val="en-US"/>
        </w:rPr>
        <w:t xml:space="preserve"> Descriptive statistics and intercorrelations of the independent variables can be found in table 2 in the appendix (see table 3 in the supplementary materials for differences in gender, age, and BMI).</w:t>
      </w:r>
    </w:p>
    <w:p w:rsidR="00354EA1" w:rsidRPr="0013016F" w:rsidRDefault="00354EA1" w:rsidP="00354EA1">
      <w:pPr>
        <w:spacing w:line="480" w:lineRule="auto"/>
        <w:ind w:firstLine="700"/>
        <w:jc w:val="center"/>
        <w:rPr>
          <w:rFonts w:cs="Times New Roman"/>
          <w:b/>
          <w:lang w:val="en-US"/>
        </w:rPr>
      </w:pPr>
      <w:r w:rsidRPr="0013016F">
        <w:rPr>
          <w:rFonts w:eastAsia="Calibri" w:cs="Times New Roman"/>
          <w:b/>
          <w:lang w:val="en-US"/>
        </w:rPr>
        <w:t>Results</w:t>
      </w:r>
    </w:p>
    <w:p w:rsidR="00763710" w:rsidRPr="0013016F" w:rsidRDefault="00763710" w:rsidP="00763710">
      <w:pPr>
        <w:spacing w:line="480" w:lineRule="auto"/>
        <w:rPr>
          <w:rFonts w:cs="Times New Roman"/>
          <w:b/>
          <w:lang w:val="en-US"/>
        </w:rPr>
      </w:pPr>
      <w:r w:rsidRPr="0013016F">
        <w:rPr>
          <w:rFonts w:eastAsia="Calibri" w:cs="Times New Roman"/>
          <w:b/>
          <w:lang w:val="en-US"/>
        </w:rPr>
        <w:t>Task Switching</w:t>
      </w:r>
    </w:p>
    <w:p w:rsidR="00763710" w:rsidRPr="0013016F" w:rsidRDefault="00AA1F6F" w:rsidP="00763710">
      <w:pPr>
        <w:spacing w:line="480" w:lineRule="auto"/>
        <w:ind w:firstLine="720"/>
        <w:rPr>
          <w:rFonts w:cs="Times New Roman"/>
          <w:lang w:val="en-US"/>
        </w:rPr>
      </w:pPr>
      <w:r w:rsidRPr="0013016F">
        <w:rPr>
          <w:rFonts w:eastAsia="Calibri" w:cs="Times New Roman"/>
          <w:b/>
          <w:lang w:val="en-US"/>
        </w:rPr>
        <w:t>Switching costs between non-affective task sets.</w:t>
      </w:r>
      <w:r w:rsidR="00763710" w:rsidRPr="0013016F">
        <w:rPr>
          <w:rFonts w:eastAsia="Calibri" w:cs="Times New Roman"/>
          <w:lang w:val="en-US"/>
        </w:rPr>
        <w:t xml:space="preserve"> SwitchNA was unrelated to skin conductance or ratings in the second-wise regressions (Figure 4).</w:t>
      </w:r>
    </w:p>
    <w:p w:rsidR="00763710" w:rsidRPr="0013016F" w:rsidRDefault="00AA1F6F" w:rsidP="00763710">
      <w:pPr>
        <w:spacing w:line="480" w:lineRule="auto"/>
        <w:ind w:firstLine="720"/>
        <w:rPr>
          <w:rFonts w:cs="Times New Roman"/>
          <w:lang w:val="en-US"/>
        </w:rPr>
      </w:pPr>
      <w:r w:rsidRPr="0013016F">
        <w:rPr>
          <w:rFonts w:eastAsia="Calibri" w:cs="Times New Roman"/>
          <w:b/>
          <w:lang w:val="en-US"/>
        </w:rPr>
        <w:t>Switching costs to affective task sets.</w:t>
      </w:r>
      <w:r w:rsidR="00763710" w:rsidRPr="0013016F">
        <w:rPr>
          <w:rFonts w:eastAsia="Calibri" w:cs="Times New Roman"/>
          <w:vertAlign w:val="subscript"/>
          <w:lang w:val="en-US"/>
        </w:rPr>
        <w:t xml:space="preserve"> </w:t>
      </w:r>
      <w:r w:rsidR="00763710" w:rsidRPr="0013016F">
        <w:rPr>
          <w:rFonts w:eastAsia="Calibri" w:cs="Times New Roman"/>
          <w:lang w:val="en-US"/>
        </w:rPr>
        <w:t>SwitchToP predicted SCL but not ratings (Figure 5), whereas SwitchToN was related to neither of these measures. In particular, participants who had lower switching costs when switching to positive affective task sets (SwitchToP) had lower SCL during the less threatening phase between phases of prolonged threat – the spiders and the explosion of the floor.</w:t>
      </w:r>
    </w:p>
    <w:p w:rsidR="00763710" w:rsidRPr="0013016F" w:rsidRDefault="00AA1F6F" w:rsidP="00763710">
      <w:pPr>
        <w:spacing w:line="480" w:lineRule="auto"/>
        <w:ind w:firstLine="720"/>
        <w:rPr>
          <w:rFonts w:cs="Times New Roman"/>
          <w:lang w:val="en-US"/>
        </w:rPr>
      </w:pPr>
      <w:r w:rsidRPr="0013016F">
        <w:rPr>
          <w:rFonts w:eastAsia="Calibri" w:cs="Times New Roman"/>
          <w:b/>
          <w:lang w:val="en-US"/>
        </w:rPr>
        <w:t xml:space="preserve">Switching costs from affective task sets. </w:t>
      </w:r>
      <w:r w:rsidR="00763710" w:rsidRPr="0013016F">
        <w:rPr>
          <w:rFonts w:eastAsia="Calibri" w:cs="Times New Roman"/>
          <w:lang w:val="en-US"/>
        </w:rPr>
        <w:t>The second-wise regressions revealed that differences in SwitchFromN</w:t>
      </w:r>
      <w:r w:rsidR="00763710" w:rsidRPr="0013016F">
        <w:rPr>
          <w:rFonts w:eastAsia="Calibri" w:cs="Times New Roman"/>
          <w:vertAlign w:val="subscript"/>
          <w:lang w:val="en-US"/>
        </w:rPr>
        <w:t xml:space="preserve"> </w:t>
      </w:r>
      <w:r w:rsidR="00763710" w:rsidRPr="0013016F">
        <w:rPr>
          <w:rFonts w:eastAsia="Calibri" w:cs="Times New Roman"/>
          <w:lang w:val="en-US"/>
        </w:rPr>
        <w:t>predicted differences in subjective ratings during the floor epoch: Participants who had lower switching costs, i.e. could switch more efficiently, from negative stimuli rated their arousal as higher during the most threatening epoch (the exploded floor, Figure 6</w:t>
      </w:r>
      <w:r w:rsidR="00FF3D29" w:rsidRPr="0013016F">
        <w:rPr>
          <w:rFonts w:eastAsia="Calibri" w:cs="Times New Roman"/>
          <w:lang w:val="en-US"/>
        </w:rPr>
        <w:t xml:space="preserve">, but see </w:t>
      </w:r>
      <w:r w:rsidR="00FF3D29" w:rsidRPr="0013016F">
        <w:rPr>
          <w:rFonts w:eastAsia="Calibri" w:cs="Times New Roman"/>
          <w:vertAlign w:val="superscript"/>
          <w:lang w:val="en-US"/>
        </w:rPr>
        <w:t>2</w:t>
      </w:r>
      <w:r w:rsidR="00763710" w:rsidRPr="0013016F">
        <w:rPr>
          <w:rFonts w:eastAsia="Calibri" w:cs="Times New Roman"/>
          <w:lang w:val="en-US"/>
        </w:rPr>
        <w:t>). SwitchFromP did not predict subjective ratings or skin conductance levels.</w:t>
      </w:r>
    </w:p>
    <w:p w:rsidR="00354EA1" w:rsidRPr="0013016F" w:rsidRDefault="00354EA1" w:rsidP="00354EA1">
      <w:pPr>
        <w:spacing w:line="480" w:lineRule="auto"/>
        <w:rPr>
          <w:rFonts w:cs="Times New Roman"/>
          <w:b/>
          <w:lang w:val="en-US"/>
        </w:rPr>
      </w:pPr>
      <w:r w:rsidRPr="0013016F">
        <w:rPr>
          <w:rFonts w:eastAsia="Calibri" w:cs="Times New Roman"/>
          <w:b/>
          <w:lang w:val="en-US"/>
        </w:rPr>
        <w:t>Heart Rate Variability</w:t>
      </w:r>
    </w:p>
    <w:p w:rsidR="00354EA1" w:rsidRPr="0013016F" w:rsidRDefault="00354EA1" w:rsidP="00354EA1">
      <w:pPr>
        <w:spacing w:line="480" w:lineRule="auto"/>
        <w:ind w:firstLine="720"/>
        <w:rPr>
          <w:rFonts w:eastAsia="Calibri" w:cs="Times New Roman"/>
          <w:lang w:val="en-US"/>
        </w:rPr>
      </w:pPr>
      <w:r w:rsidRPr="0013016F">
        <w:rPr>
          <w:rFonts w:eastAsia="Calibri" w:cs="Times New Roman"/>
          <w:lang w:val="en-US"/>
        </w:rPr>
        <w:t xml:space="preserve">Higher HRV was related to lower subjective ratings of arousal during the regulation phases (i.e. when the threat had been present for a while or had disappeared) of prolonged threats (Figure 3). In two of the three prolonged threat phases – the spiders and the floor – this effect was present. Participants with higher HRV, as compared to those with lower HRV, thus had a </w:t>
      </w:r>
      <w:r w:rsidRPr="0013016F">
        <w:rPr>
          <w:rFonts w:eastAsia="Calibri" w:cs="Times New Roman"/>
          <w:lang w:val="en-US"/>
        </w:rPr>
        <w:lastRenderedPageBreak/>
        <w:t>similar subjective reactivity to the onsets of threats but regulated after the initial evaluation of the threat.</w:t>
      </w:r>
    </w:p>
    <w:p w:rsidR="00763710" w:rsidRPr="0013016F" w:rsidRDefault="00763710" w:rsidP="00763710">
      <w:pPr>
        <w:spacing w:line="480" w:lineRule="auto"/>
        <w:rPr>
          <w:rFonts w:cs="Times New Roman"/>
          <w:b/>
          <w:lang w:val="en-US"/>
        </w:rPr>
      </w:pPr>
      <w:r w:rsidRPr="0013016F">
        <w:rPr>
          <w:rFonts w:eastAsia="Calibri" w:cs="Times New Roman"/>
          <w:b/>
          <w:lang w:val="en-US"/>
        </w:rPr>
        <w:t>Resilience</w:t>
      </w:r>
    </w:p>
    <w:p w:rsidR="00763710" w:rsidRPr="0013016F" w:rsidRDefault="00763710" w:rsidP="00763710">
      <w:pPr>
        <w:spacing w:line="480" w:lineRule="auto"/>
        <w:ind w:firstLine="720"/>
        <w:rPr>
          <w:rFonts w:cs="Times New Roman"/>
          <w:lang w:val="en-US"/>
        </w:rPr>
      </w:pPr>
      <w:r w:rsidRPr="0013016F">
        <w:rPr>
          <w:rFonts w:eastAsia="Calibri" w:cs="Times New Roman"/>
          <w:lang w:val="en-US"/>
        </w:rPr>
        <w:t xml:space="preserve">The second-wise regressions (Figure 2) of SCL and subjective ratings on the ER89 revealed that ratings but not SCL were predicted by the ER89. Higher ER89 was associated with lower ratings of arousal during the first prolonged threat (spiders). This difference in ratings remained significant throughout the rest of the experience with the exception of a short interruption following the appearance of the big spider from the exploding crate. </w:t>
      </w:r>
    </w:p>
    <w:p w:rsidR="00354EA1" w:rsidRPr="0013016F" w:rsidRDefault="00354EA1" w:rsidP="00354EA1">
      <w:pPr>
        <w:spacing w:line="480" w:lineRule="auto"/>
        <w:ind w:firstLine="700"/>
        <w:jc w:val="center"/>
        <w:rPr>
          <w:rFonts w:cs="Times New Roman"/>
          <w:b/>
          <w:lang w:val="en-US"/>
        </w:rPr>
      </w:pPr>
      <w:r w:rsidRPr="0013016F">
        <w:rPr>
          <w:rFonts w:eastAsia="Calibri" w:cs="Times New Roman"/>
          <w:b/>
          <w:lang w:val="en-US"/>
        </w:rPr>
        <w:t>Discussion</w:t>
      </w:r>
    </w:p>
    <w:p w:rsidR="00354EA1" w:rsidRPr="0013016F" w:rsidRDefault="00354EA1" w:rsidP="00354EA1">
      <w:pPr>
        <w:spacing w:line="480" w:lineRule="auto"/>
        <w:ind w:firstLine="720"/>
        <w:rPr>
          <w:rFonts w:cs="Times New Roman"/>
          <w:lang w:val="en-US"/>
        </w:rPr>
      </w:pPr>
      <w:r w:rsidRPr="0013016F">
        <w:rPr>
          <w:rFonts w:eastAsia="Calibri" w:cs="Times New Roman"/>
          <w:lang w:val="en-US"/>
        </w:rPr>
        <w:t xml:space="preserve">The aim of the current study was to test how different </w:t>
      </w:r>
      <w:r w:rsidR="00D23E28" w:rsidRPr="0013016F">
        <w:rPr>
          <w:rFonts w:eastAsia="Calibri" w:cs="Times New Roman"/>
          <w:lang w:val="en-US"/>
        </w:rPr>
        <w:t xml:space="preserve">features </w:t>
      </w:r>
      <w:r w:rsidRPr="0013016F">
        <w:rPr>
          <w:rFonts w:eastAsia="Calibri" w:cs="Times New Roman"/>
          <w:lang w:val="en-US"/>
        </w:rPr>
        <w:t>of flexib</w:t>
      </w:r>
      <w:r w:rsidR="00C5083F" w:rsidRPr="0013016F">
        <w:rPr>
          <w:rFonts w:eastAsia="Calibri" w:cs="Times New Roman"/>
          <w:lang w:val="en-US"/>
        </w:rPr>
        <w:t xml:space="preserve">ility in </w:t>
      </w:r>
      <w:r w:rsidRPr="0013016F">
        <w:rPr>
          <w:rFonts w:eastAsia="Calibri" w:cs="Times New Roman"/>
          <w:lang w:val="en-US"/>
        </w:rPr>
        <w:t xml:space="preserve">cognitive-affective regulation modulate dynamic arousal responses during an evolving threatening episode. Participants walked through an immersive virtual environment, Room 101, </w:t>
      </w:r>
      <w:r w:rsidR="002B40E6" w:rsidRPr="0013016F">
        <w:rPr>
          <w:rFonts w:eastAsia="Calibri" w:cs="Times New Roman"/>
          <w:lang w:val="en-US"/>
        </w:rPr>
        <w:t>in which threats emerged and subsided repeatedly over a five minute period</w:t>
      </w:r>
      <w:r w:rsidRPr="0013016F">
        <w:rPr>
          <w:rFonts w:eastAsia="Calibri" w:cs="Times New Roman"/>
          <w:lang w:val="en-US"/>
        </w:rPr>
        <w:t>. During this experience, we measured skin conductance levels</w:t>
      </w:r>
      <w:r w:rsidR="00C5083F" w:rsidRPr="0013016F">
        <w:rPr>
          <w:rFonts w:eastAsia="Calibri" w:cs="Times New Roman"/>
          <w:lang w:val="en-US"/>
        </w:rPr>
        <w:t xml:space="preserve"> (SCL)</w:t>
      </w:r>
      <w:r w:rsidRPr="0013016F">
        <w:rPr>
          <w:rFonts w:eastAsia="Calibri" w:cs="Times New Roman"/>
          <w:lang w:val="en-US"/>
        </w:rPr>
        <w:t>. Immediately afterwards, participants provided a continuous rating of their subjective arousal during the experience. In addition,</w:t>
      </w:r>
      <w:r w:rsidR="009D62BD" w:rsidRPr="0013016F">
        <w:rPr>
          <w:rFonts w:eastAsia="Calibri" w:cs="Times New Roman"/>
          <w:lang w:val="en-US"/>
        </w:rPr>
        <w:t xml:space="preserve"> we measured three individual differences as proxies for </w:t>
      </w:r>
      <w:r w:rsidR="00884662" w:rsidRPr="0013016F">
        <w:rPr>
          <w:rFonts w:eastAsia="Calibri" w:cs="Times New Roman"/>
          <w:lang w:val="en-US"/>
        </w:rPr>
        <w:t xml:space="preserve">different </w:t>
      </w:r>
      <w:r w:rsidR="00457A17" w:rsidRPr="0013016F">
        <w:rPr>
          <w:rFonts w:eastAsia="Calibri" w:cs="Times New Roman"/>
          <w:lang w:val="en-US"/>
        </w:rPr>
        <w:t xml:space="preserve">facets </w:t>
      </w:r>
      <w:r w:rsidR="00884662" w:rsidRPr="0013016F">
        <w:rPr>
          <w:rFonts w:eastAsia="Calibri" w:cs="Times New Roman"/>
          <w:lang w:val="en-US"/>
        </w:rPr>
        <w:t xml:space="preserve">of </w:t>
      </w:r>
      <w:r w:rsidR="009D62BD" w:rsidRPr="0013016F">
        <w:rPr>
          <w:rFonts w:eastAsia="Calibri" w:cs="Times New Roman"/>
          <w:lang w:val="en-US"/>
        </w:rPr>
        <w:t xml:space="preserve">flexible cognitive-affective regulation. As a measure of cognitive flexibility, </w:t>
      </w:r>
      <w:r w:rsidR="00FC5461" w:rsidRPr="0013016F">
        <w:rPr>
          <w:rFonts w:eastAsia="Calibri" w:cs="Times New Roman"/>
          <w:lang w:val="en-US"/>
        </w:rPr>
        <w:t>we used</w:t>
      </w:r>
      <w:r w:rsidRPr="0013016F">
        <w:rPr>
          <w:rFonts w:eastAsia="Calibri" w:cs="Times New Roman"/>
          <w:lang w:val="en-US"/>
        </w:rPr>
        <w:t xml:space="preserve"> an affective task</w:t>
      </w:r>
      <w:r w:rsidR="002B40E6" w:rsidRPr="0013016F">
        <w:rPr>
          <w:rFonts w:eastAsia="Calibri" w:cs="Times New Roman"/>
          <w:lang w:val="en-US"/>
        </w:rPr>
        <w:t>-</w:t>
      </w:r>
      <w:r w:rsidRPr="0013016F">
        <w:rPr>
          <w:rFonts w:eastAsia="Calibri" w:cs="Times New Roman"/>
          <w:lang w:val="en-US"/>
        </w:rPr>
        <w:t>switching task</w:t>
      </w:r>
      <w:r w:rsidR="009D62BD" w:rsidRPr="0013016F">
        <w:rPr>
          <w:rFonts w:eastAsia="Calibri" w:cs="Times New Roman"/>
          <w:lang w:val="en-US"/>
        </w:rPr>
        <w:t>. As a proxy for autonomic flex</w:t>
      </w:r>
      <w:r w:rsidR="002B40E6" w:rsidRPr="0013016F">
        <w:rPr>
          <w:rFonts w:eastAsia="Calibri" w:cs="Times New Roman"/>
          <w:lang w:val="en-US"/>
        </w:rPr>
        <w:t>i</w:t>
      </w:r>
      <w:r w:rsidR="009D62BD" w:rsidRPr="0013016F">
        <w:rPr>
          <w:rFonts w:eastAsia="Calibri" w:cs="Times New Roman"/>
          <w:lang w:val="en-US"/>
        </w:rPr>
        <w:t>bility</w:t>
      </w:r>
      <w:r w:rsidRPr="0013016F">
        <w:rPr>
          <w:rFonts w:eastAsia="Calibri" w:cs="Times New Roman"/>
          <w:lang w:val="en-US"/>
        </w:rPr>
        <w:t>, we recorded vagally-mediated resting HRV</w:t>
      </w:r>
      <w:r w:rsidR="009D62BD" w:rsidRPr="0013016F">
        <w:rPr>
          <w:rFonts w:eastAsia="Calibri" w:cs="Times New Roman"/>
          <w:lang w:val="en-US"/>
        </w:rPr>
        <w:t xml:space="preserve">. </w:t>
      </w:r>
      <w:r w:rsidR="00884662" w:rsidRPr="0013016F">
        <w:rPr>
          <w:rFonts w:eastAsia="Calibri" w:cs="Times New Roman"/>
          <w:lang w:val="en-US"/>
        </w:rPr>
        <w:t xml:space="preserve">As a measure of affect regulation, </w:t>
      </w:r>
      <w:r w:rsidR="00FC5461" w:rsidRPr="0013016F">
        <w:rPr>
          <w:rFonts w:eastAsia="Calibri" w:cs="Times New Roman"/>
          <w:lang w:val="en-US"/>
        </w:rPr>
        <w:t xml:space="preserve">we asked </w:t>
      </w:r>
      <w:r w:rsidR="00884662" w:rsidRPr="0013016F">
        <w:rPr>
          <w:rFonts w:eastAsia="Calibri" w:cs="Times New Roman"/>
          <w:lang w:val="en-US"/>
        </w:rPr>
        <w:t>participants</w:t>
      </w:r>
      <w:r w:rsidR="00C5083F" w:rsidRPr="0013016F">
        <w:rPr>
          <w:rFonts w:eastAsia="Calibri" w:cs="Times New Roman"/>
          <w:lang w:val="en-US"/>
        </w:rPr>
        <w:t xml:space="preserve"> </w:t>
      </w:r>
      <w:r w:rsidR="00FC5461" w:rsidRPr="0013016F">
        <w:rPr>
          <w:rFonts w:eastAsia="Calibri" w:cs="Times New Roman"/>
          <w:lang w:val="en-US"/>
        </w:rPr>
        <w:t xml:space="preserve">to </w:t>
      </w:r>
      <w:r w:rsidRPr="0013016F">
        <w:rPr>
          <w:rFonts w:eastAsia="Calibri" w:cs="Times New Roman"/>
          <w:lang w:val="en-US"/>
        </w:rPr>
        <w:t>complete a trait resilience questionnaire (ER89</w:t>
      </w:r>
      <w:r w:rsidR="002B40E6" w:rsidRPr="0013016F">
        <w:rPr>
          <w:rFonts w:eastAsia="Calibri" w:cs="Times New Roman"/>
          <w:lang w:val="en-US"/>
        </w:rPr>
        <w:t xml:space="preserve">; </w:t>
      </w:r>
      <w:r w:rsidR="00AA1F6F" w:rsidRPr="0013016F">
        <w:rPr>
          <w:rFonts w:eastAsia="Calibri" w:cs="Times New Roman"/>
          <w:noProof/>
          <w:lang w:val="en-US"/>
        </w:rPr>
        <w:fldChar w:fldCharType="begin" w:fldLock="1"/>
      </w:r>
      <w:r w:rsidR="000A2E08" w:rsidRPr="0013016F">
        <w:rPr>
          <w:rFonts w:eastAsia="Calibri" w:cs="Times New Roman"/>
          <w:noProof/>
          <w:lang w:val="en-US"/>
        </w:rPr>
        <w:instrText>ADDIN CSL_CITATION { "citationItems" : [ { "id" : "ITEM-1", "itemData" : { "DOI" : "10.1037//0022-3514.70.2.349", "ISSN" : "0022-3514", "author" : [ { "dropping-particle" : "", "family" : "Block", "given" : "Jack", "non-dropping-particle" : "", "parse-names" : false, "suffix" : "" }, { "dropping-particle" : "", "family" : "Kremen", "given" : "Adam M.", "non-dropping-particle" : "", "parse-names" : false, "suffix" : "" } ], "container-title" : "Journal of Personality and Social Psychology", "id" : "ITEM-1", "issue" : "2", "issued" : { "date-parts" : [ [ "1996" ] ] }, "page" : "349-361", "title" : "IQ and ego-resiliency: Conceptual and empirical connections and separateness.", "type" : "article-journal", "volume" : "70" }, "uris" : [ "http://www.mendeley.com/documents/?uuid=f8b49d06-5010-4a68-8fa6-3b62a4cfa508" ] } ], "mendeley" : { "formattedCitation" : "(Block &amp; Kremen, 1996)", "manualFormatting" : "Block &amp; Kremen, 1996)", "plainTextFormattedCitation" : "(Block &amp; Kremen, 1996)", "previouslyFormattedCitation" : "(Block &amp; Kremen, 1996)" }, "properties" : { "noteIndex" : 0 }, "schema" : "https://github.com/citation-style-language/schema/raw/master/csl-citation.json" }</w:instrText>
      </w:r>
      <w:r w:rsidR="00AA1F6F" w:rsidRPr="0013016F">
        <w:rPr>
          <w:rFonts w:eastAsia="Calibri" w:cs="Times New Roman"/>
          <w:noProof/>
          <w:lang w:val="en-US"/>
        </w:rPr>
        <w:fldChar w:fldCharType="separate"/>
      </w:r>
      <w:r w:rsidR="000A2E08" w:rsidRPr="0013016F">
        <w:rPr>
          <w:rFonts w:eastAsia="Calibri" w:cs="Times New Roman"/>
          <w:noProof/>
          <w:lang w:val="en-US"/>
        </w:rPr>
        <w:t>Block &amp; Kremen, 1996)</w:t>
      </w:r>
      <w:r w:rsidR="00AA1F6F" w:rsidRPr="0013016F">
        <w:rPr>
          <w:rFonts w:eastAsia="Calibri" w:cs="Times New Roman"/>
          <w:noProof/>
          <w:lang w:val="en-US"/>
        </w:rPr>
        <w:fldChar w:fldCharType="end"/>
      </w:r>
      <w:r w:rsidRPr="0013016F">
        <w:rPr>
          <w:rFonts w:eastAsia="Calibri" w:cs="Times New Roman"/>
          <w:lang w:val="en-US"/>
        </w:rPr>
        <w:t>. Our analysis focused on whether these measures predict</w:t>
      </w:r>
      <w:r w:rsidR="00884662" w:rsidRPr="0013016F">
        <w:rPr>
          <w:rFonts w:eastAsia="Calibri" w:cs="Times New Roman"/>
          <w:lang w:val="en-US"/>
        </w:rPr>
        <w:t>ed</w:t>
      </w:r>
      <w:r w:rsidRPr="0013016F">
        <w:rPr>
          <w:rFonts w:eastAsia="Calibri" w:cs="Times New Roman"/>
          <w:lang w:val="en-US"/>
        </w:rPr>
        <w:t xml:space="preserve"> fine-grained regulation of arousal during </w:t>
      </w:r>
      <w:r w:rsidR="00884662" w:rsidRPr="0013016F">
        <w:rPr>
          <w:rFonts w:eastAsia="Calibri" w:cs="Times New Roman"/>
          <w:lang w:val="en-US"/>
        </w:rPr>
        <w:t>the prolonged threatening experience in Room 101</w:t>
      </w:r>
      <w:r w:rsidRPr="0013016F">
        <w:rPr>
          <w:rFonts w:eastAsia="Calibri" w:cs="Times New Roman"/>
          <w:lang w:val="en-US"/>
        </w:rPr>
        <w:t>.</w:t>
      </w:r>
    </w:p>
    <w:p w:rsidR="00354EA1" w:rsidRPr="0013016F" w:rsidRDefault="00354EA1" w:rsidP="00354EA1">
      <w:pPr>
        <w:spacing w:line="480" w:lineRule="auto"/>
        <w:ind w:firstLine="720"/>
        <w:rPr>
          <w:rFonts w:cs="Times New Roman"/>
          <w:lang w:val="en-US"/>
        </w:rPr>
      </w:pPr>
      <w:r w:rsidRPr="0013016F">
        <w:rPr>
          <w:rFonts w:eastAsia="Calibri" w:cs="Times New Roman"/>
          <w:lang w:val="en-US"/>
        </w:rPr>
        <w:t xml:space="preserve">All three measures of flexibility predicted arousal during this sustained experience of threat, although they did so in different ways and during different parts of the experience. </w:t>
      </w:r>
      <w:r w:rsidRPr="0013016F">
        <w:rPr>
          <w:rFonts w:eastAsia="Calibri" w:cs="Times New Roman"/>
          <w:lang w:val="en-US"/>
        </w:rPr>
        <w:lastRenderedPageBreak/>
        <w:t>Interestingly, the two measures of arousal (</w:t>
      </w:r>
      <w:r w:rsidR="00C5083F" w:rsidRPr="0013016F">
        <w:rPr>
          <w:rFonts w:eastAsia="Calibri" w:cs="Times New Roman"/>
          <w:lang w:val="en-US"/>
        </w:rPr>
        <w:t>SCL</w:t>
      </w:r>
      <w:r w:rsidRPr="0013016F">
        <w:rPr>
          <w:rFonts w:eastAsia="Calibri" w:cs="Times New Roman"/>
          <w:lang w:val="en-US"/>
        </w:rPr>
        <w:t xml:space="preserve"> and subjective ratings) were differentially related to the different measures of flexibility. </w:t>
      </w:r>
      <w:r w:rsidR="008B0611" w:rsidRPr="005077AC">
        <w:rPr>
          <w:rFonts w:eastAsia="Times New Roman" w:cs="Times New Roman"/>
          <w:kern w:val="0"/>
          <w:lang w:val="en-US" w:eastAsia="en-US" w:bidi="ar-SA"/>
        </w:rPr>
        <w:t xml:space="preserve">Resilience, autonomic flexibility, and cognitive flexibility in switching </w:t>
      </w:r>
      <w:r w:rsidR="008B0611" w:rsidRPr="005077AC">
        <w:rPr>
          <w:rFonts w:eastAsia="Times New Roman" w:cs="Times New Roman"/>
          <w:i/>
          <w:kern w:val="0"/>
          <w:lang w:val="en-US" w:eastAsia="en-US" w:bidi="ar-SA"/>
        </w:rPr>
        <w:t>away</w:t>
      </w:r>
      <w:r w:rsidR="008B0611" w:rsidRPr="005077AC">
        <w:rPr>
          <w:rFonts w:eastAsia="Times New Roman" w:cs="Times New Roman"/>
          <w:kern w:val="0"/>
          <w:lang w:val="en-US" w:eastAsia="en-US" w:bidi="ar-SA"/>
        </w:rPr>
        <w:t xml:space="preserve"> </w:t>
      </w:r>
      <w:r w:rsidR="008B0611" w:rsidRPr="005077AC">
        <w:rPr>
          <w:rFonts w:eastAsia="Times New Roman" w:cs="Times New Roman"/>
          <w:i/>
          <w:kern w:val="0"/>
          <w:lang w:val="en-US" w:eastAsia="en-US" w:bidi="ar-SA"/>
        </w:rPr>
        <w:t>from negative</w:t>
      </w:r>
      <w:r w:rsidR="008B0611" w:rsidRPr="005077AC">
        <w:rPr>
          <w:rFonts w:eastAsia="Times New Roman" w:cs="Times New Roman"/>
          <w:kern w:val="0"/>
          <w:lang w:val="en-US" w:eastAsia="en-US" w:bidi="ar-SA"/>
        </w:rPr>
        <w:t xml:space="preserve"> stimuli predicted differences in subjective ratings, but not in </w:t>
      </w:r>
      <w:r w:rsidR="00C5083F" w:rsidRPr="005077AC">
        <w:rPr>
          <w:rFonts w:eastAsia="Times New Roman" w:cs="Times New Roman"/>
          <w:kern w:val="0"/>
          <w:lang w:val="en-US" w:eastAsia="en-US" w:bidi="ar-SA"/>
        </w:rPr>
        <w:t>SCL</w:t>
      </w:r>
      <w:r w:rsidR="008B0611" w:rsidRPr="005077AC">
        <w:rPr>
          <w:rFonts w:eastAsia="Times New Roman" w:cs="Times New Roman"/>
          <w:kern w:val="0"/>
          <w:lang w:val="en-US" w:eastAsia="en-US" w:bidi="ar-SA"/>
        </w:rPr>
        <w:t xml:space="preserve">. In contrast, cognitive flexibility in switching </w:t>
      </w:r>
      <w:r w:rsidR="008B0611" w:rsidRPr="005077AC">
        <w:rPr>
          <w:rFonts w:eastAsia="Times New Roman" w:cs="Times New Roman"/>
          <w:i/>
          <w:kern w:val="0"/>
          <w:lang w:val="en-US" w:eastAsia="en-US" w:bidi="ar-SA"/>
        </w:rPr>
        <w:t>to positive</w:t>
      </w:r>
      <w:r w:rsidR="008B0611" w:rsidRPr="005077AC">
        <w:rPr>
          <w:rFonts w:eastAsia="Times New Roman" w:cs="Times New Roman"/>
          <w:kern w:val="0"/>
          <w:lang w:val="en-US" w:eastAsia="en-US" w:bidi="ar-SA"/>
        </w:rPr>
        <w:t xml:space="preserve"> stimuli predicted differences in </w:t>
      </w:r>
      <w:r w:rsidR="00C5083F" w:rsidRPr="005077AC">
        <w:rPr>
          <w:rFonts w:eastAsia="Times New Roman" w:cs="Times New Roman"/>
          <w:kern w:val="0"/>
          <w:lang w:val="en-US" w:eastAsia="en-US" w:bidi="ar-SA"/>
        </w:rPr>
        <w:t>SCL</w:t>
      </w:r>
      <w:r w:rsidR="008B0611" w:rsidRPr="005077AC">
        <w:rPr>
          <w:rFonts w:eastAsia="Times New Roman" w:cs="Times New Roman"/>
          <w:kern w:val="0"/>
          <w:lang w:val="en-US" w:eastAsia="en-US" w:bidi="ar-SA"/>
        </w:rPr>
        <w:t xml:space="preserve"> only. </w:t>
      </w:r>
      <w:r w:rsidRPr="0013016F">
        <w:rPr>
          <w:rFonts w:eastAsia="Calibri" w:cs="Times New Roman"/>
          <w:lang w:val="en-US"/>
        </w:rPr>
        <w:t>Several possible interpretations exist for this pattern of findings for each of these types of flexibility as well as for the interrelationships between them.</w:t>
      </w:r>
    </w:p>
    <w:p w:rsidR="007E37EB" w:rsidRPr="0013016F" w:rsidRDefault="00354EA1" w:rsidP="009F4CDE">
      <w:pPr>
        <w:spacing w:line="480" w:lineRule="auto"/>
        <w:ind w:firstLine="720"/>
        <w:rPr>
          <w:rFonts w:eastAsia="Calibri" w:cs="Times New Roman"/>
          <w:lang w:val="en-US"/>
        </w:rPr>
      </w:pPr>
      <w:r w:rsidRPr="0013016F">
        <w:rPr>
          <w:rFonts w:eastAsia="Calibri" w:cs="Times New Roman"/>
          <w:lang w:val="en-US"/>
        </w:rPr>
        <w:t>In terms of cognitive flexibility,</w:t>
      </w:r>
      <w:r w:rsidR="005E62AF" w:rsidRPr="0013016F">
        <w:rPr>
          <w:rFonts w:eastAsia="Calibri" w:cs="Times New Roman"/>
          <w:lang w:val="en-US"/>
        </w:rPr>
        <w:t xml:space="preserve"> our findings were specific to affective task switching</w:t>
      </w:r>
      <w:r w:rsidR="00EF59F2" w:rsidRPr="0013016F">
        <w:rPr>
          <w:rFonts w:eastAsia="Calibri" w:cs="Times New Roman"/>
          <w:lang w:val="en-US"/>
        </w:rPr>
        <w:t xml:space="preserve"> (i.e., switching from or to consciously evaluating affective features of stimuli)</w:t>
      </w:r>
      <w:r w:rsidR="005E62AF" w:rsidRPr="0013016F">
        <w:rPr>
          <w:rFonts w:eastAsia="Calibri" w:cs="Times New Roman"/>
          <w:lang w:val="en-US"/>
        </w:rPr>
        <w:t xml:space="preserve">. </w:t>
      </w:r>
      <w:r w:rsidR="00C6372D" w:rsidRPr="0013016F">
        <w:rPr>
          <w:rFonts w:eastAsia="Calibri" w:cs="Times New Roman"/>
          <w:lang w:val="en-US"/>
        </w:rPr>
        <w:t>W</w:t>
      </w:r>
      <w:r w:rsidRPr="0013016F">
        <w:rPr>
          <w:rFonts w:eastAsia="Calibri" w:cs="Times New Roman"/>
          <w:lang w:val="en-US"/>
        </w:rPr>
        <w:t>e did not find an effect of general cognitive flexibility, as measured by task switching between purely non-affective tasks (SwitchNA)</w:t>
      </w:r>
      <w:r w:rsidR="005E62AF" w:rsidRPr="0013016F">
        <w:rPr>
          <w:rFonts w:eastAsia="Calibri" w:cs="Times New Roman"/>
          <w:lang w:val="en-US"/>
        </w:rPr>
        <w:t xml:space="preserve">. </w:t>
      </w:r>
      <w:r w:rsidR="00FD39B8" w:rsidRPr="0013016F">
        <w:rPr>
          <w:rFonts w:eastAsia="Calibri" w:cs="Times New Roman"/>
          <w:lang w:val="en-US"/>
        </w:rPr>
        <w:t>In e</w:t>
      </w:r>
      <w:r w:rsidRPr="0013016F">
        <w:rPr>
          <w:rFonts w:eastAsia="Calibri" w:cs="Times New Roman"/>
          <w:lang w:val="en-US"/>
        </w:rPr>
        <w:t>arlier research</w:t>
      </w:r>
      <w:r w:rsidR="00FD39B8" w:rsidRPr="0013016F">
        <w:rPr>
          <w:rFonts w:eastAsia="Calibri" w:cs="Times New Roman"/>
          <w:lang w:val="en-US"/>
        </w:rPr>
        <w:t xml:space="preserve">, </w:t>
      </w:r>
      <w:r w:rsidR="00C5083F" w:rsidRPr="0013016F">
        <w:rPr>
          <w:rFonts w:eastAsia="Calibri" w:cs="Times New Roman"/>
          <w:lang w:val="en-US"/>
        </w:rPr>
        <w:t>both affective and non</w:t>
      </w:r>
      <w:r w:rsidR="00763710" w:rsidRPr="0013016F">
        <w:rPr>
          <w:rFonts w:eastAsia="Calibri" w:cs="Times New Roman"/>
          <w:lang w:val="en-US"/>
        </w:rPr>
        <w:t>-</w:t>
      </w:r>
      <w:r w:rsidR="00C5083F" w:rsidRPr="0013016F">
        <w:rPr>
          <w:rFonts w:eastAsia="Calibri" w:cs="Times New Roman"/>
          <w:lang w:val="en-US"/>
        </w:rPr>
        <w:t xml:space="preserve">affective task switching were shown to be </w:t>
      </w:r>
      <w:r w:rsidR="007E37EB" w:rsidRPr="0013016F">
        <w:rPr>
          <w:rFonts w:eastAsia="Calibri" w:cs="Times New Roman"/>
          <w:lang w:val="en-US"/>
        </w:rPr>
        <w:t>independent predictors of broad measures of emotion regulation: rumination, reappraisal ability, or resilience</w:t>
      </w:r>
      <w:r w:rsidRPr="0013016F">
        <w:rPr>
          <w:rFonts w:eastAsia="Calibri" w:cs="Times New Roman"/>
          <w:lang w:val="en-US"/>
        </w:rPr>
        <w:t xml:space="preserv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"10.1080/02699931.2012.733351", "ISSN" : "1464-0600", "PMID" : "23088513", "abstract" : "The present study examined whether cognitive flexibility in the processing of emotional material (i.e., affective flexibility) predicts the use of rumination in response to negative events in daily life. One hundred fifty-seven undergraduate participants completed daily diaries for six consecutive days. Affective flexibility was measured with a novel task-switching paradigm using emotional pictures. Results show that affective inflexibility when switching away from processing the emotional meaning of negative material was associated with increased use of rumination in daily life. In contrast, affective inflexibility when switching away from processing the emotional meaning of positive material was related to decreased use of rumination. Importantly, affective flexibility predicted use of rumination beyond non-affective measures of executive functioning. This is the first study to show that inflexibility is not uniformly associated with increased rumination but that inflexibility in the processing of positive material can predict lower levels of rumination.", "author" : [ { "dropping-particle" : "", "family" : "Genet", "given" : "Jessica J", "non-dropping-particle" : "", "parse-names" : false, "suffix" : "" }, { "dropping-particle" : "", "family" : "Malooly", "given" : "Ashley M", "non-dropping-particle" : "", "parse-names" : false, "suffix" : "" }, { "dropping-particle" : "", "family" : "Siemer", "given" : "Matthias", "non-dropping-particle" : "", "parse-names" : false, "suffix" : "" } ], "container-title" : "Cognition &amp; emotion", "id" : "ITEM-1", "issue" : "4", "issued" : { "date-parts" : [ [ "2013", "1" ] ] }, "page" : "685-95", "title" : "Flexibility is not always adaptive: affective flexibility and inflexibility predict rumination use in everyday life.", "type" : "article-journal", "volume" : "27" }, "uris" : [ "http://www.mendeley.com/documents/?uuid=58f5918b-6ceb-4bae-9296-e0bd721af0cd" ] }, { "id" : "ITEM-2", "itemData" : { "DOI" : "10.1080/02699931.2010.491647", "ISSN" : "1464-0600", "PMID" : "21432680", "abstract" : "Trait resilience is a stable personality characteristic that involves the self-reported ability to flexibly adapt to emotional events and situations. The present study examined cognitive processes that may explain individual differences in trait resilience. Participants completed self-report measures of trait resilience, cognitive flexibility and working memory capacity tasks, and a novel affective task-switching paradigm that assesses the ability to flexibly switch between processing the affective versus non-affective qualities of affective stimuli (i.e., flexible affective processing). As hypothesised, cognitive flexibility and flexible affective processing were unique predictors of trait resilience. Working memory capacity was not predictive of trait resilience, indicating that trait resilience is tied to specific cognitive processes rather than overall better cognitive functioning. Cognitive flexibility and flexible affective processing were not associated with other trait measures, suggesting that these flexibility processes are unique to trait resilience. This study was among the first to investigate the cognitive abilities underlying trait resilience.", "author" : [ { "dropping-particle" : "", "family" : "Genet", "given" : "Jessica J", "non-dropping-particle" : "", "parse-names" : false, "suffix" : "" }, { "dropping-particle" : "", "family" : "Siemer", "given" : "Matthias", "non-dropping-particle" : "", "parse-names" : false, "suffix" : "" } ], "container-title" : "Cognition &amp; emotion", "id" : "ITEM-2", "issue" : "2", "issued" : { "date-parts" : [ [ "2011", "2" ] ] }, "note" : "resilience", "page" : "380-8", "title" : "Flexible control in processing affective and non-affective material predicts individual differences in trait resilience.", "type" : "article-journal", "volume" : "25" }, "uris" : [ "http://www.mendeley.com/documents/?uuid=60e27f74-1856-4ad3-87f2-77c1f7f60325" ] }, { "id" : "ITEM-3", "itemData" : { "DOI" : "10.1037/a0029980", "ISSN" : "1931-1516", "PMID" : "23163706", "abstract" : "The present study examined the relation between a specific type of executive control and cognitive emotion regulation. The authors propose that successful reappraisal is related to \"affective flexibility\": The ability to flexibly attend to and disengage from emotional aspects of a situation or a stimulus. A new affective task-switching paradigm that required participants to shift between categorizing positive and negative affective pictures according to emotional or nonemotional features was used to assess individual differences in affective flexibility. The results showed that greater affective flexibility (less switch costs) predicted the ability to use reappraisal to down-regulate emotions in response to a sad film clip. In particular, more efficient shifts toward the neutral aspects of negative pictures and toward the emotional aspects of positive pictures were found to predict reappraisal ability. The results imply that executive control of emotional material is a capacity that is closely associated with effective reappraisal.", "author" : [ { "dropping-particle" : "", "family" : "Malooly", "given" : "Ashley M", "non-dropping-particle" : "", "parse-names" : false, "suffix" : "" }, { "dropping-particle" : "", "family" : "Genet", "given" : "Jessica J", "non-dropping-particle" : "", "parse-names" : false, "suffix" : "" }, { "dropping-particle" : "", "family" : "Siemer", "given" : "Matthias", "non-dropping-particle" : "", "parse-names" : false, "suffix" : "" } ], "container-title" : "Emotion", "id" : "ITEM-3", "issue" : "2", "issued" : { "date-parts" : [ [ "2013", "4" ] ] }, "page" : "302-13", "title" : "Individual differences in reappraisal effectiveness: the role of affective flexibility.", "type" : "article-journal", "volume" : "13" }, "uris" : [ "http://www.mendeley.com/documents/?uuid=1622246a-8f47-4b9e-a444-50f28e883fb2" ] } ], "mendeley" : { "formattedCitation" : "(Genet et al., 2013; Genet &amp; Siemer, 2011; Malooly et al., 2013)", "plainTextFormattedCitation" : "(Genet et al., 2013; Genet &amp; Siemer, 2011; Malooly et al., 2013)", "previouslyFormattedCitation" : "(Genet et al., 2013; Genet &amp; Siemer, 2011; Malooly et al., 2013)"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(Genet et al., 2013; Genet &amp; Siemer, 2011; Malooly et al., 2013)</w:t>
      </w:r>
      <w:r w:rsidR="00AA1F6F" w:rsidRPr="0013016F">
        <w:rPr>
          <w:rFonts w:eastAsia="Calibri" w:cs="Times New Roman"/>
          <w:lang w:val="en-US"/>
        </w:rPr>
        <w:fldChar w:fldCharType="end"/>
      </w:r>
      <w:r w:rsidRPr="0013016F">
        <w:rPr>
          <w:rFonts w:eastAsia="Calibri" w:cs="Times New Roman"/>
          <w:lang w:val="en-US"/>
        </w:rPr>
        <w:t xml:space="preserve">. But unlike in those previous studies, we </w:t>
      </w:r>
      <w:r w:rsidR="007E37EB" w:rsidRPr="0013016F">
        <w:rPr>
          <w:rFonts w:eastAsia="Calibri" w:cs="Times New Roman"/>
          <w:lang w:val="en-US"/>
        </w:rPr>
        <w:t>measured both affective and non</w:t>
      </w:r>
      <w:r w:rsidR="00763710" w:rsidRPr="0013016F">
        <w:rPr>
          <w:rFonts w:eastAsia="Calibri" w:cs="Times New Roman"/>
          <w:lang w:val="en-US"/>
        </w:rPr>
        <w:t>-</w:t>
      </w:r>
      <w:r w:rsidR="007E37EB" w:rsidRPr="0013016F">
        <w:rPr>
          <w:rFonts w:eastAsia="Calibri" w:cs="Times New Roman"/>
          <w:lang w:val="en-US"/>
        </w:rPr>
        <w:t xml:space="preserve">affective switching in the same task, which enabled us to calculate the costs or benefits of switching to or from </w:t>
      </w:r>
      <w:r w:rsidR="00EF59F2" w:rsidRPr="0013016F">
        <w:rPr>
          <w:rFonts w:eastAsia="Calibri" w:cs="Times New Roman"/>
          <w:lang w:val="en-US"/>
        </w:rPr>
        <w:t xml:space="preserve">evaluating </w:t>
      </w:r>
      <w:r w:rsidR="007E37EB" w:rsidRPr="0013016F">
        <w:rPr>
          <w:rFonts w:eastAsia="Calibri" w:cs="Times New Roman"/>
          <w:lang w:val="en-US"/>
        </w:rPr>
        <w:t>affective stimuli over and above general non</w:t>
      </w:r>
      <w:r w:rsidR="00763710" w:rsidRPr="0013016F">
        <w:rPr>
          <w:rFonts w:eastAsia="Calibri" w:cs="Times New Roman"/>
          <w:lang w:val="en-US"/>
        </w:rPr>
        <w:t>-</w:t>
      </w:r>
      <w:r w:rsidR="007E37EB" w:rsidRPr="0013016F">
        <w:rPr>
          <w:rFonts w:eastAsia="Calibri" w:cs="Times New Roman"/>
          <w:lang w:val="en-US"/>
        </w:rPr>
        <w:t>affective switching</w:t>
      </w:r>
      <w:r w:rsidR="00FD39B8" w:rsidRPr="0013016F">
        <w:rPr>
          <w:rFonts w:eastAsia="Calibri" w:cs="Times New Roman"/>
          <w:lang w:val="en-US"/>
        </w:rPr>
        <w:t>. Moreover, here</w:t>
      </w:r>
      <w:r w:rsidRPr="0013016F">
        <w:rPr>
          <w:rFonts w:eastAsia="Calibri" w:cs="Times New Roman"/>
          <w:lang w:val="en-US"/>
        </w:rPr>
        <w:t xml:space="preserve"> we focused on</w:t>
      </w:r>
      <w:r w:rsidR="007E37EB" w:rsidRPr="0013016F">
        <w:rPr>
          <w:rFonts w:eastAsia="Calibri" w:cs="Times New Roman"/>
          <w:lang w:val="en-US"/>
        </w:rPr>
        <w:t xml:space="preserve"> small-scale</w:t>
      </w:r>
      <w:r w:rsidRPr="0013016F">
        <w:rPr>
          <w:rFonts w:eastAsia="Calibri" w:cs="Times New Roman"/>
          <w:lang w:val="en-US"/>
        </w:rPr>
        <w:t xml:space="preserve"> arousal dynamics as a </w:t>
      </w:r>
      <w:r w:rsidR="007E37EB" w:rsidRPr="0013016F">
        <w:rPr>
          <w:rFonts w:eastAsia="Calibri" w:cs="Times New Roman"/>
          <w:lang w:val="en-US"/>
        </w:rPr>
        <w:t>m</w:t>
      </w:r>
      <w:r w:rsidRPr="0013016F">
        <w:rPr>
          <w:rFonts w:eastAsia="Calibri" w:cs="Times New Roman"/>
          <w:lang w:val="en-US"/>
        </w:rPr>
        <w:t xml:space="preserve">easure of </w:t>
      </w:r>
      <w:r w:rsidR="007E37EB" w:rsidRPr="0013016F">
        <w:rPr>
          <w:rFonts w:eastAsia="Calibri" w:cs="Times New Roman"/>
          <w:lang w:val="en-US"/>
        </w:rPr>
        <w:t xml:space="preserve">direct </w:t>
      </w:r>
      <w:r w:rsidR="005E62AF" w:rsidRPr="0013016F">
        <w:rPr>
          <w:rFonts w:eastAsia="Calibri" w:cs="Times New Roman"/>
          <w:lang w:val="en-US"/>
        </w:rPr>
        <w:t xml:space="preserve">affective </w:t>
      </w:r>
      <w:r w:rsidRPr="0013016F">
        <w:rPr>
          <w:rFonts w:eastAsia="Calibri" w:cs="Times New Roman"/>
          <w:lang w:val="en-US"/>
        </w:rPr>
        <w:t xml:space="preserve">responding. </w:t>
      </w:r>
      <w:r w:rsidR="009F4CDE" w:rsidRPr="0013016F">
        <w:rPr>
          <w:rFonts w:eastAsia="Calibri" w:cs="Times New Roman"/>
          <w:lang w:val="en-US"/>
        </w:rPr>
        <w:t xml:space="preserve">Our data therefore suggest that </w:t>
      </w:r>
      <w:r w:rsidR="00FC5461" w:rsidRPr="0013016F">
        <w:rPr>
          <w:rFonts w:eastAsia="Calibri" w:cs="Times New Roman"/>
          <w:lang w:val="en-US"/>
        </w:rPr>
        <w:t>the</w:t>
      </w:r>
      <w:r w:rsidR="009F4CDE" w:rsidRPr="0013016F">
        <w:rPr>
          <w:rFonts w:eastAsia="Calibri" w:cs="Times New Roman"/>
          <w:lang w:val="en-US"/>
        </w:rPr>
        <w:t xml:space="preserve"> </w:t>
      </w:r>
      <w:r w:rsidRPr="0013016F">
        <w:rPr>
          <w:rFonts w:eastAsia="Calibri" w:cs="Times New Roman"/>
          <w:lang w:val="en-US"/>
        </w:rPr>
        <w:t>flexib</w:t>
      </w:r>
      <w:r w:rsidR="009F4CDE" w:rsidRPr="0013016F">
        <w:rPr>
          <w:rFonts w:eastAsia="Calibri" w:cs="Times New Roman"/>
          <w:lang w:val="en-US"/>
        </w:rPr>
        <w:t>le</w:t>
      </w:r>
      <w:r w:rsidRPr="0013016F">
        <w:rPr>
          <w:rFonts w:eastAsia="Calibri" w:cs="Times New Roman"/>
          <w:lang w:val="en-US"/>
        </w:rPr>
        <w:t xml:space="preserve"> processing</w:t>
      </w:r>
      <w:r w:rsidR="00C6372D" w:rsidRPr="0013016F">
        <w:rPr>
          <w:rFonts w:eastAsia="Calibri" w:cs="Times New Roman"/>
          <w:lang w:val="en-US"/>
        </w:rPr>
        <w:t xml:space="preserve"> of</w:t>
      </w:r>
      <w:r w:rsidR="00FD39B8" w:rsidRPr="0013016F">
        <w:rPr>
          <w:rFonts w:eastAsia="Calibri" w:cs="Times New Roman"/>
          <w:lang w:val="en-US"/>
        </w:rPr>
        <w:t xml:space="preserve"> specifically</w:t>
      </w:r>
      <w:r w:rsidR="00C6372D" w:rsidRPr="0013016F">
        <w:rPr>
          <w:rFonts w:eastAsia="Calibri" w:cs="Times New Roman"/>
          <w:lang w:val="en-US"/>
        </w:rPr>
        <w:t xml:space="preserve"> affective information</w:t>
      </w:r>
      <w:r w:rsidR="009F4CDE" w:rsidRPr="0013016F">
        <w:rPr>
          <w:rFonts w:eastAsia="Calibri" w:cs="Times New Roman"/>
          <w:lang w:val="en-US"/>
        </w:rPr>
        <w:t xml:space="preserve"> leads to differences in </w:t>
      </w:r>
      <w:r w:rsidR="00FD39B8" w:rsidRPr="0013016F">
        <w:rPr>
          <w:rFonts w:eastAsia="Calibri" w:cs="Times New Roman"/>
          <w:lang w:val="en-US"/>
        </w:rPr>
        <w:t xml:space="preserve">these </w:t>
      </w:r>
      <w:r w:rsidR="009F4CDE" w:rsidRPr="0013016F">
        <w:rPr>
          <w:rFonts w:eastAsia="Calibri" w:cs="Times New Roman"/>
          <w:lang w:val="en-US"/>
        </w:rPr>
        <w:t xml:space="preserve">arousal </w:t>
      </w:r>
      <w:r w:rsidR="00FD39B8" w:rsidRPr="0013016F">
        <w:rPr>
          <w:rFonts w:eastAsia="Calibri" w:cs="Times New Roman"/>
          <w:lang w:val="en-US"/>
        </w:rPr>
        <w:t>dynamics</w:t>
      </w:r>
      <w:r w:rsidR="009F4CDE" w:rsidRPr="0013016F">
        <w:rPr>
          <w:rFonts w:eastAsia="Calibri" w:cs="Times New Roman"/>
          <w:lang w:val="en-US"/>
        </w:rPr>
        <w:t>. This confirms the importance of affective information processing for an adaptive threat response</w:t>
      </w:r>
      <w:r w:rsidRPr="0013016F">
        <w:rPr>
          <w:rFonts w:eastAsia="Calibri" w:cs="Times New Roman"/>
          <w:lang w:val="en-US"/>
        </w:rPr>
        <w:t xml:space="preserve"> (</w:t>
      </w:r>
      <w:r w:rsidR="009F4CDE" w:rsidRPr="0013016F">
        <w:rPr>
          <w:rFonts w:eastAsia="Calibri" w:cs="Times New Roman"/>
          <w:lang w:val="en-US"/>
        </w:rPr>
        <w:t xml:space="preserve">see </w:t>
      </w:r>
      <w:r w:rsidRPr="0013016F">
        <w:rPr>
          <w:rFonts w:eastAsia="Calibri" w:cs="Times New Roman"/>
          <w:lang w:val="en-US"/>
        </w:rPr>
        <w:t>Thayer &amp; Lane, 2000).</w:t>
      </w:r>
      <w:r w:rsidR="007E37EB" w:rsidRPr="0013016F">
        <w:rPr>
          <w:rFonts w:eastAsia="Calibri" w:cs="Times New Roman"/>
          <w:lang w:val="en-US"/>
        </w:rPr>
        <w:t xml:space="preserve"> </w:t>
      </w:r>
    </w:p>
    <w:p w:rsidR="00C34CEF" w:rsidRPr="0013016F" w:rsidRDefault="00354EA1" w:rsidP="009F4CDE">
      <w:pPr>
        <w:spacing w:line="480" w:lineRule="auto"/>
        <w:ind w:firstLine="720"/>
        <w:rPr>
          <w:rFonts w:eastAsia="Calibri" w:cs="Times New Roman"/>
          <w:lang w:val="en-US"/>
        </w:rPr>
      </w:pPr>
      <w:r w:rsidRPr="0013016F">
        <w:rPr>
          <w:rFonts w:eastAsia="Calibri" w:cs="Times New Roman"/>
          <w:lang w:val="en-US"/>
        </w:rPr>
        <w:t xml:space="preserve">In particular, we found that an individual’s ability to switch to evaluating positive stimuli (SwitchToP) and to switch away from evaluating negative stimuli (SwitchFromN) affected arousal. </w:t>
      </w:r>
      <w:r w:rsidR="008B0611" w:rsidRPr="0013016F">
        <w:rPr>
          <w:rFonts w:eastAsia="Calibri" w:cs="Times New Roman"/>
          <w:lang w:val="en-US"/>
        </w:rPr>
        <w:t xml:space="preserve">Based on the assumption that </w:t>
      </w:r>
      <w:r w:rsidRPr="0013016F">
        <w:rPr>
          <w:rFonts w:eastAsia="Calibri" w:cs="Times New Roman"/>
          <w:lang w:val="en-US"/>
        </w:rPr>
        <w:t xml:space="preserve">both </w:t>
      </w:r>
      <w:r w:rsidR="0000576B" w:rsidRPr="0013016F">
        <w:rPr>
          <w:rFonts w:eastAsia="Calibri" w:cs="Times New Roman"/>
          <w:lang w:val="en-US"/>
        </w:rPr>
        <w:t xml:space="preserve">of these measures </w:t>
      </w:r>
      <w:r w:rsidR="00370880" w:rsidRPr="0013016F">
        <w:rPr>
          <w:rFonts w:eastAsia="Calibri" w:cs="Times New Roman"/>
          <w:lang w:val="en-US"/>
        </w:rPr>
        <w:t>reflect</w:t>
      </w:r>
      <w:r w:rsidR="0000576B" w:rsidRPr="0013016F">
        <w:rPr>
          <w:rFonts w:eastAsia="Calibri" w:cs="Times New Roman"/>
          <w:lang w:val="en-US"/>
        </w:rPr>
        <w:t xml:space="preserve"> </w:t>
      </w:r>
      <w:r w:rsidRPr="0013016F">
        <w:rPr>
          <w:rFonts w:eastAsia="Calibri" w:cs="Times New Roman"/>
          <w:lang w:val="en-US"/>
        </w:rPr>
        <w:t>the individual's ability to disengage from threats</w:t>
      </w:r>
      <w:r w:rsidR="009F4CDE" w:rsidRPr="0013016F">
        <w:rPr>
          <w:rFonts w:eastAsia="Calibri" w:cs="Times New Roman"/>
          <w:lang w:val="en-US"/>
        </w:rPr>
        <w:t xml:space="preserve">, </w:t>
      </w:r>
      <w:r w:rsidR="00FD39B8" w:rsidRPr="0013016F">
        <w:rPr>
          <w:rFonts w:eastAsia="Calibri" w:cs="Times New Roman"/>
          <w:lang w:val="en-US"/>
        </w:rPr>
        <w:t>w</w:t>
      </w:r>
      <w:r w:rsidR="009F4CDE" w:rsidRPr="0013016F">
        <w:rPr>
          <w:rFonts w:eastAsia="Calibri" w:cs="Times New Roman"/>
          <w:lang w:val="en-US"/>
        </w:rPr>
        <w:t xml:space="preserve">e </w:t>
      </w:r>
      <w:r w:rsidR="00FD39B8" w:rsidRPr="0013016F">
        <w:rPr>
          <w:rFonts w:eastAsia="Calibri" w:cs="Times New Roman"/>
          <w:lang w:val="en-US"/>
        </w:rPr>
        <w:t xml:space="preserve">had </w:t>
      </w:r>
      <w:r w:rsidR="009F4CDE" w:rsidRPr="0013016F">
        <w:rPr>
          <w:rFonts w:eastAsia="Calibri" w:cs="Times New Roman"/>
          <w:lang w:val="en-US"/>
        </w:rPr>
        <w:t xml:space="preserve">expected that </w:t>
      </w:r>
      <w:r w:rsidR="00370880" w:rsidRPr="0013016F">
        <w:rPr>
          <w:rFonts w:eastAsia="Calibri" w:cs="Times New Roman"/>
          <w:lang w:val="en-US"/>
        </w:rPr>
        <w:t xml:space="preserve">they </w:t>
      </w:r>
      <w:r w:rsidR="009F4CDE" w:rsidRPr="0013016F">
        <w:rPr>
          <w:rFonts w:eastAsia="Calibri" w:cs="Times New Roman"/>
          <w:lang w:val="en-US"/>
        </w:rPr>
        <w:t xml:space="preserve">would </w:t>
      </w:r>
      <w:r w:rsidR="00370880" w:rsidRPr="0013016F">
        <w:rPr>
          <w:rFonts w:eastAsia="Calibri" w:cs="Times New Roman"/>
          <w:lang w:val="en-US"/>
        </w:rPr>
        <w:t>predict</w:t>
      </w:r>
      <w:r w:rsidR="009F4CDE" w:rsidRPr="0013016F">
        <w:rPr>
          <w:rFonts w:eastAsia="Calibri" w:cs="Times New Roman"/>
          <w:lang w:val="en-US"/>
        </w:rPr>
        <w:t xml:space="preserve"> reduced arousal during and </w:t>
      </w:r>
      <w:r w:rsidR="009F4CDE" w:rsidRPr="0013016F">
        <w:rPr>
          <w:rFonts w:eastAsia="Calibri" w:cs="Times New Roman"/>
          <w:lang w:val="en-US"/>
        </w:rPr>
        <w:lastRenderedPageBreak/>
        <w:t>following the presence of threats</w:t>
      </w:r>
      <w:r w:rsidRPr="0013016F">
        <w:rPr>
          <w:rFonts w:eastAsia="Calibri" w:cs="Times New Roman"/>
          <w:lang w:val="en-US"/>
        </w:rPr>
        <w:t xml:space="preserve">. Counter to our expectations, </w:t>
      </w:r>
      <w:r w:rsidR="009F4CDE" w:rsidRPr="0013016F">
        <w:rPr>
          <w:rFonts w:eastAsia="Calibri" w:cs="Times New Roman"/>
          <w:lang w:val="en-US"/>
        </w:rPr>
        <w:t>Switch</w:t>
      </w:r>
      <w:r w:rsidR="00C34CEF" w:rsidRPr="0013016F">
        <w:rPr>
          <w:rFonts w:eastAsia="Calibri" w:cs="Times New Roman"/>
          <w:lang w:val="en-US"/>
        </w:rPr>
        <w:t>ToP</w:t>
      </w:r>
      <w:r w:rsidRPr="0013016F">
        <w:rPr>
          <w:rFonts w:eastAsia="Calibri" w:cs="Times New Roman"/>
          <w:lang w:val="en-US"/>
        </w:rPr>
        <w:t xml:space="preserve"> and </w:t>
      </w:r>
      <w:r w:rsidR="009F4CDE" w:rsidRPr="0013016F">
        <w:rPr>
          <w:rFonts w:eastAsia="Calibri" w:cs="Times New Roman"/>
          <w:lang w:val="en-US"/>
        </w:rPr>
        <w:t>Switch</w:t>
      </w:r>
      <w:r w:rsidR="00C34CEF" w:rsidRPr="0013016F">
        <w:rPr>
          <w:rFonts w:eastAsia="Calibri" w:cs="Times New Roman"/>
          <w:lang w:val="en-US"/>
        </w:rPr>
        <w:t>FromN</w:t>
      </w:r>
      <w:r w:rsidRPr="0013016F">
        <w:rPr>
          <w:rFonts w:eastAsia="Calibri" w:cs="Times New Roman"/>
          <w:lang w:val="en-US"/>
        </w:rPr>
        <w:t xml:space="preserve"> different</w:t>
      </w:r>
      <w:r w:rsidR="009F4CDE" w:rsidRPr="0013016F">
        <w:rPr>
          <w:rFonts w:eastAsia="Calibri" w:cs="Times New Roman"/>
          <w:lang w:val="en-US"/>
        </w:rPr>
        <w:t>ially</w:t>
      </w:r>
      <w:r w:rsidRPr="0013016F">
        <w:rPr>
          <w:rFonts w:eastAsia="Calibri" w:cs="Times New Roman"/>
          <w:lang w:val="en-US"/>
        </w:rPr>
        <w:t xml:space="preserve"> </w:t>
      </w:r>
      <w:r w:rsidR="009F4CDE" w:rsidRPr="0013016F">
        <w:rPr>
          <w:rFonts w:eastAsia="Calibri" w:cs="Times New Roman"/>
          <w:lang w:val="en-US"/>
        </w:rPr>
        <w:t>a</w:t>
      </w:r>
      <w:r w:rsidRPr="0013016F">
        <w:rPr>
          <w:rFonts w:eastAsia="Calibri" w:cs="Times New Roman"/>
          <w:lang w:val="en-US"/>
        </w:rPr>
        <w:t>ffect</w:t>
      </w:r>
      <w:r w:rsidR="009F4CDE" w:rsidRPr="0013016F">
        <w:rPr>
          <w:rFonts w:eastAsia="Calibri" w:cs="Times New Roman"/>
          <w:lang w:val="en-US"/>
        </w:rPr>
        <w:t>ed</w:t>
      </w:r>
      <w:r w:rsidRPr="0013016F">
        <w:rPr>
          <w:rFonts w:eastAsia="Calibri" w:cs="Times New Roman"/>
          <w:lang w:val="en-US"/>
        </w:rPr>
        <w:t xml:space="preserve"> physiological </w:t>
      </w:r>
      <w:r w:rsidR="00C34CEF" w:rsidRPr="0013016F">
        <w:rPr>
          <w:rFonts w:eastAsia="Calibri" w:cs="Times New Roman"/>
          <w:lang w:val="en-US"/>
        </w:rPr>
        <w:t xml:space="preserve">and subjective </w:t>
      </w:r>
      <w:r w:rsidRPr="0013016F">
        <w:rPr>
          <w:rFonts w:eastAsia="Calibri" w:cs="Times New Roman"/>
          <w:lang w:val="en-US"/>
        </w:rPr>
        <w:t xml:space="preserve">arousal. </w:t>
      </w:r>
      <w:r w:rsidR="00C34CEF" w:rsidRPr="0013016F">
        <w:rPr>
          <w:rFonts w:eastAsia="Calibri" w:cs="Times New Roman"/>
          <w:lang w:val="en-US"/>
        </w:rPr>
        <w:t xml:space="preserve">Specifically, SwitchToP was related to SCL, whereas SwitchFromN predicted differences in subjective arousal. These differential findings </w:t>
      </w:r>
      <w:r w:rsidR="00C1373D" w:rsidRPr="0013016F">
        <w:rPr>
          <w:rFonts w:eastAsia="Calibri" w:cs="Times New Roman"/>
          <w:lang w:val="en-US"/>
        </w:rPr>
        <w:t>are in line with</w:t>
      </w:r>
      <w:r w:rsidR="00C34CEF" w:rsidRPr="0013016F">
        <w:rPr>
          <w:rFonts w:eastAsia="Calibri" w:cs="Times New Roman"/>
          <w:lang w:val="en-US"/>
        </w:rPr>
        <w:t xml:space="preserve"> the conclusion of Cisler and Koster (2010) that facilitated attention, here reflected in </w:t>
      </w:r>
      <w:r w:rsidR="00103A3C" w:rsidRPr="0013016F">
        <w:rPr>
          <w:rFonts w:eastAsia="Calibri" w:cs="Times New Roman"/>
          <w:lang w:val="en-US"/>
        </w:rPr>
        <w:t>low</w:t>
      </w:r>
      <w:r w:rsidR="00C34CEF" w:rsidRPr="0013016F">
        <w:rPr>
          <w:rFonts w:eastAsia="Calibri" w:cs="Times New Roman"/>
          <w:lang w:val="en-US"/>
        </w:rPr>
        <w:t xml:space="preserve"> SwitchTo </w:t>
      </w:r>
      <w:r w:rsidR="00FC5461" w:rsidRPr="0013016F">
        <w:rPr>
          <w:rFonts w:eastAsia="Calibri" w:cs="Times New Roman"/>
          <w:lang w:val="en-US"/>
        </w:rPr>
        <w:t>costs</w:t>
      </w:r>
      <w:r w:rsidR="00C34CEF" w:rsidRPr="0013016F">
        <w:rPr>
          <w:rFonts w:eastAsia="Calibri" w:cs="Times New Roman"/>
          <w:lang w:val="en-US"/>
        </w:rPr>
        <w:t>, is an immediate, automatic response that reflects the bottom-up processing of affective information</w:t>
      </w:r>
      <w:r w:rsidR="0001043B" w:rsidRPr="0013016F">
        <w:rPr>
          <w:rFonts w:eastAsia="Calibri" w:cs="Times New Roman"/>
          <w:lang w:val="en-US"/>
        </w:rPr>
        <w:t>.</w:t>
      </w:r>
      <w:r w:rsidR="00103A3C" w:rsidRPr="0013016F">
        <w:rPr>
          <w:rFonts w:eastAsia="Calibri" w:cs="Times New Roman"/>
          <w:lang w:val="en-US"/>
        </w:rPr>
        <w:t xml:space="preserve"> In contrast</w:t>
      </w:r>
      <w:r w:rsidR="00FC5461" w:rsidRPr="0013016F">
        <w:rPr>
          <w:rFonts w:eastAsia="Calibri" w:cs="Times New Roman"/>
          <w:lang w:val="en-US"/>
        </w:rPr>
        <w:t>,</w:t>
      </w:r>
      <w:r w:rsidR="0001043B" w:rsidRPr="0013016F">
        <w:rPr>
          <w:rFonts w:eastAsia="Calibri" w:cs="Times New Roman"/>
          <w:lang w:val="en-US"/>
        </w:rPr>
        <w:t xml:space="preserve"> disengagement, </w:t>
      </w:r>
      <w:r w:rsidR="00103A3C" w:rsidRPr="0013016F">
        <w:rPr>
          <w:rFonts w:eastAsia="Calibri" w:cs="Times New Roman"/>
          <w:lang w:val="en-US"/>
        </w:rPr>
        <w:t xml:space="preserve">i.e. SwitchFrom, </w:t>
      </w:r>
      <w:r w:rsidR="00C1373D" w:rsidRPr="0013016F">
        <w:rPr>
          <w:rFonts w:eastAsia="Calibri" w:cs="Times New Roman"/>
          <w:lang w:val="en-US"/>
        </w:rPr>
        <w:t>is</w:t>
      </w:r>
      <w:r w:rsidR="00DC7CBC" w:rsidRPr="0013016F">
        <w:rPr>
          <w:rFonts w:eastAsia="Calibri" w:cs="Times New Roman"/>
          <w:lang w:val="en-US"/>
        </w:rPr>
        <w:t xml:space="preserve"> </w:t>
      </w:r>
      <w:r w:rsidR="00103A3C" w:rsidRPr="0013016F">
        <w:rPr>
          <w:rFonts w:eastAsia="Calibri" w:cs="Times New Roman"/>
          <w:lang w:val="en-US"/>
        </w:rPr>
        <w:t xml:space="preserve">related to top-down regulation. </w:t>
      </w:r>
      <w:r w:rsidR="00C1373D" w:rsidRPr="0013016F">
        <w:rPr>
          <w:rFonts w:eastAsia="Calibri" w:cs="Times New Roman"/>
          <w:lang w:val="en-US"/>
        </w:rPr>
        <w:t>This may explain why</w:t>
      </w:r>
      <w:r w:rsidR="008B7037" w:rsidRPr="0013016F">
        <w:rPr>
          <w:rFonts w:eastAsia="Calibri" w:cs="Times New Roman"/>
          <w:lang w:val="en-US"/>
        </w:rPr>
        <w:t xml:space="preserve"> we found that</w:t>
      </w:r>
      <w:r w:rsidR="00C1373D" w:rsidRPr="0013016F">
        <w:rPr>
          <w:rFonts w:eastAsia="Calibri" w:cs="Times New Roman"/>
          <w:lang w:val="en-US"/>
        </w:rPr>
        <w:t xml:space="preserve"> the relatively automatic physiological response to threat was related to SwitchTo costs while the </w:t>
      </w:r>
      <w:r w:rsidR="008B7037" w:rsidRPr="0013016F">
        <w:rPr>
          <w:rFonts w:eastAsia="Calibri" w:cs="Times New Roman"/>
          <w:lang w:val="en-US"/>
        </w:rPr>
        <w:t>relatively</w:t>
      </w:r>
      <w:r w:rsidR="00C1373D" w:rsidRPr="0013016F">
        <w:rPr>
          <w:rFonts w:eastAsia="Calibri" w:cs="Times New Roman"/>
          <w:lang w:val="en-US"/>
        </w:rPr>
        <w:t xml:space="preserve"> conscious and reflective subjective assessment of arousal was related to SwitchFrom costs. </w:t>
      </w:r>
      <w:r w:rsidR="008B7037" w:rsidRPr="0013016F">
        <w:rPr>
          <w:rFonts w:eastAsia="Calibri" w:cs="Times New Roman"/>
          <w:lang w:val="en-US"/>
        </w:rPr>
        <w:t>In other words, t</w:t>
      </w:r>
      <w:r w:rsidR="00BC4763" w:rsidRPr="0013016F">
        <w:rPr>
          <w:rFonts w:eastAsia="Calibri" w:cs="Times New Roman"/>
          <w:lang w:val="en-US"/>
        </w:rPr>
        <w:t xml:space="preserve">he </w:t>
      </w:r>
      <w:r w:rsidR="00CD4042" w:rsidRPr="0013016F">
        <w:rPr>
          <w:rFonts w:eastAsia="Calibri" w:cs="Times New Roman"/>
          <w:lang w:val="en-US"/>
        </w:rPr>
        <w:t xml:space="preserve">distinction </w:t>
      </w:r>
      <w:r w:rsidR="008B7037" w:rsidRPr="0013016F">
        <w:rPr>
          <w:rFonts w:eastAsia="Calibri" w:cs="Times New Roman"/>
          <w:lang w:val="en-US"/>
        </w:rPr>
        <w:t>between</w:t>
      </w:r>
      <w:r w:rsidR="00CD4042" w:rsidRPr="0013016F">
        <w:rPr>
          <w:rFonts w:eastAsia="Calibri" w:cs="Times New Roman"/>
          <w:lang w:val="en-US"/>
        </w:rPr>
        <w:t xml:space="preserve"> automatic and strategic processes</w:t>
      </w:r>
      <w:r w:rsidR="008B7037" w:rsidRPr="0013016F">
        <w:rPr>
          <w:rFonts w:eastAsia="Calibri" w:cs="Times New Roman"/>
          <w:lang w:val="en-US"/>
        </w:rPr>
        <w:t xml:space="preserve"> in the threat bias may</w:t>
      </w:r>
      <w:r w:rsidR="00BC4763" w:rsidRPr="0013016F">
        <w:rPr>
          <w:rFonts w:eastAsia="Calibri" w:cs="Times New Roman"/>
          <w:lang w:val="en-US"/>
        </w:rPr>
        <w:t xml:space="preserve"> not only </w:t>
      </w:r>
      <w:r w:rsidR="008B7037" w:rsidRPr="0013016F">
        <w:rPr>
          <w:rFonts w:eastAsia="Calibri" w:cs="Times New Roman"/>
          <w:lang w:val="en-US"/>
        </w:rPr>
        <w:t>emerge</w:t>
      </w:r>
      <w:r w:rsidR="00235F59" w:rsidRPr="0013016F">
        <w:rPr>
          <w:rFonts w:eastAsia="Calibri" w:cs="Times New Roman"/>
          <w:lang w:val="en-US"/>
        </w:rPr>
        <w:t>s</w:t>
      </w:r>
      <w:r w:rsidR="008B7037" w:rsidRPr="0013016F">
        <w:rPr>
          <w:rFonts w:eastAsia="Calibri" w:cs="Times New Roman"/>
          <w:lang w:val="en-US"/>
        </w:rPr>
        <w:t xml:space="preserve"> during </w:t>
      </w:r>
      <w:r w:rsidR="00BC4763" w:rsidRPr="0013016F">
        <w:rPr>
          <w:rFonts w:eastAsia="Calibri" w:cs="Times New Roman"/>
          <w:lang w:val="en-US"/>
        </w:rPr>
        <w:t>reaction ti</w:t>
      </w:r>
      <w:r w:rsidR="00CD4042" w:rsidRPr="0013016F">
        <w:rPr>
          <w:rFonts w:eastAsia="Calibri" w:cs="Times New Roman"/>
          <w:lang w:val="en-US"/>
        </w:rPr>
        <w:t>me tasks</w:t>
      </w:r>
      <w:r w:rsidR="00F23865" w:rsidRPr="0013016F">
        <w:rPr>
          <w:rFonts w:eastAsia="Calibri" w:cs="Times New Roman"/>
          <w:lang w:val="en-US"/>
        </w:rPr>
        <w:t xml:space="preserve">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"ISSN" : "1873-7811", "PMID" : "20005616", "abstract" : "A wealth of research demonstrates attentional biases toward threat in the anxiety disorders. Several models have been advanced to explain these biases in anxiety, yet the mechanisms comprising and mediating the biases remain unclear. In the present article, we review evidence regarding the mechanisms of attentional biases through careful examination of the components of attentional bias, the mechanisms underlying these components, and the stage of information processing during which the biases occur. Facilitated attention, difficulty in disengagement, and attentional avoidance comprise the components of attentional bias. A threat detection mechanism likely underlies facilitated attention, a process that may be neurally centered around the amygdala. Attentional control ability likely underlies difficulty in disengagement, emotion regulation goals likely underlie attentional avoidance, and both of these processes may be neurally centered around prefrontal cortex functioning. The threat detection mechanism may be a mostly automatic process, attentional avoidance may be a mostly strategic process, and difficulty in disengagement may be a mixture of automatic and strategic processing. Recommendations for future research are discussed.", "author" : [ { "dropping-particle" : "", "family" : "Cisler", "given" : "Josh M", "non-dropping-particle" : "", "parse-names" : false, "suffix" : "" }, { "dropping-particle" : "", "family" : "Koster", "given" : "Ernst H W", "non-dropping-particle" : "", "parse-names" : false, "suffix" : "" } ], "container-title" : "Clinical psychology review", "id" : "ITEM-1", "issue" : "2", "issued" : { "date-parts" : [ [ "2010", "3" ] ] }, "page" : "203-16", "publisher" : "Elsevier Ltd", "title" : "Mechanisms of attentional biases towards threat in anxiety disorders: An integrative review.", "type" : "article-journal", "volume" : "30" }, "uris" : [ "http://www.mendeley.com/documents/?uuid=8cb75066-1191-4b97-9efb-09c9f0d99e83" ] } ], "mendeley" : { "formattedCitation" : "(Cisler &amp; Koster, 2010)", "manualFormatting" : "(for a review, see Cisler &amp; Koster, 2010)", "plainTextFormattedCitation" : "(Cisler &amp; Koster, 2010)", "previouslyFormattedCitation" : "(Cisler &amp; Koster, 2010)" }, "properties" : { "noteIndex" : 0 }, "schema" : "https://github.com/citation-style-language/schema/raw/master/csl-citation.json" }</w:instrText>
      </w:r>
      <w:r w:rsidR="00AA1F6F" w:rsidRPr="0013016F">
        <w:rPr>
          <w:rFonts w:eastAsia="Calibri" w:cs="Times New Roman"/>
          <w:lang w:val="en-US"/>
        </w:rPr>
        <w:fldChar w:fldCharType="separate"/>
      </w:r>
      <w:r w:rsidR="000A2E08" w:rsidRPr="0013016F">
        <w:rPr>
          <w:rFonts w:eastAsia="Calibri" w:cs="Times New Roman"/>
          <w:noProof/>
          <w:lang w:val="en-US"/>
        </w:rPr>
        <w:t>(</w:t>
      </w:r>
      <w:r w:rsidR="00DF20BA" w:rsidRPr="0013016F">
        <w:rPr>
          <w:rFonts w:eastAsia="Calibri" w:cs="Times New Roman"/>
          <w:noProof/>
          <w:lang w:val="en-US"/>
        </w:rPr>
        <w:t xml:space="preserve">for a review, </w:t>
      </w:r>
      <w:r w:rsidR="000A2E08" w:rsidRPr="0013016F">
        <w:rPr>
          <w:rFonts w:eastAsia="Calibri" w:cs="Times New Roman"/>
          <w:noProof/>
          <w:lang w:val="en-US"/>
        </w:rPr>
        <w:t>see Cisler &amp; Koster, 2010)</w:t>
      </w:r>
      <w:r w:rsidR="00AA1F6F" w:rsidRPr="0013016F">
        <w:rPr>
          <w:rFonts w:eastAsia="Calibri" w:cs="Times New Roman"/>
          <w:lang w:val="en-US"/>
        </w:rPr>
        <w:fldChar w:fldCharType="end"/>
      </w:r>
      <w:r w:rsidR="00CD4042" w:rsidRPr="0013016F">
        <w:rPr>
          <w:rFonts w:eastAsia="Calibri" w:cs="Times New Roman"/>
          <w:lang w:val="en-US"/>
        </w:rPr>
        <w:t xml:space="preserve">, but also </w:t>
      </w:r>
      <w:r w:rsidR="008B7037" w:rsidRPr="0013016F">
        <w:rPr>
          <w:rFonts w:eastAsia="Calibri" w:cs="Times New Roman"/>
          <w:lang w:val="en-US"/>
        </w:rPr>
        <w:t xml:space="preserve">in </w:t>
      </w:r>
      <w:r w:rsidR="00CD4042" w:rsidRPr="0013016F">
        <w:rPr>
          <w:rFonts w:eastAsia="Calibri" w:cs="Times New Roman"/>
          <w:lang w:val="en-US"/>
        </w:rPr>
        <w:t xml:space="preserve"> physiological and subjective </w:t>
      </w:r>
      <w:r w:rsidR="00BC4763" w:rsidRPr="0013016F">
        <w:rPr>
          <w:rFonts w:eastAsia="Calibri" w:cs="Times New Roman"/>
          <w:lang w:val="en-US"/>
        </w:rPr>
        <w:t xml:space="preserve">arousal during threat. </w:t>
      </w:r>
    </w:p>
    <w:p w:rsidR="00354EA1" w:rsidRPr="0013016F" w:rsidRDefault="00823113" w:rsidP="00830CFF">
      <w:pPr>
        <w:spacing w:line="480" w:lineRule="auto"/>
        <w:ind w:firstLine="720"/>
        <w:rPr>
          <w:rFonts w:eastAsia="Calibri" w:cs="Times New Roman"/>
          <w:lang w:val="en-US"/>
        </w:rPr>
      </w:pPr>
      <w:r w:rsidRPr="0013016F">
        <w:rPr>
          <w:rFonts w:eastAsia="Calibri" w:cs="Times New Roman"/>
          <w:lang w:val="en-US"/>
        </w:rPr>
        <w:t xml:space="preserve">We had </w:t>
      </w:r>
      <w:r w:rsidR="000B2C25" w:rsidRPr="0013016F">
        <w:rPr>
          <w:rFonts w:eastAsia="Calibri" w:cs="Times New Roman"/>
          <w:lang w:val="en-US"/>
        </w:rPr>
        <w:t xml:space="preserve">expected that facilitated attention to </w:t>
      </w:r>
      <w:r w:rsidR="000B2C25" w:rsidRPr="0013016F">
        <w:rPr>
          <w:rFonts w:eastAsia="Calibri" w:cs="Times New Roman"/>
          <w:i/>
          <w:lang w:val="en-US"/>
        </w:rPr>
        <w:t>negative</w:t>
      </w:r>
      <w:r w:rsidR="000B2C25" w:rsidRPr="0013016F">
        <w:rPr>
          <w:rFonts w:eastAsia="Calibri" w:cs="Times New Roman"/>
          <w:lang w:val="en-US"/>
        </w:rPr>
        <w:t xml:space="preserve"> stimuli</w:t>
      </w:r>
      <w:r w:rsidRPr="0013016F">
        <w:rPr>
          <w:rFonts w:eastAsia="Calibri" w:cs="Times New Roman"/>
          <w:lang w:val="en-US"/>
        </w:rPr>
        <w:t xml:space="preserve"> (SwitchToN), as an indicator of threat bias, </w:t>
      </w:r>
      <w:r w:rsidR="000B2C25" w:rsidRPr="0013016F">
        <w:rPr>
          <w:rFonts w:eastAsia="Calibri" w:cs="Times New Roman"/>
          <w:lang w:val="en-US"/>
        </w:rPr>
        <w:t xml:space="preserve">would lead to </w:t>
      </w:r>
      <w:r w:rsidR="008B0611" w:rsidRPr="0013016F">
        <w:rPr>
          <w:rFonts w:eastAsia="Calibri" w:cs="Times New Roman"/>
          <w:i/>
          <w:lang w:val="en-US"/>
        </w:rPr>
        <w:t>increased</w:t>
      </w:r>
      <w:r w:rsidR="000B2C25" w:rsidRPr="0013016F">
        <w:rPr>
          <w:rFonts w:eastAsia="Calibri" w:cs="Times New Roman"/>
          <w:lang w:val="en-US"/>
        </w:rPr>
        <w:t xml:space="preserve"> arousal to negative stimuli. Instead, we found that facilitated processing of</w:t>
      </w:r>
      <w:r w:rsidR="00354EA1" w:rsidRPr="0013016F">
        <w:rPr>
          <w:rFonts w:eastAsia="Calibri" w:cs="Times New Roman"/>
          <w:lang w:val="en-US"/>
        </w:rPr>
        <w:t xml:space="preserve"> </w:t>
      </w:r>
      <w:r w:rsidR="00354EA1" w:rsidRPr="0013016F">
        <w:rPr>
          <w:rFonts w:eastAsia="Calibri" w:cs="Times New Roman"/>
          <w:i/>
          <w:lang w:val="en-US"/>
        </w:rPr>
        <w:t>positive</w:t>
      </w:r>
      <w:r w:rsidR="00354EA1" w:rsidRPr="0013016F">
        <w:rPr>
          <w:rFonts w:eastAsia="Calibri" w:cs="Times New Roman"/>
          <w:lang w:val="en-US"/>
        </w:rPr>
        <w:t xml:space="preserve"> aspects</w:t>
      </w:r>
      <w:r w:rsidR="009221A6" w:rsidRPr="0013016F">
        <w:rPr>
          <w:rFonts w:eastAsia="Calibri" w:cs="Times New Roman"/>
          <w:lang w:val="en-US"/>
        </w:rPr>
        <w:t xml:space="preserve"> </w:t>
      </w:r>
      <w:r w:rsidR="00354EA1" w:rsidRPr="0013016F">
        <w:rPr>
          <w:rFonts w:eastAsia="Calibri" w:cs="Times New Roman"/>
          <w:lang w:val="en-US"/>
        </w:rPr>
        <w:t>of the environment</w:t>
      </w:r>
      <w:r w:rsidR="002E6780" w:rsidRPr="0013016F">
        <w:rPr>
          <w:rFonts w:eastAsia="Calibri" w:cs="Times New Roman"/>
          <w:lang w:val="en-US"/>
        </w:rPr>
        <w:t xml:space="preserve">, i.e. lower SwitchToP, </w:t>
      </w:r>
      <w:r w:rsidR="000B2C25" w:rsidRPr="0013016F">
        <w:rPr>
          <w:rFonts w:eastAsia="Calibri" w:cs="Times New Roman"/>
          <w:lang w:val="en-US"/>
        </w:rPr>
        <w:t>predict</w:t>
      </w:r>
      <w:r w:rsidR="008B7037" w:rsidRPr="0013016F">
        <w:rPr>
          <w:rFonts w:eastAsia="Calibri" w:cs="Times New Roman"/>
          <w:lang w:val="en-US"/>
        </w:rPr>
        <w:t>ed</w:t>
      </w:r>
      <w:r w:rsidR="000B2C25" w:rsidRPr="0013016F">
        <w:rPr>
          <w:rFonts w:eastAsia="Calibri" w:cs="Times New Roman"/>
          <w:lang w:val="en-US"/>
        </w:rPr>
        <w:t xml:space="preserve"> </w:t>
      </w:r>
      <w:r w:rsidR="008B0611" w:rsidRPr="0013016F">
        <w:rPr>
          <w:rFonts w:eastAsia="Calibri" w:cs="Times New Roman"/>
          <w:i/>
          <w:lang w:val="en-US"/>
        </w:rPr>
        <w:t>decreased</w:t>
      </w:r>
      <w:r w:rsidR="000B2C25" w:rsidRPr="0013016F">
        <w:rPr>
          <w:rFonts w:eastAsia="Calibri" w:cs="Times New Roman"/>
          <w:lang w:val="en-US"/>
        </w:rPr>
        <w:t xml:space="preserve"> </w:t>
      </w:r>
      <w:r w:rsidR="00354EA1" w:rsidRPr="0013016F">
        <w:rPr>
          <w:rFonts w:eastAsia="Calibri" w:cs="Times New Roman"/>
          <w:lang w:val="en-US"/>
        </w:rPr>
        <w:t xml:space="preserve">physiological </w:t>
      </w:r>
      <w:r w:rsidR="000B2C25" w:rsidRPr="0013016F">
        <w:rPr>
          <w:rFonts w:eastAsia="Calibri" w:cs="Times New Roman"/>
          <w:lang w:val="en-US"/>
        </w:rPr>
        <w:t>arousal</w:t>
      </w:r>
      <w:r w:rsidR="00EF59F2" w:rsidRPr="0013016F">
        <w:rPr>
          <w:rFonts w:eastAsia="Calibri" w:cs="Times New Roman"/>
          <w:lang w:val="en-US"/>
        </w:rPr>
        <w:t xml:space="preserve"> (</w:t>
      </w:r>
      <w:r w:rsidR="00B13309" w:rsidRPr="0013016F">
        <w:rPr>
          <w:rFonts w:eastAsia="Calibri" w:cs="Times New Roman"/>
          <w:lang w:val="en-US"/>
        </w:rPr>
        <w:t xml:space="preserve">i.e., </w:t>
      </w:r>
      <w:r w:rsidR="00EF59F2" w:rsidRPr="0013016F">
        <w:rPr>
          <w:rFonts w:eastAsia="Calibri" w:cs="Times New Roman"/>
          <w:lang w:val="en-US"/>
        </w:rPr>
        <w:t>SCL)</w:t>
      </w:r>
      <w:r w:rsidR="000B2C25" w:rsidRPr="0013016F">
        <w:rPr>
          <w:rFonts w:eastAsia="Calibri" w:cs="Times New Roman"/>
          <w:lang w:val="en-US"/>
        </w:rPr>
        <w:t xml:space="preserve"> </w:t>
      </w:r>
      <w:r w:rsidR="00354EA1" w:rsidRPr="0013016F">
        <w:rPr>
          <w:rFonts w:eastAsia="Calibri" w:cs="Times New Roman"/>
          <w:lang w:val="en-US"/>
        </w:rPr>
        <w:t>during threat</w:t>
      </w:r>
      <w:r w:rsidRPr="0013016F">
        <w:rPr>
          <w:rFonts w:eastAsia="Calibri" w:cs="Times New Roman"/>
          <w:lang w:val="en-US"/>
        </w:rPr>
        <w:t xml:space="preserve">, particularly during a period in Room 101 when threats were subsiding. </w:t>
      </w:r>
      <w:r w:rsidR="00595C21" w:rsidRPr="0013016F">
        <w:rPr>
          <w:rFonts w:eastAsia="Calibri" w:cs="Times New Roman"/>
          <w:lang w:val="en-US"/>
        </w:rPr>
        <w:t xml:space="preserve">A few studies have previously indicated that the threat bias might </w:t>
      </w:r>
      <w:r w:rsidR="002E419F" w:rsidRPr="0013016F">
        <w:rPr>
          <w:rFonts w:eastAsia="Calibri" w:cs="Times New Roman"/>
          <w:lang w:val="en-US"/>
        </w:rPr>
        <w:t xml:space="preserve">actually </w:t>
      </w:r>
      <w:r w:rsidR="00595C21" w:rsidRPr="0013016F">
        <w:rPr>
          <w:rFonts w:eastAsia="Calibri" w:cs="Times New Roman"/>
          <w:lang w:val="en-US"/>
        </w:rPr>
        <w:t>consist of a lack of a bias towards positive stimuli that is found in healthy participants</w:t>
      </w:r>
      <w:r w:rsidR="009221A6" w:rsidRPr="0013016F">
        <w:rPr>
          <w:rFonts w:eastAsia="Calibri" w:cs="Times New Roman"/>
          <w:lang w:val="en-US"/>
        </w:rPr>
        <w:t xml:space="preserve"> </w:t>
      </w:r>
      <w:r w:rsidR="00AA1F6F" w:rsidRPr="0013016F">
        <w:rPr>
          <w:rFonts w:eastAsia="Calibri" w:cs="Times New Roman"/>
          <w:lang w:val="en-US"/>
        </w:rPr>
        <w:fldChar w:fldCharType="begin" w:fldLock="1"/>
      </w:r>
      <w:r w:rsidR="009221A6" w:rsidRPr="0013016F">
        <w:rPr>
          <w:rFonts w:eastAsia="Calibri" w:cs="Times New Roman"/>
          <w:lang w:val="en-US"/>
        </w:rPr>
        <w:instrText>ADDIN CSL_CITATION { "citationItems" : [ { "id" : "ITEM-1", "itemData" : { "DOI" : "10.1016/j.brat.2004.12.007", "ISSN" : "0005-7967", "PMID" : "16389061", "abstract" : "An illusory correlation paradigm was used to compare high and low socially anxious individuals' initial, on-line and a posteriori covariation estimates between emotional faces and aversive, pleasant and neutral outcomes. Overall, participants demonstrated an initial expectancy bias for aversive outcomes following angry faces, and pleasant outcomes following happy faces. On-line expectancy biases indicated that initial biases were extinguished during the task, with the exception of low socially anxious individuals who continued to over-associate positive social cues with pleasant outcomes. In addition to lacking this protective positive on-line bias, the high social anxiety group reported retrospectively more negative social cues than the low socially anxious group. Findings are discussed in relation to similar evidence from recent interpretive and memory paradigms.", "author" : [ { "dropping-particle" : "", "family" : "Garner", "given" : "Matthew", "non-dropping-particle" : "", "parse-names" : false, "suffix" : "" }, { "dropping-particle" : "", "family" : "Mogg", "given" : "Karin", "non-dropping-particle" : "", "parse-names" : false, "suffix" : "" }, { "dropping-particle" : "", "family" : "Bradley", "given" : "Brendan P", "non-dropping-particle" : "", "parse-names" : false, "suffix" : "" } ], "container-title" : "Behaviour research and therapy", "id" : "ITEM-1", "issue" : "2", "issued" : { "date-parts" : [ [ "2006", "2" ] ] }, "page" : "201-17", "title" : "Fear-relevant selective associations and social anxiety: absence of a positive bias.", "type" : "article-journal", "volume" : "44" }, "prefix" : "e.g. ", "uris" : [ "http://www.mendeley.com/documents/?uuid=4ea9f9b7-e090-4a36-9367-7c50ef8ac945" ] }, { "id" : "ITEM-2", "itemData" : { "DOI" : "10.1037/a0021301.Malleability", "author" : [ { "dropping-particle" : "", "family" : "Taylor", "given" : "Charles T", "non-dropping-particle" : "", "parse-names" : false, "suffix" : "" }, { "dropping-particle" : "", "family" : "Bomyea", "given" : "Jessica", "non-dropping-particle" : "", "parse-names" : false, "suffix" : "" }, { "dropping-particle" : "", "family" : "Amir", "given" : "Nader", "non-dropping-particle" : "", "parse-names" : false, "suffix" : "" } ], "container-title" : "Emotion", "id" : "ITEM-2", "issue" : "1", "issued" : { "date-parts" : [ [ "2011" ] ] }, "page" : "127-138", "title" : "Malleability of attentional bias for positive emotional information and anxiety vulnerability", "type" : "article-journal", "volume" : "11" }, "uris" : [ "http://www.mendeley.com/documents/?uuid=5058b869-7b8d-46bd-a7a7-eed1b373f04f" ] } ], "mendeley" : { "formattedCitation" : "(e.g. Garner, Mogg, &amp; Bradley, 2006; Taylor, Bomyea, &amp; Amir, 2011)", "manualFormatting" : "(e.g. Garner, Mogg, &amp; Bradley, 2006; Taylor, Bomyea, &amp; Amir, 2011; ", "plainTextFormattedCitation" : "(e.g. Garner, Mogg, &amp; Bradley, 2006; Taylor, Bomyea, &amp; Amir, 2011)", "previouslyFormattedCitation" : "(e.g. Garner, Mogg, &amp; Bradley, 2006; Taylor, Bomyea, &amp; Amir, 2011)" }, "properties" : { "noteIndex" : 0 }, "schema" : "https://github.com/citation-style-language/schema/raw/master/csl-citation.json" }</w:instrText>
      </w:r>
      <w:r w:rsidR="00AA1F6F" w:rsidRPr="0013016F">
        <w:rPr>
          <w:rFonts w:eastAsia="Calibri" w:cs="Times New Roman"/>
          <w:lang w:val="en-US"/>
        </w:rPr>
        <w:fldChar w:fldCharType="separate"/>
      </w:r>
      <w:r w:rsidR="009221A6" w:rsidRPr="0013016F">
        <w:rPr>
          <w:rFonts w:eastAsia="Calibri" w:cs="Times New Roman"/>
          <w:noProof/>
          <w:lang w:val="en-US"/>
        </w:rPr>
        <w:t xml:space="preserve">(e.g. Garner, Mogg, &amp; Bradley, 2006; Taylor, Bomyea, &amp; Amir, 2011; </w:t>
      </w:r>
      <w:r w:rsidR="00AA1F6F" w:rsidRPr="0013016F">
        <w:rPr>
          <w:rFonts w:eastAsia="Calibri" w:cs="Times New Roman"/>
          <w:lang w:val="en-US"/>
        </w:rPr>
        <w:fldChar w:fldCharType="end"/>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"10.1037/1528-3542.6.3.429", "ISSN" : "1528-3542", "PMID" : "16938084", "abstract" : "Clinical research suggests that individuals with major depressive disorder (MDD) are cognitively inflexible, exhibiting ruminative, rigid, and automatic thoughts within a negative schema. However, existing neuropsychological research on cognitive flexibility in this population has not employed emotional stimuli. Because research suggests that the performance of individuals with MDD is modulated when emotional stimuli are used, this study investigates the impact of emotional stimuli on cognitive flexibility performance through a novel emotional modification of the Wisconsin Card Sorting Test. Controls were less flexible when stimuli were positive and individuals with MDD were less flexible when stimuli were negative relative to the controls. These divergent styles of responding to emotional information may contribute to the relative risk or protection from depressed mood.", "author" : [ { "dropping-particle" : "", "family" : "Deveney", "given" : "Christen M", "non-dropping-particle" : "", "parse-names" : false, "suffix" : "" }, { "dropping-particle" : "", "family" : "Deldin", "given" : "P J", "non-dropping-particle" : "", "parse-names" : false, "suffix" : "" } ], "container-title" : "Emotion", "id" : "ITEM-1", "issue" : "3", "issued" : { "date-parts" : [ [ "2006", "8" ] ] }, "page" : "429-37", "title" : "A preliminary investigation of cognitive flexibility for emotional information in major depressive disorder and non-psychiatric controls.", "type" : "article-journal", "volume" : "6" }, "prefix" : "see also ", "uris" : [ "http://www.mendeley.com/documents/?uuid=159adcdd-2fef-4d19-85be-766156d20256" ] } ], "mendeley" : { "formattedCitation" : "(see also Deveney &amp; Deldin, 2006)", "manualFormatting" : "see also Deveney &amp; Deldin, 2006)", "plainTextFormattedCitation" : "(see also Deveney &amp; Deldin, 2006)", "previouslyFormattedCitation" : "(see also Deveney &amp; Deldin, 2006)" }, "properties" : { "noteIndex" : 0 }, "schema" : "https://github.com/citation-style-language/schema/raw/master/csl-citation.json" }</w:instrText>
      </w:r>
      <w:r w:rsidR="00AA1F6F" w:rsidRPr="0013016F">
        <w:rPr>
          <w:rFonts w:eastAsia="Calibri" w:cs="Times New Roman"/>
          <w:lang w:val="en-US"/>
        </w:rPr>
        <w:fldChar w:fldCharType="separate"/>
      </w:r>
      <w:r w:rsidR="009221A6" w:rsidRPr="0013016F">
        <w:rPr>
          <w:rFonts w:eastAsia="Calibri" w:cs="Times New Roman"/>
          <w:noProof/>
          <w:lang w:val="en-US"/>
        </w:rPr>
        <w:t>see also Deveney &amp; Deldin, 2006)</w:t>
      </w:r>
      <w:r w:rsidR="00AA1F6F" w:rsidRPr="0013016F">
        <w:rPr>
          <w:rFonts w:eastAsia="Calibri" w:cs="Times New Roman"/>
          <w:lang w:val="en-US"/>
        </w:rPr>
        <w:fldChar w:fldCharType="end"/>
      </w:r>
      <w:r w:rsidR="009221A6" w:rsidRPr="0013016F">
        <w:rPr>
          <w:rFonts w:eastAsia="Calibri" w:cs="Times New Roman"/>
          <w:lang w:val="en-US"/>
        </w:rPr>
        <w:t>.</w:t>
      </w:r>
      <w:r w:rsidR="00595C21" w:rsidRPr="0013016F">
        <w:rPr>
          <w:rFonts w:eastAsia="Calibri" w:cs="Times New Roman"/>
          <w:lang w:val="en-US"/>
        </w:rPr>
        <w:t xml:space="preserve"> </w:t>
      </w:r>
      <w:r w:rsidRPr="0013016F">
        <w:rPr>
          <w:rFonts w:eastAsia="Calibri" w:cs="Times New Roman"/>
          <w:lang w:val="en-US"/>
        </w:rPr>
        <w:t xml:space="preserve">Our </w:t>
      </w:r>
      <w:r w:rsidR="00354EA1" w:rsidRPr="0013016F">
        <w:rPr>
          <w:rFonts w:eastAsia="Calibri" w:cs="Times New Roman"/>
          <w:lang w:val="en-US"/>
        </w:rPr>
        <w:t xml:space="preserve">data </w:t>
      </w:r>
      <w:r w:rsidRPr="0013016F">
        <w:rPr>
          <w:rFonts w:eastAsia="Calibri" w:cs="Times New Roman"/>
          <w:lang w:val="en-US"/>
        </w:rPr>
        <w:t xml:space="preserve">suggest </w:t>
      </w:r>
      <w:r w:rsidR="00354EA1" w:rsidRPr="0013016F">
        <w:rPr>
          <w:rFonts w:eastAsia="Calibri" w:cs="Times New Roman"/>
          <w:lang w:val="en-US"/>
        </w:rPr>
        <w:t xml:space="preserve">that this </w:t>
      </w:r>
      <w:r w:rsidR="00830CFF" w:rsidRPr="0013016F">
        <w:rPr>
          <w:rFonts w:eastAsia="Calibri" w:cs="Times New Roman"/>
          <w:lang w:val="en-US"/>
        </w:rPr>
        <w:t>bias to</w:t>
      </w:r>
      <w:r w:rsidRPr="0013016F">
        <w:rPr>
          <w:rFonts w:eastAsia="Calibri" w:cs="Times New Roman"/>
          <w:lang w:val="en-US"/>
        </w:rPr>
        <w:t>ward the positive</w:t>
      </w:r>
      <w:r w:rsidR="00830CFF" w:rsidRPr="0013016F">
        <w:rPr>
          <w:rFonts w:eastAsia="Calibri" w:cs="Times New Roman"/>
          <w:lang w:val="en-US"/>
        </w:rPr>
        <w:t xml:space="preserve"> </w:t>
      </w:r>
      <w:r w:rsidR="00354EA1" w:rsidRPr="0013016F">
        <w:rPr>
          <w:rFonts w:eastAsia="Calibri" w:cs="Times New Roman"/>
          <w:lang w:val="en-US"/>
        </w:rPr>
        <w:t>affect</w:t>
      </w:r>
      <w:r w:rsidR="00830CFF" w:rsidRPr="0013016F">
        <w:rPr>
          <w:rFonts w:eastAsia="Calibri" w:cs="Times New Roman"/>
          <w:lang w:val="en-US"/>
        </w:rPr>
        <w:t>s</w:t>
      </w:r>
      <w:r w:rsidR="00354EA1" w:rsidRPr="0013016F">
        <w:rPr>
          <w:rFonts w:eastAsia="Calibri" w:cs="Times New Roman"/>
          <w:lang w:val="en-US"/>
        </w:rPr>
        <w:t xml:space="preserve"> </w:t>
      </w:r>
      <w:r w:rsidR="00DF7241" w:rsidRPr="0013016F">
        <w:rPr>
          <w:rFonts w:eastAsia="Calibri" w:cs="Times New Roman"/>
          <w:lang w:val="en-US"/>
        </w:rPr>
        <w:t xml:space="preserve">moment-to-moment </w:t>
      </w:r>
      <w:r w:rsidR="00354EA1" w:rsidRPr="0013016F">
        <w:rPr>
          <w:rFonts w:eastAsia="Calibri" w:cs="Times New Roman"/>
          <w:lang w:val="en-US"/>
        </w:rPr>
        <w:t>changes in physiological arousal</w:t>
      </w:r>
      <w:r w:rsidR="00830CFF" w:rsidRPr="0013016F">
        <w:rPr>
          <w:rFonts w:eastAsia="Calibri" w:cs="Times New Roman"/>
          <w:lang w:val="en-US"/>
        </w:rPr>
        <w:t>, even</w:t>
      </w:r>
      <w:r w:rsidR="00354EA1" w:rsidRPr="0013016F">
        <w:rPr>
          <w:rFonts w:eastAsia="Calibri" w:cs="Times New Roman"/>
          <w:lang w:val="en-US"/>
        </w:rPr>
        <w:t xml:space="preserve"> during </w:t>
      </w:r>
      <w:r w:rsidR="00830CFF" w:rsidRPr="0013016F">
        <w:rPr>
          <w:rFonts w:eastAsia="Calibri" w:cs="Times New Roman"/>
          <w:lang w:val="en-US"/>
        </w:rPr>
        <w:t>a negative, threatening situation</w:t>
      </w:r>
      <w:r w:rsidR="00354EA1" w:rsidRPr="0013016F">
        <w:rPr>
          <w:rFonts w:eastAsia="Calibri" w:cs="Times New Roman"/>
          <w:lang w:val="en-US"/>
        </w:rPr>
        <w:t>.</w:t>
      </w:r>
    </w:p>
    <w:p w:rsidR="007567E9" w:rsidRPr="0013016F" w:rsidRDefault="00964E15" w:rsidP="00354EA1">
      <w:pPr>
        <w:spacing w:line="480" w:lineRule="auto"/>
        <w:ind w:firstLine="720"/>
        <w:rPr>
          <w:rFonts w:eastAsia="Calibri" w:cs="Times New Roman"/>
          <w:lang w:val="en-US"/>
        </w:rPr>
      </w:pPr>
      <w:r w:rsidRPr="0013016F">
        <w:rPr>
          <w:rFonts w:eastAsia="Calibri" w:cs="Times New Roman"/>
          <w:lang w:val="en-US"/>
        </w:rPr>
        <w:t>T</w:t>
      </w:r>
      <w:r w:rsidR="00354EA1" w:rsidRPr="0013016F">
        <w:rPr>
          <w:rFonts w:eastAsia="Calibri" w:cs="Times New Roman"/>
          <w:lang w:val="en-US"/>
        </w:rPr>
        <w:t xml:space="preserve">he ability to </w:t>
      </w:r>
      <w:r w:rsidRPr="0013016F">
        <w:rPr>
          <w:rFonts w:eastAsia="Calibri" w:cs="Times New Roman"/>
          <w:lang w:val="en-US"/>
        </w:rPr>
        <w:t xml:space="preserve">efficiently </w:t>
      </w:r>
      <w:r w:rsidR="00823113" w:rsidRPr="0013016F">
        <w:rPr>
          <w:rFonts w:eastAsia="Calibri" w:cs="Times New Roman"/>
          <w:lang w:val="en-US"/>
        </w:rPr>
        <w:t xml:space="preserve">disengage </w:t>
      </w:r>
      <w:r w:rsidR="00354EA1" w:rsidRPr="0013016F">
        <w:rPr>
          <w:rFonts w:eastAsia="Calibri" w:cs="Times New Roman"/>
          <w:lang w:val="en-US"/>
        </w:rPr>
        <w:t>from evaluating negative aspects of stimuli (SwitchFromN) predicted differences in subjective ratings of arousal</w:t>
      </w:r>
      <w:r w:rsidR="00370880" w:rsidRPr="0013016F">
        <w:rPr>
          <w:rFonts w:eastAsia="Calibri" w:cs="Times New Roman"/>
          <w:lang w:val="en-US"/>
        </w:rPr>
        <w:t>.</w:t>
      </w:r>
      <w:r w:rsidR="00354EA1" w:rsidRPr="0013016F">
        <w:rPr>
          <w:rFonts w:eastAsia="Calibri" w:cs="Times New Roman"/>
          <w:lang w:val="en-US"/>
        </w:rPr>
        <w:t xml:space="preserve"> </w:t>
      </w:r>
      <w:r w:rsidR="00370880" w:rsidRPr="0013016F">
        <w:rPr>
          <w:rFonts w:eastAsia="Calibri" w:cs="Times New Roman"/>
          <w:lang w:val="en-US"/>
        </w:rPr>
        <w:t xml:space="preserve">Surprisingly, this effect </w:t>
      </w:r>
      <w:r w:rsidR="00370880" w:rsidRPr="0013016F">
        <w:rPr>
          <w:rFonts w:eastAsia="Calibri" w:cs="Times New Roman"/>
          <w:lang w:val="en-US"/>
        </w:rPr>
        <w:lastRenderedPageBreak/>
        <w:t xml:space="preserve">was in the opposite direction of what we had expected: </w:t>
      </w:r>
      <w:r w:rsidR="002B21E3" w:rsidRPr="0013016F">
        <w:rPr>
          <w:rFonts w:eastAsia="Calibri" w:cs="Times New Roman"/>
          <w:lang w:val="en-US"/>
        </w:rPr>
        <w:t xml:space="preserve">Lower </w:t>
      </w:r>
      <w:r w:rsidR="00370880" w:rsidRPr="0013016F">
        <w:rPr>
          <w:rFonts w:eastAsia="Calibri" w:cs="Times New Roman"/>
          <w:lang w:val="en-US"/>
        </w:rPr>
        <w:t xml:space="preserve">SwitchFromN </w:t>
      </w:r>
      <w:r w:rsidR="00354EA1" w:rsidRPr="0013016F">
        <w:rPr>
          <w:rFonts w:eastAsia="Calibri" w:cs="Times New Roman"/>
          <w:lang w:val="en-US"/>
        </w:rPr>
        <w:t xml:space="preserve">predicted higher subjective ratings of arousal during </w:t>
      </w:r>
      <w:r w:rsidR="00E418BD" w:rsidRPr="0013016F">
        <w:rPr>
          <w:rFonts w:eastAsia="Calibri" w:cs="Times New Roman"/>
          <w:lang w:val="en-US"/>
        </w:rPr>
        <w:t xml:space="preserve">one of </w:t>
      </w:r>
      <w:r w:rsidR="00354EA1" w:rsidRPr="0013016F">
        <w:rPr>
          <w:rFonts w:eastAsia="Calibri" w:cs="Times New Roman"/>
          <w:lang w:val="en-US"/>
        </w:rPr>
        <w:t>the most frightening episode</w:t>
      </w:r>
      <w:r w:rsidR="00E418BD" w:rsidRPr="0013016F">
        <w:rPr>
          <w:rFonts w:eastAsia="Calibri" w:cs="Times New Roman"/>
          <w:lang w:val="en-US"/>
        </w:rPr>
        <w:t>s</w:t>
      </w:r>
      <w:r w:rsidR="00354EA1" w:rsidRPr="0013016F">
        <w:rPr>
          <w:rFonts w:eastAsia="Calibri" w:cs="Times New Roman"/>
          <w:lang w:val="en-US"/>
        </w:rPr>
        <w:t xml:space="preserve"> (when the floor collapsed). One possible explanation is that participants who have </w:t>
      </w:r>
      <w:r w:rsidR="002E419F" w:rsidRPr="0013016F">
        <w:rPr>
          <w:rFonts w:eastAsia="Calibri" w:cs="Times New Roman"/>
          <w:lang w:val="en-US"/>
        </w:rPr>
        <w:t xml:space="preserve">high </w:t>
      </w:r>
      <w:r w:rsidR="00354EA1" w:rsidRPr="0013016F">
        <w:rPr>
          <w:rFonts w:eastAsia="Calibri" w:cs="Times New Roman"/>
          <w:lang w:val="en-US"/>
        </w:rPr>
        <w:t xml:space="preserve">switching costs </w:t>
      </w:r>
      <w:r w:rsidR="0045479A" w:rsidRPr="0013016F">
        <w:rPr>
          <w:rFonts w:eastAsia="Calibri" w:cs="Times New Roman"/>
          <w:lang w:val="en-US"/>
        </w:rPr>
        <w:t>also have difficulties disengag</w:t>
      </w:r>
      <w:r w:rsidR="00A461EB" w:rsidRPr="0013016F">
        <w:rPr>
          <w:rFonts w:eastAsia="Calibri" w:cs="Times New Roman"/>
          <w:lang w:val="en-US"/>
        </w:rPr>
        <w:t>ing</w:t>
      </w:r>
      <w:r w:rsidR="0045479A" w:rsidRPr="0013016F">
        <w:rPr>
          <w:rFonts w:eastAsia="Calibri" w:cs="Times New Roman"/>
          <w:lang w:val="en-US"/>
        </w:rPr>
        <w:t xml:space="preserve"> with</w:t>
      </w:r>
      <w:r w:rsidR="00354EA1" w:rsidRPr="0013016F">
        <w:rPr>
          <w:rFonts w:eastAsia="Calibri" w:cs="Times New Roman"/>
          <w:lang w:val="en-US"/>
        </w:rPr>
        <w:t xml:space="preserve"> negative aspects of the environment</w:t>
      </w:r>
      <w:r w:rsidR="0045479A" w:rsidRPr="0013016F">
        <w:rPr>
          <w:rFonts w:eastAsia="Calibri" w:cs="Times New Roman"/>
          <w:lang w:val="en-US"/>
        </w:rPr>
        <w:t xml:space="preserve"> on a broader scale</w:t>
      </w:r>
      <w:r w:rsidR="008B0611" w:rsidRPr="0013016F">
        <w:rPr>
          <w:rFonts w:eastAsia="Calibri" w:cs="Times New Roman"/>
          <w:lang w:val="en-US"/>
        </w:rPr>
        <w:t>, i.</w:t>
      </w:r>
      <w:r w:rsidR="0045479A" w:rsidRPr="0013016F">
        <w:rPr>
          <w:rFonts w:eastAsia="Calibri" w:cs="Times New Roman"/>
          <w:lang w:val="en-US"/>
        </w:rPr>
        <w:t xml:space="preserve">e. </w:t>
      </w:r>
      <w:r w:rsidR="00A461EB" w:rsidRPr="0013016F">
        <w:rPr>
          <w:rFonts w:eastAsia="Calibri" w:cs="Times New Roman"/>
          <w:lang w:val="en-US"/>
        </w:rPr>
        <w:t xml:space="preserve">they </w:t>
      </w:r>
      <w:r w:rsidR="0045479A" w:rsidRPr="0013016F">
        <w:rPr>
          <w:rFonts w:eastAsia="Calibri" w:cs="Times New Roman"/>
          <w:lang w:val="en-US"/>
        </w:rPr>
        <w:t>worry and ruminate</w:t>
      </w:r>
      <w:r w:rsidR="00A461EB" w:rsidRPr="0013016F">
        <w:rPr>
          <w:rFonts w:eastAsia="Calibri" w:cs="Times New Roman"/>
          <w:lang w:val="en-US"/>
        </w:rPr>
        <w:t xml:space="preserve">. </w:t>
      </w:r>
      <w:r w:rsidR="005D6449" w:rsidRPr="0013016F">
        <w:rPr>
          <w:rFonts w:eastAsia="Calibri" w:cs="Times New Roman"/>
          <w:lang w:val="en-US"/>
        </w:rPr>
        <w:t xml:space="preserve">This is in line with </w:t>
      </w:r>
      <w:r w:rsidR="00F55DA7" w:rsidRPr="0013016F">
        <w:rPr>
          <w:rFonts w:eastAsia="Calibri" w:cs="Times New Roman"/>
          <w:lang w:val="en-US"/>
        </w:rPr>
        <w:t xml:space="preserve">earlier </w:t>
      </w:r>
      <w:r w:rsidR="005D6449" w:rsidRPr="0013016F">
        <w:rPr>
          <w:rFonts w:eastAsia="Calibri" w:cs="Times New Roman"/>
          <w:lang w:val="en-US"/>
        </w:rPr>
        <w:t xml:space="preserve">findings that suggest that cognitive flexibility is decreased during </w:t>
      </w:r>
      <w:r w:rsidR="00F55DA7" w:rsidRPr="0013016F">
        <w:rPr>
          <w:rFonts w:eastAsia="Calibri" w:cs="Times New Roman"/>
          <w:lang w:val="en-US"/>
        </w:rPr>
        <w:t>state</w:t>
      </w:r>
      <w:r w:rsidR="00E85311" w:rsidRPr="0013016F">
        <w:rPr>
          <w:rFonts w:eastAsia="Calibri" w:cs="Times New Roman"/>
          <w:lang w:val="en-US"/>
        </w:rPr>
        <w:t>s of</w:t>
      </w:r>
      <w:r w:rsidR="00F55DA7" w:rsidRPr="0013016F">
        <w:rPr>
          <w:rFonts w:eastAsia="Calibri" w:cs="Times New Roman"/>
          <w:lang w:val="en-US"/>
        </w:rPr>
        <w:t xml:space="preserve"> </w:t>
      </w:r>
      <w:r w:rsidR="005D6449" w:rsidRPr="0013016F">
        <w:rPr>
          <w:rFonts w:eastAsia="Calibri" w:cs="Times New Roman"/>
          <w:lang w:val="en-US"/>
        </w:rPr>
        <w:t>worry and rumination</w:t>
      </w:r>
      <w:r w:rsidR="00F55DA7" w:rsidRPr="0013016F">
        <w:rPr>
          <w:rFonts w:eastAsia="Calibri" w:cs="Times New Roman"/>
          <w:lang w:val="en-US"/>
        </w:rPr>
        <w:t xml:space="preserve"> </w:t>
      </w:r>
      <w:r w:rsidR="00AA1F6F" w:rsidRPr="0013016F">
        <w:rPr>
          <w:rFonts w:eastAsia="Calibri" w:cs="Times New Roman"/>
          <w:lang w:val="en-US"/>
        </w:rPr>
        <w:fldChar w:fldCharType="begin" w:fldLock="1"/>
      </w:r>
      <w:r w:rsidR="00F55DA7" w:rsidRPr="0013016F">
        <w:rPr>
          <w:rFonts w:eastAsia="Calibri" w:cs="Times New Roman"/>
          <w:lang w:val="en-US"/>
        </w:rPr>
        <w:instrText>ADDIN CSL_CITATION { "citationItems" : [ { "id" : "ITEM-1", "itemData" : { "DOI" : "10.1016/j.biopsycho.2015.02.011", "ISSN" : "03010511", "author" : [ { "dropping-particle" : "", "family" : "Ottaviani", "given" : "Cristina", "non-dropping-particle" : "", "parse-names" : false, "suffix" : "" }, { "dropping-particle" : "", "family" : "Medea", "given" : "Barbara", "non-dropping-particle" : "", "parse-names" : false, "suffix" : "" }, { "dropping-particle" : "", "family" : "Lonigro", "given" : "Antonia", "non-dropping-particle" : "", "parse-names" : false, "suffix" : "" }, { "dropping-particle" : "", "family" : "Tarvainen", "given" : "Mika", "non-dropping-particle" : "", "parse-names" : false, "suffix" : "" }, { "dropping-particle" : "", "family" : "Couyoumdjian", "given" : "Alessandro", "non-dropping-particle" : "", "parse-names" : false, "suffix" : "" } ], "container-title" : "Biological Psychology", "id" : "ITEM-1", "issued" : { "date-parts" : [ [ "2015" ] ] }, "page" : "24-30", "publisher" : "Elsevier B.V.", "title" : "Cognitive rigidity is mirrored by autonomic inflexibility in daily life perseverative cognition", "type" : "article-journal", "volume" : "107" }, "uris" : [ "http://www.mendeley.com/documents/?uuid=6cc8dc5c-851b-449e-b896-38258902b5f2" ] }, { "id" : "ITEM-2", "itemData" : { "DOI" : "10.1016/j.biopsycho.2013.05.003", "ISBN" : "3474454366", "ISSN" : "03010511", "PMID" : "23680439", "abstract" : "Mind wandering (MW) has been defined as the brain's default mode of operation. It is a common experience, however, that this process can become maladaptive, and take the form of repetitive thoughts. We aimed to compare the cardiac and cognitive correlates of perseverative cognition (PC) and MW. Seventy-three healthy participants were engaged in two recall interviews designed to draw their attention to a neutral and a personally relevant negative episode. After each interview, participants performed a 20-min tracking task with thought probe while the electrocardiogram was continuously recorded. Perseverative cognition was associated with higher levels of cognitive inflexibility (slower reaction times, highest intrusiveness, efforts to inhibit), autonomic rigidity (low heart rate variability), and mood worsening compared to being focused on task or MW. Results suggest that MW fails to serve its adaptive function, and turns into a risk factor for health whenever it becomes a rigid and inflexible pattern (PC). \u00a9 2013 Elsevier B.V.", "author" : [ { "dropping-particle" : "", "family" : "Ottaviani", "given" : "Cristina", "non-dropping-particle" : "", "parse-names" : false, "suffix" : "" }, { "dropping-particle" : "", "family" : "Shapiro", "given" : "David", "non-dropping-particle" : "", "parse-names" : false, "suffix" : "" }, { "dropping-particle" : "", "family" : "Couyoumdjian", "given" : "Alessandro", "non-dropping-particle" : "", "parse-names" : false, "suffix" : "" } ], "container-title" : "Biological Psychology", "id" : "ITEM-2", "issue" : "1", "issued" : { "date-parts" : [ [ "2013" ] ] }, "page" : "38-43", "publisher" : "Elsevier B.V.", "title" : "Flexibility as the key for somatic health: From mind wandering to perseverative cognition", "type" : "article-journal", "volume" : "94" }, "uris" : [ "http://www.mendeley.com/documents/?uuid=d19200c9-a92a-468a-bde8-3d151c341d32" ] } ], "mendeley" : { "formattedCitation" : "(Ottaviani et al., 2015, 2013)", "plainTextFormattedCitation" : "(Ottaviani et al., 2015, 2013)", "previouslyFormattedCitation" : "(Ottaviani et al., 2015, 2013)" }, "properties" : { "noteIndex" : 0 }, "schema" : "https://github.com/citation-style-language/schema/raw/master/csl-citation.json" }</w:instrText>
      </w:r>
      <w:r w:rsidR="00AA1F6F" w:rsidRPr="0013016F">
        <w:rPr>
          <w:rFonts w:eastAsia="Calibri" w:cs="Times New Roman"/>
          <w:lang w:val="en-US"/>
        </w:rPr>
        <w:fldChar w:fldCharType="separate"/>
      </w:r>
      <w:r w:rsidR="00F55DA7" w:rsidRPr="0013016F">
        <w:rPr>
          <w:rFonts w:eastAsia="Calibri" w:cs="Times New Roman"/>
          <w:noProof/>
          <w:lang w:val="en-US"/>
        </w:rPr>
        <w:t>(Ottaviani et al., 2015, 2013)</w:t>
      </w:r>
      <w:r w:rsidR="00AA1F6F" w:rsidRPr="0013016F">
        <w:rPr>
          <w:rFonts w:eastAsia="Calibri" w:cs="Times New Roman"/>
          <w:lang w:val="en-US"/>
        </w:rPr>
        <w:fldChar w:fldCharType="end"/>
      </w:r>
      <w:r w:rsidR="00F55DA7" w:rsidRPr="0013016F">
        <w:rPr>
          <w:rFonts w:eastAsia="Calibri" w:cs="Times New Roman"/>
          <w:lang w:val="en-US"/>
        </w:rPr>
        <w:t xml:space="preserve">, as well as in trait ruminators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"author" : [ { "dropping-particle" : "", "family" : "Davis", "given" : "Robert N", "non-dropping-particle" : "", "parse-names" : false, "suffix" : "" }, { "dropping-particle" : "", "family" : "Nolen-Hoeksema", "given" : "Susan", "non-dropping-particle" : "", "parse-names" : false, "suffix" : "" } ], "container-title" : "Cognitive Therapy and Research", "id" : "ITEM-1", "issue" : "6", "issued" : { "date-parts" : [ [ "2000" ] ] }, "page" : "699-711", "title" : "Cogitive inflexibility among ruminators and nonruminators", "type" : "article-journal", "volume" : "24" }, "uris" : [ "http://www.mendeley.com/documents/?uuid=a7792526-fd8e-4344-a33b-5e7f39990350" ] } ], "mendeley" : { "formattedCitation" : "(Davis &amp; Nolen-Hoeksema, 2000)", "plainTextFormattedCitation" : "(Davis &amp; Nolen-Hoeksema, 2000)", "previouslyFormattedCitation" : "(Davis &amp; Nolen-Hoeksema, 2000)" }, "properties" : { "noteIndex" : 0 }, "schema" : "https://github.com/citation-style-language/schema/raw/master/csl-citation.json" }</w:instrText>
      </w:r>
      <w:r w:rsidR="00AA1F6F" w:rsidRPr="0013016F">
        <w:rPr>
          <w:rFonts w:eastAsia="Calibri" w:cs="Times New Roman"/>
          <w:lang w:val="en-US"/>
        </w:rPr>
        <w:fldChar w:fldCharType="separate"/>
      </w:r>
      <w:r w:rsidR="00F55DA7" w:rsidRPr="0013016F">
        <w:rPr>
          <w:rFonts w:eastAsia="Calibri" w:cs="Times New Roman"/>
          <w:noProof/>
          <w:lang w:val="en-US"/>
        </w:rPr>
        <w:t>(Davis &amp; Nolen-Hoeksema, 2000)</w:t>
      </w:r>
      <w:r w:rsidR="00AA1F6F" w:rsidRPr="0013016F">
        <w:rPr>
          <w:rFonts w:eastAsia="Calibri" w:cs="Times New Roman"/>
          <w:lang w:val="en-US"/>
        </w:rPr>
        <w:fldChar w:fldCharType="end"/>
      </w:r>
      <w:r w:rsidR="005D6449" w:rsidRPr="0013016F">
        <w:rPr>
          <w:rFonts w:eastAsia="Calibri" w:cs="Times New Roman"/>
          <w:lang w:val="en-US"/>
        </w:rPr>
        <w:t xml:space="preserve">. </w:t>
      </w:r>
      <w:r w:rsidR="0045479A" w:rsidRPr="0013016F">
        <w:rPr>
          <w:rFonts w:eastAsia="Calibri" w:cs="Times New Roman"/>
          <w:lang w:val="en-US"/>
        </w:rPr>
        <w:t>According to</w:t>
      </w:r>
      <w:r w:rsidR="00354EA1" w:rsidRPr="0013016F">
        <w:rPr>
          <w:rFonts w:eastAsia="Calibri" w:cs="Times New Roman"/>
          <w:lang w:val="en-US"/>
        </w:rPr>
        <w:t xml:space="preserve"> Borkovec’s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"ISBN" : "0-471-94114-X", "abstract" : "review some of the empirically determined characteristics of worry / suggest theoretical perspectives that may account for the functions and origins of this ubiquitous process nature of worry [conceptual and imaginal cognitive activity, affective experience of worry, attentional activity and memory retrieval, behavioral responding, physiological activity] / functions of worry [cognitive avoidance of threat, inhibition of emotional processing] / origins of chronic worry and [generalized anxiety disorder] GAD [history of trauma, insecure attachment in childhood] (PsycINFO Database Record (c) 2012 APA, all rights reserved). (chapter)", "author" : [ { "dropping-particle" : "", "family" : "Borkovec", "given" : "T D", "non-dropping-particle" : "", "parse-names" : false, "suffix" : "" } ], "container-title" : "Worrying: Perspectives on Theory, Assessment, and Treatment", "editor" : [ { "dropping-particle" : "", "family" : "Davey", "given" : "G.", "non-dropping-particle" : "", "parse-names" : false, "suffix" : "" }, { "dropping-particle" : "", "family" : "Tallis", "given" : "E.", "non-dropping-particle" : "", "parse-names" : false, "suffix" : "" } ], "id" : "ITEM-1", "issued" : { "date-parts" : [ [ "1994" ] ] }, "page" : "5-33", "publisher" : "Wiley &amp; Sons", "publisher-place" : "Sussex, England", "title" : "The nature, functions, and origins of worry", "type" : "chapter" }, "uris" : [ "http://www.mendeley.com/documents/?uuid=bfe0a3cf-9b63-4ad0-adf5-b7bc0a8b2ace" ] } ], "mendeley" : { "formattedCitation" : "(Borkovec, 1994)", "plainTextFormattedCitation" : "(Borkovec, 1994)", "previouslyFormattedCitation" : "(Borkovec, 1994)" }, "properties" : { "noteIndex" : 0 }, "schema" : "https://github.com/citation-style-language/schema/raw/master/csl-citation.json" }</w:instrText>
      </w:r>
      <w:r w:rsidR="00AA1F6F" w:rsidRPr="0013016F">
        <w:rPr>
          <w:rFonts w:eastAsia="Calibri" w:cs="Times New Roman"/>
          <w:lang w:val="en-US"/>
        </w:rPr>
        <w:fldChar w:fldCharType="separate"/>
      </w:r>
      <w:r w:rsidR="00D94364" w:rsidRPr="0013016F">
        <w:rPr>
          <w:rFonts w:eastAsia="Calibri" w:cs="Times New Roman"/>
          <w:noProof/>
          <w:lang w:val="en-US"/>
        </w:rPr>
        <w:t>(1994)</w:t>
      </w:r>
      <w:r w:rsidR="00AA1F6F" w:rsidRPr="0013016F">
        <w:rPr>
          <w:rFonts w:eastAsia="Calibri" w:cs="Times New Roman"/>
          <w:lang w:val="en-US"/>
        </w:rPr>
        <w:fldChar w:fldCharType="end"/>
      </w:r>
      <w:r w:rsidR="00354EA1" w:rsidRPr="0013016F">
        <w:rPr>
          <w:rFonts w:eastAsia="Calibri" w:cs="Times New Roman"/>
          <w:lang w:val="en-US"/>
        </w:rPr>
        <w:t xml:space="preserve"> </w:t>
      </w:r>
      <w:r w:rsidR="00B04DD4">
        <w:rPr>
          <w:rFonts w:eastAsia="Calibri" w:cs="Times New Roman"/>
          <w:lang w:val="en-US"/>
        </w:rPr>
        <w:t>a</w:t>
      </w:r>
      <w:r w:rsidR="00B04DD4" w:rsidRPr="0013016F">
        <w:rPr>
          <w:rFonts w:eastAsia="Calibri" w:cs="Times New Roman"/>
          <w:lang w:val="en-US"/>
        </w:rPr>
        <w:t xml:space="preserve">voidance </w:t>
      </w:r>
      <w:r w:rsidR="00B04DD4">
        <w:rPr>
          <w:rFonts w:eastAsia="Calibri" w:cs="Times New Roman"/>
          <w:lang w:val="en-US"/>
        </w:rPr>
        <w:t>m</w:t>
      </w:r>
      <w:r w:rsidR="00B04DD4" w:rsidRPr="0013016F">
        <w:rPr>
          <w:rFonts w:eastAsia="Calibri" w:cs="Times New Roman"/>
          <w:lang w:val="en-US"/>
        </w:rPr>
        <w:t xml:space="preserve">odel </w:t>
      </w:r>
      <w:r w:rsidR="00354EA1" w:rsidRPr="0013016F">
        <w:rPr>
          <w:rFonts w:eastAsia="Calibri" w:cs="Times New Roman"/>
          <w:lang w:val="en-US"/>
        </w:rPr>
        <w:t xml:space="preserve">of </w:t>
      </w:r>
      <w:r w:rsidR="00B04DD4">
        <w:rPr>
          <w:rFonts w:eastAsia="Calibri" w:cs="Times New Roman"/>
          <w:lang w:val="en-US"/>
        </w:rPr>
        <w:t>w</w:t>
      </w:r>
      <w:r w:rsidR="00B04DD4" w:rsidRPr="0013016F">
        <w:rPr>
          <w:rFonts w:eastAsia="Calibri" w:cs="Times New Roman"/>
          <w:lang w:val="en-US"/>
        </w:rPr>
        <w:t xml:space="preserve">orry </w:t>
      </w:r>
      <w:r w:rsidR="00354EA1" w:rsidRPr="0013016F">
        <w:rPr>
          <w:rFonts w:eastAsia="Calibri" w:cs="Times New Roman"/>
          <w:lang w:val="en-US"/>
        </w:rPr>
        <w:t>(AMW)</w:t>
      </w:r>
      <w:r w:rsidR="0045479A" w:rsidRPr="0013016F">
        <w:rPr>
          <w:rFonts w:eastAsia="Calibri" w:cs="Times New Roman"/>
          <w:lang w:val="en-US"/>
        </w:rPr>
        <w:t>,</w:t>
      </w:r>
      <w:r w:rsidR="00A461EB" w:rsidRPr="0013016F">
        <w:rPr>
          <w:rFonts w:eastAsia="Calibri" w:cs="Times New Roman"/>
          <w:lang w:val="en-US"/>
        </w:rPr>
        <w:t xml:space="preserve"> </w:t>
      </w:r>
      <w:r w:rsidR="00782207" w:rsidRPr="0013016F">
        <w:rPr>
          <w:rFonts w:eastAsia="Calibri" w:cs="Times New Roman"/>
          <w:lang w:val="en-US"/>
        </w:rPr>
        <w:t>the chronic preparation for negative events when worrying</w:t>
      </w:r>
      <w:r w:rsidR="007567E9" w:rsidRPr="0013016F">
        <w:rPr>
          <w:rFonts w:eastAsia="Calibri" w:cs="Times New Roman"/>
          <w:lang w:val="en-US"/>
        </w:rPr>
        <w:t xml:space="preserve"> actually</w:t>
      </w:r>
      <w:r w:rsidR="00354EA1" w:rsidRPr="0013016F">
        <w:rPr>
          <w:rFonts w:eastAsia="Calibri" w:cs="Times New Roman"/>
          <w:lang w:val="en-US"/>
        </w:rPr>
        <w:t xml:space="preserve"> buffer</w:t>
      </w:r>
      <w:r w:rsidR="007F4313" w:rsidRPr="0013016F">
        <w:rPr>
          <w:rFonts w:eastAsia="Calibri" w:cs="Times New Roman"/>
          <w:lang w:val="en-US"/>
        </w:rPr>
        <w:t>s</w:t>
      </w:r>
      <w:r w:rsidR="00354EA1" w:rsidRPr="0013016F">
        <w:rPr>
          <w:rFonts w:eastAsia="Calibri" w:cs="Times New Roman"/>
          <w:lang w:val="en-US"/>
        </w:rPr>
        <w:t xml:space="preserve"> the effect</w:t>
      </w:r>
      <w:r w:rsidR="007F4313" w:rsidRPr="0013016F">
        <w:rPr>
          <w:rFonts w:eastAsia="Calibri" w:cs="Times New Roman"/>
          <w:lang w:val="en-US"/>
        </w:rPr>
        <w:t>s</w:t>
      </w:r>
      <w:r w:rsidR="00354EA1" w:rsidRPr="0013016F">
        <w:rPr>
          <w:rFonts w:eastAsia="Calibri" w:cs="Times New Roman"/>
          <w:lang w:val="en-US"/>
        </w:rPr>
        <w:t xml:space="preserve"> of </w:t>
      </w:r>
      <w:r w:rsidR="00782207" w:rsidRPr="0013016F">
        <w:rPr>
          <w:rFonts w:eastAsia="Calibri" w:cs="Times New Roman"/>
          <w:lang w:val="en-US"/>
        </w:rPr>
        <w:t>that</w:t>
      </w:r>
      <w:r w:rsidR="00354EA1" w:rsidRPr="0013016F">
        <w:rPr>
          <w:rFonts w:eastAsia="Calibri" w:cs="Times New Roman"/>
          <w:lang w:val="en-US"/>
        </w:rPr>
        <w:t xml:space="preserve"> </w:t>
      </w:r>
      <w:r w:rsidR="0045479A" w:rsidRPr="0013016F">
        <w:rPr>
          <w:rFonts w:eastAsia="Calibri" w:cs="Times New Roman"/>
          <w:lang w:val="en-US"/>
        </w:rPr>
        <w:t xml:space="preserve">event </w:t>
      </w:r>
      <w:r w:rsidR="00AA1F6F" w:rsidRPr="0013016F">
        <w:rPr>
          <w:rFonts w:eastAsia="Calibri" w:cs="Times New Roman"/>
          <w:lang w:val="en-US"/>
        </w:rPr>
        <w:fldChar w:fldCharType="begin" w:fldLock="1"/>
      </w:r>
      <w:r w:rsidR="00D94364" w:rsidRPr="0013016F">
        <w:rPr>
          <w:rFonts w:eastAsia="Calibri" w:cs="Times New Roman"/>
          <w:lang w:val="en-US"/>
        </w:rPr>
        <w:instrText>ADDIN CSL_CITATION { "citationItems" : [ { "id" : "ITEM-1", "itemData" : { "DOI" : "10.1016/j.janxdis.2009.07.006", "ISBN" : "0887-6185", "ISSN" : "08876185", "PMID" : "19700258", "abstract" : "Theoretical conceptualizations of generalized anxiety disorder (GAD) continue to undergo scrutiny and refinement. The current paper critiques five contemporary models of GAD: the Avoidance Model of Worry and GAD [Borkovec, T. D. (1994). The nature, functions, and origins of worry. In: G. Davey &amp; F. Tallis (Eds.), Worrying: perspectives on theory assessment and treatment (pp. 5-33). Sussex, England: Wiley &amp; Sons; Borkovec, T. D., Alcaine, O. M., &amp; Behar, E. (2004). Avoidance theory of worry and generalized anxiety disorder. In: R. Heimberg, C. Turk, &amp; D. Mennin (Eds.), Generalized anxiety disorder: advances in research and practice (pp. 77-108). New York, NY, US: Guilford Press]; the Intolerance of Uncertainty Model [Dugas, M. J., Letarte, H., Rheaume, J., Freeston, M. H., &amp; Ladouceur, R. (1995). Worry and problem solving: evidence of a specific relationship. Cognitive Therapy and Research, 19, 109-120; Freeston, M. H., Rheaume, J., Letarte, H., Dugas, M. J., &amp; Ladouceur, R. (1994). Why do people worry? Personality and Individual Differences, 17, 791-802]; the Metacognitive Model [Wells, A. (1995). Meta-cognition and worry: a cognitive model of generalized anxiety disorder. Behavioural and Cognitive Psychotherapy, 23, 301-320]; the Emotion Dysregulation Model [Mennin, D. S., Heimberg, R. G., Turk, C. L., &amp; Fresco, D. M. (2002). Applying an emotion regulation framework to integrative approaches to generalized anxiety disorder. Clinical Psychology: Science and Practice, 9, 85-90]; and the Acceptance-based Model of GAD [Roemer, L., &amp; Orsillo, S. M. (2002). Expanding our conceptualization of and treatment for generalized anxiety disorder: integrating mindfulness/acceptance-based approaches with existing cognitive behavioral models. Clinical Psychology: Science and Practice, 9, 54-68]. Evidence in support of each model is critically reviewed, and each model's corresponding evidence-based therapeutic interventions are discussed. Generally speaking, the models share an emphasis on avoidance of internal affective experiences (i.e., thoughts, beliefs, and emotions). The models cluster into three types: cognitive models (i.e., IUM, MCM), emotional/experiential (i.e., EDM, ABM), and an integrated model (AMW). This clustering offers directions for future research and new treatment strategies. ?? 2009 Elsevier Ltd. All rights reserved.", "author" : [ { "dropping-particle" : "", "family" : "Behar", "given" : "Evelyn", "non-dropping-particle" : "", "parse-names" : false, "suffix" : "" }, { "dropping-particle" : "", "family" : "DiMarco", "given" : "Ilyse Dobrow", "non-dropping-particle" : "", "parse-names" : false, "suffix" : "" }, { "dropping-particle" : "", "family" : "Hekler", "given" : "Eric B.", "non-dropping-particle" : "", "parse-names" : false, "suffix" : "" }, { "dropping-particle" : "", "family" : "Mohlman", "given" : "Jan", "non-dropping-particle" : "", "parse-names" : false, "suffix" : "" }, { "dropping-particle" : "", "family" : "Staples", "given" : "Alison M.", "non-dropping-particle" : "", "parse-names" : false, "suffix" : "" } ], "container-title" : "Journal of Anxiety Disorders", "id" : "ITEM-1", "issue" : "8", "issued" : { "date-parts" : [ [ "2009" ] ] }, "page" : "1011-1023", "title" : "Current theoretical models of generalized anxiety disorder (GAD): Conceptual review and treatment implications", "type" : "article-journal", "volume" : "23" }, "uris" : [ "http://www.mendeley.com/documents/?uuid=42720794-1ab7-426b-afcf-7d99f8a7d7ef" ] }, { "id" : "ITEM-2", "itemData" : { "ISBN" : "0-471-94114-X", "abstract" : "review some of the empirically determined characteristics of worry / suggest theoretical perspectives that may account for the functions and origins of this ubiquitous process nature of worry [conceptual and imaginal cognitive activity, affective experience of worry, attentional activity and memory retrieval, behavioral responding, physiological activity] / functions of worry [cognitive avoidance of threat, inhibition of emotional processing] / origins of chronic worry and [generalized anxiety disorder] GAD [history of trauma, insecure attachment in childhood] (PsycINFO Database Record (c) 2012 APA, all rights reserved). (chapter)", "author" : [ { "dropping-particle" : "", "family" : "Borkovec", "given" : "T D", "non-dropping-particle" : "", "parse-names" : false, "suffix" : "" } ], "container-title" : "Worrying: Perspectives on Theory, Assessment, and Treatment", "editor" : [ { "dropping-particle" : "", "family" : "Davey", "given" : "G.", "non-dropping-particle" : "", "parse-names" : false, "suffix" : "" }, { "dropping-particle" : "", "family" : "Tallis", "given" : "E.", "non-dropping-particle" : "", "parse-names" : false, "suffix" : "" } ], "id" : "ITEM-2", "issued" : { "date-parts" : [ [ "1994" ] ] }, "page" : "5-33", "publisher" : "Wiley &amp; Sons", "publisher-place" : "Sussex, England", "title" : "The nature, functions, and origins of worry", "type" : "chapter" }, "uris" : [ "http://www.mendeley.com/documents/?uuid=bfe0a3cf-9b63-4ad0-adf5-b7bc0a8b2ace" ] }, { "id" : "ITEM-3", "itemData" : { "DOI" : "10.1016/j.cpr.2011.01.008", "ISBN" : "1873-7811 (Electronic)\\r0272-7358 (Linking)", "ISSN" : "02727358", "PMID" : "21334285", "abstract" : "An important emphasis of the literature on generalized anxiety disorder (GAD) has been to achieve a greater understanding of the function of emotion (e.g., avoidance, dysregulation) in the etiology and maintenance of this disorder. The purpose of the following paper is to propose a new way of conceptualizing emotional sequelae in GAD by detailing the Contrast Avoidance Model of Worry. In presenting this model, we review theory and data that led to our current position, which is that individuals with GAD are more sensitive to feeling emotionally vulnerable to unexpected negative events, and that worry (the key pathological feature of GAD) is employed to prolong and maintain a negative emotional state thereby avoiding an unexpected negative emotional shift, or contrast experience. We also discuss implications for treatment given the presence of a new target for emotional exposure techniques. Finally, we establish the Contrast Avoidance Model within the framework of extant theories and models of pathogenic processes of GAD. ?? 2011 Elsevier Ltd.", "author" : [ { "dropping-particle" : "", "family" : "Newman", "given" : "Michelle G.", "non-dropping-particle" : "", "parse-names" : false, "suffix" : "" }, { "dropping-particle" : "", "family" : "Llera", "given" : "Sandra J.", "non-dropping-particle" : "", "parse-names" : false, "suffix" : "" } ], "container-title" : "Clinical Psychology Review", "id" : "ITEM-3", "issue" : "3", "issued" : { "date-parts" : [ [ "2011" ] ] }, "page" : "371-382", "title" : "A novel theory of experiential avoidance in generalized anxiety disorder: A review and synthesis of research supporting a contrast avoidance model of worry", "type" : "article", "volume" : "31" }, "uris" : [ "http://www.mendeley.com/documents/?uuid=e557cb49-419d-4ed6-a2cd-60c8599dfc29" ] } ], "mendeley" : { "formattedCitation" : "(Behar, DiMarco, Hekler, Mohlman, &amp; Staples, 2009; Borkovec, 1994; Newman &amp; Llera, 2011)", "plainTextFormattedCitation" : "(Behar, DiMarco, Hekler, Mohlman, &amp; Staples, 2009; Borkovec, 1994; Newman &amp; Llera, 2011)", "previouslyFormattedCitation" : "(Behar, DiMarco, Hekler, Mohlman, &amp; Staples, 2009; Borkovec, 1994; Newman &amp; Llera, 2011)" }, "properties" : { "noteIndex" : 0 }, "schema" : "https://github.com/citation-style-language/schema/raw/master/csl-citation.json" }</w:instrText>
      </w:r>
      <w:r w:rsidR="00AA1F6F" w:rsidRPr="0013016F">
        <w:rPr>
          <w:rFonts w:eastAsia="Calibri" w:cs="Times New Roman"/>
          <w:lang w:val="en-US"/>
        </w:rPr>
        <w:fldChar w:fldCharType="separate"/>
      </w:r>
      <w:r w:rsidR="00F55DA7" w:rsidRPr="0013016F">
        <w:rPr>
          <w:rFonts w:eastAsia="Calibri" w:cs="Times New Roman"/>
          <w:noProof/>
          <w:lang w:val="en-US"/>
        </w:rPr>
        <w:t>(Behar, DiMarco, Hekler, Mohlman, &amp; Staples, 2009; Borkovec, 1994; Newman &amp; Llera, 2011)</w:t>
      </w:r>
      <w:r w:rsidR="00AA1F6F" w:rsidRPr="0013016F">
        <w:rPr>
          <w:rFonts w:eastAsia="Calibri" w:cs="Times New Roman"/>
          <w:lang w:val="en-US"/>
        </w:rPr>
        <w:fldChar w:fldCharType="end"/>
      </w:r>
      <w:r w:rsidR="00354EA1" w:rsidRPr="0013016F">
        <w:rPr>
          <w:rFonts w:eastAsia="Calibri" w:cs="Times New Roman"/>
          <w:lang w:val="en-US"/>
        </w:rPr>
        <w:t>.</w:t>
      </w:r>
      <w:r w:rsidR="00982100" w:rsidRPr="0013016F">
        <w:rPr>
          <w:rFonts w:eastAsia="Calibri" w:cs="Times New Roman"/>
          <w:lang w:val="en-US"/>
        </w:rPr>
        <w:t xml:space="preserve"> Along these lines,</w:t>
      </w:r>
      <w:r w:rsidR="00354EA1" w:rsidRPr="0013016F">
        <w:rPr>
          <w:rFonts w:eastAsia="Calibri" w:cs="Times New Roman"/>
          <w:lang w:val="en-US"/>
        </w:rPr>
        <w:t xml:space="preserve"> the participants in our study who </w:t>
      </w:r>
      <w:r w:rsidR="007567E9" w:rsidRPr="0013016F">
        <w:rPr>
          <w:rFonts w:eastAsia="Calibri" w:cs="Times New Roman"/>
          <w:lang w:val="en-US"/>
        </w:rPr>
        <w:t xml:space="preserve">worry (i.e., who do not </w:t>
      </w:r>
      <w:r w:rsidR="00104F4A" w:rsidRPr="0013016F">
        <w:rPr>
          <w:rFonts w:eastAsia="Calibri" w:cs="Times New Roman"/>
          <w:lang w:val="en-US"/>
        </w:rPr>
        <w:t xml:space="preserve">successfully </w:t>
      </w:r>
      <w:r w:rsidR="007567E9" w:rsidRPr="0013016F">
        <w:rPr>
          <w:rFonts w:eastAsia="Calibri" w:cs="Times New Roman"/>
          <w:lang w:val="en-US"/>
        </w:rPr>
        <w:t xml:space="preserve">disengage from negative stimuli) </w:t>
      </w:r>
      <w:r w:rsidR="00354EA1" w:rsidRPr="0013016F">
        <w:rPr>
          <w:rFonts w:eastAsia="Calibri" w:cs="Times New Roman"/>
          <w:lang w:val="en-US"/>
        </w:rPr>
        <w:t xml:space="preserve">might </w:t>
      </w:r>
      <w:r w:rsidR="005C1C77" w:rsidRPr="0013016F">
        <w:rPr>
          <w:rFonts w:eastAsia="Calibri" w:cs="Times New Roman"/>
          <w:lang w:val="en-US"/>
        </w:rPr>
        <w:t xml:space="preserve">have </w:t>
      </w:r>
      <w:r w:rsidR="007567E9" w:rsidRPr="0013016F">
        <w:rPr>
          <w:rFonts w:eastAsia="Calibri" w:cs="Times New Roman"/>
          <w:lang w:val="en-US"/>
        </w:rPr>
        <w:t>buffer</w:t>
      </w:r>
      <w:r w:rsidR="005C1C77" w:rsidRPr="0013016F">
        <w:rPr>
          <w:rFonts w:eastAsia="Calibri" w:cs="Times New Roman"/>
          <w:lang w:val="en-US"/>
        </w:rPr>
        <w:t>ed</w:t>
      </w:r>
      <w:r w:rsidR="007567E9" w:rsidRPr="0013016F">
        <w:rPr>
          <w:rFonts w:eastAsia="Calibri" w:cs="Times New Roman"/>
          <w:lang w:val="en-US"/>
        </w:rPr>
        <w:t xml:space="preserve"> their experience of arousa</w:t>
      </w:r>
      <w:r w:rsidR="00104F4A" w:rsidRPr="0013016F">
        <w:rPr>
          <w:rFonts w:eastAsia="Calibri" w:cs="Times New Roman"/>
          <w:lang w:val="en-US"/>
        </w:rPr>
        <w:t>l</w:t>
      </w:r>
      <w:r w:rsidR="005D6449" w:rsidRPr="0013016F">
        <w:rPr>
          <w:rFonts w:eastAsia="Calibri" w:cs="Times New Roman"/>
          <w:lang w:val="en-US"/>
        </w:rPr>
        <w:t>.</w:t>
      </w:r>
      <w:r w:rsidR="00104F4A" w:rsidRPr="0013016F">
        <w:rPr>
          <w:rFonts w:eastAsia="Calibri" w:cs="Times New Roman"/>
          <w:lang w:val="en-US"/>
        </w:rPr>
        <w:t xml:space="preserve"> Consequently, those participants might have utilized a successful yet </w:t>
      </w:r>
      <w:r w:rsidR="003779B9" w:rsidRPr="0013016F">
        <w:rPr>
          <w:rFonts w:eastAsia="Calibri" w:cs="Times New Roman"/>
          <w:lang w:val="en-US"/>
        </w:rPr>
        <w:t xml:space="preserve">– in the longer run – </w:t>
      </w:r>
      <w:r w:rsidR="00104F4A" w:rsidRPr="0013016F">
        <w:rPr>
          <w:rFonts w:eastAsia="Calibri" w:cs="Times New Roman"/>
          <w:lang w:val="en-US"/>
        </w:rPr>
        <w:t>maladaptive emotion regulation strategy</w:t>
      </w:r>
      <w:r w:rsidR="00235F59" w:rsidRPr="0013016F">
        <w:rPr>
          <w:rFonts w:eastAsia="Calibri" w:cs="Times New Roman"/>
          <w:lang w:val="en-US"/>
        </w:rPr>
        <w:t xml:space="preserve"> </w:t>
      </w:r>
      <w:r w:rsidR="00AA1F6F" w:rsidRPr="0013016F">
        <w:rPr>
          <w:rFonts w:eastAsia="Calibri" w:cs="Times New Roman"/>
          <w:lang w:val="en-US"/>
        </w:rPr>
        <w:fldChar w:fldCharType="begin" w:fldLock="1"/>
      </w:r>
      <w:r w:rsidR="00BE051A" w:rsidRPr="0013016F">
        <w:rPr>
          <w:rFonts w:eastAsia="Calibri" w:cs="Times New Roman"/>
          <w:lang w:val="en-US"/>
        </w:rPr>
        <w:instrText>ADDIN CSL_CITATION { "citationItems" : [ { "id" : "ITEM-1", "itemData" : { "DOI" : "10.1111/j.1745-6924.2008.00088.x", "ISBN" : "1745-6916", "ISSN" : "17456916", "PMID" : "26158958", "abstract" : "The response styles theory (Nolen-Hoeksema, 1991) was proposed to explain the insidious relationship between rumination and depression.We review the aspects of the response styles theory that have been well-sup- ported, including evidence that rumination exacerbates depression, enhances negative thinking, impairs problem solving, interferes with instrumental behavior, and erodes social support. Next, we address contradictory and new findings. Specifically, rumination appears to more consis- tently predict the onset of depression rather than the du- ration, but rumination interacts with negative cognitive styles to predict the duration of depressive symptoms. Contrary to original predictions, the use of positive dis- tractions has not consistently been correlated with lower levels of depressive symptoms in correlational studies, al- though dozens of experimental studies show positive dis- tractions relieve depressed mood. Further, evidence now suggests that rumination is associated with psychopa- thologies in addition to depression, including anxiety, binge eating, binge drinking, and self-harm.We discuss the relationships between rumination and worry and between rumination and other coping or emotion-regulation strategies. Finally, we highlight recent research on the distinction between rumination and more adaptive forms of self-reflection, on basic cognitive deficits or biases in rumination, on its neural and genetic correlates, and on possible interventions to combat rumination.", "author" : [ { "dropping-particle" : "", "family" : "Nolen-Hoeksema", "given" : "Susan", "non-dropping-particle" : "", "parse-names" : false, "suffix" : "" }, { "dropping-particle" : "", "family" : "Wisco", "given" : "Blair E.", "non-dropping-particle" : "", "parse-names" : false, "suffix" : "" }, { "dropping-particle" : "", "family" : "Lyubomirsky", "given" : "Sonja", "non-dropping-particle" : "", "parse-names" : false, "suffix" : "" } ], "container-title" : "Perspectives on Psychological Science", "id" : "ITEM-1", "issue" : "5", "issued" : { "date-parts" : [ [ "2008" ] ] }, "page" : "400-424", "title" : "Rethinking Rumination", "type" : "article-journal", "volume" : "3" }, "uris" : [ "http://www.mendeley.com/documents/?uuid=2e74956f-95d7-4143-8e79-ab3777c08915" ] } ], "mendeley" : { "formattedCitation" : "(Nolen-Hoeksema, Wisco, &amp; Lyubomirsky, 2008)", "plainTextFormattedCitation" : "(Nolen-Hoeksema, Wisco, &amp; Lyubomirsky, 2008)", "previouslyFormattedCitation" : "(Nolen-Hoeksema, Wisco, &amp; Lyubomirsky, 2008)" }, "properties" : { "noteIndex" : 0 }, "schema" : "https://github.com/citation-style-language/schema/raw/master/csl-citation.json" }</w:instrText>
      </w:r>
      <w:r w:rsidR="00AA1F6F" w:rsidRPr="0013016F">
        <w:rPr>
          <w:rFonts w:eastAsia="Calibri" w:cs="Times New Roman"/>
          <w:lang w:val="en-US"/>
        </w:rPr>
        <w:fldChar w:fldCharType="separate"/>
      </w:r>
      <w:r w:rsidR="00BE051A" w:rsidRPr="0013016F">
        <w:rPr>
          <w:rFonts w:eastAsia="Calibri" w:cs="Times New Roman"/>
          <w:noProof/>
          <w:lang w:val="en-US"/>
        </w:rPr>
        <w:t>(Nolen-Hoeksema, Wisco, &amp; Lyubomirsky, 2008)</w:t>
      </w:r>
      <w:r w:rsidR="00AA1F6F" w:rsidRPr="0013016F">
        <w:rPr>
          <w:rFonts w:eastAsia="Calibri" w:cs="Times New Roman"/>
          <w:lang w:val="en-US"/>
        </w:rPr>
        <w:fldChar w:fldCharType="end"/>
      </w:r>
      <w:r w:rsidR="00104F4A" w:rsidRPr="0013016F">
        <w:rPr>
          <w:rFonts w:eastAsia="Calibri" w:cs="Times New Roman"/>
          <w:lang w:val="en-US"/>
        </w:rPr>
        <w:t>.</w:t>
      </w:r>
    </w:p>
    <w:p w:rsidR="00354EA1" w:rsidRPr="0013016F" w:rsidRDefault="00982100" w:rsidP="007567E9">
      <w:pPr>
        <w:spacing w:line="480" w:lineRule="auto"/>
        <w:ind w:firstLine="720"/>
        <w:rPr>
          <w:rFonts w:cs="Times New Roman"/>
          <w:lang w:val="en-US"/>
        </w:rPr>
      </w:pPr>
      <w:r w:rsidRPr="0013016F">
        <w:rPr>
          <w:rFonts w:eastAsia="Calibri" w:cs="Times New Roman"/>
          <w:lang w:val="en-US"/>
        </w:rPr>
        <w:t>Our proxy for autonomic flexibility,</w:t>
      </w:r>
      <w:r w:rsidR="00354EA1" w:rsidRPr="0013016F">
        <w:rPr>
          <w:rFonts w:eastAsia="Calibri" w:cs="Times New Roman"/>
          <w:lang w:val="en-US"/>
        </w:rPr>
        <w:t xml:space="preserve"> HRV</w:t>
      </w:r>
      <w:r w:rsidRPr="0013016F">
        <w:rPr>
          <w:rFonts w:eastAsia="Calibri" w:cs="Times New Roman"/>
          <w:lang w:val="en-US"/>
        </w:rPr>
        <w:t>, also</w:t>
      </w:r>
      <w:r w:rsidR="00354EA1" w:rsidRPr="0013016F">
        <w:rPr>
          <w:rFonts w:eastAsia="Calibri" w:cs="Times New Roman"/>
          <w:lang w:val="en-US"/>
        </w:rPr>
        <w:t xml:space="preserve"> predicted differences in experienced </w:t>
      </w:r>
      <w:r w:rsidR="0061385F" w:rsidRPr="0013016F">
        <w:rPr>
          <w:rFonts w:eastAsia="Calibri" w:cs="Times New Roman"/>
          <w:lang w:val="en-US"/>
        </w:rPr>
        <w:t xml:space="preserve">ratings </w:t>
      </w:r>
      <w:r w:rsidR="00354EA1" w:rsidRPr="0013016F">
        <w:rPr>
          <w:rFonts w:eastAsia="Calibri" w:cs="Times New Roman"/>
          <w:lang w:val="en-US"/>
        </w:rPr>
        <w:t xml:space="preserve">of arousal during Room 101. HRV predicted </w:t>
      </w:r>
      <w:r w:rsidR="008B7037" w:rsidRPr="0013016F">
        <w:rPr>
          <w:rFonts w:eastAsia="Calibri" w:cs="Times New Roman"/>
          <w:lang w:val="en-US"/>
        </w:rPr>
        <w:t xml:space="preserve">decreased </w:t>
      </w:r>
      <w:r w:rsidR="00354EA1" w:rsidRPr="0013016F">
        <w:rPr>
          <w:rFonts w:eastAsia="Calibri" w:cs="Times New Roman"/>
          <w:lang w:val="en-US"/>
        </w:rPr>
        <w:t xml:space="preserve">subjective arousal during </w:t>
      </w:r>
      <w:r w:rsidRPr="0013016F">
        <w:rPr>
          <w:rFonts w:eastAsia="Calibri" w:cs="Times New Roman"/>
          <w:lang w:val="en-US"/>
        </w:rPr>
        <w:t xml:space="preserve">both </w:t>
      </w:r>
      <w:r w:rsidR="00354EA1" w:rsidRPr="0013016F">
        <w:rPr>
          <w:rFonts w:eastAsia="Calibri" w:cs="Times New Roman"/>
          <w:lang w:val="en-US"/>
        </w:rPr>
        <w:t>the exploded-floor-epoch</w:t>
      </w:r>
      <w:r w:rsidRPr="0013016F">
        <w:rPr>
          <w:rFonts w:eastAsia="Calibri" w:cs="Times New Roman"/>
          <w:lang w:val="en-US"/>
        </w:rPr>
        <w:t xml:space="preserve"> and </w:t>
      </w:r>
      <w:r w:rsidR="00354EA1" w:rsidRPr="0013016F">
        <w:rPr>
          <w:rFonts w:eastAsia="Calibri" w:cs="Times New Roman"/>
          <w:lang w:val="en-US"/>
        </w:rPr>
        <w:t xml:space="preserve">during the spider-epoch. </w:t>
      </w:r>
      <w:r w:rsidRPr="0013016F">
        <w:rPr>
          <w:rFonts w:eastAsia="Calibri" w:cs="Times New Roman"/>
          <w:lang w:val="en-US"/>
        </w:rPr>
        <w:t>Specifically</w:t>
      </w:r>
      <w:r w:rsidR="00354EA1" w:rsidRPr="0013016F">
        <w:rPr>
          <w:rFonts w:eastAsia="Calibri" w:cs="Times New Roman"/>
          <w:lang w:val="en-US"/>
        </w:rPr>
        <w:t xml:space="preserve">, the </w:t>
      </w:r>
      <w:r w:rsidRPr="0013016F">
        <w:rPr>
          <w:rFonts w:eastAsia="Calibri" w:cs="Times New Roman"/>
          <w:lang w:val="en-US"/>
        </w:rPr>
        <w:t xml:space="preserve">effect of </w:t>
      </w:r>
      <w:r w:rsidR="00354EA1" w:rsidRPr="0013016F">
        <w:rPr>
          <w:rFonts w:eastAsia="Calibri" w:cs="Times New Roman"/>
          <w:lang w:val="en-US"/>
        </w:rPr>
        <w:t xml:space="preserve">HRV emerged only in later phases of </w:t>
      </w:r>
      <w:r w:rsidR="007567E9" w:rsidRPr="0013016F">
        <w:rPr>
          <w:rFonts w:eastAsia="Calibri" w:cs="Times New Roman"/>
          <w:lang w:val="en-US"/>
        </w:rPr>
        <w:t xml:space="preserve">these </w:t>
      </w:r>
      <w:r w:rsidR="00354EA1" w:rsidRPr="0013016F">
        <w:rPr>
          <w:rFonts w:eastAsia="Calibri" w:cs="Times New Roman"/>
          <w:lang w:val="en-US"/>
        </w:rPr>
        <w:t xml:space="preserve">prolonged threats and the subsequent less threatening phases, but not during the onsets of threats or phases with intermittent threats. </w:t>
      </w:r>
      <w:r w:rsidR="00331232" w:rsidRPr="0013016F">
        <w:rPr>
          <w:rFonts w:eastAsia="Calibri" w:cs="Times New Roman"/>
          <w:lang w:val="en-US"/>
        </w:rPr>
        <w:t xml:space="preserve">This effect is thus </w:t>
      </w:r>
      <w:r w:rsidR="00354EA1" w:rsidRPr="0013016F">
        <w:rPr>
          <w:rFonts w:eastAsia="Calibri" w:cs="Times New Roman"/>
          <w:lang w:val="en-US"/>
        </w:rPr>
        <w:t>very specific to phases that allow for regulation.</w:t>
      </w:r>
      <w:r w:rsidR="002A54FA" w:rsidRPr="0013016F">
        <w:rPr>
          <w:rFonts w:eastAsia="Calibri" w:cs="Times New Roman"/>
          <w:lang w:val="en-US"/>
        </w:rPr>
        <w:t xml:space="preserve"> </w:t>
      </w:r>
      <w:r w:rsidR="00354EA1" w:rsidRPr="0013016F">
        <w:rPr>
          <w:rFonts w:eastAsia="Calibri" w:cs="Times New Roman"/>
          <w:lang w:val="en-US"/>
        </w:rPr>
        <w:t xml:space="preserve">It might be somewhat surprising that individual differences in HRV were only predictive of subjective ratings of arousal and not of physiological arousal </w:t>
      </w:r>
      <w:r w:rsidR="00EF59F2" w:rsidRPr="0013016F">
        <w:rPr>
          <w:rFonts w:eastAsia="Calibri" w:cs="Times New Roman"/>
          <w:lang w:val="en-US"/>
        </w:rPr>
        <w:t xml:space="preserve">(SCL) </w:t>
      </w:r>
      <w:r w:rsidR="00354EA1" w:rsidRPr="0013016F">
        <w:rPr>
          <w:rFonts w:eastAsia="Calibri" w:cs="Times New Roman"/>
          <w:lang w:val="en-US"/>
        </w:rPr>
        <w:t xml:space="preserve">during threat, as both reflect activity of the autonomic nervous system. However, </w:t>
      </w:r>
      <w:r w:rsidR="00F77FE0" w:rsidRPr="0013016F">
        <w:rPr>
          <w:rFonts w:eastAsia="Calibri" w:cs="Times New Roman"/>
          <w:lang w:val="en-US"/>
        </w:rPr>
        <w:t>it should be emphasized that we measured HRV in a trait-like fashion during a baseline measurement, whereas SCL was measured during a threatening experience.</w:t>
      </w:r>
      <w:r w:rsidR="005E137A" w:rsidRPr="0013016F">
        <w:rPr>
          <w:rFonts w:eastAsia="Calibri" w:cs="Times New Roman"/>
          <w:lang w:val="en-US"/>
        </w:rPr>
        <w:t xml:space="preserve"> </w:t>
      </w:r>
      <w:r w:rsidR="00AA1F6F" w:rsidRPr="0013016F">
        <w:rPr>
          <w:rFonts w:eastAsia="Calibri" w:cs="Times New Roman"/>
          <w:lang w:val="en-US"/>
        </w:rPr>
        <w:t xml:space="preserve">Electrodermal activity, including </w:t>
      </w:r>
      <w:r w:rsidR="00AA1F6F" w:rsidRPr="0013016F">
        <w:rPr>
          <w:rFonts w:eastAsia="Calibri" w:cs="Times New Roman"/>
          <w:lang w:val="en-US"/>
        </w:rPr>
        <w:lastRenderedPageBreak/>
        <w:t>skin conductance level, reflects activity of mainly the sympathetic branch of the autonomic nervous system (</w:t>
      </w:r>
      <w:r w:rsidR="0027257E" w:rsidRPr="0013016F">
        <w:rPr>
          <w:rFonts w:eastAsia="Calibri" w:cs="Times New Roman"/>
          <w:lang w:val="en-US"/>
        </w:rPr>
        <w:t xml:space="preserve">but </w:t>
      </w:r>
      <w:r w:rsidR="00AA1F6F" w:rsidRPr="0013016F">
        <w:rPr>
          <w:rFonts w:eastAsia="Calibri" w:cs="Times New Roman"/>
          <w:lang w:val="en-US"/>
        </w:rPr>
        <w:t>see Boucsein, 2012</w:t>
      </w:r>
      <w:r w:rsidR="00135E89" w:rsidRPr="0013016F">
        <w:rPr>
          <w:rFonts w:eastAsia="Calibri" w:cs="Times New Roman"/>
          <w:lang w:val="en-US"/>
        </w:rPr>
        <w:t>, for a discussion of possible sweat gland innervations</w:t>
      </w:r>
      <w:r w:rsidR="00AA1F6F" w:rsidRPr="0013016F">
        <w:rPr>
          <w:rFonts w:eastAsia="Calibri" w:cs="Times New Roman"/>
          <w:lang w:val="en-US"/>
        </w:rPr>
        <w:t xml:space="preserve">), </w:t>
      </w:r>
      <w:r w:rsidR="00F77FE0" w:rsidRPr="0013016F">
        <w:rPr>
          <w:rFonts w:eastAsia="Calibri" w:cs="Times New Roman"/>
          <w:lang w:val="en-US"/>
        </w:rPr>
        <w:t>whereas va</w:t>
      </w:r>
      <w:r w:rsidR="00354EA1" w:rsidRPr="0013016F">
        <w:rPr>
          <w:rFonts w:eastAsia="Calibri" w:cs="Times New Roman"/>
          <w:lang w:val="en-US"/>
        </w:rPr>
        <w:t xml:space="preserve">gally-mediated HRV is a measure of parasympathetic inhibition of heart rate. The parasympathetic and the sympathetic nervous systems are not necessarily antagonistic but can also be coactive </w:t>
      </w:r>
      <w:r w:rsidR="00AA1F6F" w:rsidRPr="0013016F">
        <w:rPr>
          <w:rFonts w:eastAsia="Calibri" w:cs="Times New Roman"/>
          <w:lang w:val="en-US"/>
        </w:rPr>
        <w:fldChar w:fldCharType="begin" w:fldLock="1"/>
      </w:r>
      <w:r w:rsidR="00354EA1" w:rsidRPr="0013016F">
        <w:rPr>
          <w:rFonts w:eastAsia="Calibri" w:cs="Times New Roman"/>
          <w:lang w:val="en-US"/>
        </w:rPr>
        <w:instrText>ADDIN CSL_CITATION { "citationItems" : [ { "id" : "ITEM-1", "itemData" : { "ISSN" : "0033-295X", "PMID" : "1660159", "abstract" : "Contemporary findings reveal that the multiple modes of autonomic control do not lie along a single continuum extending from parasympathetic to sympathetic dominance but rather distribute within a 2-dimensional space. The physiological origins and empirical documentation for the multiple modes of autonomic control are considered. Then a formal 2-dimensional conception of autonomic space is proposed, and a quantitative model for its translation into a functional output surface is derived. It is shown that this model (a) accounts for much of the error variance that has traditionally plagued psychophysiological studies, (b) subsumes psychophysiological principles such as the law of initial values, (c) gives rise to formal laws of autonomic constraint, and (d) has fundamental implications for the direction and interpretation of a wide array of psychophysiological studies.", "author" : [ { "dropping-particle" : "", "family" : "Berntson", "given" : "G G", "non-dropping-particle" : "", "parse-names" : false, "suffix" : "" }, { "dropping-particle" : "", "family" : "Cacioppo", "given" : "J T", "non-dropping-particle" : "", "parse-names" : false, "suffix" : "" }, { "dropping-particle" : "", "family" : "Quigley", "given" : "K S", "non-dropping-particle" : "", "parse-names" : false, "suffix" : "" } ], "container-title" : "Psychological review", "id" : "ITEM-1", "issue" : "4", "issued" : { "date-parts" : [ [ "1991", "10" ] ] }, "page" : "459-87", "title" : "Autonomic determinism: the modes of autonomic control, the doctrine of autonomic space, and the laws of autonomic constraint.", "type" : "article-journal", "volume" : "98" }, "uris" : [ "http://www.mendeley.com/documents/?uuid=f206e24e-acf5-405f-ad06-0f9a0f71ad12" ] } ], "mendeley" : { "formattedCitation" : "(Berntson, Cacioppo, &amp; Quigley, 1991)", "plainTextFormattedCitation" : "(Berntson, Cacioppo, &amp; Quigley, 1991)", "previouslyFormattedCitation" : "(Berntson, Cacioppo, &amp; Quigley, 1991)" }, "properties" : { "noteIndex" : 0 }, "schema" : "https://github.com/citation-style-language/schema/raw/master/csl-citation.json" }</w:instrText>
      </w:r>
      <w:r w:rsidR="00AA1F6F" w:rsidRPr="0013016F">
        <w:rPr>
          <w:rFonts w:eastAsia="Calibri" w:cs="Times New Roman"/>
          <w:lang w:val="en-US"/>
        </w:rPr>
        <w:fldChar w:fldCharType="separate"/>
      </w:r>
      <w:r w:rsidR="00354EA1" w:rsidRPr="0013016F">
        <w:rPr>
          <w:rFonts w:eastAsia="Calibri" w:cs="Times New Roman"/>
          <w:noProof/>
          <w:lang w:val="en-US"/>
        </w:rPr>
        <w:t>(Berntson, Cacioppo, &amp; Quigley, 1991)</w:t>
      </w:r>
      <w:r w:rsidR="00AA1F6F" w:rsidRPr="0013016F">
        <w:rPr>
          <w:rFonts w:eastAsia="Calibri" w:cs="Times New Roman"/>
          <w:lang w:val="en-US"/>
        </w:rPr>
        <w:fldChar w:fldCharType="end"/>
      </w:r>
      <w:r w:rsidR="00F77FE0" w:rsidRPr="0013016F">
        <w:rPr>
          <w:rFonts w:eastAsia="Calibri" w:cs="Times New Roman"/>
          <w:lang w:val="en-US"/>
        </w:rPr>
        <w:t>.</w:t>
      </w:r>
      <w:r w:rsidR="00354EA1" w:rsidRPr="0013016F">
        <w:rPr>
          <w:rFonts w:eastAsia="Calibri" w:cs="Times New Roman"/>
          <w:lang w:val="en-US"/>
        </w:rPr>
        <w:t xml:space="preserve"> </w:t>
      </w:r>
      <w:r w:rsidR="00F77FE0" w:rsidRPr="0013016F">
        <w:rPr>
          <w:rFonts w:eastAsia="Calibri" w:cs="Times New Roman"/>
          <w:lang w:val="en-US"/>
        </w:rPr>
        <w:t xml:space="preserve">The relationship between the two systems is complex and </w:t>
      </w:r>
      <w:r w:rsidR="00354EA1" w:rsidRPr="0013016F">
        <w:rPr>
          <w:rFonts w:eastAsia="Calibri" w:cs="Times New Roman"/>
          <w:lang w:val="en-US"/>
        </w:rPr>
        <w:t>a flexible parasympathetic nervous system</w:t>
      </w:r>
      <w:r w:rsidR="002A54FA" w:rsidRPr="0013016F">
        <w:rPr>
          <w:rFonts w:eastAsia="Calibri" w:cs="Times New Roman"/>
          <w:lang w:val="en-US"/>
        </w:rPr>
        <w:t xml:space="preserve"> </w:t>
      </w:r>
      <w:r w:rsidR="002A54FA" w:rsidRPr="0013016F">
        <w:rPr>
          <w:rFonts w:eastAsia="Calibri" w:cs="Times New Roman"/>
          <w:i/>
          <w:lang w:val="en-US"/>
        </w:rPr>
        <w:t>at rest</w:t>
      </w:r>
      <w:r w:rsidR="00354EA1" w:rsidRPr="0013016F">
        <w:rPr>
          <w:rFonts w:eastAsia="Calibri" w:cs="Times New Roman"/>
          <w:lang w:val="en-US"/>
        </w:rPr>
        <w:t xml:space="preserve"> does not inevitably imply that the sympathetic nervous system is equally </w:t>
      </w:r>
      <w:r w:rsidR="00F77FE0" w:rsidRPr="0013016F">
        <w:rPr>
          <w:rFonts w:eastAsia="Calibri" w:cs="Times New Roman"/>
          <w:lang w:val="en-US"/>
        </w:rPr>
        <w:t xml:space="preserve">flexible and </w:t>
      </w:r>
      <w:r w:rsidR="00354EA1" w:rsidRPr="0013016F">
        <w:rPr>
          <w:rFonts w:eastAsia="Calibri" w:cs="Times New Roman"/>
          <w:lang w:val="en-US"/>
        </w:rPr>
        <w:t>responsive</w:t>
      </w:r>
      <w:r w:rsidR="002A54FA" w:rsidRPr="0013016F">
        <w:rPr>
          <w:rFonts w:eastAsia="Calibri" w:cs="Times New Roman"/>
          <w:lang w:val="en-US"/>
        </w:rPr>
        <w:t xml:space="preserve"> </w:t>
      </w:r>
      <w:r w:rsidR="002A54FA" w:rsidRPr="0013016F">
        <w:rPr>
          <w:rFonts w:eastAsia="Calibri" w:cs="Times New Roman"/>
          <w:i/>
          <w:lang w:val="en-US"/>
        </w:rPr>
        <w:t>during</w:t>
      </w:r>
      <w:r w:rsidR="002A54FA" w:rsidRPr="0013016F">
        <w:rPr>
          <w:rFonts w:eastAsia="Calibri" w:cs="Times New Roman"/>
          <w:lang w:val="en-US"/>
        </w:rPr>
        <w:t xml:space="preserve"> threat</w:t>
      </w:r>
      <w:r w:rsidR="00354EA1" w:rsidRPr="0013016F">
        <w:rPr>
          <w:rFonts w:eastAsia="Calibri" w:cs="Times New Roman"/>
          <w:lang w:val="en-US"/>
        </w:rPr>
        <w:t xml:space="preserve">. Therefore, </w:t>
      </w:r>
      <w:r w:rsidR="00F77FE0" w:rsidRPr="0013016F">
        <w:rPr>
          <w:rFonts w:eastAsia="Calibri" w:cs="Times New Roman"/>
          <w:lang w:val="en-US"/>
        </w:rPr>
        <w:t xml:space="preserve">HRV </w:t>
      </w:r>
      <w:r w:rsidR="00354EA1" w:rsidRPr="0013016F">
        <w:rPr>
          <w:rFonts w:eastAsia="Calibri" w:cs="Times New Roman"/>
          <w:lang w:val="en-US"/>
        </w:rPr>
        <w:t xml:space="preserve">seems to rather reflect a general capacity for </w:t>
      </w:r>
      <w:r w:rsidR="00E05463" w:rsidRPr="0013016F">
        <w:rPr>
          <w:rFonts w:eastAsia="Calibri" w:cs="Times New Roman"/>
          <w:lang w:val="en-US"/>
        </w:rPr>
        <w:t>regulation of arousal</w:t>
      </w:r>
      <w:r w:rsidR="00354EA1" w:rsidRPr="0013016F">
        <w:rPr>
          <w:rFonts w:eastAsia="Calibri" w:cs="Times New Roman"/>
          <w:lang w:val="en-US"/>
        </w:rPr>
        <w:t xml:space="preserve"> on a subjective, experiential level</w:t>
      </w:r>
      <w:r w:rsidR="00655E64" w:rsidRPr="0013016F">
        <w:rPr>
          <w:rFonts w:eastAsia="Calibri" w:cs="Times New Roman"/>
          <w:lang w:val="en-US"/>
        </w:rPr>
        <w:t>. Further research could explore this online relationship between HRV and sympath</w:t>
      </w:r>
      <w:r w:rsidR="005C1C77" w:rsidRPr="0013016F">
        <w:rPr>
          <w:rFonts w:eastAsia="Calibri" w:cs="Times New Roman"/>
          <w:lang w:val="en-US"/>
        </w:rPr>
        <w:t>et</w:t>
      </w:r>
      <w:r w:rsidR="00655E64" w:rsidRPr="0013016F">
        <w:rPr>
          <w:rFonts w:eastAsia="Calibri" w:cs="Times New Roman"/>
          <w:lang w:val="en-US"/>
        </w:rPr>
        <w:t>ic flexibi</w:t>
      </w:r>
      <w:r w:rsidR="005C1C77" w:rsidRPr="0013016F">
        <w:rPr>
          <w:rFonts w:eastAsia="Calibri" w:cs="Times New Roman"/>
          <w:lang w:val="en-US"/>
        </w:rPr>
        <w:t>li</w:t>
      </w:r>
      <w:r w:rsidR="00655E64" w:rsidRPr="0013016F">
        <w:rPr>
          <w:rFonts w:eastAsia="Calibri" w:cs="Times New Roman"/>
          <w:lang w:val="en-US"/>
        </w:rPr>
        <w:t>ty in the presence of threat</w:t>
      </w:r>
      <w:r w:rsidR="00FE7183" w:rsidRPr="0013016F">
        <w:rPr>
          <w:rFonts w:eastAsia="Calibri" w:cs="Times New Roman"/>
          <w:lang w:val="en-US"/>
        </w:rPr>
        <w:t xml:space="preserve"> (see supplementary materials for an analysis of the relationship between task HRV and subjective ratings)</w:t>
      </w:r>
      <w:r w:rsidR="00354EA1" w:rsidRPr="0013016F">
        <w:rPr>
          <w:rFonts w:eastAsia="Calibri" w:cs="Times New Roman"/>
          <w:lang w:val="en-US"/>
        </w:rPr>
        <w:t>.</w:t>
      </w:r>
    </w:p>
    <w:p w:rsidR="00354EA1" w:rsidRPr="0013016F" w:rsidRDefault="00354EA1" w:rsidP="00354EA1">
      <w:pPr>
        <w:spacing w:line="480" w:lineRule="auto"/>
        <w:ind w:firstLine="720"/>
        <w:rPr>
          <w:rFonts w:cs="Times New Roman"/>
          <w:lang w:val="en-US"/>
        </w:rPr>
      </w:pPr>
      <w:r w:rsidRPr="0013016F">
        <w:rPr>
          <w:rFonts w:eastAsia="Calibri" w:cs="Times New Roman"/>
          <w:lang w:val="en-US"/>
        </w:rPr>
        <w:t xml:space="preserve">In terms of resilience, </w:t>
      </w:r>
      <w:r w:rsidR="00331232" w:rsidRPr="0013016F">
        <w:rPr>
          <w:rFonts w:eastAsia="Calibri" w:cs="Times New Roman"/>
          <w:lang w:val="en-US"/>
        </w:rPr>
        <w:t xml:space="preserve">our proxy for more global emotion regulation abilities, </w:t>
      </w:r>
      <w:r w:rsidRPr="0013016F">
        <w:rPr>
          <w:rFonts w:eastAsia="Calibri" w:cs="Times New Roman"/>
          <w:lang w:val="en-US"/>
        </w:rPr>
        <w:t>we found that highly resilient individuals reported lower subjective arousal than less resilient participants</w:t>
      </w:r>
      <w:r w:rsidR="00846BD9" w:rsidRPr="0013016F">
        <w:rPr>
          <w:rFonts w:eastAsia="Calibri" w:cs="Times New Roman"/>
          <w:lang w:val="en-US"/>
        </w:rPr>
        <w:t xml:space="preserve">. This effect emerged </w:t>
      </w:r>
      <w:r w:rsidRPr="0013016F">
        <w:rPr>
          <w:rFonts w:eastAsia="Calibri" w:cs="Times New Roman"/>
          <w:lang w:val="en-US"/>
        </w:rPr>
        <w:t>at the first opportunity to regulate during the presence of a prolonged threat and remain</w:t>
      </w:r>
      <w:r w:rsidR="00846BD9" w:rsidRPr="0013016F">
        <w:rPr>
          <w:rFonts w:eastAsia="Calibri" w:cs="Times New Roman"/>
          <w:lang w:val="en-US"/>
        </w:rPr>
        <w:t>ed</w:t>
      </w:r>
      <w:r w:rsidRPr="0013016F">
        <w:rPr>
          <w:rFonts w:eastAsia="Calibri" w:cs="Times New Roman"/>
          <w:lang w:val="en-US"/>
        </w:rPr>
        <w:t xml:space="preserve"> until the end of the task. As such, resilience seems to have a rather broad effect on subjective experience. Because the arousal rating was assessed after Room 101, it reflects retrospective, conscious self-reported evaluations of the experience (see McCall et al., </w:t>
      </w:r>
      <w:r w:rsidR="000160D3" w:rsidRPr="0013016F">
        <w:rPr>
          <w:rFonts w:eastAsia="Calibri" w:cs="Times New Roman"/>
          <w:lang w:val="en-US"/>
        </w:rPr>
        <w:t>2015</w:t>
      </w:r>
      <w:r w:rsidRPr="0013016F">
        <w:rPr>
          <w:rFonts w:eastAsia="Calibri" w:cs="Times New Roman"/>
          <w:lang w:val="en-US"/>
        </w:rPr>
        <w:t>). The ER89</w:t>
      </w:r>
      <w:r w:rsidR="00846BD9" w:rsidRPr="0013016F">
        <w:rPr>
          <w:rFonts w:eastAsia="Calibri" w:cs="Times New Roman"/>
          <w:lang w:val="en-US"/>
        </w:rPr>
        <w:t xml:space="preserve"> </w:t>
      </w:r>
      <w:r w:rsidR="00AA1F6F" w:rsidRPr="0013016F">
        <w:rPr>
          <w:rFonts w:eastAsia="Calibri" w:cs="Times New Roman"/>
          <w:lang w:val="en-US"/>
        </w:rPr>
        <w:fldChar w:fldCharType="begin" w:fldLock="1"/>
      </w:r>
      <w:r w:rsidR="009221A6" w:rsidRPr="0013016F">
        <w:rPr>
          <w:rFonts w:eastAsia="Calibri" w:cs="Times New Roman"/>
          <w:lang w:val="en-US"/>
        </w:rPr>
        <w:instrText>ADDIN CSL_CITATION { "citationItems" : [ { "id" : "ITEM-1", "itemData" : { "DOI" : "10.1037//0022-3514.70.2.349", "ISSN" : "0022-3514", "author" : [ { "dropping-particle" : "", "family" : "Block", "given" : "Jack", "non-dropping-particle" : "", "parse-names" : false, "suffix" : "" }, { "dropping-particle" : "", "family" : "Kremen", "given" : "Adam M.", "non-dropping-particle" : "", "parse-names" : false, "suffix" : "" } ], "container-title" : "Journal of Personality and Social Psychology", "id" : "ITEM-1", "issue" : "2", "issued" : { "date-parts" : [ [ "1996" ] ] }, "page" : "349-361", "title" : "IQ and ego-resiliency: Conceptual and empirical connections and separateness.", "type" : "article-journal", "volume" : "70" }, "uris" : [ "http://www.mendeley.com/documents/?uuid=f8b49d06-5010-4a68-8fa6-3b62a4cfa508" ] } ], "mendeley" : { "formattedCitation" : "(Block &amp; Kremen, 1996)", "plainTextFormattedCitation" : "(Block &amp; Kremen, 1996)", "previouslyFormattedCitation" : "(Block &amp; Kremen, 1996)" }, "properties" : { "noteIndex" : 0 }, "schema" : "https://github.com/citation-style-language/schema/raw/master/csl-citation.json" }</w:instrText>
      </w:r>
      <w:r w:rsidR="00AA1F6F" w:rsidRPr="0013016F">
        <w:rPr>
          <w:rFonts w:eastAsia="Calibri" w:cs="Times New Roman"/>
          <w:lang w:val="en-US"/>
        </w:rPr>
        <w:fldChar w:fldCharType="separate"/>
      </w:r>
      <w:r w:rsidR="009221A6" w:rsidRPr="0013016F">
        <w:rPr>
          <w:rFonts w:eastAsia="Calibri" w:cs="Times New Roman"/>
          <w:noProof/>
          <w:lang w:val="en-US"/>
        </w:rPr>
        <w:t>(Block &amp; Kremen, 1996)</w:t>
      </w:r>
      <w:r w:rsidR="00AA1F6F" w:rsidRPr="0013016F">
        <w:rPr>
          <w:rFonts w:eastAsia="Calibri" w:cs="Times New Roman"/>
          <w:lang w:val="en-US"/>
        </w:rPr>
        <w:fldChar w:fldCharType="end"/>
      </w:r>
      <w:r w:rsidRPr="0013016F">
        <w:rPr>
          <w:rFonts w:eastAsia="Calibri" w:cs="Times New Roman"/>
          <w:lang w:val="en-US"/>
        </w:rPr>
        <w:t>, our measure of resilience, is also a self-report measure</w:t>
      </w:r>
      <w:r w:rsidR="00324F04" w:rsidRPr="0013016F">
        <w:rPr>
          <w:rFonts w:eastAsia="Calibri" w:cs="Times New Roman"/>
          <w:lang w:val="en-US"/>
        </w:rPr>
        <w:t xml:space="preserve"> of emotional experience</w:t>
      </w:r>
      <w:r w:rsidRPr="0013016F">
        <w:rPr>
          <w:rFonts w:eastAsia="Calibri" w:cs="Times New Roman"/>
          <w:lang w:val="en-US"/>
        </w:rPr>
        <w:t xml:space="preserve">. Given that fact, the relationship between these two measures could reflect </w:t>
      </w:r>
      <w:r w:rsidR="00324F04" w:rsidRPr="0013016F">
        <w:rPr>
          <w:rFonts w:eastAsia="Calibri" w:cs="Times New Roman"/>
          <w:lang w:val="en-US"/>
        </w:rPr>
        <w:t xml:space="preserve">the role of </w:t>
      </w:r>
      <w:r w:rsidRPr="0013016F">
        <w:rPr>
          <w:rFonts w:eastAsia="Calibri" w:cs="Times New Roman"/>
          <w:lang w:val="en-US"/>
        </w:rPr>
        <w:t>self-perception</w:t>
      </w:r>
      <w:r w:rsidR="00324F04" w:rsidRPr="0013016F">
        <w:rPr>
          <w:rFonts w:eastAsia="Calibri" w:cs="Times New Roman"/>
          <w:lang w:val="en-US"/>
        </w:rPr>
        <w:t xml:space="preserve"> in reports of emotional experience</w:t>
      </w:r>
      <w:r w:rsidRPr="0013016F">
        <w:rPr>
          <w:rFonts w:eastAsia="Calibri" w:cs="Times New Roman"/>
          <w:lang w:val="en-US"/>
        </w:rPr>
        <w:t>.</w:t>
      </w:r>
    </w:p>
    <w:p w:rsidR="00F77FE0" w:rsidRPr="0013016F" w:rsidRDefault="00354EA1" w:rsidP="00354EA1">
      <w:pPr>
        <w:spacing w:line="480" w:lineRule="auto"/>
        <w:ind w:firstLine="720"/>
        <w:rPr>
          <w:rFonts w:eastAsia="Calibri" w:cs="Times New Roman"/>
          <w:lang w:val="en-US"/>
        </w:rPr>
      </w:pPr>
      <w:r w:rsidRPr="0013016F">
        <w:rPr>
          <w:rFonts w:eastAsia="Calibri" w:cs="Times New Roman"/>
          <w:lang w:val="en-US"/>
        </w:rPr>
        <w:t>More interestingly, highly resilient individuals (re-)evaluate</w:t>
      </w:r>
      <w:r w:rsidR="00324F04" w:rsidRPr="0013016F">
        <w:rPr>
          <w:rFonts w:eastAsia="Calibri" w:cs="Times New Roman"/>
          <w:lang w:val="en-US"/>
        </w:rPr>
        <w:t>d</w:t>
      </w:r>
      <w:r w:rsidRPr="0013016F">
        <w:rPr>
          <w:rFonts w:eastAsia="Calibri" w:cs="Times New Roman"/>
          <w:lang w:val="en-US"/>
        </w:rPr>
        <w:t xml:space="preserve"> their experience as less threatening, even though their objective, i.e. physiologically measured, level</w:t>
      </w:r>
      <w:r w:rsidR="00846BD9" w:rsidRPr="0013016F">
        <w:rPr>
          <w:rFonts w:eastAsia="Calibri" w:cs="Times New Roman"/>
          <w:lang w:val="en-US"/>
        </w:rPr>
        <w:t>s</w:t>
      </w:r>
      <w:r w:rsidRPr="0013016F">
        <w:rPr>
          <w:rFonts w:eastAsia="Calibri" w:cs="Times New Roman"/>
          <w:lang w:val="en-US"/>
        </w:rPr>
        <w:t xml:space="preserve"> of arousal (SCL) during Room 101 </w:t>
      </w:r>
      <w:r w:rsidR="00846BD9" w:rsidRPr="0013016F">
        <w:rPr>
          <w:rFonts w:eastAsia="Calibri" w:cs="Times New Roman"/>
          <w:lang w:val="en-US"/>
        </w:rPr>
        <w:t xml:space="preserve">were </w:t>
      </w:r>
      <w:r w:rsidRPr="0013016F">
        <w:rPr>
          <w:rFonts w:eastAsia="Calibri" w:cs="Times New Roman"/>
          <w:lang w:val="en-US"/>
        </w:rPr>
        <w:t>comparable to th</w:t>
      </w:r>
      <w:r w:rsidR="00846BD9" w:rsidRPr="0013016F">
        <w:rPr>
          <w:rFonts w:eastAsia="Calibri" w:cs="Times New Roman"/>
          <w:lang w:val="en-US"/>
        </w:rPr>
        <w:t>ose</w:t>
      </w:r>
      <w:r w:rsidRPr="0013016F">
        <w:rPr>
          <w:rFonts w:eastAsia="Calibri" w:cs="Times New Roman"/>
          <w:lang w:val="en-US"/>
        </w:rPr>
        <w:t xml:space="preserve"> of less resilient individuals. Notably, the effects of </w:t>
      </w:r>
      <w:r w:rsidRPr="0013016F">
        <w:rPr>
          <w:rFonts w:eastAsia="Calibri" w:cs="Times New Roman"/>
          <w:lang w:val="en-US"/>
        </w:rPr>
        <w:lastRenderedPageBreak/>
        <w:t xml:space="preserve">resilience on subjective arousal </w:t>
      </w:r>
      <w:r w:rsidR="00324F04" w:rsidRPr="0013016F">
        <w:rPr>
          <w:rFonts w:eastAsia="Calibri" w:cs="Times New Roman"/>
          <w:lang w:val="en-US"/>
        </w:rPr>
        <w:t>were</w:t>
      </w:r>
      <w:r w:rsidRPr="0013016F">
        <w:rPr>
          <w:rFonts w:eastAsia="Calibri" w:cs="Times New Roman"/>
          <w:lang w:val="en-US"/>
        </w:rPr>
        <w:t xml:space="preserve"> context-sensitive</w:t>
      </w:r>
      <w:r w:rsidR="00324F04" w:rsidRPr="0013016F">
        <w:rPr>
          <w:rFonts w:eastAsia="Calibri" w:cs="Times New Roman"/>
          <w:lang w:val="en-US"/>
        </w:rPr>
        <w:t>.</w:t>
      </w:r>
      <w:r w:rsidRPr="0013016F">
        <w:rPr>
          <w:rFonts w:eastAsia="Calibri" w:cs="Times New Roman"/>
          <w:lang w:val="en-US"/>
        </w:rPr>
        <w:t xml:space="preserve"> </w:t>
      </w:r>
      <w:r w:rsidR="00324F04" w:rsidRPr="0013016F">
        <w:rPr>
          <w:rFonts w:eastAsia="Calibri" w:cs="Times New Roman"/>
          <w:lang w:val="en-US"/>
        </w:rPr>
        <w:t>H</w:t>
      </w:r>
      <w:r w:rsidRPr="0013016F">
        <w:rPr>
          <w:rFonts w:eastAsia="Calibri" w:cs="Times New Roman"/>
          <w:lang w:val="en-US"/>
        </w:rPr>
        <w:t>ighly resilient participants did not rate their arousal in general as lower, but rather showed the same level of subjective arousal as less resilient participants in the beginning of the experience</w:t>
      </w:r>
      <w:r w:rsidR="00324F04" w:rsidRPr="0013016F">
        <w:rPr>
          <w:rFonts w:eastAsia="Calibri" w:cs="Times New Roman"/>
          <w:lang w:val="en-US"/>
        </w:rPr>
        <w:t>. T</w:t>
      </w:r>
      <w:r w:rsidRPr="0013016F">
        <w:rPr>
          <w:rFonts w:eastAsia="Calibri" w:cs="Times New Roman"/>
          <w:lang w:val="en-US"/>
        </w:rPr>
        <w:t xml:space="preserve">he rated arousal </w:t>
      </w:r>
      <w:r w:rsidR="00324F04" w:rsidRPr="0013016F">
        <w:rPr>
          <w:rFonts w:eastAsia="Calibri" w:cs="Times New Roman"/>
          <w:lang w:val="en-US"/>
        </w:rPr>
        <w:t>did not diver</w:t>
      </w:r>
      <w:r w:rsidR="00F77FE0" w:rsidRPr="0013016F">
        <w:rPr>
          <w:rFonts w:eastAsia="Calibri" w:cs="Times New Roman"/>
          <w:lang w:val="en-US"/>
        </w:rPr>
        <w:t>g</w:t>
      </w:r>
      <w:r w:rsidR="00324F04" w:rsidRPr="0013016F">
        <w:rPr>
          <w:rFonts w:eastAsia="Calibri" w:cs="Times New Roman"/>
          <w:lang w:val="en-US"/>
        </w:rPr>
        <w:t xml:space="preserve">e until </w:t>
      </w:r>
      <w:r w:rsidRPr="0013016F">
        <w:rPr>
          <w:rFonts w:eastAsia="Calibri" w:cs="Times New Roman"/>
          <w:lang w:val="en-US"/>
        </w:rPr>
        <w:t>the first episode of prolonged threat (</w:t>
      </w:r>
      <w:r w:rsidR="00324F04" w:rsidRPr="0013016F">
        <w:rPr>
          <w:rFonts w:eastAsia="Calibri" w:cs="Times New Roman"/>
          <w:lang w:val="en-US"/>
        </w:rPr>
        <w:t xml:space="preserve">the </w:t>
      </w:r>
      <w:r w:rsidRPr="0013016F">
        <w:rPr>
          <w:rFonts w:eastAsia="Calibri" w:cs="Times New Roman"/>
          <w:lang w:val="en-US"/>
        </w:rPr>
        <w:t xml:space="preserve">spiders). This pattern indicates that highly resilient participants do not simply underestimate their general arousal level across all portions of a threatening experience. Instead, their subjective reports </w:t>
      </w:r>
      <w:r w:rsidR="00324F04" w:rsidRPr="0013016F">
        <w:rPr>
          <w:rFonts w:eastAsia="Calibri" w:cs="Times New Roman"/>
          <w:lang w:val="en-US"/>
        </w:rPr>
        <w:t xml:space="preserve">of arousal </w:t>
      </w:r>
      <w:r w:rsidRPr="0013016F">
        <w:rPr>
          <w:rFonts w:eastAsia="Calibri" w:cs="Times New Roman"/>
          <w:lang w:val="en-US"/>
        </w:rPr>
        <w:t xml:space="preserve">reflect relatively nuanced differences that only emerge as </w:t>
      </w:r>
      <w:r w:rsidR="00324F04" w:rsidRPr="0013016F">
        <w:rPr>
          <w:rFonts w:eastAsia="Calibri" w:cs="Times New Roman"/>
          <w:lang w:val="en-US"/>
        </w:rPr>
        <w:t>an experience</w:t>
      </w:r>
      <w:r w:rsidRPr="0013016F">
        <w:rPr>
          <w:rFonts w:eastAsia="Calibri" w:cs="Times New Roman"/>
          <w:lang w:val="en-US"/>
        </w:rPr>
        <w:t xml:space="preserve"> unfolds into a prolonged opportunity to regulate and recover. </w:t>
      </w:r>
      <w:r w:rsidR="00FE7183" w:rsidRPr="0013016F">
        <w:rPr>
          <w:rFonts w:eastAsia="Calibri" w:cs="Times New Roman"/>
          <w:lang w:val="en-US"/>
        </w:rPr>
        <w:t>T</w:t>
      </w:r>
      <w:r w:rsidRPr="0013016F">
        <w:rPr>
          <w:rFonts w:eastAsia="Calibri" w:cs="Times New Roman"/>
          <w:lang w:val="en-US"/>
        </w:rPr>
        <w:t xml:space="preserve">he current data </w:t>
      </w:r>
      <w:r w:rsidR="00FE7183" w:rsidRPr="0013016F">
        <w:rPr>
          <w:rFonts w:eastAsia="Calibri" w:cs="Times New Roman"/>
          <w:lang w:val="en-US"/>
        </w:rPr>
        <w:t xml:space="preserve">therefore </w:t>
      </w:r>
      <w:r w:rsidRPr="0013016F">
        <w:rPr>
          <w:rFonts w:eastAsia="Calibri" w:cs="Times New Roman"/>
          <w:lang w:val="en-US"/>
        </w:rPr>
        <w:t>provide a snapshot of how the emotion regulation abilities associated more generally</w:t>
      </w:r>
      <w:r w:rsidR="00846BD9" w:rsidRPr="0013016F">
        <w:rPr>
          <w:rFonts w:eastAsia="Calibri" w:cs="Times New Roman"/>
          <w:lang w:val="en-US"/>
        </w:rPr>
        <w:t xml:space="preserve"> and on a broad scale </w:t>
      </w:r>
      <w:r w:rsidRPr="0013016F">
        <w:rPr>
          <w:rFonts w:eastAsia="Calibri" w:cs="Times New Roman"/>
          <w:lang w:val="en-US"/>
        </w:rPr>
        <w:t xml:space="preserve">with resilience </w:t>
      </w:r>
      <w:r w:rsidR="00AA1F6F" w:rsidRPr="0013016F">
        <w:rPr>
          <w:rFonts w:eastAsia="Calibri" w:cs="Times New Roman"/>
          <w:lang w:val="en-US"/>
        </w:rPr>
        <w:fldChar w:fldCharType="begin" w:fldLock="1"/>
      </w:r>
      <w:r w:rsidRPr="0013016F">
        <w:rPr>
          <w:rFonts w:eastAsia="Calibri" w:cs="Times New Roman"/>
          <w:lang w:val="en-US"/>
        </w:rPr>
        <w:instrText>ADDIN CSL_CITATION { "citationItems" : [ { "id" : "ITEM-1", "itemData" : { "DOI" : "10.1016/j.comppsych.2013.05.008", "ISSN" : "1532-8384", "PMID" : "23806709", "abstract" : "OBJECTIVE: Research suggests that resilience is associated with favorable treatment outcome in patients with depression and/or anxiety disorders. In this regard, the identification of specific characteristics related to resilience that could provide targets for resilience-enhancement interventions is needed. Since the type of cognitive coping strategies is a possible marker of resilience, we investigated adaptive and maladaptive cognitive emotion regulation strategies contributing to resilience in patients with depression and/or anxiety disorders.\n\nMETHODS: A total of 230 outpatients with depression and anxiety disorders were consecutively recruited and completed the Cognitive Emotion Regulation Questionnaire, the Connor-Davidson Resilience Scale, the Beck Depression Inventory, and the State Anxiety Inventory. A linear regression model was used to determine which cognitive emotion regulation strategies predicted resilience after controlling for relevant covariates. Additionally, this model of resilience was compared with those of depression and anxiety symptoms.\n\nRESULTS: Adaptive strategies were more strongly correlated with resilience than maladaptive strategies. In the regression model, more use of refocus on planning and positive reappraisal as well as less use of rumination predicted high resilience after controlling for age, gender, marital status, depression, and anxiety. Among these strategies, refocus on planning was the common strategy contributing to resilience and depression.\n\nCONCLUSION: These results suggested that the cognitive emotion regulation strategies of refocus on planning, positive reappraisal, and less rumination contribute to resilience in patients with depression and anxiety disorders. It might provide potential targets for psychotherapeutic intervention to improve resilience in these patients.", "author" : [ { "dropping-particle" : "", "family" : "Min", "given" : "Jung-Ah", "non-dropping-particle" : "", "parse-names" : false, "suffix" : "" }, { "dropping-particle" : "", "family" : "Yu", "given" : "Jeong Jin", "non-dropping-particle" : "", "parse-names" : false, "suffix" : "" }, { "dropping-particle" : "", "family" : "Lee", "given" : "Chang-Uk", "non-dropping-particle" : "", "parse-names" : false, "suffix" : "" }, { "dropping-particle" : "", "family" : "Chae", "given" : "Jeong-Ho", "non-dropping-particle" : "", "parse-names" : false, "suffix" : "" } ], "container-title" : "Comprehensive psychiatry", "id" : "ITEM-1", "issue" : "8", "issued" : { "date-parts" : [ [ "2013", "11" ] ] }, "page" : "1190-7", "publisher" : "Elsevier B.V.", "title" : "Cognitive emotion regulation strategies contributing to resilience in patients with depression and/or anxiety disorders.", "type" : "article-journal", "volume" : "54" }, "uris" : [ "http://www.mendeley.com/documents/?uuid=31dc7b61-8aad-442e-a193-3259dcd2cb51" ] }, { "id" : "ITEM-2", "itemData" : { "ISBN" : "9780521898393", "author" : [ { "dropping-particle" : "", "family" : "Troy", "given" : "Allison S", "non-dropping-particle" : "", "parse-names" : false, "suffix" : "" }, { "dropping-particle" : "", "family" : "Mauss", "given" : "Iris B", "non-dropping-particle" : "", "parse-names" : false, "suffix" : "" } ], "container-title" : "Resilience and Mental Health: Challenged Across the Lifespan", "editor" : [ { "dropping-particle" : "", "family" : "Southwick", "given" : "Steven M", "non-dropping-particle" : "", "parse-names" : false, "suffix" : "" }, { "dropping-particle" : "", "family" : "Litz", "given" : "Brett T", "non-dropping-particle" : "", "parse-names" : false, "suffix" : "" }, { "dropping-particle" : "", "family" : "Charney", "given" : "Dennis", "non-dropping-particle" : "", "parse-names" : false, "suffix" : "" }, { "dropping-particle" : "", "family" : "Friedman", "given" : "Matthew J", "non-dropping-particle" : "", "parse-names" : false, "suffix" : "" } ], "id" : "ITEM-2", "issued" : { "date-parts" : [ [ "2011" ] ] }, "page" : "30-44", "publisher" : "Cambridge University Press", "publisher-place" : "Cambridge", "title" : "Resilience in the face of stress: emotion regulation as a protective factor", "type" : "chapter" }, "uris" : [ "http://www.mendeley.com/documents/?uuid=d75846c9-9043-43d5-9219-f6b26461f819" ] }, { "id" : "ITEM-3", "itemData" : { "DOI" : "10.1037/0022-3514.86.2.320", "ISSN" : "0022-3514", "PMID" : "14769087", "abstract" : "Theory indicates that resilient individuals \"bounce back\" from stressful experiences quickly and effectively. Few studies, however, have provided empirical evidence for this theory. The broaden-and-build theory of positive emotions (B. L. Fredrickson, 1998, 2001) is used as a framework for understanding psychological resilience. The authors used a multimethod approach in 3 studies to predict that resilient people use positive emotions to rebound from, and find positive meaning in, stressful encounters. Mediational analyses revealed that the experience of positive emotions contributed, in part, to participants' abilities to achieve efficient emotion regulation, demonstrated by accelerated cardiovascular recovery from negative emotional arousal (Studies 1 and 2) and by finding positive meaning in negative circumstances (Study 3). Implications for research on resilience and positive emotions are discussed.", "author" : [ { "dropping-particle" : "", "family" : "Tugade", "given" : "Michele M", "non-dropping-particle" : "", "parse-names" : false, "suffix" : "" }, { "dropping-particle" : "", "family" : "Fredrickson", "given" : "Barbara L", "non-dropping-particle" : "", "parse-names" : false, "suffix" : "" } ], "container-title" : "Journal of personality and social psychology", "id" : "ITEM-3", "issue" : "2", "issued" : { "date-parts" : [ [ "2004", "2" ] ] }, "page" : "320-33", "title" : "Resilient individuals use positive emotions to bounce back from negative emotional experiences.", "type" : "article-journal", "volume" : "86" }, "uris" : [ "http://www.mendeley.com/documents/?uuid=8c0c2c6a-ad17-4ea8-bc11-479257505758" ] }, { "id" : "ITEM-4", "itemData" : { "DOI" : "10.1007/s10902-006-9015-4", "ISSN" : "1389-4978", "author" : [ { "dropping-particle" : "", "family" : "Tugade", "given" : "Michele M.", "non-dropping-particle" : "", "parse-names" : false, "suffix" : "" }, { "dropping-particle" : "", "family" : "Fredrickson", "given" : "Barbara L.", "non-dropping-particle" : "", "parse-names" : false, "suffix" : "" } ], "container-title" : "Journal of Happiness Studies", "id" : "ITEM-4", "issue" : "3", "issued" : { "date-parts" : [ [ "2006", "12", "19" ] ] }, "page" : "311-333", "title" : "Regulation of Positive Emotions: Emotion Regulation Strategies that Promote Resilience", "type" : "article-journal", "volume" : "8" }, "uris" : [ "http://www.mendeley.com/documents/?uuid=5568fba6-484a-4d1f-bd14-309a6d1ffcb1" ] } ], "mendeley" : { "formattedCitation" : "(Min et al., 2013; Troy &amp; Mauss, 2011; Tugade &amp; Fredrickson, 2004, 2006)", "plainTextFormattedCitation" : "(Min et al., 2013; Troy &amp; Mauss, 2011; Tugade &amp; Fredrickson, 2004, 2006)", "previouslyFormattedCitation" : "(Min et al., 2013; Troy &amp; Mauss, 2011; Tugade &amp; Fredrickson, 2004, 2006)" }, "properties" : { "noteIndex" : 0 }, "schema" : "https://github.com/citation-style-language/schema/raw/master/csl-citation.json" }</w:instrText>
      </w:r>
      <w:r w:rsidR="00AA1F6F" w:rsidRPr="0013016F">
        <w:rPr>
          <w:rFonts w:eastAsia="Calibri" w:cs="Times New Roman"/>
          <w:lang w:val="en-US"/>
        </w:rPr>
        <w:fldChar w:fldCharType="separate"/>
      </w:r>
      <w:r w:rsidRPr="0013016F">
        <w:rPr>
          <w:rFonts w:eastAsia="Calibri" w:cs="Times New Roman"/>
          <w:noProof/>
          <w:lang w:val="en-US"/>
        </w:rPr>
        <w:t>(Min et al., 2013; Troy &amp; Mauss, 2011; Tugade &amp; Fredrickson, 2004, 2006)</w:t>
      </w:r>
      <w:r w:rsidR="00AA1F6F" w:rsidRPr="0013016F">
        <w:rPr>
          <w:rFonts w:eastAsia="Calibri" w:cs="Times New Roman"/>
          <w:lang w:val="en-US"/>
        </w:rPr>
        <w:fldChar w:fldCharType="end"/>
      </w:r>
      <w:r w:rsidRPr="0013016F">
        <w:rPr>
          <w:rFonts w:eastAsia="Calibri" w:cs="Times New Roman"/>
          <w:lang w:val="en-US"/>
        </w:rPr>
        <w:t xml:space="preserve"> might function also during a small scale response to a dynamic and threatening experience. </w:t>
      </w:r>
    </w:p>
    <w:p w:rsidR="009E20C1" w:rsidRPr="0013016F" w:rsidRDefault="00912131" w:rsidP="009E20C1">
      <w:pPr>
        <w:spacing w:line="480" w:lineRule="auto"/>
        <w:ind w:firstLine="720"/>
        <w:rPr>
          <w:rFonts w:eastAsia="Calibri" w:cs="Times New Roman"/>
          <w:lang w:val="en-US"/>
        </w:rPr>
      </w:pPr>
      <w:r w:rsidRPr="0013016F">
        <w:rPr>
          <w:rFonts w:eastAsia="Calibri" w:cs="Times New Roman"/>
          <w:lang w:val="en-US"/>
        </w:rPr>
        <w:t xml:space="preserve">Although the effect of resilience and HRV on subjective arousal is similar to </w:t>
      </w:r>
      <w:r w:rsidR="00FE7183" w:rsidRPr="0013016F">
        <w:rPr>
          <w:rFonts w:eastAsia="Calibri" w:cs="Times New Roman"/>
          <w:lang w:val="en-US"/>
        </w:rPr>
        <w:t>that</w:t>
      </w:r>
      <w:r w:rsidRPr="0013016F">
        <w:rPr>
          <w:rFonts w:eastAsia="Calibri" w:cs="Times New Roman"/>
          <w:lang w:val="en-US"/>
        </w:rPr>
        <w:t xml:space="preserve"> of SwitchFromN, the mechanism and consequences might differ. In contrast to the possibly maladaptive </w:t>
      </w:r>
      <w:r w:rsidR="008E4993" w:rsidRPr="0013016F">
        <w:rPr>
          <w:rFonts w:eastAsia="Calibri" w:cs="Times New Roman"/>
          <w:lang w:val="en-US"/>
        </w:rPr>
        <w:t>emotion regulation strategy associated with SwitchFromN</w:t>
      </w:r>
      <w:r w:rsidR="00FE7183" w:rsidRPr="0013016F">
        <w:rPr>
          <w:rFonts w:eastAsia="Calibri" w:cs="Times New Roman"/>
          <w:lang w:val="en-US"/>
        </w:rPr>
        <w:t xml:space="preserve"> (i.e., worry</w:t>
      </w:r>
      <w:r w:rsidR="00235F59" w:rsidRPr="0013016F">
        <w:rPr>
          <w:rFonts w:eastAsia="Calibri" w:cs="Times New Roman"/>
          <w:lang w:val="en-US"/>
        </w:rPr>
        <w:t xml:space="preserve"> and rumination;</w:t>
      </w:r>
      <w:r w:rsidR="001F1B79" w:rsidRPr="0013016F">
        <w:rPr>
          <w:rFonts w:eastAsia="Calibri" w:cs="Times New Roman"/>
          <w:lang w:val="en-US"/>
        </w:rPr>
        <w:t xml:space="preserve"> </w:t>
      </w:r>
      <w:r w:rsidR="00AA1F6F" w:rsidRPr="0013016F">
        <w:rPr>
          <w:rFonts w:eastAsia="Calibri" w:cs="Times New Roman"/>
          <w:lang w:val="en-US"/>
        </w:rPr>
        <w:fldChar w:fldCharType="begin" w:fldLock="1"/>
      </w:r>
      <w:r w:rsidR="00BE051A" w:rsidRPr="0013016F">
        <w:rPr>
          <w:rFonts w:eastAsia="Calibri" w:cs="Times New Roman"/>
          <w:lang w:val="en-US"/>
        </w:rPr>
        <w:instrText>ADDIN CSL_CITATION { "citationItems" : [ { "id" : "ITEM-1", "itemData" : { "ISBN" : "0-471-94114-X", "abstract" : "review some of the empirically determined characteristics of worry / suggest theoretical perspectives that may account for the functions and origins of this ubiquitous process nature of worry [conceptual and imaginal cognitive activity, affective experience of worry, attentional activity and memory retrieval, behavioral responding, physiological activity] / functions of worry [cognitive avoidance of threat, inhibition of emotional processing] / origins of chronic worry and [generalized anxiety disorder] GAD [history of trauma, insecure attachment in childhood] (PsycINFO Database Record (c) 2012 APA, all rights reserved). (chapter)", "author" : [ { "dropping-particle" : "", "family" : "Borkovec", "given" : "T D", "non-dropping-particle" : "", "parse-names" : false, "suffix" : "" } ], "container-title" : "Worrying: Perspectives on Theory, Assessment, and Treatment", "editor" : [ { "dropping-particle" : "", "family" : "Davey", "given" : "G.", "non-dropping-particle" : "", "parse-names" : false, "suffix" : "" }, { "dropping-particle" : "", "family" : "Tallis", "given" : "E.", "non-dropping-particle" : "", "parse-names" : false, "suffix" : "" } ], "id" : "ITEM-1", "issued" : { "date-parts" : [ [ "1994" ] ] }, "page" : "5-33", "publisher" : "Wiley &amp; Sons", "publisher-place" : "Sussex, England", "title" : "The nature, functions, and origins of worry", "type" : "chapter" }, "uris" : [ "http://www.mendeley.com/documents/?uuid=bfe0a3cf-9b63-4ad0-adf5-b7bc0a8b2ace" ] }, { "id" : "ITEM-2", "itemData" : { "DOI" : "10.1111/j.1745-6924.2008.00088.x", "ISBN" : "1745-6916", "ISSN" : "17456916", "PMID" : "26158958", "abstract" : "The response styles theory (Nolen-Hoeksema, 1991) was proposed to explain the insidious relationship between rumination and depression.We review the aspects of the response styles theory that have been well-sup- ported, including evidence that rumination exacerbates depression, enhances negative thinking, impairs problem solving, interferes with instrumental behavior, and erodes social support. Next, we address contradictory and new findings. Specifically, rumination appears to more consis- tently predict the onset of depression rather than the du- ration, but rumination interacts with negative cognitive styles to predict the duration of depressive symptoms. Contrary to original predictions, the use of positive dis- tractions has not consistently been correlated with lower levels of depressive symptoms in correlational studies, al- though dozens of experimental studies show positive dis- tractions relieve depressed mood. Further, evidence now suggests that rumination is associated with psychopa- thologies in addition to depression, including anxiety, binge eating, binge drinking, and self-harm.We discuss the relationships between rumination and worry and between rumination and other coping or emotion-regulation strategies. Finally, we highlight recent research on the distinction between rumination and more adaptive forms of self-reflection, on basic cognitive deficits or biases in rumination, on its neural and genetic correlates, and on possible interventions to combat rumination.", "author" : [ { "dropping-particle" : "", "family" : "Nolen-Hoeksema", "given" : "Susan", "non-dropping-particle" : "", "parse-names" : false, "suffix" : "" }, { "dropping-particle" : "", "family" : "Wisco", "given" : "Blair E.", "non-dropping-particle" : "", "parse-names" : false, "suffix" : "" }, { "dropping-particle" : "", "family" : "Lyubomirsky", "given" : "Sonja", "non-dropping-particle" : "", "parse-names" : false, "suffix" : "" } ], "container-title" : "Perspectives on Psychological Science", "id" : "ITEM-2", "issue" : "5", "issued" : { "date-parts" : [ [ "2008" ] ] }, "page" : "400-424", "title" : "Rethinking Rumination", "type" : "article-journal", "volume" : "3" }, "uris" : [ "http://www.mendeley.com/documents/?uuid=2e74956f-95d7-4143-8e79-ab3777c08915" ] }, { "id" : "ITEM-3", "itemData" : { "DOI" : "10.1016/j.biopsycho.2015.02.011", "ISSN" : "03010511", "author" : [ { "dropping-particle" : "", "family" : "Ottaviani", "given" : "Cristina", "non-dropping-particle" : "", "parse-names" : false, "suffix" : "" }, { "dropping-particle" : "", "family" : "Medea", "given" : "Barbara", "non-dropping-particle" : "", "parse-names" : false, "suffix" : "" }, { "dropping-particle" : "", "family" : "Lonigro", "given" : "Antonia", "non-dropping-particle" : "", "parse-names" : false, "suffix" : "" }, { "dropping-particle" : "", "family" : "Tarvainen", "given" : "Mika", "non-dropping-particle" : "", "parse-names" : false, "suffix" : "" }, { "dropping-particle" : "", "family" : "Couyoumdjian", "given" : "Alessandro", "non-dropping-particle" : "", "parse-names" : false, "suffix" : "" } ], "container-title" : "Biological Psychology", "id" : "ITEM-3", "issued" : { "date-parts" : [ [ "2015" ] ] }, "page" : "24-30", "publisher" : "Elsevier B.V.", "title" : "Cognitive rigidity is mirrored by autonomic inflexibility in daily life perseverative cognition", "type" : "article-journal", "volume" : "107" }, "uris" : [ "http://www.mendeley.com/documents/?uuid=6cc8dc5c-851b-449e-b896-38258902b5f2" ] } ], "mendeley" : { "formattedCitation" : "(Borkovec, 1994; Nolen-Hoeksema et al., 2008; Ottaviani et al., 2015)", "plainTextFormattedCitation" : "(Borkovec, 1994; Nolen-Hoeksema et al., 2008; Ottaviani et al., 2015)", "previouslyFormattedCitation" : "(Borkovec, 1994; Nolen-Hoeksema et al., 2008; Ottaviani et al., 2015)" }, "properties" : { "noteIndex" : 0 }, "schema" : "https://github.com/citation-style-language/schema/raw/master/csl-citation.json" }</w:instrText>
      </w:r>
      <w:r w:rsidR="00AA1F6F" w:rsidRPr="0013016F">
        <w:rPr>
          <w:rFonts w:eastAsia="Calibri" w:cs="Times New Roman"/>
          <w:lang w:val="en-US"/>
        </w:rPr>
        <w:fldChar w:fldCharType="separate"/>
      </w:r>
      <w:r w:rsidR="00BE051A" w:rsidRPr="0013016F">
        <w:rPr>
          <w:rFonts w:eastAsia="Calibri" w:cs="Times New Roman"/>
          <w:noProof/>
          <w:lang w:val="en-US"/>
        </w:rPr>
        <w:t>Borkovec, 1994; Nolen-Hoeksema et al., 2008; Ottaviani et al., 2015)</w:t>
      </w:r>
      <w:r w:rsidR="00AA1F6F" w:rsidRPr="0013016F">
        <w:rPr>
          <w:rFonts w:eastAsia="Calibri" w:cs="Times New Roman"/>
          <w:lang w:val="en-US"/>
        </w:rPr>
        <w:fldChar w:fldCharType="end"/>
      </w:r>
      <w:r w:rsidR="008E4993" w:rsidRPr="0013016F">
        <w:rPr>
          <w:rFonts w:eastAsia="Calibri" w:cs="Times New Roman"/>
          <w:lang w:val="en-US"/>
        </w:rPr>
        <w:t xml:space="preserve">, HRV and resilience have been related to adaptive emotion regulation strategies, such as reappraisal </w:t>
      </w:r>
      <w:r w:rsidR="00AA1F6F" w:rsidRPr="0013016F">
        <w:rPr>
          <w:rFonts w:eastAsia="Calibri" w:cs="Times New Roman"/>
          <w:lang w:val="en-US"/>
        </w:rPr>
        <w:fldChar w:fldCharType="begin" w:fldLock="1"/>
      </w:r>
      <w:r w:rsidR="00BE051A" w:rsidRPr="0013016F">
        <w:rPr>
          <w:rFonts w:eastAsia="Calibri" w:cs="Times New Roman"/>
          <w:lang w:val="en-US"/>
        </w:rPr>
        <w:instrText>ADDIN CSL_CITATION { "citationItems" : [ { "id" : "ITEM-1", "itemData" : { "DOI" : "10.1016/j.comppsych.2013.05.008", "ISSN" : "1532-8384", "PMID" : "23806709", "abstract" : "OBJECTIVE: Research suggests that resilience is associated with favorable treatment outcome in patients with depression and/or anxiety disorders. In this regard, the identification of specific characteristics related to resilience that could provide targets for resilience-enhancement interventions is needed. Since the type of cognitive coping strategies is a possible marker of resilience, we investigated adaptive and maladaptive cognitive emotion regulation strategies contributing to resilience in patients with depression and/or anxiety disorders.\n\nMETHODS: A total of 230 outpatients with depression and anxiety disorders were consecutively recruited and completed the Cognitive Emotion Regulation Questionnaire, the Connor-Davidson Resilience Scale, the Beck Depression Inventory, and the State Anxiety Inventory. A linear regression model was used to determine which cognitive emotion regulation strategies predicted resilience after controlling for relevant covariates. Additionally, this model of resilience was compared with those of depression and anxiety symptoms.\n\nRESULTS: Adaptive strategies were more strongly correlated with resilience than maladaptive strategies. In the regression model, more use of refocus on planning and positive reappraisal as well as less use of rumination predicted high resilience after controlling for age, gender, marital status, depression, and anxiety. Among these strategies, refocus on planning was the common strategy contributing to resilience and depression.\n\nCONCLUSION: These results suggested that the cognitive emotion regulation strategies of refocus on planning, positive reappraisal, and less rumination contribute to resilience in patients with depression and anxiety disorders. It might provide potential targets for psychotherapeutic intervention to improve resilience in these patients.", "author" : [ { "dropping-particle" : "", "family" : "Min", "given" : "Jung-Ah", "non-dropping-particle" : "", "parse-names" : false, "suffix" : "" }, { "dropping-particle" : "", "family" : "Yu", "given" : "Jeong Jin", "non-dropping-particle" : "", "parse-names" : false, "suffix" : "" }, { "dropping-particle" : "", "family" : "Lee", "given" : "Chang-Uk", "non-dropping-particle" : "", "parse-names" : false, "suffix" : "" }, { "dropping-particle" : "", "family" : "Chae", "given" : "Jeong-Ho", "non-dropping-particle" : "", "parse-names" : false, "suffix" : "" } ], "container-title" : "Comprehensive psychiatry", "id" : "ITEM-1", "issue" : "8", "issued" : { "date-parts" : [ [ "2013", "11" ] ] }, "page" : "1190-7", "publisher" : "Elsevier B.V.", "title" : "Cognitive emotion regulation strategies contributing to resilience in patients with depression and/or anxiety disorders.", "type" : "article-journal", "volume" : "54" }, "uris" : [ "http://www.mendeley.com/documents/?uuid=31dc7b61-8aad-442e-a193-3259dcd2cb51" ] }, { "id" : "ITEM-2", "itemData" : { "DOI" : "10.1016/j.bandc.2009.10.015", "ISSN" : "1090-2147", "PMID" : "20347515", "abstract" : "The ability to regulate one's emotions is an integral part of human social behavior. One antecedent emotion regulation strategy, known as reappraisal, is characterized by cognitively evaluating an emotional stimulus to alter its emotional impact and one response-focused strategy, suppression, is aimed at reducing behavioral output. People are capable of using these specific emotion regulation strategies when instructed to do so; however, it is equally important to investigate natural and self-selected strategy use. This study was designed to determine to what extent people spontaneously regulate their emotions and the emotion regulation strategies they choose to achieve their regulatory goals. Participants were given no instructions to regulate their emotions before they were shown a negative and a positive film clip, but were instead asked afterwards about the specific strategies that they had used. Participants reported regulating their emotions more to the negative film than to the positive film. Reappraisal was more frequently selected as an emotion regulation strategy than suppression. As expected, participants with high baseline respiratory sinus arrhythmia (RSA) adopted reappraisal strategies more than those with low RSA but, surprisingly, RSA was not associated with facial expressivity. Suggestions for future research in this relatively young field of spontaneous emotion regulation are offered.", "author" : [ { "dropping-particle" : "", "family" : "Volokhov", "given" : "Rachael N", "non-dropping-particle" : "", "parse-names" : false, "suffix" : "" }, { "dropping-particle" : "", "family" : "Demaree", "given" : "Heath a", "non-dropping-particle" : "", "parse-names" : false, "suffix" : "" } ], "container-title" : "Brain and cognition", "id" : "ITEM-2", "issue" : "1", "issued" : { "date-parts" : [ [ "2010", "6" ] ] }, "page" : "1-6", "publisher" : "Elsevier Inc.", "title" : "Spontaneous emotion regulation to positive and negative stimuli.", "type" : "article-journal", "volume" : "73" }, "uris" : [ "http://www.mendeley.com/documents/?uuid=3d1265b2-c598-4aba-8f24-fddc80816f18" ] } ], "mendeley" : { "formattedCitation" : "(Min et al., 2013; Volokhov &amp; Demaree, 2010)", "plainTextFormattedCitation" : "(Min et al., 2013; Volokhov &amp; Demaree, 2010)", "previouslyFormattedCitation" : "(Min et al., 2013; Volokhov &amp; Demaree, 2010)" }, "properties" : { "noteIndex" : 0 }, "schema" : "https://github.com/citation-style-language/schema/raw/master/csl-citation.json" }</w:instrText>
      </w:r>
      <w:r w:rsidR="00AA1F6F" w:rsidRPr="0013016F">
        <w:rPr>
          <w:rFonts w:eastAsia="Calibri" w:cs="Times New Roman"/>
          <w:lang w:val="en-US"/>
        </w:rPr>
        <w:fldChar w:fldCharType="separate"/>
      </w:r>
      <w:r w:rsidR="00BE051A" w:rsidRPr="0013016F">
        <w:rPr>
          <w:rFonts w:eastAsia="Calibri" w:cs="Times New Roman"/>
          <w:noProof/>
          <w:lang w:val="en-US"/>
        </w:rPr>
        <w:t>(Min et al., 2013; Volokhov &amp; Demaree, 2010)</w:t>
      </w:r>
      <w:r w:rsidR="00AA1F6F" w:rsidRPr="0013016F">
        <w:rPr>
          <w:rFonts w:eastAsia="Calibri" w:cs="Times New Roman"/>
          <w:lang w:val="en-US"/>
        </w:rPr>
        <w:fldChar w:fldCharType="end"/>
      </w:r>
      <w:r w:rsidR="008E4993" w:rsidRPr="0013016F">
        <w:rPr>
          <w:rFonts w:eastAsia="Calibri" w:cs="Times New Roman"/>
          <w:noProof/>
          <w:lang w:val="en-US"/>
        </w:rPr>
        <w:t xml:space="preserve">. </w:t>
      </w:r>
      <w:r w:rsidR="006C211B" w:rsidRPr="0013016F">
        <w:rPr>
          <w:rFonts w:eastAsia="Calibri" w:cs="Times New Roman"/>
          <w:lang w:val="en-US"/>
        </w:rPr>
        <w:t xml:space="preserve">According to one influential model (Thayer and Lane, 2000), </w:t>
      </w:r>
      <w:r w:rsidR="009E20C1" w:rsidRPr="0013016F">
        <w:rPr>
          <w:rFonts w:eastAsia="Calibri" w:cs="Times New Roman"/>
          <w:lang w:val="en-US"/>
        </w:rPr>
        <w:t xml:space="preserve">HRV is a proxy for </w:t>
      </w:r>
      <w:r w:rsidR="0048665C" w:rsidRPr="0013016F">
        <w:rPr>
          <w:rFonts w:eastAsia="Calibri" w:cs="Times New Roman"/>
          <w:lang w:val="en-US"/>
        </w:rPr>
        <w:t xml:space="preserve">the </w:t>
      </w:r>
      <w:r w:rsidR="009E20C1" w:rsidRPr="0013016F">
        <w:rPr>
          <w:rFonts w:eastAsia="Calibri" w:cs="Times New Roman"/>
          <w:lang w:val="en-US"/>
        </w:rPr>
        <w:t>efficient prefrontal inhibition and disinhibition of subcortical structures</w:t>
      </w:r>
      <w:r w:rsidR="0048665C" w:rsidRPr="0013016F">
        <w:rPr>
          <w:rFonts w:eastAsia="Calibri" w:cs="Times New Roman"/>
          <w:lang w:val="en-US"/>
        </w:rPr>
        <w:t xml:space="preserve"> that is</w:t>
      </w:r>
      <w:r w:rsidR="009E20C1" w:rsidRPr="0013016F">
        <w:rPr>
          <w:rFonts w:eastAsia="Calibri" w:cs="Times New Roman"/>
          <w:lang w:val="en-US"/>
        </w:rPr>
        <w:t xml:space="preserve"> necessary for an adaptive balance between bottom-up and top-down processing. </w:t>
      </w:r>
      <w:r w:rsidR="00AA1F6F" w:rsidRPr="0013016F">
        <w:rPr>
          <w:rFonts w:eastAsia="Calibri" w:cs="Times New Roman"/>
          <w:lang w:val="en-US"/>
        </w:rPr>
        <w:t>This model further suggests that the neural network that regulates HRV overlaps with networks involved in attention and executive control (Thayer &amp; Lane, 2000)</w:t>
      </w:r>
      <w:r w:rsidR="00F62DFC" w:rsidRPr="0013016F">
        <w:rPr>
          <w:rFonts w:eastAsia="Calibri" w:cs="Times New Roman"/>
          <w:lang w:val="en-US"/>
        </w:rPr>
        <w:t xml:space="preserve">. Within the present data set, resilience, HRV, and SwitchToP are correlated, suggesting that they may indeed reflect the same or related underlying mechanisms. Nevertheless, exploratory analyses (see supplementary </w:t>
      </w:r>
      <w:r w:rsidR="00F62DFC" w:rsidRPr="0013016F">
        <w:rPr>
          <w:rFonts w:eastAsia="Calibri" w:cs="Times New Roman"/>
          <w:lang w:val="en-US"/>
        </w:rPr>
        <w:lastRenderedPageBreak/>
        <w:t xml:space="preserve">materials) also showed that HRV and resilience account for distinct portions of the variance in subjective arousal ratings. </w:t>
      </w:r>
      <w:r w:rsidR="00F314F2" w:rsidRPr="0013016F">
        <w:rPr>
          <w:rFonts w:eastAsia="Calibri" w:cs="Times New Roman"/>
          <w:lang w:val="en-US"/>
        </w:rPr>
        <w:t>I</w:t>
      </w:r>
      <w:r w:rsidR="00F62DFC" w:rsidRPr="0013016F">
        <w:rPr>
          <w:rFonts w:eastAsia="Calibri" w:cs="Times New Roman"/>
          <w:lang w:val="en-US"/>
        </w:rPr>
        <w:t>ndeed</w:t>
      </w:r>
      <w:r w:rsidR="00F314F2" w:rsidRPr="0013016F">
        <w:rPr>
          <w:rFonts w:eastAsia="Calibri" w:cs="Times New Roman"/>
          <w:lang w:val="en-US"/>
        </w:rPr>
        <w:t>,</w:t>
      </w:r>
      <w:r w:rsidR="00F62DFC" w:rsidRPr="0013016F">
        <w:rPr>
          <w:rFonts w:eastAsia="Calibri" w:cs="Times New Roman"/>
          <w:lang w:val="en-US"/>
        </w:rPr>
        <w:t xml:space="preserve"> a recent </w:t>
      </w:r>
      <w:r w:rsidR="00F314F2" w:rsidRPr="0013016F">
        <w:rPr>
          <w:rFonts w:eastAsia="Calibri" w:cs="Times New Roman"/>
          <w:lang w:val="en-US"/>
        </w:rPr>
        <w:t xml:space="preserve">study and </w:t>
      </w:r>
      <w:r w:rsidR="00F62DFC" w:rsidRPr="0013016F">
        <w:rPr>
          <w:rFonts w:eastAsia="Calibri" w:cs="Times New Roman"/>
          <w:lang w:val="en-US"/>
        </w:rPr>
        <w:t xml:space="preserve">update to the Thayer &amp; Lane 2000 </w:t>
      </w:r>
      <w:r w:rsidR="00B04DD4" w:rsidRPr="0013016F">
        <w:rPr>
          <w:rFonts w:eastAsia="Calibri" w:cs="Times New Roman"/>
          <w:lang w:val="en-US"/>
        </w:rPr>
        <w:t>model could</w:t>
      </w:r>
      <w:r w:rsidR="00AA1F6F" w:rsidRPr="0013016F">
        <w:rPr>
          <w:rFonts w:eastAsia="Calibri" w:cs="Times New Roman"/>
          <w:lang w:val="en-US"/>
        </w:rPr>
        <w:t xml:space="preserve"> not confirm that resting cerebral blood flow in those neural regions mediates the relationship between HRV and executive functions (Jennings et al., </w:t>
      </w:r>
      <w:r w:rsidR="008B45D8" w:rsidRPr="0013016F">
        <w:rPr>
          <w:rFonts w:eastAsia="Calibri" w:cs="Times New Roman"/>
          <w:lang w:val="en-US"/>
        </w:rPr>
        <w:t>2015</w:t>
      </w:r>
      <w:r w:rsidR="00AA1F6F" w:rsidRPr="0013016F">
        <w:rPr>
          <w:rFonts w:eastAsia="Calibri" w:cs="Times New Roman"/>
          <w:lang w:val="en-US"/>
        </w:rPr>
        <w:t xml:space="preserve">). Nevertheless, Jennings and colleagues – who used non-affective working memory, perceptual-motor-, and interference tasks – did find some relationships between HRV and different executive functions, especially with the Stroop task </w:t>
      </w:r>
      <w:r w:rsidR="0027257E" w:rsidRPr="0013016F">
        <w:rPr>
          <w:rFonts w:eastAsia="Calibri" w:cs="Times New Roman"/>
          <w:lang w:val="en-US"/>
        </w:rPr>
        <w:t>which</w:t>
      </w:r>
      <w:r w:rsidR="00AA1F6F" w:rsidRPr="0013016F">
        <w:rPr>
          <w:rFonts w:eastAsia="Calibri" w:cs="Times New Roman"/>
          <w:lang w:val="en-US"/>
        </w:rPr>
        <w:t xml:space="preserve"> depends on inhibition. In addition, they did not exclude the possibility that “areas related to vagal control also relate to the executive control functions during emotion regulation” (p.221). As mentioned above, the current study suggests that executive control is important in the presence of affective stimuli for the regulation of arousal during threat. HRV might therefore be associated with efficient cognitive processing of affective information in the moment and should, in turn, enable resilient, adaptive emotion regulation strategies (Thayer &amp; Lane, 2000).</w:t>
      </w:r>
      <w:r w:rsidR="0048665C" w:rsidRPr="0013016F">
        <w:rPr>
          <w:rFonts w:eastAsia="Calibri" w:cs="Times New Roman"/>
          <w:lang w:val="en-US"/>
        </w:rPr>
        <w:t xml:space="preserve"> </w:t>
      </w:r>
      <w:r w:rsidR="00F62DFC" w:rsidRPr="0013016F">
        <w:rPr>
          <w:rFonts w:eastAsia="Calibri" w:cs="Times New Roman"/>
          <w:lang w:val="en-US"/>
        </w:rPr>
        <w:t xml:space="preserve"> </w:t>
      </w:r>
      <w:r w:rsidR="00F314F2" w:rsidRPr="0013016F">
        <w:rPr>
          <w:rFonts w:eastAsia="Calibri" w:cs="Times New Roman"/>
          <w:lang w:val="en-US"/>
        </w:rPr>
        <w:t xml:space="preserve">Further research should continue to explore the interrelationships between these different facets of flexible self-regulation to determine whether and when their underlying mechanisms overlap. </w:t>
      </w:r>
    </w:p>
    <w:p w:rsidR="00F44B96" w:rsidRPr="0013016F" w:rsidRDefault="00B210D2" w:rsidP="00F05CC2">
      <w:pPr>
        <w:widowControl/>
        <w:spacing w:line="480" w:lineRule="auto"/>
        <w:ind w:firstLine="720"/>
        <w:rPr>
          <w:rFonts w:eastAsia="Calibri" w:cs="Times New Roman"/>
          <w:lang w:val="en-US"/>
        </w:rPr>
      </w:pPr>
      <w:r w:rsidRPr="0013016F">
        <w:rPr>
          <w:rFonts w:eastAsia="Calibri" w:cs="Times New Roman"/>
          <w:lang w:val="en-US"/>
        </w:rPr>
        <w:t>Further research should also investigate the differential effects of these different forms of flexibility on subjective versus physiological arousal</w:t>
      </w:r>
      <w:r w:rsidR="00EF59F2" w:rsidRPr="0013016F">
        <w:rPr>
          <w:rFonts w:eastAsia="Calibri" w:cs="Times New Roman"/>
          <w:lang w:val="en-US"/>
        </w:rPr>
        <w:t xml:space="preserve"> (SCL)</w:t>
      </w:r>
      <w:r w:rsidRPr="0013016F">
        <w:rPr>
          <w:rFonts w:eastAsia="Calibri" w:cs="Times New Roman"/>
          <w:lang w:val="en-US"/>
        </w:rPr>
        <w:t>. Prior research using this paradigm demonstrated coherence between those two measures across time (</w:t>
      </w:r>
      <w:r w:rsidR="00726AF7" w:rsidRPr="0013016F">
        <w:rPr>
          <w:rFonts w:eastAsia="Calibri" w:cs="Times New Roman"/>
          <w:lang w:val="en-US"/>
        </w:rPr>
        <w:t>McCall</w:t>
      </w:r>
      <w:r w:rsidR="00A820D8" w:rsidRPr="0013016F">
        <w:rPr>
          <w:rFonts w:eastAsia="Calibri" w:cs="Times New Roman"/>
          <w:lang w:val="en-US"/>
        </w:rPr>
        <w:t xml:space="preserve"> et al., </w:t>
      </w:r>
      <w:r w:rsidR="00095240" w:rsidRPr="0013016F">
        <w:rPr>
          <w:rFonts w:eastAsia="Calibri" w:cs="Times New Roman"/>
          <w:lang w:val="en-US"/>
        </w:rPr>
        <w:t>2015</w:t>
      </w:r>
      <w:r w:rsidRPr="0013016F">
        <w:rPr>
          <w:rFonts w:eastAsia="Calibri" w:cs="Times New Roman"/>
          <w:lang w:val="en-US"/>
        </w:rPr>
        <w:t>), yet here we found uniquely subjective effects of HRV, resilience and SwitchFromN task switching, and uniquely physiological effects of SwitchToP task switching.</w:t>
      </w:r>
      <w:r w:rsidR="00FC2131" w:rsidRPr="0013016F">
        <w:rPr>
          <w:rFonts w:eastAsia="Calibri" w:cs="Times New Roman"/>
          <w:lang w:val="en-US"/>
        </w:rPr>
        <w:t xml:space="preserve"> </w:t>
      </w:r>
      <w:r w:rsidR="009D5105" w:rsidRPr="0013016F">
        <w:rPr>
          <w:rFonts w:eastAsia="Calibri" w:cs="Times New Roman"/>
          <w:lang w:val="en-US"/>
        </w:rPr>
        <w:t>Throughout this discussion we have presented</w:t>
      </w:r>
      <w:r w:rsidR="00CC3393" w:rsidRPr="0013016F">
        <w:rPr>
          <w:rFonts w:eastAsia="Calibri" w:cs="Times New Roman"/>
          <w:lang w:val="en-US"/>
        </w:rPr>
        <w:t xml:space="preserve"> several</w:t>
      </w:r>
      <w:r w:rsidR="009D5105" w:rsidRPr="0013016F">
        <w:rPr>
          <w:rFonts w:eastAsia="Calibri" w:cs="Times New Roman"/>
          <w:lang w:val="en-US"/>
        </w:rPr>
        <w:t xml:space="preserve"> possible explanations for this pattern of results, but we can draw no firm conclusions</w:t>
      </w:r>
      <w:r w:rsidR="00CC3393" w:rsidRPr="0013016F">
        <w:rPr>
          <w:rFonts w:eastAsia="Calibri" w:cs="Times New Roman"/>
          <w:lang w:val="en-US"/>
        </w:rPr>
        <w:t xml:space="preserve">. Future work will need to determine whether or not differential findings between </w:t>
      </w:r>
      <w:r w:rsidR="00CC3393" w:rsidRPr="0013016F">
        <w:rPr>
          <w:rFonts w:eastAsia="Calibri" w:cs="Times New Roman"/>
          <w:lang w:val="en-US"/>
        </w:rPr>
        <w:lastRenderedPageBreak/>
        <w:t xml:space="preserve">subjective and physiological arousal are actual features of the threat response or are simply a matter of methodological variance. </w:t>
      </w:r>
    </w:p>
    <w:p w:rsidR="00354EA1" w:rsidRPr="0013016F" w:rsidRDefault="00CD4042" w:rsidP="00354EA1">
      <w:pPr>
        <w:widowControl/>
        <w:spacing w:line="480" w:lineRule="auto"/>
        <w:ind w:firstLine="720"/>
        <w:rPr>
          <w:rFonts w:eastAsia="Calibri" w:cs="Times New Roman"/>
          <w:lang w:val="en-US"/>
        </w:rPr>
      </w:pPr>
      <w:r w:rsidRPr="0013016F">
        <w:rPr>
          <w:rFonts w:eastAsia="Calibri" w:cs="Times New Roman"/>
          <w:lang w:val="en-US"/>
        </w:rPr>
        <w:t xml:space="preserve">To conclude, </w:t>
      </w:r>
      <w:r w:rsidR="00354EA1" w:rsidRPr="0013016F">
        <w:rPr>
          <w:rFonts w:eastAsia="Calibri" w:cs="Times New Roman"/>
          <w:lang w:val="en-US"/>
        </w:rPr>
        <w:t xml:space="preserve">we conducted this study to investigate how the dynamics of both subjective and objective arousal during a threatening episode are influenced by individual differences in resilience, HRV, and cognitive flexibility. We did so using a novel paradigm that allowed us to look at the time course of both physiological and subjective arousal as they unfolded over the entire experience. The precisely timed and controlled nature of the virtual environment allowed us to contrast the responses of different types of individuals. Together the findings presented here indicate that </w:t>
      </w:r>
      <w:r w:rsidR="00E9059F" w:rsidRPr="0013016F">
        <w:rPr>
          <w:rFonts w:eastAsia="Calibri" w:cs="Times New Roman"/>
          <w:lang w:val="en-US"/>
        </w:rPr>
        <w:t xml:space="preserve">these </w:t>
      </w:r>
      <w:r w:rsidR="00354EA1" w:rsidRPr="0013016F">
        <w:rPr>
          <w:rFonts w:eastAsia="Calibri" w:cs="Times New Roman"/>
          <w:lang w:val="en-US"/>
        </w:rPr>
        <w:t xml:space="preserve">three </w:t>
      </w:r>
      <w:r w:rsidR="009D5105" w:rsidRPr="0013016F">
        <w:rPr>
          <w:rFonts w:eastAsia="Calibri" w:cs="Times New Roman"/>
          <w:lang w:val="en-US"/>
        </w:rPr>
        <w:t xml:space="preserve">forms </w:t>
      </w:r>
      <w:r w:rsidR="00354EA1" w:rsidRPr="0013016F">
        <w:rPr>
          <w:rFonts w:eastAsia="Calibri" w:cs="Times New Roman"/>
          <w:lang w:val="en-US"/>
        </w:rPr>
        <w:t xml:space="preserve">of flexible regulation have significant effects on the way arousal unfolds during a frightening experience. Further research will need to explore whether these differences in the moment-to-moment regulation of arousal have consequences for long-term wellbeing. </w:t>
      </w:r>
    </w:p>
    <w:p w:rsidR="00C60D1E" w:rsidRPr="0013016F" w:rsidRDefault="00C60D1E" w:rsidP="00354EA1">
      <w:pPr>
        <w:widowControl/>
        <w:spacing w:line="480" w:lineRule="auto"/>
        <w:ind w:firstLine="720"/>
        <w:rPr>
          <w:rFonts w:eastAsia="Calibri" w:cs="Times New Roman"/>
          <w:lang w:val="en-US"/>
        </w:rPr>
      </w:pPr>
    </w:p>
    <w:p w:rsidR="00C60D1E" w:rsidRPr="005E0D86" w:rsidRDefault="005E0D86" w:rsidP="00ED615E">
      <w:pPr>
        <w:spacing w:line="480" w:lineRule="auto"/>
        <w:jc w:val="center"/>
        <w:divId w:val="593125922"/>
        <w:rPr>
          <w:b/>
          <w:lang w:val="en-US"/>
        </w:rPr>
      </w:pPr>
      <w:r>
        <w:rPr>
          <w:rFonts w:eastAsia="Calibri" w:cs="Times New Roman"/>
          <w:lang w:val="en-US"/>
        </w:rPr>
        <w:br w:type="page"/>
      </w:r>
      <w:r w:rsidR="00C60D1E" w:rsidRPr="005E0D86">
        <w:rPr>
          <w:b/>
          <w:lang w:val="en-US"/>
        </w:rPr>
        <w:lastRenderedPageBreak/>
        <w:t>References</w:t>
      </w:r>
    </w:p>
    <w:p w:rsidR="00BE051A" w:rsidRPr="0013016F" w:rsidRDefault="00AA1F6F" w:rsidP="005E0D86">
      <w:pPr>
        <w:pStyle w:val="NormalWeb"/>
        <w:spacing w:before="0" w:beforeAutospacing="0" w:after="0" w:afterAutospacing="0" w:line="480" w:lineRule="auto"/>
        <w:ind w:left="480" w:hanging="480"/>
        <w:divId w:val="970940688"/>
        <w:rPr>
          <w:noProof/>
        </w:rPr>
      </w:pPr>
      <w:r w:rsidRPr="0013016F">
        <w:fldChar w:fldCharType="begin" w:fldLock="1"/>
      </w:r>
      <w:r w:rsidR="00C60D1E" w:rsidRPr="0013016F">
        <w:instrText xml:space="preserve">ADDIN Mendeley Bibliography CSL_BIBLIOGRAPHY </w:instrText>
      </w:r>
      <w:r w:rsidRPr="0013016F">
        <w:fldChar w:fldCharType="separate"/>
      </w:r>
      <w:r w:rsidR="00BE051A" w:rsidRPr="0013016F">
        <w:rPr>
          <w:noProof/>
        </w:rPr>
        <w:t xml:space="preserve">Appelhans, B. M., &amp; Luecken, L. J. (2006). Heart rate variability as an index of regulated emotional responding. </w:t>
      </w:r>
      <w:r w:rsidR="00BE051A" w:rsidRPr="0013016F">
        <w:rPr>
          <w:i/>
          <w:iCs/>
          <w:noProof/>
        </w:rPr>
        <w:t>Review of General Psychology</w:t>
      </w:r>
      <w:r w:rsidR="00BE051A" w:rsidRPr="0013016F">
        <w:rPr>
          <w:noProof/>
        </w:rPr>
        <w:t xml:space="preserve">, </w:t>
      </w:r>
      <w:r w:rsidR="00BE051A" w:rsidRPr="0013016F">
        <w:rPr>
          <w:i/>
          <w:iCs/>
          <w:noProof/>
        </w:rPr>
        <w:t>10</w:t>
      </w:r>
      <w:r w:rsidR="00BE051A" w:rsidRPr="0013016F">
        <w:rPr>
          <w:noProof/>
        </w:rPr>
        <w:t>(3), 229–240.</w:t>
      </w:r>
      <w:r w:rsidR="005E0D86">
        <w:rPr>
          <w:noProof/>
        </w:rPr>
        <w:t xml:space="preserve"> </w:t>
      </w:r>
      <w:r w:rsidR="00060DD3">
        <w:rPr>
          <w:noProof/>
        </w:rPr>
        <w:t>doi:</w:t>
      </w:r>
      <w:r w:rsidR="005E0D86" w:rsidRPr="005E0D86">
        <w:rPr>
          <w:noProof/>
        </w:rPr>
        <w:t>10.1037/1089-2680.10.3.229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Bech, P., Rasmussen, N.-A., Olsen, L. R., Noerholm, V., &amp; Abildgaard, W. (2001). The sensitivity and specificty of the Major Depression Inventory, using the Present State Examination as the index of diagnostic validity. </w:t>
      </w:r>
      <w:r w:rsidRPr="0013016F">
        <w:rPr>
          <w:i/>
          <w:iCs/>
          <w:noProof/>
        </w:rPr>
        <w:t>Journal of Affective Disorders</w:t>
      </w:r>
      <w:r w:rsidRPr="0013016F">
        <w:rPr>
          <w:noProof/>
        </w:rPr>
        <w:t xml:space="preserve">, </w:t>
      </w:r>
      <w:r w:rsidRPr="0013016F">
        <w:rPr>
          <w:i/>
          <w:iCs/>
          <w:noProof/>
        </w:rPr>
        <w:t>66</w:t>
      </w:r>
      <w:r w:rsidRPr="0013016F">
        <w:rPr>
          <w:noProof/>
        </w:rPr>
        <w:t>(2), 159–164.</w:t>
      </w:r>
      <w:r w:rsidR="00060DD3">
        <w:rPr>
          <w:noProof/>
        </w:rPr>
        <w:t xml:space="preserve"> doi:</w:t>
      </w:r>
      <w:r w:rsidR="00060DD3" w:rsidRPr="00060DD3">
        <w:rPr>
          <w:noProof/>
        </w:rPr>
        <w:t>10.1186/1471-244X-7-39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Behar, E., DiMarco, I. D., Hekler, E. B., Mohlman, J., &amp; Staples, A. M. (2009). Current theoretical models of generalized anxiety disorder (GAD): Conceptual review and treatment implications. </w:t>
      </w:r>
      <w:r w:rsidRPr="0013016F">
        <w:rPr>
          <w:i/>
          <w:iCs/>
          <w:noProof/>
        </w:rPr>
        <w:t>Journal of Anxiety Disorders</w:t>
      </w:r>
      <w:r w:rsidRPr="0013016F">
        <w:rPr>
          <w:noProof/>
        </w:rPr>
        <w:t xml:space="preserve">, </w:t>
      </w:r>
      <w:r w:rsidRPr="0013016F">
        <w:rPr>
          <w:i/>
          <w:iCs/>
          <w:noProof/>
        </w:rPr>
        <w:t>23</w:t>
      </w:r>
      <w:r w:rsidRPr="0013016F">
        <w:rPr>
          <w:noProof/>
        </w:rPr>
        <w:t>(8), 1011–1023. doi:10.1016/j.janxdis.2009.07.006</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Berntson, G. G., Cacioppo, J. T., &amp; Quigley, K. S. (1991). Autonomic determinism: the modes of autonomic control, the doctrine of autonomic space, and the laws of autonomic constraint. </w:t>
      </w:r>
      <w:r w:rsidRPr="0013016F">
        <w:rPr>
          <w:i/>
          <w:iCs/>
          <w:noProof/>
        </w:rPr>
        <w:t>Psychological Review</w:t>
      </w:r>
      <w:r w:rsidRPr="0013016F">
        <w:rPr>
          <w:noProof/>
        </w:rPr>
        <w:t xml:space="preserve">, </w:t>
      </w:r>
      <w:r w:rsidRPr="0013016F">
        <w:rPr>
          <w:i/>
          <w:iCs/>
          <w:noProof/>
        </w:rPr>
        <w:t>98</w:t>
      </w:r>
      <w:r w:rsidRPr="0013016F">
        <w:rPr>
          <w:noProof/>
        </w:rPr>
        <w:t>(4), 459–87.</w:t>
      </w:r>
      <w:r w:rsidR="00E36D41">
        <w:rPr>
          <w:noProof/>
        </w:rPr>
        <w:t xml:space="preserve"> doi:</w:t>
      </w:r>
      <w:r w:rsidR="00E36D41" w:rsidRPr="00E36D41">
        <w:rPr>
          <w:noProof/>
        </w:rPr>
        <w:t>10.1037/0033-295X.98.4.459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Bitsika, V., Sharpley, C. F., &amp; Peters, K. (2010). How is resilience associated with anxiety and depression? Analysis of factor score interactions within a homogeneous sample. </w:t>
      </w:r>
      <w:r w:rsidRPr="0013016F">
        <w:rPr>
          <w:i/>
          <w:iCs/>
          <w:noProof/>
        </w:rPr>
        <w:t>German Journal of Psychiatry</w:t>
      </w:r>
      <w:r w:rsidRPr="0013016F">
        <w:rPr>
          <w:noProof/>
        </w:rPr>
        <w:t xml:space="preserve">, </w:t>
      </w:r>
      <w:r w:rsidRPr="0013016F">
        <w:rPr>
          <w:i/>
          <w:iCs/>
          <w:noProof/>
        </w:rPr>
        <w:t>13</w:t>
      </w:r>
      <w:r w:rsidRPr="0013016F">
        <w:rPr>
          <w:noProof/>
        </w:rPr>
        <w:t>, 9–16.</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lang w:val="de-DE"/>
        </w:rPr>
        <w:t xml:space="preserve">Block, J., &amp; Kremen, A. M. (1996). </w:t>
      </w:r>
      <w:r w:rsidRPr="0013016F">
        <w:rPr>
          <w:noProof/>
        </w:rPr>
        <w:t xml:space="preserve">IQ and ego-resiliency: Conceptual and empirical connections and separateness. </w:t>
      </w:r>
      <w:r w:rsidRPr="0013016F">
        <w:rPr>
          <w:i/>
          <w:iCs/>
          <w:noProof/>
        </w:rPr>
        <w:t>Journal of Personality and Social Psychology</w:t>
      </w:r>
      <w:r w:rsidRPr="0013016F">
        <w:rPr>
          <w:noProof/>
        </w:rPr>
        <w:t xml:space="preserve">, </w:t>
      </w:r>
      <w:r w:rsidRPr="0013016F">
        <w:rPr>
          <w:i/>
          <w:iCs/>
          <w:noProof/>
        </w:rPr>
        <w:t>70</w:t>
      </w:r>
      <w:r w:rsidRPr="0013016F">
        <w:rPr>
          <w:noProof/>
        </w:rPr>
        <w:t>(2), 349–361. doi:10.1037//0022-3514.70.2.349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lastRenderedPageBreak/>
        <w:t xml:space="preserve">Borkovec, T. D. (1994). The nature, functions, and origins of worry. In G. Davey &amp; E. Tallis (Eds.), </w:t>
      </w:r>
      <w:r w:rsidRPr="0013016F">
        <w:rPr>
          <w:i/>
          <w:iCs/>
          <w:noProof/>
        </w:rPr>
        <w:t>Worrying: Perspectives on Theory, Assessment, and Treatment</w:t>
      </w:r>
      <w:r w:rsidRPr="0013016F">
        <w:rPr>
          <w:noProof/>
        </w:rPr>
        <w:t xml:space="preserve"> (pp. 5–33). Sussex, England: Wiley &amp; Sons.</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Bradley, M. M., Codispoti, M., Cuthbert, B. N., &amp; Lang, P. J. (2001). Emotion and motivation I: Defensive and appetitive reactions in picture processing. </w:t>
      </w:r>
      <w:r w:rsidRPr="0013016F">
        <w:rPr>
          <w:i/>
          <w:iCs/>
          <w:noProof/>
        </w:rPr>
        <w:t>Emotion</w:t>
      </w:r>
      <w:r w:rsidRPr="0013016F">
        <w:rPr>
          <w:noProof/>
        </w:rPr>
        <w:t xml:space="preserve">, </w:t>
      </w:r>
      <w:r w:rsidRPr="0013016F">
        <w:rPr>
          <w:i/>
          <w:iCs/>
          <w:noProof/>
        </w:rPr>
        <w:t>1</w:t>
      </w:r>
      <w:r w:rsidRPr="0013016F">
        <w:rPr>
          <w:noProof/>
        </w:rPr>
        <w:t>(3), 276–298. doi:10.1037//1528-3542.1.3.276</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Cañas, J., Quesada, J. F., Antolí, A., &amp; Fajardo, I. (2003). Cognitive flexibility and adaptability to environmental changes in dynamic complex problem-solving tasks. </w:t>
      </w:r>
      <w:r w:rsidRPr="0013016F">
        <w:rPr>
          <w:i/>
          <w:iCs/>
          <w:noProof/>
        </w:rPr>
        <w:t>Ergonomics</w:t>
      </w:r>
      <w:r w:rsidRPr="0013016F">
        <w:rPr>
          <w:noProof/>
        </w:rPr>
        <w:t xml:space="preserve">, </w:t>
      </w:r>
      <w:r w:rsidRPr="0013016F">
        <w:rPr>
          <w:i/>
          <w:iCs/>
          <w:noProof/>
        </w:rPr>
        <w:t>46</w:t>
      </w:r>
      <w:r w:rsidRPr="0013016F">
        <w:rPr>
          <w:noProof/>
        </w:rPr>
        <w:t>(5), 482–501. doi:10.1080/0014013031000061640</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Cannon, W. B. (1929). </w:t>
      </w:r>
      <w:r w:rsidRPr="0013016F">
        <w:rPr>
          <w:i/>
          <w:iCs/>
          <w:noProof/>
        </w:rPr>
        <w:t>Bodily Changes in Pain, Hunger, Fear, and Rage</w:t>
      </w:r>
      <w:r w:rsidRPr="0013016F">
        <w:rPr>
          <w:noProof/>
        </w:rPr>
        <w:t>. New York: Appleton-Century-Crofts.</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Charney, D. S. (2003). The psychobiology of resilience and vulnerability to anxiety disorders: implications for prevention and treatment. </w:t>
      </w:r>
      <w:r w:rsidRPr="0013016F">
        <w:rPr>
          <w:i/>
          <w:iCs/>
          <w:noProof/>
        </w:rPr>
        <w:t>Dialogues in Clinical Neuroscience</w:t>
      </w:r>
      <w:r w:rsidRPr="0013016F">
        <w:rPr>
          <w:noProof/>
        </w:rPr>
        <w:t xml:space="preserve">, </w:t>
      </w:r>
      <w:r w:rsidRPr="0013016F">
        <w:rPr>
          <w:i/>
          <w:iCs/>
          <w:noProof/>
        </w:rPr>
        <w:t>5</w:t>
      </w:r>
      <w:r w:rsidRPr="0013016F">
        <w:rPr>
          <w:noProof/>
        </w:rPr>
        <w:t>(3), 207–221.</w:t>
      </w:r>
      <w:r w:rsidR="00E32D32">
        <w:rPr>
          <w:noProof/>
        </w:rPr>
        <w:t xml:space="preserve"> </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E32D32">
        <w:rPr>
          <w:noProof/>
          <w:lang w:val="de-DE"/>
        </w:rPr>
        <w:t xml:space="preserve">Cisler, J. M., &amp; Koster, E. H. W. (2010). </w:t>
      </w:r>
      <w:r w:rsidRPr="0013016F">
        <w:rPr>
          <w:noProof/>
        </w:rPr>
        <w:t xml:space="preserve">Mechanisms of attentional biases towards threat in anxiety disorders: An integrative review. </w:t>
      </w:r>
      <w:r w:rsidRPr="0013016F">
        <w:rPr>
          <w:i/>
          <w:iCs/>
          <w:noProof/>
        </w:rPr>
        <w:t>Clinical Psychology Review</w:t>
      </w:r>
      <w:r w:rsidRPr="0013016F">
        <w:rPr>
          <w:noProof/>
        </w:rPr>
        <w:t xml:space="preserve">, </w:t>
      </w:r>
      <w:r w:rsidRPr="0013016F">
        <w:rPr>
          <w:i/>
          <w:iCs/>
          <w:noProof/>
        </w:rPr>
        <w:t>30</w:t>
      </w:r>
      <w:r w:rsidRPr="0013016F">
        <w:rPr>
          <w:noProof/>
        </w:rPr>
        <w:t>(2), 203–16.</w:t>
      </w:r>
      <w:r w:rsidR="000D39F1">
        <w:rPr>
          <w:noProof/>
        </w:rPr>
        <w:t xml:space="preserve"> doi:</w:t>
      </w:r>
      <w:r w:rsidR="000D39F1" w:rsidRPr="000D39F1">
        <w:rPr>
          <w:noProof/>
        </w:rPr>
        <w:t>10.1016/j.cpr.2009.11.003</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Davis, R. N., &amp; Nolen-Hoeksema, S. (2000). Cogitive inflexibility among ruminators and nonruminators. </w:t>
      </w:r>
      <w:r w:rsidRPr="0013016F">
        <w:rPr>
          <w:i/>
          <w:iCs/>
          <w:noProof/>
        </w:rPr>
        <w:t>Cognitive Therapy and Research</w:t>
      </w:r>
      <w:r w:rsidRPr="0013016F">
        <w:rPr>
          <w:noProof/>
        </w:rPr>
        <w:t xml:space="preserve">, </w:t>
      </w:r>
      <w:r w:rsidRPr="0013016F">
        <w:rPr>
          <w:i/>
          <w:iCs/>
          <w:noProof/>
        </w:rPr>
        <w:t>24</w:t>
      </w:r>
      <w:r w:rsidRPr="0013016F">
        <w:rPr>
          <w:noProof/>
        </w:rPr>
        <w:t>(6), 699–711.</w:t>
      </w:r>
      <w:r w:rsidR="000D39F1">
        <w:rPr>
          <w:noProof/>
        </w:rPr>
        <w:t xml:space="preserve"> doi:</w:t>
      </w:r>
      <w:r w:rsidR="000D39F1" w:rsidRPr="000D39F1">
        <w:rPr>
          <w:noProof/>
        </w:rPr>
        <w:t>10.1023/A:1005591412406</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Dennis, J. P., &amp; Vander Wal, J. S. (2009). The Cognitive Flexibility Inventory: Instrument Development and Estimates of Reliability and Validity. </w:t>
      </w:r>
      <w:r w:rsidRPr="0013016F">
        <w:rPr>
          <w:i/>
          <w:iCs/>
          <w:noProof/>
        </w:rPr>
        <w:t>Cognitive Therapy and Research</w:t>
      </w:r>
      <w:r w:rsidRPr="0013016F">
        <w:rPr>
          <w:noProof/>
        </w:rPr>
        <w:t xml:space="preserve">, </w:t>
      </w:r>
      <w:r w:rsidRPr="0013016F">
        <w:rPr>
          <w:i/>
          <w:iCs/>
          <w:noProof/>
        </w:rPr>
        <w:t>34</w:t>
      </w:r>
      <w:r w:rsidRPr="0013016F">
        <w:rPr>
          <w:noProof/>
        </w:rPr>
        <w:t>(3), 241–253. doi:10.1007/s10608-009-9276-4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lastRenderedPageBreak/>
        <w:t xml:space="preserve">Deveney, C. M., &amp; Deldin, P. J. (2006). A preliminary investigation of cognitive flexibility for emotional information in major depressive disorder and non-psychiatric controls. </w:t>
      </w:r>
      <w:r w:rsidRPr="0013016F">
        <w:rPr>
          <w:i/>
          <w:iCs/>
          <w:noProof/>
        </w:rPr>
        <w:t>Emotion</w:t>
      </w:r>
      <w:r w:rsidRPr="0013016F">
        <w:rPr>
          <w:noProof/>
        </w:rPr>
        <w:t xml:space="preserve">, </w:t>
      </w:r>
      <w:r w:rsidRPr="0013016F">
        <w:rPr>
          <w:i/>
          <w:iCs/>
          <w:noProof/>
        </w:rPr>
        <w:t>6</w:t>
      </w:r>
      <w:r w:rsidRPr="0013016F">
        <w:rPr>
          <w:noProof/>
        </w:rPr>
        <w:t>(3), 429–37. doi:10.1037/1528-3542.6.3.429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Engen, H. G., &amp; Singer, T. (</w:t>
      </w:r>
      <w:r w:rsidR="002B21E3" w:rsidRPr="0013016F">
        <w:rPr>
          <w:noProof/>
        </w:rPr>
        <w:t>in preparation</w:t>
      </w:r>
      <w:r w:rsidRPr="0013016F">
        <w:rPr>
          <w:noProof/>
        </w:rPr>
        <w:t>). Neural and Behavioral Correlates of Emotional Task Switching.</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Eysenck, M. W., Derakshan, N., Santos, R., &amp; Calvo, M. G. (2007). Anxiety and cognitive performance: attentional control theory. </w:t>
      </w:r>
      <w:r w:rsidRPr="0013016F">
        <w:rPr>
          <w:i/>
          <w:iCs/>
          <w:noProof/>
        </w:rPr>
        <w:t>Emotion</w:t>
      </w:r>
      <w:r w:rsidRPr="0013016F">
        <w:rPr>
          <w:noProof/>
        </w:rPr>
        <w:t xml:space="preserve">, </w:t>
      </w:r>
      <w:r w:rsidRPr="0013016F">
        <w:rPr>
          <w:i/>
          <w:iCs/>
          <w:noProof/>
        </w:rPr>
        <w:t>7</w:t>
      </w:r>
      <w:r w:rsidRPr="0013016F">
        <w:rPr>
          <w:noProof/>
        </w:rPr>
        <w:t>(2), 336–53. doi:10.1037/1528-3542.7.2.336</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Friedman, B. H. (2007). An autonomic flexibility-neurovisceral integration model of anxiety and cardiac vagal tone. </w:t>
      </w:r>
      <w:r w:rsidRPr="0013016F">
        <w:rPr>
          <w:i/>
          <w:iCs/>
          <w:noProof/>
        </w:rPr>
        <w:t>Biological Psychology</w:t>
      </w:r>
      <w:r w:rsidRPr="0013016F">
        <w:rPr>
          <w:noProof/>
        </w:rPr>
        <w:t xml:space="preserve">, </w:t>
      </w:r>
      <w:r w:rsidRPr="0013016F">
        <w:rPr>
          <w:i/>
          <w:iCs/>
          <w:noProof/>
        </w:rPr>
        <w:t>74</w:t>
      </w:r>
      <w:r w:rsidRPr="0013016F">
        <w:rPr>
          <w:noProof/>
        </w:rPr>
        <w:t>(2), 185–99. doi:10.1016/j.biopsycho.2005.08.009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Garner, M., Mogg, K., &amp; Bradley, B. P. (2006). Fear-relevant selective associations and social anxiety: absence of a positive bias. </w:t>
      </w:r>
      <w:r w:rsidRPr="0013016F">
        <w:rPr>
          <w:i/>
          <w:iCs/>
          <w:noProof/>
        </w:rPr>
        <w:t>Behaviour Research and Therapy</w:t>
      </w:r>
      <w:r w:rsidRPr="0013016F">
        <w:rPr>
          <w:noProof/>
        </w:rPr>
        <w:t xml:space="preserve">, </w:t>
      </w:r>
      <w:r w:rsidRPr="0013016F">
        <w:rPr>
          <w:i/>
          <w:iCs/>
          <w:noProof/>
        </w:rPr>
        <w:t>44</w:t>
      </w:r>
      <w:r w:rsidRPr="0013016F">
        <w:rPr>
          <w:noProof/>
        </w:rPr>
        <w:t>(2), 201–17. doi:10.1016/j.brat.2004.12.007</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Genet, J. J., Malooly, A. M., &amp; Siemer, M. (2013). Flexibility is not always adaptive: affective flexibility and inflexibility predict rumination use in everyday life. </w:t>
      </w:r>
      <w:r w:rsidRPr="0013016F">
        <w:rPr>
          <w:i/>
          <w:iCs/>
          <w:noProof/>
        </w:rPr>
        <w:t>Cognition &amp; Emotion</w:t>
      </w:r>
      <w:r w:rsidRPr="0013016F">
        <w:rPr>
          <w:noProof/>
        </w:rPr>
        <w:t xml:space="preserve">, </w:t>
      </w:r>
      <w:r w:rsidRPr="0013016F">
        <w:rPr>
          <w:i/>
          <w:iCs/>
          <w:noProof/>
        </w:rPr>
        <w:t>27</w:t>
      </w:r>
      <w:r w:rsidRPr="0013016F">
        <w:rPr>
          <w:noProof/>
        </w:rPr>
        <w:t>(4), 685–95. doi:10.1080/02699931.2012.733351</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Genet, J. J., &amp; Siemer, M. (2011). Flexible control in processing affective and non-affective material predicts individual differences in trait resilience. </w:t>
      </w:r>
      <w:r w:rsidRPr="0013016F">
        <w:rPr>
          <w:i/>
          <w:iCs/>
          <w:noProof/>
        </w:rPr>
        <w:t>Cognition &amp; Emotion</w:t>
      </w:r>
      <w:r w:rsidRPr="0013016F">
        <w:rPr>
          <w:noProof/>
        </w:rPr>
        <w:t xml:space="preserve">, </w:t>
      </w:r>
      <w:r w:rsidRPr="0013016F">
        <w:rPr>
          <w:i/>
          <w:iCs/>
          <w:noProof/>
        </w:rPr>
        <w:t>25</w:t>
      </w:r>
      <w:r w:rsidRPr="0013016F">
        <w:rPr>
          <w:noProof/>
        </w:rPr>
        <w:t>(2), 380–8. doi:10.1080/02699931.2010.491647</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Geurts, H. M., Corbett, B., &amp; Solomon, M. (2009). The paradox of cognitive flexibility in autism. </w:t>
      </w:r>
      <w:r w:rsidRPr="0013016F">
        <w:rPr>
          <w:i/>
          <w:iCs/>
          <w:noProof/>
        </w:rPr>
        <w:t>Trends in Cognitive Sciences</w:t>
      </w:r>
      <w:r w:rsidRPr="0013016F">
        <w:rPr>
          <w:noProof/>
        </w:rPr>
        <w:t xml:space="preserve">, </w:t>
      </w:r>
      <w:r w:rsidRPr="0013016F">
        <w:rPr>
          <w:i/>
          <w:iCs/>
          <w:noProof/>
        </w:rPr>
        <w:t>13</w:t>
      </w:r>
      <w:r w:rsidRPr="0013016F">
        <w:rPr>
          <w:noProof/>
        </w:rPr>
        <w:t>(2), 74–82. doi:10.1016/j.tics.2008.11.006</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lastRenderedPageBreak/>
        <w:t xml:space="preserve">Hansen, A. L., Johnsen, B. H., &amp; Thayer, J. F. (2003). Vagal influence on working memory and attention. </w:t>
      </w:r>
      <w:r w:rsidRPr="0013016F">
        <w:rPr>
          <w:i/>
          <w:iCs/>
          <w:noProof/>
        </w:rPr>
        <w:t>International Journal of Psychophysiology</w:t>
      </w:r>
      <w:r w:rsidRPr="0013016F">
        <w:rPr>
          <w:noProof/>
        </w:rPr>
        <w:t xml:space="preserve">, </w:t>
      </w:r>
      <w:r w:rsidRPr="0013016F">
        <w:rPr>
          <w:i/>
          <w:iCs/>
          <w:noProof/>
        </w:rPr>
        <w:t>48</w:t>
      </w:r>
      <w:r w:rsidRPr="0013016F">
        <w:rPr>
          <w:noProof/>
        </w:rPr>
        <w:t>(3), 263–274. doi:10.1016/S0167-8760(03)00073-4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Hovland, A., Pallesen, S., Hammar, Å., Hansen, A. L., Thayer, J. F., Tarvainen, M. P., &amp; Nordhus, I. H. (2012). The relationships among heart rate variability, executive functions, and clinical variables in patients with panic disorder. </w:t>
      </w:r>
      <w:r w:rsidRPr="0013016F">
        <w:rPr>
          <w:i/>
          <w:iCs/>
          <w:noProof/>
        </w:rPr>
        <w:t>International Journal of Psychophysiology : Official Journal of the International Organization of Psychophysiology</w:t>
      </w:r>
      <w:r w:rsidRPr="0013016F">
        <w:rPr>
          <w:noProof/>
        </w:rPr>
        <w:t xml:space="preserve">, </w:t>
      </w:r>
      <w:r w:rsidRPr="0013016F">
        <w:rPr>
          <w:i/>
          <w:iCs/>
          <w:noProof/>
        </w:rPr>
        <w:t>86</w:t>
      </w:r>
      <w:r w:rsidRPr="0013016F">
        <w:rPr>
          <w:noProof/>
        </w:rPr>
        <w:t>(3), 269–75. doi:10.1016/j.ijpsycho.2012.10.004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Ionescu, T. (2012). Exploring the nature of cognitive flexibility. </w:t>
      </w:r>
      <w:r w:rsidRPr="0013016F">
        <w:rPr>
          <w:i/>
          <w:iCs/>
          <w:noProof/>
        </w:rPr>
        <w:t>New Ideas in Psychology</w:t>
      </w:r>
      <w:r w:rsidRPr="0013016F">
        <w:rPr>
          <w:noProof/>
        </w:rPr>
        <w:t xml:space="preserve">, </w:t>
      </w:r>
      <w:r w:rsidRPr="0013016F">
        <w:rPr>
          <w:i/>
          <w:iCs/>
          <w:noProof/>
        </w:rPr>
        <w:t>30</w:t>
      </w:r>
      <w:r w:rsidRPr="0013016F">
        <w:rPr>
          <w:noProof/>
        </w:rPr>
        <w:t>(2), 190–200. doi:10.1016/j.newideapsych.2011.11.001</w:t>
      </w:r>
    </w:p>
    <w:p w:rsidR="00B96A51" w:rsidRPr="0013016F" w:rsidRDefault="00AA1F6F" w:rsidP="005E0D86">
      <w:pPr>
        <w:pStyle w:val="NormalWeb"/>
        <w:spacing w:before="0" w:beforeAutospacing="0" w:after="0" w:afterAutospacing="0" w:line="480" w:lineRule="auto"/>
        <w:ind w:left="480" w:hanging="480"/>
        <w:divId w:val="970940688"/>
      </w:pPr>
      <w:r w:rsidRPr="0013016F">
        <w:t xml:space="preserve">Jennings, J.R., Allen, B., Gianaros, P.J, &amp; Thayer, J.F. (2015). Focusing neurovisceral integration: Cognition, heart rate variability, and cerebral blood flow. </w:t>
      </w:r>
      <w:r w:rsidRPr="0013016F">
        <w:rPr>
          <w:i/>
        </w:rPr>
        <w:t xml:space="preserve">Psychophysiology, 52(2), </w:t>
      </w:r>
      <w:r w:rsidRPr="0013016F">
        <w:t>214-224.</w:t>
      </w:r>
      <w:r w:rsidR="00E32D32">
        <w:t xml:space="preserve"> doi:</w:t>
      </w:r>
      <w:r w:rsidR="00E32D32" w:rsidRPr="00E32D32">
        <w:t>10.1111/psyp.12319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Kanske, P., &amp; Kotz, S. A. (2010). Leipzig Affective Norms for German: a reliability study. </w:t>
      </w:r>
      <w:r w:rsidRPr="0013016F">
        <w:rPr>
          <w:i/>
          <w:iCs/>
          <w:noProof/>
        </w:rPr>
        <w:t>Behavior Research Methods</w:t>
      </w:r>
      <w:r w:rsidRPr="0013016F">
        <w:rPr>
          <w:noProof/>
        </w:rPr>
        <w:t xml:space="preserve">, </w:t>
      </w:r>
      <w:r w:rsidRPr="0013016F">
        <w:rPr>
          <w:i/>
          <w:iCs/>
          <w:noProof/>
        </w:rPr>
        <w:t>42</w:t>
      </w:r>
      <w:r w:rsidRPr="0013016F">
        <w:rPr>
          <w:noProof/>
        </w:rPr>
        <w:t>(4), 987–91. doi:10.3758/BRM.42.4.987</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Kashdan, T. B., &amp; Rottenberg, J. (2010). Psychological flexibility as a fundamental aspect of health. </w:t>
      </w:r>
      <w:r w:rsidRPr="0013016F">
        <w:rPr>
          <w:i/>
          <w:iCs/>
          <w:noProof/>
        </w:rPr>
        <w:t>Clinical Psychology Review</w:t>
      </w:r>
      <w:r w:rsidRPr="0013016F">
        <w:rPr>
          <w:noProof/>
        </w:rPr>
        <w:t xml:space="preserve">, </w:t>
      </w:r>
      <w:r w:rsidRPr="0013016F">
        <w:rPr>
          <w:i/>
          <w:iCs/>
          <w:noProof/>
        </w:rPr>
        <w:t>30</w:t>
      </w:r>
      <w:r w:rsidRPr="0013016F">
        <w:rPr>
          <w:noProof/>
        </w:rPr>
        <w:t>(7), 865–78. doi:10.1016/j.cpr.2010.03.001</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Kok, B. E., &amp; Fredrickson, B. L. (2010). Upward spirals of the heart: autonomic flexibility, as indexed by vagal tone, reciprocally and prospectively predicts positive emotions and social connectedness. </w:t>
      </w:r>
      <w:r w:rsidRPr="0013016F">
        <w:rPr>
          <w:i/>
          <w:iCs/>
          <w:noProof/>
        </w:rPr>
        <w:t>Biological Psychology</w:t>
      </w:r>
      <w:r w:rsidRPr="0013016F">
        <w:rPr>
          <w:noProof/>
        </w:rPr>
        <w:t xml:space="preserve">, </w:t>
      </w:r>
      <w:r w:rsidRPr="0013016F">
        <w:rPr>
          <w:i/>
          <w:iCs/>
          <w:noProof/>
        </w:rPr>
        <w:t>85</w:t>
      </w:r>
      <w:r w:rsidRPr="0013016F">
        <w:rPr>
          <w:noProof/>
        </w:rPr>
        <w:t>(3), 432–6. doi:10.1016/j.biopsycho.2010.09.005</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Krypotos, A.-M., Jahfari, S., van Ast, V. a, Kindt, M., &amp; Forstmann, B. U. (2011). Individual Differences in Heart Rate Variability Predict the Degree of Slowing during Response </w:t>
      </w:r>
      <w:r w:rsidRPr="0013016F">
        <w:rPr>
          <w:noProof/>
        </w:rPr>
        <w:lastRenderedPageBreak/>
        <w:t xml:space="preserve">Inhibition and Initiation in the Presence of Emotional Stimuli. </w:t>
      </w:r>
      <w:r w:rsidRPr="0013016F">
        <w:rPr>
          <w:i/>
          <w:iCs/>
          <w:noProof/>
        </w:rPr>
        <w:t>Frontiers in Psychology</w:t>
      </w:r>
      <w:r w:rsidRPr="0013016F">
        <w:rPr>
          <w:noProof/>
        </w:rPr>
        <w:t xml:space="preserve">, </w:t>
      </w:r>
      <w:r w:rsidRPr="0013016F">
        <w:rPr>
          <w:i/>
          <w:iCs/>
          <w:noProof/>
        </w:rPr>
        <w:t>2</w:t>
      </w:r>
      <w:r w:rsidRPr="0013016F">
        <w:rPr>
          <w:noProof/>
        </w:rPr>
        <w:t>(October), 278. doi:10.3389/fpsyg.2011.00278</w:t>
      </w:r>
    </w:p>
    <w:p w:rsidR="00BE051A" w:rsidRPr="0013016F" w:rsidRDefault="00BE051A" w:rsidP="005E0D86">
      <w:pPr>
        <w:pStyle w:val="NormalWeb"/>
        <w:spacing w:before="0" w:beforeAutospacing="0" w:after="0" w:afterAutospacing="0" w:line="480" w:lineRule="auto"/>
        <w:ind w:left="480" w:hanging="480"/>
        <w:divId w:val="970940688"/>
        <w:rPr>
          <w:noProof/>
          <w:lang w:val="de-DE"/>
        </w:rPr>
      </w:pPr>
      <w:r w:rsidRPr="0013016F">
        <w:rPr>
          <w:noProof/>
        </w:rPr>
        <w:t xml:space="preserve">Lang, P. J., Bradley, M. M., &amp; Cuthbert, B. N. (1990). Emotion, attention, and the startle reflex. </w:t>
      </w:r>
      <w:r w:rsidRPr="0013016F">
        <w:rPr>
          <w:i/>
          <w:iCs/>
          <w:noProof/>
          <w:lang w:val="de-DE"/>
        </w:rPr>
        <w:t>Psychological Review</w:t>
      </w:r>
      <w:r w:rsidRPr="0013016F">
        <w:rPr>
          <w:noProof/>
          <w:lang w:val="de-DE"/>
        </w:rPr>
        <w:t xml:space="preserve">, </w:t>
      </w:r>
      <w:r w:rsidRPr="0013016F">
        <w:rPr>
          <w:i/>
          <w:iCs/>
          <w:noProof/>
          <w:lang w:val="de-DE"/>
        </w:rPr>
        <w:t>97</w:t>
      </w:r>
      <w:r w:rsidRPr="0013016F">
        <w:rPr>
          <w:noProof/>
          <w:lang w:val="de-DE"/>
        </w:rPr>
        <w:t>(3), 377–95.</w:t>
      </w:r>
      <w:r w:rsidR="00E32D32">
        <w:rPr>
          <w:noProof/>
          <w:lang w:val="de-DE"/>
        </w:rPr>
        <w:t xml:space="preserve"> doi:</w:t>
      </w:r>
      <w:r w:rsidR="00E32D32" w:rsidRPr="00E32D32">
        <w:rPr>
          <w:noProof/>
          <w:lang w:val="de-DE"/>
        </w:rPr>
        <w:t>10.1037/0033-295X.97.3.377</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lang w:val="de-DE"/>
        </w:rPr>
        <w:t xml:space="preserve">Laux, L., Glanzmann, P., Schaffner, P., &amp; Spielberger, C. D. (1981). </w:t>
      </w:r>
      <w:r w:rsidRPr="0013016F">
        <w:rPr>
          <w:i/>
          <w:iCs/>
          <w:noProof/>
          <w:lang w:val="de-DE"/>
        </w:rPr>
        <w:t>Das State-Trait Angstinventar (Testmappe mit Handanweisung, Fragebogen STAI-G Form X1 und Fragebogen STAI-G form X2).</w:t>
      </w:r>
      <w:r w:rsidRPr="0013016F">
        <w:rPr>
          <w:noProof/>
          <w:lang w:val="de-DE"/>
        </w:rPr>
        <w:t xml:space="preserve"> </w:t>
      </w:r>
      <w:r w:rsidRPr="0013016F">
        <w:rPr>
          <w:noProof/>
        </w:rPr>
        <w:t>Weinheim: Beltz.</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LeDoux, J. E. (2000). Emotion circuits in the brain. </w:t>
      </w:r>
      <w:r w:rsidRPr="0013016F">
        <w:rPr>
          <w:i/>
          <w:iCs/>
          <w:noProof/>
        </w:rPr>
        <w:t>Annual Review Neuroscience</w:t>
      </w:r>
      <w:r w:rsidRPr="0013016F">
        <w:rPr>
          <w:noProof/>
        </w:rPr>
        <w:t xml:space="preserve">, </w:t>
      </w:r>
      <w:r w:rsidRPr="0013016F">
        <w:rPr>
          <w:i/>
          <w:iCs/>
          <w:noProof/>
        </w:rPr>
        <w:t>23</w:t>
      </w:r>
      <w:r w:rsidRPr="0013016F">
        <w:rPr>
          <w:noProof/>
        </w:rPr>
        <w:t>, 155–184.</w:t>
      </w:r>
      <w:r w:rsidR="00E32D32">
        <w:rPr>
          <w:noProof/>
        </w:rPr>
        <w:t xml:space="preserve"> doi:</w:t>
      </w:r>
      <w:r w:rsidR="00E32D32" w:rsidRPr="00E32D32">
        <w:rPr>
          <w:noProof/>
        </w:rPr>
        <w:t>10.1146/annurev.neuro.23.1.155</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LeDoux, J. E. (2012). Rethinking the emotional brain. </w:t>
      </w:r>
      <w:r w:rsidRPr="0013016F">
        <w:rPr>
          <w:i/>
          <w:iCs/>
          <w:noProof/>
        </w:rPr>
        <w:t>Neuron</w:t>
      </w:r>
      <w:r w:rsidRPr="0013016F">
        <w:rPr>
          <w:noProof/>
        </w:rPr>
        <w:t xml:space="preserve">, </w:t>
      </w:r>
      <w:r w:rsidRPr="0013016F">
        <w:rPr>
          <w:i/>
          <w:iCs/>
          <w:noProof/>
        </w:rPr>
        <w:t>73</w:t>
      </w:r>
      <w:r w:rsidRPr="0013016F">
        <w:rPr>
          <w:noProof/>
        </w:rPr>
        <w:t>(4), 653–76. doi:10.1016/j.neuron.2012.02.004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Malooly, A. M., Genet, J. J., &amp; Siemer, M. (2013). Individual differences in reappraisal effectiveness: the role of affective flexibility. </w:t>
      </w:r>
      <w:r w:rsidRPr="0013016F">
        <w:rPr>
          <w:i/>
          <w:iCs/>
          <w:noProof/>
        </w:rPr>
        <w:t>Emotion</w:t>
      </w:r>
      <w:r w:rsidRPr="0013016F">
        <w:rPr>
          <w:noProof/>
        </w:rPr>
        <w:t xml:space="preserve">, </w:t>
      </w:r>
      <w:r w:rsidRPr="0013016F">
        <w:rPr>
          <w:i/>
          <w:iCs/>
          <w:noProof/>
        </w:rPr>
        <w:t>13</w:t>
      </w:r>
      <w:r w:rsidRPr="0013016F">
        <w:rPr>
          <w:noProof/>
        </w:rPr>
        <w:t>(2), 302–13. doi:10.1037/a0029980</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Maris, E., &amp; Oostenveld, R. (2007). Nonparametric statistical testing of EEG- and MEG-data. </w:t>
      </w:r>
      <w:r w:rsidRPr="0013016F">
        <w:rPr>
          <w:i/>
          <w:iCs/>
          <w:noProof/>
        </w:rPr>
        <w:t>Journal of Neuroscience Methods</w:t>
      </w:r>
      <w:r w:rsidRPr="0013016F">
        <w:rPr>
          <w:noProof/>
        </w:rPr>
        <w:t xml:space="preserve">, </w:t>
      </w:r>
      <w:r w:rsidRPr="0013016F">
        <w:rPr>
          <w:i/>
          <w:iCs/>
          <w:noProof/>
        </w:rPr>
        <w:t>164</w:t>
      </w:r>
      <w:r w:rsidRPr="0013016F">
        <w:rPr>
          <w:noProof/>
        </w:rPr>
        <w:t>(1), 177–190. doi:10.1016/j.jneumeth.2007.03.024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Mauss, I. B., Levenson, R. W., McCarter, L., Wilhelm, F. H., &amp; Gross, J. J. (2005). The tie that binds? Coherence among emotion experience, behavior, and physiology. </w:t>
      </w:r>
      <w:r w:rsidRPr="0013016F">
        <w:rPr>
          <w:i/>
          <w:iCs/>
          <w:noProof/>
        </w:rPr>
        <w:t>Emotion</w:t>
      </w:r>
      <w:r w:rsidRPr="0013016F">
        <w:rPr>
          <w:noProof/>
        </w:rPr>
        <w:t xml:space="preserve">, </w:t>
      </w:r>
      <w:r w:rsidRPr="0013016F">
        <w:rPr>
          <w:i/>
          <w:iCs/>
          <w:noProof/>
        </w:rPr>
        <w:t>5</w:t>
      </w:r>
      <w:r w:rsidRPr="0013016F">
        <w:rPr>
          <w:noProof/>
        </w:rPr>
        <w:t>(2), 175–90. doi:10.1037/1528-3542.5.2.175</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McCall, C., Hildebrandt, L. K., Bornemann, B., &amp; Singer, T. (</w:t>
      </w:r>
      <w:r w:rsidR="00095240" w:rsidRPr="0013016F">
        <w:rPr>
          <w:noProof/>
        </w:rPr>
        <w:t>2015</w:t>
      </w:r>
      <w:r w:rsidRPr="0013016F">
        <w:rPr>
          <w:noProof/>
        </w:rPr>
        <w:t>). Physiophenomenology and recall of arousal during threatening experience.</w:t>
      </w:r>
      <w:r w:rsidR="00974650" w:rsidRPr="0013016F">
        <w:rPr>
          <w:noProof/>
        </w:rPr>
        <w:t xml:space="preserve"> </w:t>
      </w:r>
      <w:r w:rsidR="00974650" w:rsidRPr="0013016F">
        <w:rPr>
          <w:i/>
          <w:noProof/>
        </w:rPr>
        <w:t>Consciousness and Cognition</w:t>
      </w:r>
      <w:r w:rsidR="00E32D32">
        <w:rPr>
          <w:i/>
          <w:noProof/>
        </w:rPr>
        <w:t xml:space="preserve">, 38, </w:t>
      </w:r>
      <w:r w:rsidR="00E32D32">
        <w:rPr>
          <w:noProof/>
        </w:rPr>
        <w:t>60-70.</w:t>
      </w:r>
      <w:r w:rsidR="00974650" w:rsidRPr="0013016F">
        <w:rPr>
          <w:noProof/>
        </w:rPr>
        <w:t>.</w:t>
      </w:r>
      <w:r w:rsidR="00E32D32" w:rsidRPr="00E32D32">
        <w:rPr>
          <w:noProof/>
        </w:rPr>
        <w:t xml:space="preserve">        doi:10.1016/j.concog.2015.09.011</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lastRenderedPageBreak/>
        <w:t xml:space="preserve">Min, J.-A., Yu, J. J., Lee, C.-U., &amp; Chae, J.-H. (2013). Cognitive emotion regulation strategies contributing to resilience in patients with depression and/or anxiety disorders. </w:t>
      </w:r>
      <w:r w:rsidRPr="0013016F">
        <w:rPr>
          <w:i/>
          <w:iCs/>
          <w:noProof/>
        </w:rPr>
        <w:t>Comprehensive Psychiatry</w:t>
      </w:r>
      <w:r w:rsidRPr="0013016F">
        <w:rPr>
          <w:noProof/>
        </w:rPr>
        <w:t xml:space="preserve">, </w:t>
      </w:r>
      <w:r w:rsidRPr="0013016F">
        <w:rPr>
          <w:i/>
          <w:iCs/>
          <w:noProof/>
        </w:rPr>
        <w:t>54</w:t>
      </w:r>
      <w:r w:rsidRPr="0013016F">
        <w:rPr>
          <w:noProof/>
        </w:rPr>
        <w:t>(8), 1190–7. doi:10.1016/j.comppsych.2013.05.008</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Miyake, A., Friedman, N. P., Emerson, M. J., Witzki, A. H., Howerter, A., &amp; Wager, T. D. (2000). The unity and diversity of executive functions and their contributions to complex “Frontal Lobe” tasks: a latent variable analysis. </w:t>
      </w:r>
      <w:r w:rsidRPr="0013016F">
        <w:rPr>
          <w:i/>
          <w:iCs/>
          <w:noProof/>
        </w:rPr>
        <w:t>Cognitive Psychology</w:t>
      </w:r>
      <w:r w:rsidRPr="0013016F">
        <w:rPr>
          <w:noProof/>
        </w:rPr>
        <w:t xml:space="preserve">, </w:t>
      </w:r>
      <w:r w:rsidRPr="0013016F">
        <w:rPr>
          <w:i/>
          <w:iCs/>
          <w:noProof/>
        </w:rPr>
        <w:t>41</w:t>
      </w:r>
      <w:r w:rsidRPr="0013016F">
        <w:rPr>
          <w:noProof/>
        </w:rPr>
        <w:t>(1), 49–100. doi:10.1006/cogp.1999.0734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Mogg, K., &amp; Bradley, B. P. (1999). Some methodological issues in assessing attentional biases for threatening faces in anxiety: A replication study using a modified version of the probe detection task</w:t>
      </w:r>
      <w:r w:rsidR="00E32D32">
        <w:rPr>
          <w:noProof/>
        </w:rPr>
        <w:t>.</w:t>
      </w:r>
      <w:r w:rsidR="00E32D32" w:rsidRPr="00E32D32">
        <w:t xml:space="preserve"> </w:t>
      </w:r>
      <w:r w:rsidR="00E32D32" w:rsidRPr="00E32D32">
        <w:rPr>
          <w:i/>
          <w:noProof/>
        </w:rPr>
        <w:t>Behaviour Research and Therapy</w:t>
      </w:r>
      <w:r w:rsidRPr="00E32D32">
        <w:rPr>
          <w:i/>
          <w:noProof/>
        </w:rPr>
        <w:t>,</w:t>
      </w:r>
      <w:r w:rsidRPr="0013016F">
        <w:rPr>
          <w:noProof/>
        </w:rPr>
        <w:t xml:space="preserve"> </w:t>
      </w:r>
      <w:r w:rsidRPr="0013016F">
        <w:rPr>
          <w:i/>
          <w:iCs/>
          <w:noProof/>
        </w:rPr>
        <w:t>37</w:t>
      </w:r>
      <w:r w:rsidR="00E32D32" w:rsidRPr="00D90233">
        <w:rPr>
          <w:iCs/>
          <w:noProof/>
        </w:rPr>
        <w:t>(6),</w:t>
      </w:r>
      <w:r w:rsidR="00D90233" w:rsidRPr="00D90233">
        <w:rPr>
          <w:iCs/>
          <w:noProof/>
        </w:rPr>
        <w:t xml:space="preserve"> 595–604</w:t>
      </w:r>
      <w:r w:rsidRPr="0013016F">
        <w:rPr>
          <w:noProof/>
        </w:rPr>
        <w:t>.</w:t>
      </w:r>
      <w:r w:rsidR="00D90233">
        <w:rPr>
          <w:noProof/>
        </w:rPr>
        <w:t xml:space="preserve"> doi:</w:t>
      </w:r>
      <w:r w:rsidR="00D90233" w:rsidRPr="00D90233">
        <w:rPr>
          <w:noProof/>
        </w:rPr>
        <w:t>10.1016/S0005-7967(98)00158-2</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Mogg, K., Bradley, B. P., Dixon, C., Fisher, S., Twelftree, H., &amp; McWilliams, A. (2000). Trait anxiety, defensiveness and selective processing of threat: an investigation using two measures of attentional bias. </w:t>
      </w:r>
      <w:r w:rsidRPr="0013016F">
        <w:rPr>
          <w:i/>
          <w:iCs/>
          <w:noProof/>
        </w:rPr>
        <w:t>Personality and Individual Differences</w:t>
      </w:r>
      <w:r w:rsidRPr="0013016F">
        <w:rPr>
          <w:noProof/>
        </w:rPr>
        <w:t xml:space="preserve">, </w:t>
      </w:r>
      <w:r w:rsidRPr="0013016F">
        <w:rPr>
          <w:i/>
          <w:iCs/>
          <w:noProof/>
        </w:rPr>
        <w:t>28</w:t>
      </w:r>
      <w:r w:rsidRPr="0013016F">
        <w:rPr>
          <w:noProof/>
        </w:rPr>
        <w:t>(6), 1063–1077. doi:10.1016/S0191-8869(99)00157-9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Newman, M. G., &amp; Llera, S. J. (2011). A novel theory of experiential avoidance in generalized anxiety disorder: A review and synthesis of research supporting a contrast avoidance model of worry. </w:t>
      </w:r>
      <w:r w:rsidRPr="0013016F">
        <w:rPr>
          <w:i/>
          <w:iCs/>
          <w:noProof/>
        </w:rPr>
        <w:t>Clinical Psychology Review</w:t>
      </w:r>
      <w:r w:rsidRPr="0013016F">
        <w:rPr>
          <w:noProof/>
        </w:rPr>
        <w:t>. doi:10.1016/j.cpr.2011.01.008</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Nichols, T. E., &amp; Holmes, A. P. (2001). Nonparametric Permutation Tests for functional Neuroimaging Experiments: A Primer with examples. </w:t>
      </w:r>
      <w:r w:rsidRPr="0013016F">
        <w:rPr>
          <w:i/>
          <w:iCs/>
          <w:noProof/>
        </w:rPr>
        <w:t>Human Brain Mapping</w:t>
      </w:r>
      <w:r w:rsidRPr="0013016F">
        <w:rPr>
          <w:noProof/>
        </w:rPr>
        <w:t xml:space="preserve">, </w:t>
      </w:r>
      <w:r w:rsidRPr="0013016F">
        <w:rPr>
          <w:i/>
          <w:iCs/>
          <w:noProof/>
        </w:rPr>
        <w:t>15</w:t>
      </w:r>
      <w:r w:rsidRPr="0013016F">
        <w:rPr>
          <w:noProof/>
        </w:rPr>
        <w:t>(1), 1–25.</w:t>
      </w:r>
      <w:r w:rsidR="00D90233">
        <w:rPr>
          <w:noProof/>
        </w:rPr>
        <w:t xml:space="preserve"> doi:1</w:t>
      </w:r>
      <w:r w:rsidR="00D90233" w:rsidRPr="00D90233">
        <w:rPr>
          <w:noProof/>
        </w:rPr>
        <w:t>0.1002/hbm.1058</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lastRenderedPageBreak/>
        <w:t xml:space="preserve">Nolen-Hoeksema, S., Wisco, B. E., &amp; Lyubomirsky, S. (2008). Rethinking Rumination. </w:t>
      </w:r>
      <w:r w:rsidRPr="0013016F">
        <w:rPr>
          <w:i/>
          <w:iCs/>
          <w:noProof/>
        </w:rPr>
        <w:t>Perspectives on Psychological Science</w:t>
      </w:r>
      <w:r w:rsidRPr="0013016F">
        <w:rPr>
          <w:noProof/>
        </w:rPr>
        <w:t xml:space="preserve">, </w:t>
      </w:r>
      <w:r w:rsidRPr="0013016F">
        <w:rPr>
          <w:i/>
          <w:iCs/>
          <w:noProof/>
        </w:rPr>
        <w:t>3</w:t>
      </w:r>
      <w:r w:rsidRPr="0013016F">
        <w:rPr>
          <w:noProof/>
        </w:rPr>
        <w:t>(5), 400–424. doi:10.1111/j.1745-6924.2008.00088.x</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Nussinovitch, U., Elishkevitz, K. P., Kaminer, K., Nussinovitch, M., Segev, S., Volovitz, B., &amp; Nussinovitch, N. (2011). The efficiency of 10-second resting heart rate for the evaluation of short-term heart rate variability indices. </w:t>
      </w:r>
      <w:r w:rsidRPr="0013016F">
        <w:rPr>
          <w:i/>
          <w:iCs/>
          <w:noProof/>
        </w:rPr>
        <w:t>PACE - Pacing and Clinical Electrophysiology</w:t>
      </w:r>
      <w:r w:rsidRPr="0013016F">
        <w:rPr>
          <w:noProof/>
        </w:rPr>
        <w:t xml:space="preserve">, </w:t>
      </w:r>
      <w:r w:rsidRPr="0013016F">
        <w:rPr>
          <w:i/>
          <w:iCs/>
          <w:noProof/>
        </w:rPr>
        <w:t>34</w:t>
      </w:r>
      <w:r w:rsidRPr="0013016F">
        <w:rPr>
          <w:noProof/>
        </w:rPr>
        <w:t>(11), 1498–1502. doi:10.1111/j.1540-8159.2011.03178.x</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Ong, A. D., Fuller-Rowell, T. E., &amp; Bonanno, G. A. (2010). Prospective predictors of positive emotions following spousal loss. </w:t>
      </w:r>
      <w:r w:rsidRPr="0013016F">
        <w:rPr>
          <w:i/>
          <w:iCs/>
          <w:noProof/>
        </w:rPr>
        <w:t>Psychology and Aging</w:t>
      </w:r>
      <w:r w:rsidRPr="0013016F">
        <w:rPr>
          <w:noProof/>
        </w:rPr>
        <w:t xml:space="preserve">, </w:t>
      </w:r>
      <w:r w:rsidRPr="0013016F">
        <w:rPr>
          <w:i/>
          <w:iCs/>
          <w:noProof/>
        </w:rPr>
        <w:t>25</w:t>
      </w:r>
      <w:r w:rsidRPr="0013016F">
        <w:rPr>
          <w:noProof/>
        </w:rPr>
        <w:t>(3), 653–60. doi:10.1037/a0018870</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Ottaviani, C., Medea, B., Lonigro, A., Tarvainen, M., &amp; Couyoumdjian, A. (2015). Cognitive rigidity is mirrored by autonomic inflexibility in daily life perseverative cognition. </w:t>
      </w:r>
      <w:r w:rsidRPr="0013016F">
        <w:rPr>
          <w:i/>
          <w:iCs/>
          <w:noProof/>
        </w:rPr>
        <w:t>Biological Psychology</w:t>
      </w:r>
      <w:r w:rsidRPr="0013016F">
        <w:rPr>
          <w:noProof/>
        </w:rPr>
        <w:t xml:space="preserve">, </w:t>
      </w:r>
      <w:r w:rsidRPr="0013016F">
        <w:rPr>
          <w:i/>
          <w:iCs/>
          <w:noProof/>
        </w:rPr>
        <w:t>107</w:t>
      </w:r>
      <w:r w:rsidRPr="0013016F">
        <w:rPr>
          <w:noProof/>
        </w:rPr>
        <w:t>, 24–30. doi:10.1016/j.biopsycho.2015.02.011</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Ottaviani, C., Shapiro, D., &amp; Couyoumdjian, A. (2013). Flexibility as the key for somatic health: From mind wandering to perseverative cognition. </w:t>
      </w:r>
      <w:r w:rsidRPr="0013016F">
        <w:rPr>
          <w:i/>
          <w:iCs/>
          <w:noProof/>
        </w:rPr>
        <w:t>Biological Psychology</w:t>
      </w:r>
      <w:r w:rsidRPr="0013016F">
        <w:rPr>
          <w:noProof/>
        </w:rPr>
        <w:t xml:space="preserve">, </w:t>
      </w:r>
      <w:r w:rsidRPr="0013016F">
        <w:rPr>
          <w:i/>
          <w:iCs/>
          <w:noProof/>
        </w:rPr>
        <w:t>94</w:t>
      </w:r>
      <w:r w:rsidRPr="0013016F">
        <w:rPr>
          <w:noProof/>
        </w:rPr>
        <w:t>(1), 38–43. doi:10.1016/j.biopsycho.2013.05.003</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Park, G., Van Bavel, J. J., Vasey, M. W., Egan, E. J. L., &amp; Thayer, J. F. (2012). From the heart to the mind’s eye: cardiac vagal tone is related to visual perception of fearful faces at high spatial frequency. </w:t>
      </w:r>
      <w:r w:rsidRPr="0013016F">
        <w:rPr>
          <w:i/>
          <w:iCs/>
          <w:noProof/>
        </w:rPr>
        <w:t>Biological Psychology</w:t>
      </w:r>
      <w:r w:rsidRPr="0013016F">
        <w:rPr>
          <w:noProof/>
        </w:rPr>
        <w:t xml:space="preserve">, </w:t>
      </w:r>
      <w:r w:rsidRPr="0013016F">
        <w:rPr>
          <w:i/>
          <w:iCs/>
          <w:noProof/>
        </w:rPr>
        <w:t>90</w:t>
      </w:r>
      <w:r w:rsidRPr="0013016F">
        <w:rPr>
          <w:noProof/>
        </w:rPr>
        <w:t>(2), 171–8. doi:10.1016/j.biopsycho.2012.02.012</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Park, G., Van Bavel, J. J., Vasey, M. W., &amp; Thayer, J. F. (2012). Cardiac vagal tone predicts inhibited attention to fearful faces. </w:t>
      </w:r>
      <w:r w:rsidRPr="0013016F">
        <w:rPr>
          <w:i/>
          <w:iCs/>
          <w:noProof/>
        </w:rPr>
        <w:t>Emotion</w:t>
      </w:r>
      <w:r w:rsidRPr="0013016F">
        <w:rPr>
          <w:noProof/>
        </w:rPr>
        <w:t xml:space="preserve">, </w:t>
      </w:r>
      <w:r w:rsidRPr="0013016F">
        <w:rPr>
          <w:i/>
          <w:iCs/>
          <w:noProof/>
        </w:rPr>
        <w:t>12</w:t>
      </w:r>
      <w:r w:rsidRPr="0013016F">
        <w:rPr>
          <w:noProof/>
        </w:rPr>
        <w:t>(6), 1292–302. doi:10.1037/a0028528</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lastRenderedPageBreak/>
        <w:t xml:space="preserve">Park, G., Van Bavel, J. J., Vasey, M. W., &amp; Thayer, J. F. (2013). Cardiac vagal tone predicts attentional engagement to and disengagement from fearful faces. </w:t>
      </w:r>
      <w:r w:rsidRPr="0013016F">
        <w:rPr>
          <w:i/>
          <w:iCs/>
          <w:noProof/>
        </w:rPr>
        <w:t>Emotion</w:t>
      </w:r>
      <w:r w:rsidRPr="0013016F">
        <w:rPr>
          <w:noProof/>
        </w:rPr>
        <w:t xml:space="preserve">, </w:t>
      </w:r>
      <w:r w:rsidRPr="0013016F">
        <w:rPr>
          <w:i/>
          <w:iCs/>
          <w:noProof/>
        </w:rPr>
        <w:t>13</w:t>
      </w:r>
      <w:r w:rsidRPr="0013016F">
        <w:rPr>
          <w:noProof/>
        </w:rPr>
        <w:t>(4), 645–56. doi:10.1037/a0032971</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Paulitzki, J. R., Risko, E. F., Oakman, J. M., &amp; Stolz, J. A. (2008). Doing the unpleasant: How the emotional nature of a threat-relevant task affects task-switching. </w:t>
      </w:r>
      <w:r w:rsidRPr="0013016F">
        <w:rPr>
          <w:i/>
          <w:iCs/>
          <w:noProof/>
        </w:rPr>
        <w:t>Personality and Individual Differences</w:t>
      </w:r>
      <w:r w:rsidRPr="0013016F">
        <w:rPr>
          <w:noProof/>
        </w:rPr>
        <w:t xml:space="preserve">, </w:t>
      </w:r>
      <w:r w:rsidRPr="0013016F">
        <w:rPr>
          <w:i/>
          <w:iCs/>
          <w:noProof/>
        </w:rPr>
        <w:t>45</w:t>
      </w:r>
      <w:r w:rsidRPr="0013016F">
        <w:rPr>
          <w:noProof/>
        </w:rPr>
        <w:t>(5), 350–355. doi:10.1016/j.paid.2008.05.003</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Porges, S. W. (1995). Orienting in a defensive world: Mammalian modifications of our evolutionary heritage. A polyvagal theory. </w:t>
      </w:r>
      <w:r w:rsidRPr="0013016F">
        <w:rPr>
          <w:i/>
          <w:iCs/>
          <w:noProof/>
        </w:rPr>
        <w:t>Psychophysiology</w:t>
      </w:r>
      <w:r w:rsidRPr="0013016F">
        <w:rPr>
          <w:noProof/>
        </w:rPr>
        <w:t xml:space="preserve">, </w:t>
      </w:r>
      <w:r w:rsidRPr="0013016F">
        <w:rPr>
          <w:i/>
          <w:iCs/>
          <w:noProof/>
        </w:rPr>
        <w:t>32</w:t>
      </w:r>
      <w:r w:rsidRPr="0013016F">
        <w:rPr>
          <w:noProof/>
        </w:rPr>
        <w:t>, 301–318.</w:t>
      </w:r>
      <w:r w:rsidR="00D90233">
        <w:rPr>
          <w:noProof/>
        </w:rPr>
        <w:t xml:space="preserve"> doi:</w:t>
      </w:r>
      <w:r w:rsidR="00D90233" w:rsidRPr="00D90233">
        <w:rPr>
          <w:noProof/>
        </w:rPr>
        <w:t>10.1111/j.1469-8986.1995.tb01213.x</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Ruiz-Padial, E., Sollers, J. J., Vila, J., &amp; Thayer, J. F. (2003). The rhythm of the heart in the blink of an eye: emotion-modulated startle magnitude covaries with heart rate variability. </w:t>
      </w:r>
      <w:r w:rsidRPr="0013016F">
        <w:rPr>
          <w:i/>
          <w:iCs/>
          <w:noProof/>
        </w:rPr>
        <w:t>Psychophysiology</w:t>
      </w:r>
      <w:r w:rsidRPr="0013016F">
        <w:rPr>
          <w:noProof/>
        </w:rPr>
        <w:t xml:space="preserve">, </w:t>
      </w:r>
      <w:r w:rsidRPr="0013016F">
        <w:rPr>
          <w:i/>
          <w:iCs/>
          <w:noProof/>
        </w:rPr>
        <w:t>40</w:t>
      </w:r>
      <w:r w:rsidRPr="0013016F">
        <w:rPr>
          <w:noProof/>
        </w:rPr>
        <w:t>(2), 306–13.</w:t>
      </w:r>
      <w:r w:rsidR="00D90233">
        <w:rPr>
          <w:noProof/>
        </w:rPr>
        <w:t xml:space="preserve"> doi:</w:t>
      </w:r>
      <w:r w:rsidR="00D90233" w:rsidRPr="00D90233">
        <w:rPr>
          <w:noProof/>
        </w:rPr>
        <w:t>10.1111/1469-8986.00032</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Rutter, M. (2006). Implications of resilience concepts for scientific understanding. </w:t>
      </w:r>
      <w:r w:rsidRPr="0013016F">
        <w:rPr>
          <w:i/>
          <w:iCs/>
          <w:noProof/>
        </w:rPr>
        <w:t>Annals of the New York Academy of Sciences</w:t>
      </w:r>
      <w:r w:rsidRPr="0013016F">
        <w:rPr>
          <w:noProof/>
        </w:rPr>
        <w:t xml:space="preserve">, </w:t>
      </w:r>
      <w:r w:rsidRPr="0013016F">
        <w:rPr>
          <w:i/>
          <w:iCs/>
          <w:noProof/>
        </w:rPr>
        <w:t>1094</w:t>
      </w:r>
      <w:r w:rsidRPr="0013016F">
        <w:rPr>
          <w:noProof/>
        </w:rPr>
        <w:t>, 1–12. doi:10.1196/annals.1376.002</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lang w:val="de-DE"/>
        </w:rPr>
        <w:t xml:space="preserve">Schmitz, J., Krämer, M., Tuschen-Caffier, B., Heinrichs, N., &amp; Blechert, J. (2011). </w:t>
      </w:r>
      <w:r w:rsidRPr="0013016F">
        <w:rPr>
          <w:noProof/>
        </w:rPr>
        <w:t xml:space="preserve">Restricted autonomic flexibility in children with social phobia. </w:t>
      </w:r>
      <w:r w:rsidRPr="0013016F">
        <w:rPr>
          <w:i/>
          <w:iCs/>
          <w:noProof/>
        </w:rPr>
        <w:t>Journal of Child Psychology and Psychiatry, and Allied Disciplines</w:t>
      </w:r>
      <w:r w:rsidRPr="0013016F">
        <w:rPr>
          <w:noProof/>
        </w:rPr>
        <w:t xml:space="preserve">, </w:t>
      </w:r>
      <w:r w:rsidRPr="0013016F">
        <w:rPr>
          <w:i/>
          <w:iCs/>
          <w:noProof/>
        </w:rPr>
        <w:t>52</w:t>
      </w:r>
      <w:r w:rsidRPr="0013016F">
        <w:rPr>
          <w:noProof/>
        </w:rPr>
        <w:t>(11), 1203–11. doi:10.1111/j.1469-7610.2011.02417.x</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Sheppes, G., Luria, R., Fukuda, K., &amp; Gross, J. J. (2013). There’s more to anxiety than meets the eye: isolating threat-related attentional engagement and disengagement biases. </w:t>
      </w:r>
      <w:r w:rsidRPr="0013016F">
        <w:rPr>
          <w:i/>
          <w:iCs/>
          <w:noProof/>
        </w:rPr>
        <w:t>Emotion</w:t>
      </w:r>
      <w:r w:rsidRPr="0013016F">
        <w:rPr>
          <w:noProof/>
        </w:rPr>
        <w:t xml:space="preserve">, </w:t>
      </w:r>
      <w:r w:rsidRPr="0013016F">
        <w:rPr>
          <w:i/>
          <w:iCs/>
          <w:noProof/>
        </w:rPr>
        <w:t>13</w:t>
      </w:r>
      <w:r w:rsidRPr="0013016F">
        <w:rPr>
          <w:noProof/>
        </w:rPr>
        <w:t>(3), 520–8. doi:10.1037/a0031236</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lastRenderedPageBreak/>
        <w:t xml:space="preserve">Singer, T., Kok, B. E., Bornemann, B., Bolz, M., &amp; Bochow, C. A. (2015). </w:t>
      </w:r>
      <w:r w:rsidRPr="0013016F">
        <w:rPr>
          <w:i/>
          <w:iCs/>
          <w:noProof/>
        </w:rPr>
        <w:t>The ReSource Project. Background, Design, Samples, and Measurements</w:t>
      </w:r>
      <w:r w:rsidRPr="0013016F">
        <w:rPr>
          <w:noProof/>
        </w:rPr>
        <w:t>. Leipzig: Max Planck Institute for Human Cognitive and Brain Sciences.</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Souza, G. G. L., Mendonça-De-Souza, A. C. F., Barros, E. M., Coutinho, E. D. S. F., Oliveira, L., Mendlowicz, M. V, … Volchan, E. (2007). Resilience and vagal tone predict cardiac recovery from acute social stress. </w:t>
      </w:r>
      <w:r w:rsidRPr="0013016F">
        <w:rPr>
          <w:i/>
          <w:iCs/>
          <w:noProof/>
        </w:rPr>
        <w:t>Stress</w:t>
      </w:r>
      <w:r w:rsidRPr="0013016F">
        <w:rPr>
          <w:noProof/>
        </w:rPr>
        <w:t xml:space="preserve">, </w:t>
      </w:r>
      <w:r w:rsidRPr="0013016F">
        <w:rPr>
          <w:i/>
          <w:iCs/>
          <w:noProof/>
        </w:rPr>
        <w:t>10</w:t>
      </w:r>
      <w:r w:rsidRPr="0013016F">
        <w:rPr>
          <w:noProof/>
        </w:rPr>
        <w:t>(4), 368–74. doi:10.1080/10253890701419886</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Tarvainen, M. P., Niskanen, J.-P., Lipponen, J. A., Ranta-Aho, P. O., &amp; Karjalainen, P. A. (2014). Kubios HRV--heart rate variability analysis software. </w:t>
      </w:r>
      <w:r w:rsidRPr="0013016F">
        <w:rPr>
          <w:i/>
          <w:iCs/>
          <w:noProof/>
        </w:rPr>
        <w:t>Computer Methods and Programs in Biomedicine</w:t>
      </w:r>
      <w:r w:rsidRPr="0013016F">
        <w:rPr>
          <w:noProof/>
        </w:rPr>
        <w:t xml:space="preserve">, </w:t>
      </w:r>
      <w:r w:rsidRPr="0013016F">
        <w:rPr>
          <w:i/>
          <w:iCs/>
          <w:noProof/>
        </w:rPr>
        <w:t>113</w:t>
      </w:r>
      <w:r w:rsidRPr="0013016F">
        <w:rPr>
          <w:noProof/>
        </w:rPr>
        <w:t>(1), 210–20. doi:10.1016/j.cmpb.2013.07.024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Task Force of The European Society of Cardiology and The North American Society of Pacing and Electrophysiology (1996). Heart Rate Variability: Standards of Measurement, Physiological Interpretation, and Clinical Use. </w:t>
      </w:r>
      <w:r w:rsidRPr="0013016F">
        <w:rPr>
          <w:i/>
          <w:iCs/>
          <w:noProof/>
        </w:rPr>
        <w:t>European Heart Journal</w:t>
      </w:r>
      <w:r w:rsidRPr="0013016F">
        <w:rPr>
          <w:noProof/>
        </w:rPr>
        <w:t xml:space="preserve">, </w:t>
      </w:r>
      <w:r w:rsidRPr="0013016F">
        <w:rPr>
          <w:i/>
          <w:iCs/>
          <w:noProof/>
        </w:rPr>
        <w:t>17</w:t>
      </w:r>
      <w:r w:rsidRPr="0013016F">
        <w:rPr>
          <w:noProof/>
        </w:rPr>
        <w:t>, 354–381.</w:t>
      </w:r>
      <w:r w:rsidR="00D90233">
        <w:rPr>
          <w:noProof/>
        </w:rPr>
        <w:t xml:space="preserve"> doi:</w:t>
      </w:r>
      <w:r w:rsidR="00D90233" w:rsidRPr="00D90233">
        <w:rPr>
          <w:noProof/>
        </w:rPr>
        <w:t>10.1161/01.CIR.93.5.1043</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Taylor, C. T., Bomyea, J., &amp; Amir, N. (2011). Malleability of attentional bias for positive emotional information and anxiety vulnerability. </w:t>
      </w:r>
      <w:r w:rsidRPr="0013016F">
        <w:rPr>
          <w:i/>
          <w:iCs/>
          <w:noProof/>
        </w:rPr>
        <w:t>Emotion</w:t>
      </w:r>
      <w:r w:rsidRPr="0013016F">
        <w:rPr>
          <w:noProof/>
        </w:rPr>
        <w:t xml:space="preserve">, </w:t>
      </w:r>
      <w:r w:rsidRPr="0013016F">
        <w:rPr>
          <w:i/>
          <w:iCs/>
          <w:noProof/>
        </w:rPr>
        <w:t>11</w:t>
      </w:r>
      <w:r w:rsidRPr="0013016F">
        <w:rPr>
          <w:noProof/>
        </w:rPr>
        <w:t>(1), 127–138. doi:10.1037/a0021301.Malleability</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Thayer, J. F., Ahs, F., Fredrikson, M., Sollers, J. J., &amp; Wager, T. D. (2012). A meta-analysis of heart rate variability and neuroimaging studies: implications for heart rate variability as a marker of stress and health. </w:t>
      </w:r>
      <w:r w:rsidRPr="0013016F">
        <w:rPr>
          <w:i/>
          <w:iCs/>
          <w:noProof/>
        </w:rPr>
        <w:t>Neuroscience and Biobehavioral Reviews</w:t>
      </w:r>
      <w:r w:rsidRPr="0013016F">
        <w:rPr>
          <w:noProof/>
        </w:rPr>
        <w:t xml:space="preserve">, </w:t>
      </w:r>
      <w:r w:rsidRPr="0013016F">
        <w:rPr>
          <w:i/>
          <w:iCs/>
          <w:noProof/>
        </w:rPr>
        <w:t>36</w:t>
      </w:r>
      <w:r w:rsidRPr="0013016F">
        <w:rPr>
          <w:noProof/>
        </w:rPr>
        <w:t>(2), 747–56. doi:10.1016/j.neubiorev.2011.11.009</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Thayer, J. F., Hansen, A. L., Saus-Rose, E., &amp; Johnsen, B. H. (2009). Heart rate variability, prefrontal neural function, and cognitive performance: the neurovisceral integration perspective on self-regulation, adaptation, and health. </w:t>
      </w:r>
      <w:r w:rsidRPr="0013016F">
        <w:rPr>
          <w:i/>
          <w:iCs/>
          <w:noProof/>
        </w:rPr>
        <w:t xml:space="preserve">Annals of Behavioral Medicine : A </w:t>
      </w:r>
      <w:r w:rsidRPr="0013016F">
        <w:rPr>
          <w:i/>
          <w:iCs/>
          <w:noProof/>
        </w:rPr>
        <w:lastRenderedPageBreak/>
        <w:t>Publication of the Society of Behavioral Medicine</w:t>
      </w:r>
      <w:r w:rsidRPr="0013016F">
        <w:rPr>
          <w:noProof/>
        </w:rPr>
        <w:t xml:space="preserve">, </w:t>
      </w:r>
      <w:r w:rsidRPr="0013016F">
        <w:rPr>
          <w:i/>
          <w:iCs/>
          <w:noProof/>
        </w:rPr>
        <w:t>37</w:t>
      </w:r>
      <w:r w:rsidRPr="0013016F">
        <w:rPr>
          <w:noProof/>
        </w:rPr>
        <w:t>(2), 141–53. doi:10.1007/s12160-009-9101-z</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Thayer, J. F., &amp; Lane, R. D. (2000). A model of neurovisceral integration in emotion regulation and dysregulation. </w:t>
      </w:r>
      <w:r w:rsidRPr="0013016F">
        <w:rPr>
          <w:i/>
          <w:iCs/>
          <w:noProof/>
        </w:rPr>
        <w:t>Journal of Affective Disorders</w:t>
      </w:r>
      <w:r w:rsidRPr="0013016F">
        <w:rPr>
          <w:noProof/>
        </w:rPr>
        <w:t xml:space="preserve">, </w:t>
      </w:r>
      <w:r w:rsidRPr="0013016F">
        <w:rPr>
          <w:i/>
          <w:iCs/>
          <w:noProof/>
        </w:rPr>
        <w:t>61</w:t>
      </w:r>
      <w:r w:rsidRPr="0013016F">
        <w:rPr>
          <w:noProof/>
        </w:rPr>
        <w:t>(3), 201–16.</w:t>
      </w:r>
      <w:r w:rsidR="00D90233">
        <w:rPr>
          <w:noProof/>
        </w:rPr>
        <w:t xml:space="preserve"> doi:</w:t>
      </w:r>
      <w:r w:rsidR="00D90233" w:rsidRPr="00D90233">
        <w:rPr>
          <w:noProof/>
        </w:rPr>
        <w:t>10.1016/S0165-0327(00)00338-4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Thayer, J. F., &amp; Lane, R. D. (2009). Claude Bernard and the heart-brain connection: further elaboration of a model of neurovisceral integration. </w:t>
      </w:r>
      <w:r w:rsidRPr="0013016F">
        <w:rPr>
          <w:i/>
          <w:iCs/>
          <w:noProof/>
        </w:rPr>
        <w:t>Neuroscience and Biobehavioral Reviews</w:t>
      </w:r>
      <w:r w:rsidRPr="0013016F">
        <w:rPr>
          <w:noProof/>
        </w:rPr>
        <w:t xml:space="preserve">, </w:t>
      </w:r>
      <w:r w:rsidRPr="0013016F">
        <w:rPr>
          <w:i/>
          <w:iCs/>
          <w:noProof/>
        </w:rPr>
        <w:t>33</w:t>
      </w:r>
      <w:r w:rsidRPr="0013016F">
        <w:rPr>
          <w:noProof/>
        </w:rPr>
        <w:t>(2), 81–8. doi:10.1016/j.neubiorev.2008.08.004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Troy, A. S., &amp; Mauss, I. B. (2011). Resilience in the face of stress: emotion regulation as a protective factor. In S. M. Southwick, B. T. Litz, D. Charney, &amp; M. J. Friedman (Eds.), </w:t>
      </w:r>
      <w:r w:rsidRPr="0013016F">
        <w:rPr>
          <w:i/>
          <w:iCs/>
          <w:noProof/>
        </w:rPr>
        <w:t>Resilience and Mental Health: Challenged Across the Lifespan</w:t>
      </w:r>
      <w:r w:rsidRPr="0013016F">
        <w:rPr>
          <w:noProof/>
        </w:rPr>
        <w:t xml:space="preserve"> (pp. 30–44). Cambridge: Cambridge University Press.</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Tugade, M. M., &amp; Fredrickson, B. L. (2004). Resilient individuals use positive emotions to bounce back from negative emotional experiences. </w:t>
      </w:r>
      <w:r w:rsidRPr="0013016F">
        <w:rPr>
          <w:i/>
          <w:iCs/>
          <w:noProof/>
        </w:rPr>
        <w:t>Journal of Personality and Social Psychology</w:t>
      </w:r>
      <w:r w:rsidRPr="0013016F">
        <w:rPr>
          <w:noProof/>
        </w:rPr>
        <w:t xml:space="preserve">, </w:t>
      </w:r>
      <w:r w:rsidRPr="0013016F">
        <w:rPr>
          <w:i/>
          <w:iCs/>
          <w:noProof/>
        </w:rPr>
        <w:t>86</w:t>
      </w:r>
      <w:r w:rsidRPr="0013016F">
        <w:rPr>
          <w:noProof/>
        </w:rPr>
        <w:t>(2), 320–33. doi:10.1037/0022-3514.86.2.320</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Tugade, M. M., &amp; Fredrickson, B. L. (2006). Regulation of Positive Emotions: Emotion Regulation Strategies that Promote Resilience. </w:t>
      </w:r>
      <w:r w:rsidRPr="0013016F">
        <w:rPr>
          <w:i/>
          <w:iCs/>
          <w:noProof/>
        </w:rPr>
        <w:t>Journal of Happiness Studies</w:t>
      </w:r>
      <w:r w:rsidRPr="0013016F">
        <w:rPr>
          <w:noProof/>
        </w:rPr>
        <w:t xml:space="preserve">, </w:t>
      </w:r>
      <w:r w:rsidRPr="0013016F">
        <w:rPr>
          <w:i/>
          <w:iCs/>
          <w:noProof/>
        </w:rPr>
        <w:t>8</w:t>
      </w:r>
      <w:r w:rsidRPr="0013016F">
        <w:rPr>
          <w:noProof/>
        </w:rPr>
        <w:t>(3), 311–333. doi:10.1007/s10902-006-9015-4</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Verkuil, B., Brosschot, J., Gebhardt, W., &amp; Thayer, J. (2010). When worries make you sick: A review of perseverative cognition, the default stress response and somatic health. </w:t>
      </w:r>
      <w:r w:rsidRPr="0013016F">
        <w:rPr>
          <w:i/>
          <w:iCs/>
          <w:noProof/>
        </w:rPr>
        <w:t>Journal of Experimental Psychopathology</w:t>
      </w:r>
      <w:r w:rsidRPr="0013016F">
        <w:rPr>
          <w:noProof/>
        </w:rPr>
        <w:t xml:space="preserve">, </w:t>
      </w:r>
      <w:r w:rsidRPr="0013016F">
        <w:rPr>
          <w:i/>
          <w:iCs/>
          <w:noProof/>
        </w:rPr>
        <w:t>1</w:t>
      </w:r>
      <w:r w:rsidRPr="0013016F">
        <w:rPr>
          <w:noProof/>
        </w:rPr>
        <w:t>(1), 87–118. doi:10.5127/jep.009110</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t xml:space="preserve">Volokhov, R. N., &amp; Demaree, H. a. (2010). Spontaneous emotion regulation to positive and negative stimuli. </w:t>
      </w:r>
      <w:r w:rsidRPr="0013016F">
        <w:rPr>
          <w:i/>
          <w:iCs/>
          <w:noProof/>
        </w:rPr>
        <w:t>Brain and Cognition</w:t>
      </w:r>
      <w:r w:rsidRPr="0013016F">
        <w:rPr>
          <w:noProof/>
        </w:rPr>
        <w:t xml:space="preserve">, </w:t>
      </w:r>
      <w:r w:rsidRPr="0013016F">
        <w:rPr>
          <w:i/>
          <w:iCs/>
          <w:noProof/>
        </w:rPr>
        <w:t>73</w:t>
      </w:r>
      <w:r w:rsidRPr="0013016F">
        <w:rPr>
          <w:noProof/>
        </w:rPr>
        <w:t>(1), 1–6. doi:10.1016/j.bandc.2009.10.015</w:t>
      </w:r>
    </w:p>
    <w:p w:rsidR="00BE051A" w:rsidRPr="0013016F" w:rsidRDefault="00BE051A" w:rsidP="005E0D86">
      <w:pPr>
        <w:pStyle w:val="NormalWeb"/>
        <w:spacing w:before="0" w:beforeAutospacing="0" w:after="0" w:afterAutospacing="0" w:line="480" w:lineRule="auto"/>
        <w:ind w:left="480" w:hanging="480"/>
        <w:divId w:val="970940688"/>
        <w:rPr>
          <w:noProof/>
        </w:rPr>
      </w:pPr>
      <w:r w:rsidRPr="0013016F">
        <w:rPr>
          <w:noProof/>
        </w:rPr>
        <w:lastRenderedPageBreak/>
        <w:t xml:space="preserve">Waugh, C. E., Thompson, R. J., &amp; Gotlib, I. H. (2011). Flexible emotional responsiveness in trait resilience. </w:t>
      </w:r>
      <w:r w:rsidRPr="0013016F">
        <w:rPr>
          <w:i/>
          <w:iCs/>
          <w:noProof/>
        </w:rPr>
        <w:t>Emotion</w:t>
      </w:r>
      <w:r w:rsidRPr="0013016F">
        <w:rPr>
          <w:noProof/>
        </w:rPr>
        <w:t xml:space="preserve">, </w:t>
      </w:r>
      <w:r w:rsidRPr="0013016F">
        <w:rPr>
          <w:i/>
          <w:iCs/>
          <w:noProof/>
        </w:rPr>
        <w:t>11</w:t>
      </w:r>
      <w:r w:rsidRPr="0013016F">
        <w:rPr>
          <w:noProof/>
        </w:rPr>
        <w:t>(5), 1059–67. doi:10.1037/a0021786</w:t>
      </w:r>
    </w:p>
    <w:p w:rsidR="00BE051A" w:rsidRPr="0013016F" w:rsidRDefault="00BE051A" w:rsidP="005E0D86">
      <w:pPr>
        <w:pStyle w:val="NormalWeb"/>
        <w:spacing w:before="0" w:beforeAutospacing="0" w:after="0" w:afterAutospacing="0" w:line="480" w:lineRule="auto"/>
        <w:ind w:left="480" w:hanging="480"/>
        <w:divId w:val="970940688"/>
        <w:rPr>
          <w:noProof/>
          <w:lang w:val="de-DE"/>
        </w:rPr>
      </w:pPr>
      <w:r w:rsidRPr="0013016F">
        <w:rPr>
          <w:noProof/>
        </w:rPr>
        <w:t xml:space="preserve">Whitmer, A. J., &amp; Banich, M. T. (2007). Inhibition Versus Switching Deficits in Different Forms of Rumination. </w:t>
      </w:r>
      <w:r w:rsidRPr="0013016F">
        <w:rPr>
          <w:i/>
          <w:iCs/>
          <w:noProof/>
          <w:lang w:val="de-DE"/>
        </w:rPr>
        <w:t>Psychological Science</w:t>
      </w:r>
      <w:r w:rsidRPr="0013016F">
        <w:rPr>
          <w:noProof/>
          <w:lang w:val="de-DE"/>
        </w:rPr>
        <w:t xml:space="preserve">, </w:t>
      </w:r>
      <w:r w:rsidRPr="0013016F">
        <w:rPr>
          <w:i/>
          <w:iCs/>
          <w:noProof/>
          <w:lang w:val="de-DE"/>
        </w:rPr>
        <w:t>18</w:t>
      </w:r>
      <w:r w:rsidRPr="0013016F">
        <w:rPr>
          <w:noProof/>
          <w:lang w:val="de-DE"/>
        </w:rPr>
        <w:t>(6), 546–553.</w:t>
      </w:r>
      <w:r w:rsidR="007D6F88">
        <w:rPr>
          <w:noProof/>
          <w:lang w:val="de-DE"/>
        </w:rPr>
        <w:t xml:space="preserve"> doi:</w:t>
      </w:r>
      <w:r w:rsidR="007D6F88" w:rsidRPr="007D6F88">
        <w:rPr>
          <w:noProof/>
          <w:lang w:val="de-DE"/>
        </w:rPr>
        <w:t>10.1111/j.1467-9280.2007.01936.x</w:t>
      </w:r>
    </w:p>
    <w:p w:rsidR="004E575E" w:rsidRPr="0013016F" w:rsidRDefault="004E575E" w:rsidP="005E0D86">
      <w:pPr>
        <w:pStyle w:val="NormalWeb"/>
        <w:spacing w:before="0" w:beforeAutospacing="0" w:after="0" w:afterAutospacing="0" w:line="480" w:lineRule="auto"/>
        <w:ind w:left="480" w:hanging="480"/>
        <w:divId w:val="970940688"/>
        <w:rPr>
          <w:noProof/>
        </w:rPr>
      </w:pPr>
      <w:r w:rsidRPr="0013016F">
        <w:rPr>
          <w:noProof/>
          <w:lang w:val="de-DE"/>
        </w:rPr>
        <w:t xml:space="preserve">Wittchen, H. U., &amp; Pfister, H. (1997). </w:t>
      </w:r>
      <w:r w:rsidRPr="0013016F">
        <w:rPr>
          <w:i/>
          <w:noProof/>
          <w:lang w:val="de-DE"/>
        </w:rPr>
        <w:t>Diagnostisches Expertensystem für psychische Störungen (DIA-X).</w:t>
      </w:r>
      <w:r w:rsidRPr="0013016F">
        <w:rPr>
          <w:noProof/>
          <w:lang w:val="de-DE"/>
        </w:rPr>
        <w:t xml:space="preserve"> </w:t>
      </w:r>
      <w:r w:rsidR="00AA1F6F" w:rsidRPr="0013016F">
        <w:rPr>
          <w:noProof/>
        </w:rPr>
        <w:t>Frankfurt</w:t>
      </w:r>
      <w:r w:rsidR="008B45D8" w:rsidRPr="0013016F">
        <w:rPr>
          <w:noProof/>
        </w:rPr>
        <w:t>:</w:t>
      </w:r>
      <w:r w:rsidR="00AA1F6F" w:rsidRPr="0013016F">
        <w:rPr>
          <w:noProof/>
        </w:rPr>
        <w:t xml:space="preserve"> Swets &amp; Zeitlinger.</w:t>
      </w:r>
    </w:p>
    <w:p w:rsidR="00C60D1E" w:rsidRPr="0013016F" w:rsidRDefault="00AA1F6F" w:rsidP="005E0D86">
      <w:pPr>
        <w:widowControl/>
        <w:spacing w:line="480" w:lineRule="auto"/>
        <w:ind w:firstLine="720"/>
        <w:rPr>
          <w:rFonts w:cs="Times New Roman"/>
          <w:lang w:val="en-US"/>
        </w:rPr>
      </w:pPr>
      <w:r w:rsidRPr="0013016F">
        <w:rPr>
          <w:rFonts w:cs="Times New Roman"/>
          <w:lang w:val="en-US"/>
        </w:rPr>
        <w:fldChar w:fldCharType="end"/>
      </w:r>
    </w:p>
    <w:p w:rsidR="00354EA1" w:rsidRPr="0013016F" w:rsidRDefault="00354EA1" w:rsidP="00354EA1">
      <w:pPr>
        <w:spacing w:line="480" w:lineRule="auto"/>
        <w:rPr>
          <w:rFonts w:cs="Times New Roman"/>
          <w:lang w:val="en-US"/>
        </w:rPr>
      </w:pPr>
    </w:p>
    <w:p w:rsidR="00354EA1" w:rsidRPr="0013016F" w:rsidRDefault="00354EA1" w:rsidP="00354EA1">
      <w:pPr>
        <w:spacing w:line="480" w:lineRule="auto"/>
        <w:rPr>
          <w:rFonts w:cs="Times New Roman"/>
          <w:lang w:val="en-US"/>
        </w:rPr>
      </w:pPr>
    </w:p>
    <w:p w:rsidR="000E79AC" w:rsidRPr="005077AC" w:rsidRDefault="00AA1F6F">
      <w:pPr>
        <w:rPr>
          <w:rFonts w:eastAsia="Times New Roman" w:cs="Times New Roman"/>
          <w:b/>
          <w:kern w:val="0"/>
          <w:lang w:val="en-US" w:eastAsia="en-US" w:bidi="ar-SA"/>
        </w:rPr>
      </w:pPr>
      <w:r w:rsidRPr="005077AC">
        <w:rPr>
          <w:rFonts w:eastAsia="Times New Roman" w:cs="Times New Roman"/>
          <w:b/>
          <w:kern w:val="0"/>
          <w:lang w:val="en-US" w:eastAsia="en-US" w:bidi="ar-SA"/>
        </w:rPr>
        <w:br w:type="page"/>
      </w:r>
    </w:p>
    <w:p w:rsidR="00F62DFC" w:rsidRPr="005077AC" w:rsidRDefault="00B93442" w:rsidP="008B45D8">
      <w:pPr>
        <w:jc w:val="center"/>
        <w:rPr>
          <w:rFonts w:eastAsia="Times New Roman" w:cs="Times New Roman"/>
          <w:b/>
          <w:kern w:val="0"/>
          <w:lang w:val="en-US" w:eastAsia="en-US" w:bidi="ar-SA"/>
        </w:rPr>
      </w:pPr>
      <w:r w:rsidRPr="005077AC">
        <w:rPr>
          <w:rFonts w:eastAsia="Times New Roman" w:cs="Times New Roman"/>
          <w:b/>
          <w:kern w:val="0"/>
          <w:lang w:val="en-US" w:eastAsia="en-US" w:bidi="ar-SA"/>
        </w:rPr>
        <w:lastRenderedPageBreak/>
        <w:t>Footnotes</w:t>
      </w:r>
    </w:p>
    <w:p w:rsidR="00B93442" w:rsidRPr="005077AC" w:rsidRDefault="00B93442" w:rsidP="00B93442">
      <w:pPr>
        <w:rPr>
          <w:rFonts w:eastAsia="Times New Roman" w:cs="Times New Roman"/>
          <w:b/>
          <w:kern w:val="0"/>
          <w:lang w:val="en-US" w:eastAsia="en-US" w:bidi="ar-SA"/>
        </w:rPr>
      </w:pPr>
    </w:p>
    <w:p w:rsidR="00BF7147" w:rsidRPr="005077AC" w:rsidRDefault="00E50427" w:rsidP="007D6F88">
      <w:pPr>
        <w:spacing w:line="480" w:lineRule="auto"/>
        <w:ind w:firstLine="720"/>
        <w:rPr>
          <w:rFonts w:eastAsia="Times New Roman" w:cs="Times New Roman"/>
          <w:kern w:val="0"/>
          <w:lang w:val="en-US" w:eastAsia="en-US" w:bidi="ar-SA"/>
        </w:rPr>
      </w:pPr>
      <w:r w:rsidRPr="005077AC">
        <w:rPr>
          <w:rFonts w:eastAsia="Times New Roman" w:cs="Times New Roman"/>
          <w:vertAlign w:val="superscript"/>
          <w:lang w:val="en-US"/>
        </w:rPr>
        <w:t xml:space="preserve">1 </w:t>
      </w:r>
      <w:r w:rsidRPr="005077AC">
        <w:rPr>
          <w:rFonts w:eastAsia="Times New Roman" w:cs="Times New Roman"/>
          <w:lang w:val="en-US"/>
        </w:rPr>
        <w:t>We did, however, include 9 participants who took medication to reduce high blood-pressure, as well as 23 who took thyroid medication, 1 who took insulin, 1 who took medication to treat inflammatory bowel disease, 1 who took medication to reduce stomach acid secretion, 28 women who took oral contraceptives, 8 who said they regularly used pain killers, and 4 participants who took antihistamines regularly. Except for the blood-pressure medicine, the groups of participants who took any of the other medicine did not differ from the rest of the participants on the mean of the dependent variables. The nine participants who took blood-pressure medicine had a significantly lower mean Skin Conductance Level (M = -.05, SD = 1.79, F(1,298) = 6.64, p = .011) than the other participants (M = .88, SD = 1.04). Excluding the nine participants did not change the general pattern of results (see supplementary materials)</w:t>
      </w:r>
      <w:r w:rsidR="00AA1F6F" w:rsidRPr="005077AC">
        <w:rPr>
          <w:rFonts w:eastAsia="Times New Roman" w:cs="Times New Roman"/>
          <w:lang w:val="en-US"/>
        </w:rPr>
        <w:t>.</w:t>
      </w:r>
    </w:p>
    <w:p w:rsidR="00F62DFC" w:rsidRPr="005077AC" w:rsidRDefault="00BF7147" w:rsidP="005E0D86">
      <w:pPr>
        <w:pStyle w:val="CommentText"/>
        <w:spacing w:line="480" w:lineRule="auto"/>
        <w:ind w:firstLine="720"/>
        <w:rPr>
          <w:rFonts w:eastAsia="Times New Roman" w:cs="Times New Roman"/>
          <w:kern w:val="0"/>
          <w:lang w:val="en-US" w:eastAsia="en-US" w:bidi="ar-SA"/>
        </w:rPr>
      </w:pPr>
      <w:r w:rsidRPr="005077AC">
        <w:rPr>
          <w:rFonts w:eastAsia="Times New Roman" w:cs="Times New Roman"/>
          <w:kern w:val="0"/>
          <w:vertAlign w:val="superscript"/>
          <w:lang w:val="en-US" w:eastAsia="en-US" w:bidi="ar-SA"/>
        </w:rPr>
        <w:t xml:space="preserve">2 </w:t>
      </w:r>
      <w:r w:rsidR="00E50427" w:rsidRPr="005077AC">
        <w:rPr>
          <w:rFonts w:eastAsia="Times New Roman" w:cs="Times New Roman"/>
          <w:sz w:val="24"/>
          <w:szCs w:val="24"/>
          <w:lang w:val="en-US"/>
        </w:rPr>
        <w:t>The participants who reported a phobia of heights and, as a consequence, experienced a version of the world without the collapsing floor, did not statistically differ from the other participants on the average dependent variables. The spider phobic participants who experienced a spider-free version of the world had a significantly higher mean subjective arousal rating (M = .66, SD = .11, F(1,298) = 7.81, p = .006) than the participants who carried out the spider version (M = .54, SD = .17). Excluding the participants who had the spider-free version did not change the results reported here (see supplementary materials)</w:t>
      </w:r>
      <w:r w:rsidR="00AA1F6F" w:rsidRPr="005077AC">
        <w:rPr>
          <w:rFonts w:eastAsia="Times New Roman" w:cs="Times New Roman"/>
          <w:sz w:val="24"/>
          <w:szCs w:val="24"/>
          <w:lang w:val="en-US"/>
        </w:rPr>
        <w:t>.</w:t>
      </w:r>
      <w:r w:rsidR="00AA1F6F" w:rsidRPr="005077AC">
        <w:rPr>
          <w:rFonts w:eastAsia="Times New Roman" w:cs="Times New Roman"/>
          <w:kern w:val="0"/>
          <w:sz w:val="24"/>
          <w:szCs w:val="24"/>
          <w:lang w:val="en-US" w:eastAsia="en-US" w:bidi="ar-SA"/>
        </w:rPr>
        <w:t xml:space="preserve"> </w:t>
      </w:r>
    </w:p>
    <w:p w:rsidR="00B04DD4" w:rsidRPr="0013016F" w:rsidRDefault="00F16ECB" w:rsidP="00B04DD4">
      <w:pPr>
        <w:widowControl/>
        <w:suppressAutoHyphens w:val="0"/>
        <w:autoSpaceDN/>
        <w:spacing w:after="200" w:line="480" w:lineRule="auto"/>
        <w:ind w:firstLine="720"/>
        <w:jc w:val="center"/>
        <w:textAlignment w:val="auto"/>
        <w:rPr>
          <w:rFonts w:cs="Times New Roman"/>
          <w:b/>
          <w:lang w:val="en-US"/>
        </w:rPr>
      </w:pPr>
      <w:r w:rsidRPr="005077AC">
        <w:rPr>
          <w:rFonts w:eastAsia="Times New Roman" w:cs="Times New Roman"/>
          <w:kern w:val="0"/>
          <w:lang w:val="en-US" w:eastAsia="en-US" w:bidi="ar-SA"/>
        </w:rPr>
        <w:br w:type="page"/>
      </w:r>
      <w:r w:rsidR="00B04DD4" w:rsidRPr="00C030D9">
        <w:rPr>
          <w:rFonts w:eastAsia="Times New Roman" w:cs="Times New Roman"/>
          <w:b/>
          <w:kern w:val="0"/>
          <w:lang w:val="en-US" w:eastAsia="en-US" w:bidi="ar-SA"/>
        </w:rPr>
        <w:lastRenderedPageBreak/>
        <w:t>Tables</w:t>
      </w:r>
    </w:p>
    <w:tbl>
      <w:tblPr>
        <w:tblW w:w="0" w:type="auto"/>
        <w:tblLayout w:type="fixed"/>
        <w:tblLook w:val="04A0" w:firstRow="1" w:lastRow="0" w:firstColumn="1" w:lastColumn="0" w:noHBand="0" w:noVBand="1"/>
      </w:tblPr>
      <w:tblGrid>
        <w:gridCol w:w="9576"/>
      </w:tblGrid>
      <w:tr w:rsidR="00B04DD4" w:rsidRPr="00C030D9" w:rsidTr="00B822DE">
        <w:tc>
          <w:tcPr>
            <w:tcW w:w="9576" w:type="dxa"/>
            <w:shd w:val="clear" w:color="auto" w:fill="auto"/>
          </w:tcPr>
          <w:p w:rsidR="00B04DD4" w:rsidRPr="00C030D9" w:rsidRDefault="00B04DD4" w:rsidP="00B822DE">
            <w:pPr>
              <w:pStyle w:val="Standard1"/>
              <w:spacing w:line="480" w:lineRule="auto"/>
              <w:rPr>
                <w:rFonts w:cs="Times New Roman"/>
                <w:b/>
                <w:lang w:val="en-US"/>
              </w:rPr>
            </w:pPr>
            <w:r w:rsidRPr="00C030D9">
              <w:rPr>
                <w:rFonts w:cs="Times New Roman"/>
                <w:lang w:val="en-US"/>
              </w:rPr>
              <w:t xml:space="preserve">Table 1. </w:t>
            </w:r>
            <w:r w:rsidRPr="00C030D9">
              <w:rPr>
                <w:rFonts w:cs="Times New Roman"/>
                <w:lang w:val="en-US"/>
              </w:rPr>
              <w:br/>
            </w:r>
            <w:r w:rsidRPr="00C030D9">
              <w:rPr>
                <w:rFonts w:cs="Times New Roman"/>
                <w:i/>
                <w:lang w:val="en-US"/>
              </w:rPr>
              <w:t>Mean and standard deviations of the reaction times on the different trial types of the Task Switching Task.</w:t>
            </w:r>
          </w:p>
        </w:tc>
      </w:tr>
      <w:tr w:rsidR="00B04DD4" w:rsidRPr="0013016F" w:rsidTr="00B822DE">
        <w:tc>
          <w:tcPr>
            <w:tcW w:w="9576" w:type="dxa"/>
            <w:shd w:val="clear" w:color="auto" w:fill="auto"/>
          </w:tcPr>
          <w:tbl>
            <w:tblPr>
              <w:tblpPr w:leftFromText="180" w:rightFromText="180" w:vertAnchor="text" w:horzAnchor="margin" w:tblpY="143"/>
              <w:tblW w:w="9498" w:type="dxa"/>
              <w:tblBorders>
                <w:top w:val="single" w:sz="4" w:space="0" w:color="auto"/>
                <w:bottom w:val="single" w:sz="4" w:space="0" w:color="auto"/>
              </w:tblBorders>
              <w:tblLayout w:type="fixed"/>
              <w:tblLook w:val="04A0" w:firstRow="1" w:lastRow="0" w:firstColumn="1" w:lastColumn="0" w:noHBand="0" w:noVBand="1"/>
            </w:tblPr>
            <w:tblGrid>
              <w:gridCol w:w="602"/>
              <w:gridCol w:w="988"/>
              <w:gridCol w:w="988"/>
              <w:gridCol w:w="989"/>
              <w:gridCol w:w="988"/>
              <w:gridCol w:w="989"/>
              <w:gridCol w:w="988"/>
              <w:gridCol w:w="989"/>
              <w:gridCol w:w="988"/>
              <w:gridCol w:w="989"/>
            </w:tblGrid>
            <w:tr w:rsidR="00B04DD4" w:rsidRPr="0013016F" w:rsidTr="00B04DD4">
              <w:trPr>
                <w:trHeight w:val="255"/>
              </w:trPr>
              <w:tc>
                <w:tcPr>
                  <w:tcW w:w="602" w:type="dxa"/>
                  <w:tcBorders>
                    <w:top w:val="single" w:sz="12" w:space="0" w:color="auto"/>
                  </w:tcBorders>
                  <w:shd w:val="clear" w:color="auto" w:fill="auto"/>
                </w:tcPr>
                <w:p w:rsidR="00B04DD4" w:rsidRPr="00C030D9" w:rsidRDefault="00B04DD4" w:rsidP="005E0D86">
                  <w:pPr>
                    <w:keepNext/>
                    <w:rPr>
                      <w:rFonts w:cs="Times New Roman"/>
                      <w:sz w:val="20"/>
                      <w:szCs w:val="20"/>
                      <w:lang w:val="en-US"/>
                    </w:rPr>
                  </w:pPr>
                </w:p>
              </w:tc>
              <w:tc>
                <w:tcPr>
                  <w:tcW w:w="988"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 xml:space="preserve">Val </w:t>
                  </w:r>
                </w:p>
                <w:p w:rsidR="00B04DD4" w:rsidRPr="00C030D9" w:rsidRDefault="00B04DD4" w:rsidP="005E0D86">
                  <w:pPr>
                    <w:keepNext/>
                    <w:rPr>
                      <w:rFonts w:cs="Times New Roman"/>
                      <w:sz w:val="20"/>
                      <w:szCs w:val="20"/>
                    </w:rPr>
                  </w:pPr>
                  <w:r w:rsidRPr="00C030D9">
                    <w:rPr>
                      <w:rFonts w:cs="Times New Roman"/>
                      <w:sz w:val="20"/>
                      <w:szCs w:val="20"/>
                    </w:rPr>
                    <w:t>repeat</w:t>
                  </w:r>
                </w:p>
              </w:tc>
              <w:tc>
                <w:tcPr>
                  <w:tcW w:w="988"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 xml:space="preserve">Col </w:t>
                  </w:r>
                </w:p>
                <w:p w:rsidR="00B04DD4" w:rsidRPr="00C030D9" w:rsidRDefault="00B04DD4" w:rsidP="005E0D86">
                  <w:pPr>
                    <w:keepNext/>
                    <w:rPr>
                      <w:rFonts w:cs="Times New Roman"/>
                      <w:sz w:val="20"/>
                      <w:szCs w:val="20"/>
                    </w:rPr>
                  </w:pPr>
                  <w:r w:rsidRPr="00C030D9">
                    <w:rPr>
                      <w:rFonts w:cs="Times New Roman"/>
                      <w:sz w:val="20"/>
                      <w:szCs w:val="20"/>
                    </w:rPr>
                    <w:t>repeat</w:t>
                  </w:r>
                </w:p>
              </w:tc>
              <w:tc>
                <w:tcPr>
                  <w:tcW w:w="989"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 xml:space="preserve">Gra </w:t>
                  </w:r>
                </w:p>
                <w:p w:rsidR="00B04DD4" w:rsidRPr="00C030D9" w:rsidRDefault="00B04DD4" w:rsidP="005E0D86">
                  <w:pPr>
                    <w:keepNext/>
                    <w:rPr>
                      <w:rFonts w:cs="Times New Roman"/>
                      <w:sz w:val="20"/>
                      <w:szCs w:val="20"/>
                    </w:rPr>
                  </w:pPr>
                  <w:r w:rsidRPr="00C030D9">
                    <w:rPr>
                      <w:rFonts w:cs="Times New Roman"/>
                      <w:sz w:val="20"/>
                      <w:szCs w:val="20"/>
                    </w:rPr>
                    <w:t>repeat</w:t>
                  </w:r>
                </w:p>
              </w:tc>
              <w:tc>
                <w:tcPr>
                  <w:tcW w:w="988"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Col to Val</w:t>
                  </w:r>
                </w:p>
              </w:tc>
              <w:tc>
                <w:tcPr>
                  <w:tcW w:w="989"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Gra to Val</w:t>
                  </w:r>
                </w:p>
              </w:tc>
              <w:tc>
                <w:tcPr>
                  <w:tcW w:w="988"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Val to Col</w:t>
                  </w:r>
                </w:p>
              </w:tc>
              <w:tc>
                <w:tcPr>
                  <w:tcW w:w="989"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Gra to Col</w:t>
                  </w:r>
                </w:p>
              </w:tc>
              <w:tc>
                <w:tcPr>
                  <w:tcW w:w="988"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Val to Gra</w:t>
                  </w:r>
                </w:p>
              </w:tc>
              <w:tc>
                <w:tcPr>
                  <w:tcW w:w="989" w:type="dxa"/>
                  <w:tcBorders>
                    <w:top w:val="single" w:sz="12" w:space="0" w:color="auto"/>
                    <w:bottom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Col to Gra</w:t>
                  </w:r>
                </w:p>
              </w:tc>
            </w:tr>
            <w:tr w:rsidR="00B04DD4" w:rsidRPr="0013016F" w:rsidTr="00B04DD4">
              <w:trPr>
                <w:trHeight w:val="255"/>
              </w:trPr>
              <w:tc>
                <w:tcPr>
                  <w:tcW w:w="602" w:type="dxa"/>
                  <w:shd w:val="clear" w:color="auto" w:fill="auto"/>
                </w:tcPr>
                <w:p w:rsidR="00B04DD4" w:rsidRPr="007D6F88" w:rsidRDefault="00B04DD4" w:rsidP="005E0D86">
                  <w:pPr>
                    <w:keepNext/>
                    <w:rPr>
                      <w:rFonts w:cs="Times New Roman"/>
                      <w:i/>
                      <w:sz w:val="20"/>
                      <w:szCs w:val="20"/>
                    </w:rPr>
                  </w:pPr>
                  <w:r w:rsidRPr="007D6F88">
                    <w:rPr>
                      <w:rFonts w:cs="Times New Roman"/>
                      <w:i/>
                      <w:sz w:val="20"/>
                      <w:szCs w:val="20"/>
                    </w:rPr>
                    <w:t>M</w:t>
                  </w:r>
                </w:p>
              </w:tc>
              <w:tc>
                <w:tcPr>
                  <w:tcW w:w="988"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1473.76</w:t>
                  </w:r>
                </w:p>
              </w:tc>
              <w:tc>
                <w:tcPr>
                  <w:tcW w:w="988"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1706.94</w:t>
                  </w:r>
                </w:p>
              </w:tc>
              <w:tc>
                <w:tcPr>
                  <w:tcW w:w="989"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1628.52</w:t>
                  </w:r>
                </w:p>
              </w:tc>
              <w:tc>
                <w:tcPr>
                  <w:tcW w:w="988"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1683.67</w:t>
                  </w:r>
                </w:p>
              </w:tc>
              <w:tc>
                <w:tcPr>
                  <w:tcW w:w="989"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1690.22</w:t>
                  </w:r>
                </w:p>
              </w:tc>
              <w:tc>
                <w:tcPr>
                  <w:tcW w:w="988"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2089.53</w:t>
                  </w:r>
                </w:p>
              </w:tc>
              <w:tc>
                <w:tcPr>
                  <w:tcW w:w="989"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2080.65</w:t>
                  </w:r>
                </w:p>
              </w:tc>
              <w:tc>
                <w:tcPr>
                  <w:tcW w:w="988"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2106.97</w:t>
                  </w:r>
                </w:p>
              </w:tc>
              <w:tc>
                <w:tcPr>
                  <w:tcW w:w="989" w:type="dxa"/>
                  <w:tcBorders>
                    <w:top w:val="single" w:sz="4"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2139.12</w:t>
                  </w:r>
                </w:p>
              </w:tc>
            </w:tr>
            <w:tr w:rsidR="00B04DD4" w:rsidRPr="0013016F" w:rsidTr="00B04DD4">
              <w:trPr>
                <w:trHeight w:val="255"/>
              </w:trPr>
              <w:tc>
                <w:tcPr>
                  <w:tcW w:w="602" w:type="dxa"/>
                  <w:tcBorders>
                    <w:bottom w:val="single" w:sz="12" w:space="0" w:color="auto"/>
                  </w:tcBorders>
                  <w:shd w:val="clear" w:color="auto" w:fill="auto"/>
                </w:tcPr>
                <w:p w:rsidR="00B04DD4" w:rsidRPr="007D6F88" w:rsidRDefault="00B04DD4" w:rsidP="005E0D86">
                  <w:pPr>
                    <w:keepNext/>
                    <w:rPr>
                      <w:rFonts w:cs="Times New Roman"/>
                      <w:i/>
                      <w:sz w:val="20"/>
                      <w:szCs w:val="20"/>
                    </w:rPr>
                  </w:pPr>
                  <w:r w:rsidRPr="007D6F88">
                    <w:rPr>
                      <w:rFonts w:cs="Times New Roman"/>
                      <w:i/>
                      <w:sz w:val="20"/>
                      <w:szCs w:val="20"/>
                    </w:rPr>
                    <w:t>SD</w:t>
                  </w:r>
                </w:p>
              </w:tc>
              <w:tc>
                <w:tcPr>
                  <w:tcW w:w="988"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311.91</w:t>
                  </w:r>
                </w:p>
              </w:tc>
              <w:tc>
                <w:tcPr>
                  <w:tcW w:w="988"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422.10</w:t>
                  </w:r>
                </w:p>
              </w:tc>
              <w:tc>
                <w:tcPr>
                  <w:tcW w:w="989"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403.87</w:t>
                  </w:r>
                </w:p>
              </w:tc>
              <w:tc>
                <w:tcPr>
                  <w:tcW w:w="988"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347.25</w:t>
                  </w:r>
                </w:p>
              </w:tc>
              <w:tc>
                <w:tcPr>
                  <w:tcW w:w="989"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340.10</w:t>
                  </w:r>
                </w:p>
              </w:tc>
              <w:tc>
                <w:tcPr>
                  <w:tcW w:w="988"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421.18</w:t>
                  </w:r>
                </w:p>
              </w:tc>
              <w:tc>
                <w:tcPr>
                  <w:tcW w:w="989"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421.12</w:t>
                  </w:r>
                </w:p>
              </w:tc>
              <w:tc>
                <w:tcPr>
                  <w:tcW w:w="988"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493.72</w:t>
                  </w:r>
                </w:p>
              </w:tc>
              <w:tc>
                <w:tcPr>
                  <w:tcW w:w="989" w:type="dxa"/>
                  <w:tcBorders>
                    <w:bottom w:val="single" w:sz="12" w:space="0" w:color="auto"/>
                  </w:tcBorders>
                  <w:shd w:val="clear" w:color="auto" w:fill="auto"/>
                </w:tcPr>
                <w:p w:rsidR="00B04DD4" w:rsidRPr="00C030D9" w:rsidRDefault="00B04DD4" w:rsidP="005E0D86">
                  <w:pPr>
                    <w:keepNext/>
                    <w:rPr>
                      <w:rFonts w:cs="Times New Roman"/>
                      <w:sz w:val="20"/>
                      <w:szCs w:val="20"/>
                    </w:rPr>
                  </w:pPr>
                  <w:r w:rsidRPr="00C030D9">
                    <w:rPr>
                      <w:rFonts w:cs="Times New Roman"/>
                      <w:sz w:val="20"/>
                      <w:szCs w:val="20"/>
                    </w:rPr>
                    <w:t>489.53</w:t>
                  </w:r>
                </w:p>
              </w:tc>
            </w:tr>
            <w:tr w:rsidR="00B04DD4" w:rsidTr="00B04DD4">
              <w:tblPrEx>
                <w:tblBorders>
                  <w:top w:val="single" w:sz="8" w:space="0" w:color="auto"/>
                  <w:bottom w:val="none" w:sz="0" w:space="0" w:color="auto"/>
                </w:tblBorders>
                <w:tblLook w:val="0000" w:firstRow="0" w:lastRow="0" w:firstColumn="0" w:lastColumn="0" w:noHBand="0" w:noVBand="0"/>
              </w:tblPrEx>
              <w:trPr>
                <w:trHeight w:val="100"/>
              </w:trPr>
              <w:tc>
                <w:tcPr>
                  <w:tcW w:w="9498" w:type="dxa"/>
                  <w:gridSpan w:val="10"/>
                  <w:tcBorders>
                    <w:top w:val="single" w:sz="12" w:space="0" w:color="auto"/>
                  </w:tcBorders>
                </w:tcPr>
                <w:p w:rsidR="00B04DD4" w:rsidRDefault="00B04DD4" w:rsidP="005E0D86">
                  <w:pPr>
                    <w:pStyle w:val="Standard1"/>
                    <w:spacing w:line="240" w:lineRule="auto"/>
                    <w:jc w:val="center"/>
                    <w:rPr>
                      <w:rFonts w:cs="Times New Roman"/>
                      <w:b/>
                    </w:rPr>
                  </w:pPr>
                </w:p>
              </w:tc>
            </w:tr>
          </w:tbl>
          <w:p w:rsidR="00B04DD4" w:rsidRPr="00C030D9" w:rsidRDefault="00B04DD4" w:rsidP="005E0D86">
            <w:pPr>
              <w:pStyle w:val="Standard1"/>
              <w:spacing w:line="240" w:lineRule="auto"/>
              <w:jc w:val="center"/>
              <w:rPr>
                <w:rFonts w:cs="Times New Roman"/>
                <w:b/>
              </w:rPr>
            </w:pPr>
          </w:p>
        </w:tc>
      </w:tr>
    </w:tbl>
    <w:p w:rsidR="00B04DD4" w:rsidRPr="0013016F" w:rsidRDefault="00B04DD4" w:rsidP="00B04DD4">
      <w:pPr>
        <w:spacing w:line="480" w:lineRule="auto"/>
        <w:rPr>
          <w:rFonts w:cs="Times New Roman"/>
        </w:rPr>
      </w:pPr>
      <w:r w:rsidRPr="0013016F">
        <w:rPr>
          <w:rFonts w:cs="Times New Roman"/>
        </w:rPr>
        <w:br w:type="page"/>
      </w:r>
    </w:p>
    <w:tbl>
      <w:tblPr>
        <w:tblW w:w="0" w:type="auto"/>
        <w:tblLayout w:type="fixed"/>
        <w:tblLook w:val="04A0" w:firstRow="1" w:lastRow="0" w:firstColumn="1" w:lastColumn="0" w:noHBand="0" w:noVBand="1"/>
      </w:tblPr>
      <w:tblGrid>
        <w:gridCol w:w="9576"/>
      </w:tblGrid>
      <w:tr w:rsidR="00B04DD4" w:rsidRPr="00C030D9" w:rsidTr="00B822DE">
        <w:tc>
          <w:tcPr>
            <w:tcW w:w="9576" w:type="dxa"/>
            <w:shd w:val="clear" w:color="auto" w:fill="auto"/>
          </w:tcPr>
          <w:p w:rsidR="00B04DD4" w:rsidRPr="00C030D9" w:rsidRDefault="00B04DD4" w:rsidP="00B822DE">
            <w:pPr>
              <w:keepNext/>
              <w:spacing w:line="480" w:lineRule="auto"/>
              <w:rPr>
                <w:rFonts w:cs="Times New Roman"/>
                <w:lang w:val="en-US"/>
              </w:rPr>
            </w:pPr>
          </w:p>
          <w:p w:rsidR="00B04DD4" w:rsidRPr="00C030D9" w:rsidRDefault="00B04DD4" w:rsidP="00B822DE">
            <w:pPr>
              <w:keepNext/>
              <w:spacing w:line="480" w:lineRule="auto"/>
              <w:rPr>
                <w:rFonts w:cs="Times New Roman"/>
                <w:lang w:val="en-US"/>
              </w:rPr>
            </w:pPr>
            <w:r w:rsidRPr="00C030D9">
              <w:rPr>
                <w:rFonts w:cs="Times New Roman"/>
                <w:lang w:val="en-US"/>
              </w:rPr>
              <w:t xml:space="preserve">Table 2. </w:t>
            </w:r>
            <w:r w:rsidRPr="00C030D9">
              <w:rPr>
                <w:rFonts w:cs="Times New Roman"/>
                <w:lang w:val="en-US"/>
              </w:rPr>
              <w:br/>
            </w:r>
            <w:r w:rsidRPr="00C030D9">
              <w:rPr>
                <w:rFonts w:cs="Times New Roman"/>
                <w:i/>
                <w:lang w:val="en-US"/>
              </w:rPr>
              <w:t>Descriptive statistics and intercorrelations of the independent variables.</w:t>
            </w:r>
          </w:p>
        </w:tc>
      </w:tr>
      <w:tr w:rsidR="00B04DD4" w:rsidRPr="0013016F" w:rsidTr="00B822DE">
        <w:tc>
          <w:tcPr>
            <w:tcW w:w="9576" w:type="dxa"/>
            <w:shd w:val="clear" w:color="auto" w:fill="auto"/>
          </w:tcPr>
          <w:tbl>
            <w:tblPr>
              <w:tblpPr w:leftFromText="180" w:rightFromText="180" w:vertAnchor="text" w:horzAnchor="page" w:tblpX="613" w:tblpY="91"/>
              <w:tblW w:w="9589" w:type="dxa"/>
              <w:tblBorders>
                <w:top w:val="single" w:sz="4" w:space="0" w:color="auto"/>
                <w:bottom w:val="single" w:sz="4" w:space="0" w:color="auto"/>
              </w:tblBorders>
              <w:tblLayout w:type="fixed"/>
              <w:tblLook w:val="04A0" w:firstRow="1" w:lastRow="0" w:firstColumn="1" w:lastColumn="0" w:noHBand="0" w:noVBand="1"/>
            </w:tblPr>
            <w:tblGrid>
              <w:gridCol w:w="1783"/>
              <w:gridCol w:w="911"/>
              <w:gridCol w:w="850"/>
              <w:gridCol w:w="851"/>
              <w:gridCol w:w="737"/>
              <w:gridCol w:w="993"/>
              <w:gridCol w:w="992"/>
              <w:gridCol w:w="740"/>
              <w:gridCol w:w="961"/>
              <w:gridCol w:w="771"/>
            </w:tblGrid>
            <w:tr w:rsidR="00B04DD4" w:rsidRPr="0013016F" w:rsidTr="00B04DD4">
              <w:trPr>
                <w:trHeight w:val="300"/>
              </w:trPr>
              <w:tc>
                <w:tcPr>
                  <w:tcW w:w="1783" w:type="dxa"/>
                  <w:tcBorders>
                    <w:top w:val="single" w:sz="12" w:space="0" w:color="auto"/>
                    <w:bottom w:val="single" w:sz="8" w:space="0" w:color="auto"/>
                  </w:tcBorders>
                </w:tcPr>
                <w:p w:rsidR="00B04DD4" w:rsidRPr="005E0D86" w:rsidRDefault="00B04DD4" w:rsidP="005E0D86">
                  <w:pPr>
                    <w:rPr>
                      <w:rFonts w:eastAsia="Times New Roman" w:cs="Times New Roman"/>
                      <w:color w:val="000000"/>
                      <w:lang w:val="en-US"/>
                    </w:rPr>
                  </w:pPr>
                  <w:r w:rsidRPr="005E0D86">
                    <w:rPr>
                      <w:rFonts w:eastAsia="Times New Roman" w:cs="Times New Roman"/>
                      <w:color w:val="000000"/>
                      <w:lang w:val="en-US"/>
                    </w:rPr>
                    <w:t>Measure</w:t>
                  </w:r>
                </w:p>
              </w:tc>
              <w:tc>
                <w:tcPr>
                  <w:tcW w:w="911" w:type="dxa"/>
                  <w:tcBorders>
                    <w:top w:val="single" w:sz="12" w:space="0" w:color="auto"/>
                    <w:bottom w:val="single" w:sz="4" w:space="0" w:color="000000"/>
                  </w:tcBorders>
                </w:tcPr>
                <w:p w:rsidR="00B04DD4" w:rsidRPr="005E0D86" w:rsidRDefault="00B04DD4" w:rsidP="005E0D86">
                  <w:pPr>
                    <w:jc w:val="center"/>
                    <w:rPr>
                      <w:rFonts w:eastAsia="Times New Roman" w:cs="Times New Roman"/>
                      <w:i/>
                      <w:color w:val="000000"/>
                    </w:rPr>
                  </w:pPr>
                  <w:r w:rsidRPr="005E0D86">
                    <w:rPr>
                      <w:rFonts w:eastAsia="Times New Roman" w:cs="Times New Roman"/>
                      <w:i/>
                      <w:color w:val="000000"/>
                    </w:rPr>
                    <w:t>M</w:t>
                  </w:r>
                </w:p>
              </w:tc>
              <w:tc>
                <w:tcPr>
                  <w:tcW w:w="850" w:type="dxa"/>
                  <w:tcBorders>
                    <w:top w:val="single" w:sz="12" w:space="0" w:color="auto"/>
                    <w:bottom w:val="single" w:sz="4" w:space="0" w:color="000000"/>
                  </w:tcBorders>
                </w:tcPr>
                <w:p w:rsidR="00B04DD4" w:rsidRPr="005E0D86" w:rsidRDefault="00B04DD4" w:rsidP="005E0D86">
                  <w:pPr>
                    <w:jc w:val="center"/>
                    <w:rPr>
                      <w:rFonts w:eastAsia="Times New Roman" w:cs="Times New Roman"/>
                      <w:i/>
                      <w:color w:val="000000"/>
                      <w:lang w:val="en-US"/>
                    </w:rPr>
                  </w:pPr>
                  <w:r w:rsidRPr="005E0D86">
                    <w:rPr>
                      <w:rFonts w:eastAsia="Times New Roman" w:cs="Times New Roman"/>
                      <w:i/>
                      <w:color w:val="000000"/>
                      <w:lang w:val="en-US"/>
                    </w:rPr>
                    <w:t>SD</w:t>
                  </w:r>
                </w:p>
              </w:tc>
              <w:tc>
                <w:tcPr>
                  <w:tcW w:w="851" w:type="dxa"/>
                  <w:tcBorders>
                    <w:top w:val="single" w:sz="12" w:space="0" w:color="auto"/>
                    <w:bottom w:val="single" w:sz="4" w:space="0" w:color="auto"/>
                  </w:tcBorders>
                  <w:shd w:val="clear" w:color="auto" w:fill="auto"/>
                  <w:noWrap/>
                  <w:vAlign w:val="bottom"/>
                </w:tcPr>
                <w:p w:rsidR="00B04DD4" w:rsidRPr="005E0D86" w:rsidRDefault="00B04DD4" w:rsidP="005E0D86">
                  <w:pPr>
                    <w:jc w:val="center"/>
                    <w:rPr>
                      <w:rFonts w:eastAsia="Times New Roman" w:cs="Times New Roman"/>
                      <w:color w:val="000000"/>
                      <w:lang w:val="en-US"/>
                    </w:rPr>
                  </w:pPr>
                  <w:r w:rsidRPr="005E0D86">
                    <w:rPr>
                      <w:rFonts w:eastAsia="Times New Roman" w:cs="Times New Roman"/>
                      <w:color w:val="000000"/>
                      <w:lang w:val="en-US"/>
                    </w:rPr>
                    <w:t>1.</w:t>
                  </w:r>
                </w:p>
              </w:tc>
              <w:tc>
                <w:tcPr>
                  <w:tcW w:w="737" w:type="dxa"/>
                  <w:tcBorders>
                    <w:top w:val="single" w:sz="12" w:space="0" w:color="auto"/>
                    <w:bottom w:val="single" w:sz="4" w:space="0" w:color="auto"/>
                  </w:tcBorders>
                  <w:shd w:val="clear" w:color="auto" w:fill="auto"/>
                  <w:noWrap/>
                  <w:vAlign w:val="bottom"/>
                </w:tcPr>
                <w:p w:rsidR="00B04DD4" w:rsidRPr="005E0D86" w:rsidRDefault="00B04DD4" w:rsidP="005E0D86">
                  <w:pPr>
                    <w:jc w:val="center"/>
                    <w:rPr>
                      <w:rFonts w:eastAsia="Times New Roman" w:cs="Times New Roman"/>
                      <w:color w:val="000000"/>
                      <w:lang w:val="en-US"/>
                    </w:rPr>
                  </w:pPr>
                  <w:r w:rsidRPr="005E0D86">
                    <w:rPr>
                      <w:rFonts w:eastAsia="Times New Roman" w:cs="Times New Roman"/>
                      <w:color w:val="000000"/>
                      <w:lang w:val="en-US"/>
                    </w:rPr>
                    <w:t>2.</w:t>
                  </w:r>
                </w:p>
              </w:tc>
              <w:tc>
                <w:tcPr>
                  <w:tcW w:w="993" w:type="dxa"/>
                  <w:tcBorders>
                    <w:top w:val="single" w:sz="12" w:space="0" w:color="auto"/>
                    <w:bottom w:val="single" w:sz="4" w:space="0" w:color="auto"/>
                  </w:tcBorders>
                  <w:shd w:val="clear" w:color="auto" w:fill="auto"/>
                  <w:noWrap/>
                  <w:vAlign w:val="bottom"/>
                </w:tcPr>
                <w:p w:rsidR="00B04DD4" w:rsidRPr="005E0D86" w:rsidRDefault="00B04DD4" w:rsidP="005E0D86">
                  <w:pPr>
                    <w:jc w:val="center"/>
                    <w:rPr>
                      <w:rFonts w:eastAsia="Times New Roman" w:cs="Times New Roman"/>
                      <w:color w:val="000000"/>
                      <w:lang w:val="en-US"/>
                    </w:rPr>
                  </w:pPr>
                  <w:r w:rsidRPr="005E0D86">
                    <w:rPr>
                      <w:rFonts w:eastAsia="Times New Roman" w:cs="Times New Roman"/>
                      <w:color w:val="000000"/>
                      <w:lang w:val="en-US"/>
                    </w:rPr>
                    <w:t>3.</w:t>
                  </w:r>
                </w:p>
              </w:tc>
              <w:tc>
                <w:tcPr>
                  <w:tcW w:w="992" w:type="dxa"/>
                  <w:tcBorders>
                    <w:top w:val="single" w:sz="12" w:space="0" w:color="auto"/>
                    <w:bottom w:val="single" w:sz="4" w:space="0" w:color="auto"/>
                  </w:tcBorders>
                  <w:shd w:val="clear" w:color="auto" w:fill="auto"/>
                  <w:noWrap/>
                  <w:vAlign w:val="bottom"/>
                </w:tcPr>
                <w:p w:rsidR="00B04DD4" w:rsidRPr="005E0D86" w:rsidRDefault="00B04DD4" w:rsidP="005E0D86">
                  <w:pPr>
                    <w:jc w:val="center"/>
                    <w:rPr>
                      <w:rFonts w:eastAsia="Times New Roman" w:cs="Times New Roman"/>
                      <w:color w:val="000000"/>
                      <w:lang w:val="en-US"/>
                    </w:rPr>
                  </w:pPr>
                  <w:r w:rsidRPr="005E0D86">
                    <w:rPr>
                      <w:rFonts w:eastAsia="Times New Roman" w:cs="Times New Roman"/>
                      <w:color w:val="000000"/>
                      <w:lang w:val="en-US"/>
                    </w:rPr>
                    <w:t>4.</w:t>
                  </w:r>
                </w:p>
              </w:tc>
              <w:tc>
                <w:tcPr>
                  <w:tcW w:w="740" w:type="dxa"/>
                  <w:tcBorders>
                    <w:top w:val="single" w:sz="12" w:space="0" w:color="auto"/>
                    <w:bottom w:val="single" w:sz="4" w:space="0" w:color="auto"/>
                  </w:tcBorders>
                  <w:shd w:val="clear" w:color="auto" w:fill="auto"/>
                  <w:noWrap/>
                  <w:vAlign w:val="bottom"/>
                </w:tcPr>
                <w:p w:rsidR="00B04DD4" w:rsidRPr="005E0D86" w:rsidRDefault="00B04DD4" w:rsidP="005E0D86">
                  <w:pPr>
                    <w:jc w:val="center"/>
                    <w:rPr>
                      <w:rFonts w:eastAsia="Times New Roman" w:cs="Times New Roman"/>
                      <w:color w:val="000000"/>
                      <w:lang w:val="en-US"/>
                    </w:rPr>
                  </w:pPr>
                  <w:r w:rsidRPr="005E0D86">
                    <w:rPr>
                      <w:rFonts w:eastAsia="Times New Roman" w:cs="Times New Roman"/>
                      <w:color w:val="000000"/>
                      <w:lang w:val="en-US"/>
                    </w:rPr>
                    <w:t>5.</w:t>
                  </w:r>
                </w:p>
              </w:tc>
              <w:tc>
                <w:tcPr>
                  <w:tcW w:w="961" w:type="dxa"/>
                  <w:tcBorders>
                    <w:top w:val="single" w:sz="12" w:space="0" w:color="auto"/>
                    <w:bottom w:val="single" w:sz="4" w:space="0" w:color="auto"/>
                  </w:tcBorders>
                  <w:shd w:val="clear" w:color="auto" w:fill="auto"/>
                  <w:noWrap/>
                  <w:vAlign w:val="bottom"/>
                </w:tcPr>
                <w:p w:rsidR="00B04DD4" w:rsidRPr="005E0D86" w:rsidRDefault="00B04DD4" w:rsidP="005E0D86">
                  <w:pPr>
                    <w:jc w:val="center"/>
                    <w:rPr>
                      <w:rFonts w:eastAsia="Times New Roman" w:cs="Times New Roman"/>
                      <w:color w:val="000000"/>
                      <w:lang w:val="en-US"/>
                    </w:rPr>
                  </w:pPr>
                  <w:r w:rsidRPr="005E0D86">
                    <w:rPr>
                      <w:rFonts w:eastAsia="Times New Roman" w:cs="Times New Roman"/>
                      <w:color w:val="000000"/>
                      <w:lang w:val="en-US"/>
                    </w:rPr>
                    <w:t>6.</w:t>
                  </w:r>
                </w:p>
              </w:tc>
              <w:tc>
                <w:tcPr>
                  <w:tcW w:w="771" w:type="dxa"/>
                  <w:tcBorders>
                    <w:top w:val="single" w:sz="12" w:space="0" w:color="auto"/>
                    <w:bottom w:val="single" w:sz="4" w:space="0" w:color="auto"/>
                  </w:tcBorders>
                  <w:shd w:val="clear" w:color="auto" w:fill="auto"/>
                  <w:noWrap/>
                  <w:vAlign w:val="bottom"/>
                </w:tcPr>
                <w:p w:rsidR="00B04DD4" w:rsidRPr="005E0D86" w:rsidRDefault="00B04DD4" w:rsidP="005E0D86">
                  <w:pPr>
                    <w:jc w:val="center"/>
                    <w:rPr>
                      <w:rFonts w:eastAsia="Times New Roman" w:cs="Times New Roman"/>
                      <w:color w:val="000000"/>
                      <w:lang w:val="en-US"/>
                    </w:rPr>
                  </w:pPr>
                  <w:r w:rsidRPr="005E0D86">
                    <w:rPr>
                      <w:rFonts w:eastAsia="Times New Roman" w:cs="Times New Roman"/>
                      <w:color w:val="000000"/>
                      <w:lang w:val="en-US"/>
                    </w:rPr>
                    <w:t>7.</w:t>
                  </w:r>
                </w:p>
              </w:tc>
            </w:tr>
            <w:tr w:rsidR="00B04DD4" w:rsidRPr="0013016F" w:rsidTr="00B04DD4">
              <w:trPr>
                <w:trHeight w:val="300"/>
              </w:trPr>
              <w:tc>
                <w:tcPr>
                  <w:tcW w:w="1783" w:type="dxa"/>
                  <w:tcBorders>
                    <w:top w:val="single" w:sz="8" w:space="0" w:color="auto"/>
                  </w:tcBorders>
                </w:tcPr>
                <w:p w:rsidR="00B04DD4" w:rsidRPr="0013016F" w:rsidRDefault="00B04DD4" w:rsidP="005E0D86">
                  <w:pPr>
                    <w:rPr>
                      <w:rFonts w:eastAsia="Times New Roman" w:cs="Times New Roman"/>
                      <w:color w:val="000000"/>
                      <w:lang w:val="en-US"/>
                    </w:rPr>
                  </w:pPr>
                  <w:r w:rsidRPr="0013016F">
                    <w:rPr>
                      <w:rFonts w:eastAsia="Times New Roman" w:cs="Times New Roman"/>
                      <w:b/>
                      <w:color w:val="000000"/>
                      <w:lang w:val="en-US"/>
                    </w:rPr>
                    <w:t>1.</w:t>
                  </w:r>
                  <w:r w:rsidRPr="0013016F">
                    <w:rPr>
                      <w:rFonts w:eastAsia="Times New Roman" w:cs="Times New Roman"/>
                      <w:color w:val="000000"/>
                      <w:lang w:val="en-US"/>
                    </w:rPr>
                    <w:t xml:space="preserve"> Heart Rate Variability (HRV)</w:t>
                  </w:r>
                </w:p>
              </w:tc>
              <w:tc>
                <w:tcPr>
                  <w:tcW w:w="911" w:type="dxa"/>
                  <w:tcBorders>
                    <w:top w:val="single" w:sz="4" w:space="0" w:color="000000"/>
                  </w:tcBorders>
                </w:tcPr>
                <w:p w:rsidR="00B04DD4" w:rsidRPr="0013016F" w:rsidRDefault="00B04DD4" w:rsidP="005E0D86">
                  <w:pPr>
                    <w:rPr>
                      <w:rFonts w:cs="Times New Roman"/>
                      <w:sz w:val="22"/>
                      <w:szCs w:val="22"/>
                      <w:lang w:val="en-US"/>
                    </w:rPr>
                  </w:pPr>
                  <w:r w:rsidRPr="0013016F">
                    <w:rPr>
                      <w:rFonts w:cs="Times New Roman"/>
                      <w:sz w:val="22"/>
                      <w:szCs w:val="22"/>
                      <w:lang w:val="en-US"/>
                    </w:rPr>
                    <w:t>0.05</w:t>
                  </w:r>
                </w:p>
              </w:tc>
              <w:tc>
                <w:tcPr>
                  <w:tcW w:w="850" w:type="dxa"/>
                  <w:tcBorders>
                    <w:top w:val="single" w:sz="4" w:space="0" w:color="000000"/>
                  </w:tcBorders>
                </w:tcPr>
                <w:p w:rsidR="00B04DD4" w:rsidRPr="0013016F" w:rsidRDefault="00B04DD4" w:rsidP="005E0D86">
                  <w:pPr>
                    <w:rPr>
                      <w:rFonts w:cs="Times New Roman"/>
                      <w:sz w:val="22"/>
                      <w:szCs w:val="22"/>
                      <w:lang w:val="en-US"/>
                    </w:rPr>
                  </w:pPr>
                  <w:r w:rsidRPr="0013016F">
                    <w:rPr>
                      <w:rFonts w:cs="Times New Roman"/>
                      <w:sz w:val="22"/>
                      <w:szCs w:val="22"/>
                      <w:lang w:val="en-US"/>
                    </w:rPr>
                    <w:t>0.02</w:t>
                  </w:r>
                </w:p>
              </w:tc>
              <w:tc>
                <w:tcPr>
                  <w:tcW w:w="851" w:type="dxa"/>
                  <w:tcBorders>
                    <w:top w:val="single" w:sz="4" w:space="0" w:color="auto"/>
                  </w:tcBorders>
                  <w:shd w:val="clear" w:color="auto" w:fill="auto"/>
                  <w:noWrap/>
                  <w:hideMark/>
                </w:tcPr>
                <w:p w:rsidR="00B04DD4" w:rsidRPr="0013016F" w:rsidRDefault="00B04DD4" w:rsidP="005E0D86">
                  <w:pPr>
                    <w:rPr>
                      <w:rFonts w:cs="Times New Roman"/>
                      <w:sz w:val="22"/>
                      <w:szCs w:val="22"/>
                      <w:lang w:val="en-US"/>
                    </w:rPr>
                  </w:pPr>
                </w:p>
              </w:tc>
              <w:tc>
                <w:tcPr>
                  <w:tcW w:w="737" w:type="dxa"/>
                  <w:tcBorders>
                    <w:top w:val="single" w:sz="4" w:space="0" w:color="auto"/>
                  </w:tcBorders>
                  <w:shd w:val="clear" w:color="auto" w:fill="auto"/>
                  <w:noWrap/>
                </w:tcPr>
                <w:p w:rsidR="00B04DD4" w:rsidRPr="0013016F" w:rsidRDefault="00B04DD4" w:rsidP="005E0D86">
                  <w:pPr>
                    <w:rPr>
                      <w:rFonts w:cs="Times New Roman"/>
                      <w:sz w:val="22"/>
                      <w:szCs w:val="22"/>
                      <w:lang w:val="en-US"/>
                    </w:rPr>
                  </w:pPr>
                </w:p>
              </w:tc>
              <w:tc>
                <w:tcPr>
                  <w:tcW w:w="993" w:type="dxa"/>
                  <w:tcBorders>
                    <w:top w:val="single" w:sz="4" w:space="0" w:color="auto"/>
                  </w:tcBorders>
                  <w:shd w:val="clear" w:color="auto" w:fill="auto"/>
                  <w:noWrap/>
                </w:tcPr>
                <w:p w:rsidR="00B04DD4" w:rsidRPr="0013016F" w:rsidRDefault="00B04DD4" w:rsidP="005E0D86">
                  <w:pPr>
                    <w:rPr>
                      <w:rFonts w:cs="Times New Roman"/>
                      <w:sz w:val="22"/>
                      <w:szCs w:val="22"/>
                      <w:lang w:val="en-US"/>
                    </w:rPr>
                  </w:pPr>
                </w:p>
              </w:tc>
              <w:tc>
                <w:tcPr>
                  <w:tcW w:w="992" w:type="dxa"/>
                  <w:tcBorders>
                    <w:top w:val="single" w:sz="4" w:space="0" w:color="auto"/>
                  </w:tcBorders>
                  <w:shd w:val="clear" w:color="auto" w:fill="auto"/>
                  <w:noWrap/>
                </w:tcPr>
                <w:p w:rsidR="00B04DD4" w:rsidRPr="0013016F" w:rsidRDefault="00B04DD4" w:rsidP="005E0D86">
                  <w:pPr>
                    <w:rPr>
                      <w:rFonts w:cs="Times New Roman"/>
                      <w:sz w:val="22"/>
                      <w:szCs w:val="22"/>
                      <w:lang w:val="en-US"/>
                    </w:rPr>
                  </w:pPr>
                </w:p>
              </w:tc>
              <w:tc>
                <w:tcPr>
                  <w:tcW w:w="740" w:type="dxa"/>
                  <w:tcBorders>
                    <w:top w:val="single" w:sz="4" w:space="0" w:color="auto"/>
                  </w:tcBorders>
                  <w:shd w:val="clear" w:color="auto" w:fill="auto"/>
                  <w:noWrap/>
                </w:tcPr>
                <w:p w:rsidR="00B04DD4" w:rsidRPr="0013016F" w:rsidRDefault="00B04DD4" w:rsidP="005E0D86">
                  <w:pPr>
                    <w:rPr>
                      <w:rFonts w:cs="Times New Roman"/>
                      <w:sz w:val="22"/>
                      <w:szCs w:val="22"/>
                      <w:lang w:val="en-US"/>
                    </w:rPr>
                  </w:pPr>
                </w:p>
              </w:tc>
              <w:tc>
                <w:tcPr>
                  <w:tcW w:w="961" w:type="dxa"/>
                  <w:tcBorders>
                    <w:top w:val="single" w:sz="4" w:space="0" w:color="auto"/>
                  </w:tcBorders>
                  <w:shd w:val="clear" w:color="auto" w:fill="auto"/>
                  <w:noWrap/>
                </w:tcPr>
                <w:p w:rsidR="00B04DD4" w:rsidRPr="0013016F" w:rsidRDefault="00B04DD4" w:rsidP="005E0D86">
                  <w:pPr>
                    <w:rPr>
                      <w:rFonts w:cs="Times New Roman"/>
                      <w:sz w:val="22"/>
                      <w:szCs w:val="22"/>
                      <w:lang w:val="en-US"/>
                    </w:rPr>
                  </w:pPr>
                </w:p>
              </w:tc>
              <w:tc>
                <w:tcPr>
                  <w:tcW w:w="771" w:type="dxa"/>
                  <w:shd w:val="clear" w:color="auto" w:fill="auto"/>
                  <w:noWrap/>
                </w:tcPr>
                <w:p w:rsidR="00B04DD4" w:rsidRPr="0013016F" w:rsidRDefault="00B04DD4" w:rsidP="005E0D86">
                  <w:pPr>
                    <w:rPr>
                      <w:rFonts w:cs="Times New Roman"/>
                      <w:sz w:val="22"/>
                      <w:szCs w:val="22"/>
                      <w:lang w:val="en-US"/>
                    </w:rPr>
                  </w:pPr>
                </w:p>
              </w:tc>
            </w:tr>
            <w:tr w:rsidR="00B04DD4" w:rsidRPr="0013016F" w:rsidTr="00B822DE">
              <w:trPr>
                <w:trHeight w:val="300"/>
              </w:trPr>
              <w:tc>
                <w:tcPr>
                  <w:tcW w:w="1783" w:type="dxa"/>
                </w:tcPr>
                <w:p w:rsidR="00B04DD4" w:rsidRPr="0013016F" w:rsidRDefault="00B04DD4" w:rsidP="005E0D86">
                  <w:pPr>
                    <w:rPr>
                      <w:rFonts w:eastAsia="Times New Roman" w:cs="Times New Roman"/>
                      <w:color w:val="000000"/>
                      <w:lang w:val="en-US"/>
                    </w:rPr>
                  </w:pPr>
                  <w:r w:rsidRPr="0013016F">
                    <w:rPr>
                      <w:rFonts w:eastAsia="Times New Roman" w:cs="Times New Roman"/>
                      <w:b/>
                      <w:color w:val="000000"/>
                      <w:lang w:val="en-US"/>
                    </w:rPr>
                    <w:t>2.</w:t>
                  </w:r>
                  <w:r w:rsidRPr="0013016F">
                    <w:rPr>
                      <w:rFonts w:eastAsia="Times New Roman" w:cs="Times New Roman"/>
                      <w:color w:val="000000"/>
                      <w:lang w:val="en-US"/>
                    </w:rPr>
                    <w:t xml:space="preserve"> Resilience (ER89)</w:t>
                  </w:r>
                </w:p>
              </w:tc>
              <w:tc>
                <w:tcPr>
                  <w:tcW w:w="911" w:type="dxa"/>
                </w:tcPr>
                <w:p w:rsidR="00B04DD4" w:rsidRPr="0013016F" w:rsidRDefault="00B04DD4" w:rsidP="005E0D86">
                  <w:pPr>
                    <w:rPr>
                      <w:rFonts w:cs="Times New Roman"/>
                      <w:sz w:val="22"/>
                      <w:szCs w:val="22"/>
                      <w:lang w:val="en-US"/>
                    </w:rPr>
                  </w:pPr>
                  <w:r w:rsidRPr="0013016F">
                    <w:rPr>
                      <w:rFonts w:cs="Times New Roman"/>
                      <w:sz w:val="22"/>
                      <w:szCs w:val="22"/>
                      <w:lang w:val="en-US"/>
                    </w:rPr>
                    <w:t>2.04</w:t>
                  </w:r>
                </w:p>
              </w:tc>
              <w:tc>
                <w:tcPr>
                  <w:tcW w:w="850" w:type="dxa"/>
                </w:tcPr>
                <w:p w:rsidR="00B04DD4" w:rsidRPr="0013016F" w:rsidRDefault="00B04DD4" w:rsidP="005E0D86">
                  <w:pPr>
                    <w:rPr>
                      <w:rFonts w:cs="Times New Roman"/>
                      <w:sz w:val="22"/>
                      <w:szCs w:val="22"/>
                      <w:lang w:val="en-US"/>
                    </w:rPr>
                  </w:pPr>
                  <w:r w:rsidRPr="0013016F">
                    <w:rPr>
                      <w:rFonts w:cs="Times New Roman"/>
                      <w:sz w:val="22"/>
                      <w:szCs w:val="22"/>
                      <w:lang w:val="en-US"/>
                    </w:rPr>
                    <w:t>0.36</w:t>
                  </w:r>
                </w:p>
              </w:tc>
              <w:tc>
                <w:tcPr>
                  <w:tcW w:w="851" w:type="dxa"/>
                  <w:shd w:val="clear" w:color="auto" w:fill="auto"/>
                  <w:noWrap/>
                  <w:hideMark/>
                </w:tcPr>
                <w:p w:rsidR="00B04DD4" w:rsidRPr="0013016F" w:rsidRDefault="00B04DD4" w:rsidP="005E0D86">
                  <w:pPr>
                    <w:rPr>
                      <w:rFonts w:cs="Times New Roman"/>
                      <w:sz w:val="22"/>
                      <w:szCs w:val="22"/>
                      <w:lang w:val="en-US"/>
                    </w:rPr>
                  </w:pPr>
                  <w:r w:rsidRPr="0013016F">
                    <w:rPr>
                      <w:rFonts w:cs="Times New Roman"/>
                      <w:sz w:val="22"/>
                      <w:szCs w:val="22"/>
                      <w:lang w:val="en-US"/>
                    </w:rPr>
                    <w:t>0.16</w:t>
                  </w:r>
                  <w:r w:rsidRPr="0013016F">
                    <w:rPr>
                      <w:rFonts w:cs="Times New Roman"/>
                      <w:sz w:val="22"/>
                      <w:szCs w:val="22"/>
                      <w:vertAlign w:val="superscript"/>
                      <w:lang w:val="en-US"/>
                    </w:rPr>
                    <w:t>**</w:t>
                  </w:r>
                </w:p>
              </w:tc>
              <w:tc>
                <w:tcPr>
                  <w:tcW w:w="737" w:type="dxa"/>
                  <w:shd w:val="clear" w:color="auto" w:fill="auto"/>
                  <w:noWrap/>
                  <w:hideMark/>
                </w:tcPr>
                <w:p w:rsidR="00B04DD4" w:rsidRPr="0013016F" w:rsidRDefault="00B04DD4" w:rsidP="005E0D86">
                  <w:pPr>
                    <w:rPr>
                      <w:rFonts w:cs="Times New Roman"/>
                      <w:sz w:val="22"/>
                      <w:szCs w:val="22"/>
                      <w:lang w:val="en-US"/>
                    </w:rPr>
                  </w:pPr>
                </w:p>
              </w:tc>
              <w:tc>
                <w:tcPr>
                  <w:tcW w:w="993" w:type="dxa"/>
                  <w:shd w:val="clear" w:color="auto" w:fill="auto"/>
                  <w:noWrap/>
                </w:tcPr>
                <w:p w:rsidR="00B04DD4" w:rsidRPr="0013016F" w:rsidRDefault="00B04DD4" w:rsidP="005E0D86">
                  <w:pPr>
                    <w:rPr>
                      <w:rFonts w:cs="Times New Roman"/>
                      <w:sz w:val="22"/>
                      <w:szCs w:val="22"/>
                      <w:lang w:val="en-US"/>
                    </w:rPr>
                  </w:pPr>
                </w:p>
              </w:tc>
              <w:tc>
                <w:tcPr>
                  <w:tcW w:w="992" w:type="dxa"/>
                  <w:shd w:val="clear" w:color="auto" w:fill="auto"/>
                  <w:noWrap/>
                </w:tcPr>
                <w:p w:rsidR="00B04DD4" w:rsidRPr="0013016F" w:rsidRDefault="00B04DD4" w:rsidP="005E0D86">
                  <w:pPr>
                    <w:rPr>
                      <w:rFonts w:cs="Times New Roman"/>
                      <w:sz w:val="22"/>
                      <w:szCs w:val="22"/>
                      <w:lang w:val="en-US"/>
                    </w:rPr>
                  </w:pPr>
                </w:p>
              </w:tc>
              <w:tc>
                <w:tcPr>
                  <w:tcW w:w="740" w:type="dxa"/>
                  <w:shd w:val="clear" w:color="auto" w:fill="auto"/>
                  <w:noWrap/>
                </w:tcPr>
                <w:p w:rsidR="00B04DD4" w:rsidRPr="0013016F" w:rsidRDefault="00B04DD4" w:rsidP="005E0D86">
                  <w:pPr>
                    <w:rPr>
                      <w:rFonts w:cs="Times New Roman"/>
                      <w:sz w:val="22"/>
                      <w:szCs w:val="22"/>
                      <w:lang w:val="en-US"/>
                    </w:rPr>
                  </w:pPr>
                </w:p>
              </w:tc>
              <w:tc>
                <w:tcPr>
                  <w:tcW w:w="961" w:type="dxa"/>
                  <w:shd w:val="clear" w:color="auto" w:fill="auto"/>
                  <w:noWrap/>
                </w:tcPr>
                <w:p w:rsidR="00B04DD4" w:rsidRPr="0013016F" w:rsidRDefault="00B04DD4" w:rsidP="005E0D86">
                  <w:pPr>
                    <w:rPr>
                      <w:rFonts w:cs="Times New Roman"/>
                      <w:sz w:val="22"/>
                      <w:szCs w:val="22"/>
                      <w:lang w:val="en-US"/>
                    </w:rPr>
                  </w:pPr>
                </w:p>
              </w:tc>
              <w:tc>
                <w:tcPr>
                  <w:tcW w:w="771" w:type="dxa"/>
                  <w:shd w:val="clear" w:color="auto" w:fill="auto"/>
                  <w:noWrap/>
                </w:tcPr>
                <w:p w:rsidR="00B04DD4" w:rsidRPr="0013016F" w:rsidRDefault="00B04DD4" w:rsidP="005E0D86">
                  <w:pPr>
                    <w:rPr>
                      <w:rFonts w:cs="Times New Roman"/>
                      <w:sz w:val="22"/>
                      <w:szCs w:val="22"/>
                      <w:lang w:val="en-US"/>
                    </w:rPr>
                  </w:pPr>
                </w:p>
              </w:tc>
            </w:tr>
            <w:tr w:rsidR="00B04DD4" w:rsidRPr="0013016F" w:rsidTr="00B822DE">
              <w:trPr>
                <w:trHeight w:val="300"/>
              </w:trPr>
              <w:tc>
                <w:tcPr>
                  <w:tcW w:w="1783" w:type="dxa"/>
                </w:tcPr>
                <w:p w:rsidR="00B04DD4" w:rsidRPr="0013016F" w:rsidRDefault="00B04DD4" w:rsidP="005E0D86">
                  <w:pPr>
                    <w:rPr>
                      <w:rFonts w:eastAsia="Times New Roman" w:cs="Times New Roman"/>
                      <w:color w:val="000000"/>
                      <w:lang w:val="en-US"/>
                    </w:rPr>
                  </w:pPr>
                  <w:r w:rsidRPr="0013016F">
                    <w:rPr>
                      <w:rFonts w:eastAsia="Times New Roman" w:cs="Times New Roman"/>
                      <w:b/>
                      <w:color w:val="000000"/>
                      <w:lang w:val="en-US"/>
                    </w:rPr>
                    <w:t>3.</w:t>
                  </w:r>
                  <w:r w:rsidRPr="0013016F">
                    <w:rPr>
                      <w:rFonts w:eastAsia="Times New Roman" w:cs="Times New Roman"/>
                      <w:color w:val="000000"/>
                      <w:lang w:val="en-US"/>
                    </w:rPr>
                    <w:t xml:space="preserve"> Switch between non-affective task sets (SwitchNA)</w:t>
                  </w:r>
                </w:p>
              </w:tc>
              <w:tc>
                <w:tcPr>
                  <w:tcW w:w="911" w:type="dxa"/>
                </w:tcPr>
                <w:p w:rsidR="00B04DD4" w:rsidRPr="0013016F" w:rsidRDefault="00B04DD4" w:rsidP="005E0D86">
                  <w:pPr>
                    <w:rPr>
                      <w:rFonts w:cs="Times New Roman"/>
                      <w:sz w:val="22"/>
                      <w:szCs w:val="22"/>
                      <w:lang w:val="en-US"/>
                    </w:rPr>
                  </w:pPr>
                  <w:r w:rsidRPr="0013016F">
                    <w:rPr>
                      <w:rFonts w:cs="Times New Roman"/>
                      <w:sz w:val="22"/>
                      <w:szCs w:val="22"/>
                      <w:lang w:val="en-US"/>
                    </w:rPr>
                    <w:t>438.57</w:t>
                  </w:r>
                </w:p>
              </w:tc>
              <w:tc>
                <w:tcPr>
                  <w:tcW w:w="850" w:type="dxa"/>
                </w:tcPr>
                <w:p w:rsidR="00B04DD4" w:rsidRPr="0013016F" w:rsidRDefault="00B04DD4" w:rsidP="005E0D86">
                  <w:pPr>
                    <w:rPr>
                      <w:rFonts w:cs="Times New Roman"/>
                      <w:sz w:val="22"/>
                      <w:szCs w:val="22"/>
                      <w:lang w:val="en-US"/>
                    </w:rPr>
                  </w:pPr>
                  <w:r w:rsidRPr="0013016F">
                    <w:rPr>
                      <w:rFonts w:cs="Times New Roman"/>
                      <w:sz w:val="22"/>
                      <w:szCs w:val="22"/>
                      <w:lang w:val="en-US"/>
                    </w:rPr>
                    <w:t>254.49</w:t>
                  </w:r>
                </w:p>
              </w:tc>
              <w:tc>
                <w:tcPr>
                  <w:tcW w:w="851"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0.07</w:t>
                  </w:r>
                </w:p>
              </w:tc>
              <w:tc>
                <w:tcPr>
                  <w:tcW w:w="737"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-0.03</w:t>
                  </w:r>
                </w:p>
              </w:tc>
              <w:tc>
                <w:tcPr>
                  <w:tcW w:w="993" w:type="dxa"/>
                  <w:shd w:val="clear" w:color="auto" w:fill="auto"/>
                  <w:noWrap/>
                  <w:hideMark/>
                </w:tcPr>
                <w:p w:rsidR="00B04DD4" w:rsidRPr="0013016F" w:rsidRDefault="00B04DD4" w:rsidP="005E0D86">
                  <w:pPr>
                    <w:rPr>
                      <w:rFonts w:cs="Times New Roman"/>
                      <w:sz w:val="22"/>
                      <w:szCs w:val="22"/>
                    </w:rPr>
                  </w:pPr>
                </w:p>
              </w:tc>
              <w:tc>
                <w:tcPr>
                  <w:tcW w:w="992" w:type="dxa"/>
                  <w:shd w:val="clear" w:color="auto" w:fill="auto"/>
                  <w:noWrap/>
                </w:tcPr>
                <w:p w:rsidR="00B04DD4" w:rsidRPr="0013016F" w:rsidRDefault="00B04DD4" w:rsidP="005E0D86">
                  <w:pPr>
                    <w:rPr>
                      <w:rFonts w:cs="Times New Roman"/>
                      <w:sz w:val="22"/>
                      <w:szCs w:val="22"/>
                    </w:rPr>
                  </w:pPr>
                </w:p>
              </w:tc>
              <w:tc>
                <w:tcPr>
                  <w:tcW w:w="740" w:type="dxa"/>
                  <w:shd w:val="clear" w:color="auto" w:fill="auto"/>
                  <w:noWrap/>
                </w:tcPr>
                <w:p w:rsidR="00B04DD4" w:rsidRPr="0013016F" w:rsidRDefault="00B04DD4" w:rsidP="005E0D86">
                  <w:pPr>
                    <w:rPr>
                      <w:rFonts w:cs="Times New Roman"/>
                      <w:sz w:val="22"/>
                      <w:szCs w:val="22"/>
                    </w:rPr>
                  </w:pPr>
                </w:p>
              </w:tc>
              <w:tc>
                <w:tcPr>
                  <w:tcW w:w="961" w:type="dxa"/>
                  <w:shd w:val="clear" w:color="auto" w:fill="auto"/>
                  <w:noWrap/>
                </w:tcPr>
                <w:p w:rsidR="00B04DD4" w:rsidRPr="0013016F" w:rsidRDefault="00B04DD4" w:rsidP="005E0D86">
                  <w:pPr>
                    <w:rPr>
                      <w:rFonts w:cs="Times New Roman"/>
                      <w:sz w:val="22"/>
                      <w:szCs w:val="22"/>
                    </w:rPr>
                  </w:pPr>
                </w:p>
              </w:tc>
              <w:tc>
                <w:tcPr>
                  <w:tcW w:w="771" w:type="dxa"/>
                  <w:shd w:val="clear" w:color="auto" w:fill="auto"/>
                  <w:noWrap/>
                </w:tcPr>
                <w:p w:rsidR="00B04DD4" w:rsidRPr="0013016F" w:rsidRDefault="00B04DD4" w:rsidP="005E0D86">
                  <w:pPr>
                    <w:rPr>
                      <w:rFonts w:cs="Times New Roman"/>
                      <w:sz w:val="22"/>
                      <w:szCs w:val="22"/>
                    </w:rPr>
                  </w:pPr>
                </w:p>
              </w:tc>
            </w:tr>
            <w:tr w:rsidR="00B04DD4" w:rsidRPr="0013016F" w:rsidTr="00B822DE">
              <w:trPr>
                <w:trHeight w:val="300"/>
              </w:trPr>
              <w:tc>
                <w:tcPr>
                  <w:tcW w:w="1783" w:type="dxa"/>
                </w:tcPr>
                <w:p w:rsidR="00B04DD4" w:rsidRPr="0013016F" w:rsidRDefault="00B04DD4" w:rsidP="005E0D86">
                  <w:pPr>
                    <w:rPr>
                      <w:rFonts w:eastAsia="Times New Roman" w:cs="Times New Roman"/>
                      <w:color w:val="000000"/>
                      <w:vertAlign w:val="subscript"/>
                      <w:lang w:val="en-US"/>
                    </w:rPr>
                  </w:pPr>
                  <w:r w:rsidRPr="0013016F">
                    <w:rPr>
                      <w:rFonts w:eastAsia="Times New Roman" w:cs="Times New Roman"/>
                      <w:b/>
                      <w:color w:val="000000"/>
                      <w:lang w:val="en-US"/>
                    </w:rPr>
                    <w:t>4.</w:t>
                  </w:r>
                  <w:r w:rsidRPr="0013016F">
                    <w:rPr>
                      <w:rFonts w:eastAsia="Times New Roman" w:cs="Times New Roman"/>
                      <w:color w:val="000000"/>
                      <w:lang w:val="en-US"/>
                    </w:rPr>
                    <w:t xml:space="preserve"> Switch to positive task set (SwitchToP)</w:t>
                  </w:r>
                </w:p>
              </w:tc>
              <w:tc>
                <w:tcPr>
                  <w:tcW w:w="911" w:type="dxa"/>
                </w:tcPr>
                <w:p w:rsidR="00B04DD4" w:rsidRPr="0013016F" w:rsidRDefault="00B04DD4" w:rsidP="005E0D86">
                  <w:pPr>
                    <w:rPr>
                      <w:rFonts w:cs="Times New Roman"/>
                      <w:sz w:val="22"/>
                      <w:szCs w:val="22"/>
                      <w:lang w:val="en-US"/>
                    </w:rPr>
                  </w:pPr>
                  <w:r w:rsidRPr="0013016F">
                    <w:rPr>
                      <w:rFonts w:cs="Times New Roman"/>
                      <w:sz w:val="22"/>
                      <w:szCs w:val="22"/>
                      <w:lang w:val="en-US"/>
                    </w:rPr>
                    <w:t>-210.45</w:t>
                  </w:r>
                </w:p>
              </w:tc>
              <w:tc>
                <w:tcPr>
                  <w:tcW w:w="850" w:type="dxa"/>
                </w:tcPr>
                <w:p w:rsidR="00B04DD4" w:rsidRPr="0013016F" w:rsidRDefault="00B04DD4" w:rsidP="005E0D86">
                  <w:pPr>
                    <w:rPr>
                      <w:rFonts w:cs="Times New Roman"/>
                      <w:sz w:val="22"/>
                      <w:szCs w:val="22"/>
                      <w:lang w:val="en-US"/>
                    </w:rPr>
                  </w:pPr>
                  <w:r w:rsidRPr="0013016F">
                    <w:rPr>
                      <w:rFonts w:cs="Times New Roman"/>
                      <w:sz w:val="22"/>
                      <w:szCs w:val="22"/>
                      <w:lang w:val="en-US"/>
                    </w:rPr>
                    <w:t>330.39</w:t>
                  </w:r>
                </w:p>
              </w:tc>
              <w:tc>
                <w:tcPr>
                  <w:tcW w:w="851"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0.14</w:t>
                  </w:r>
                  <w:r w:rsidRPr="0013016F">
                    <w:rPr>
                      <w:rFonts w:cs="Times New Roman"/>
                      <w:sz w:val="22"/>
                      <w:szCs w:val="22"/>
                      <w:vertAlign w:val="superscript"/>
                    </w:rPr>
                    <w:t>*</w:t>
                  </w:r>
                </w:p>
              </w:tc>
              <w:tc>
                <w:tcPr>
                  <w:tcW w:w="737"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0.12</w:t>
                  </w:r>
                  <w:r w:rsidRPr="0013016F">
                    <w:rPr>
                      <w:rFonts w:cs="Times New Roman"/>
                      <w:sz w:val="22"/>
                      <w:szCs w:val="22"/>
                      <w:vertAlign w:val="superscript"/>
                    </w:rPr>
                    <w:t>*</w:t>
                  </w:r>
                </w:p>
              </w:tc>
              <w:tc>
                <w:tcPr>
                  <w:tcW w:w="993"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-0.19</w:t>
                  </w:r>
                  <w:r w:rsidRPr="0013016F">
                    <w:rPr>
                      <w:rFonts w:cs="Times New Roman"/>
                      <w:sz w:val="22"/>
                      <w:szCs w:val="22"/>
                      <w:vertAlign w:val="superscript"/>
                    </w:rPr>
                    <w:t>**</w:t>
                  </w:r>
                </w:p>
              </w:tc>
              <w:tc>
                <w:tcPr>
                  <w:tcW w:w="992" w:type="dxa"/>
                  <w:shd w:val="clear" w:color="auto" w:fill="auto"/>
                  <w:noWrap/>
                  <w:hideMark/>
                </w:tcPr>
                <w:p w:rsidR="00B04DD4" w:rsidRPr="0013016F" w:rsidRDefault="00B04DD4" w:rsidP="005E0D86">
                  <w:pPr>
                    <w:rPr>
                      <w:rFonts w:cs="Times New Roman"/>
                      <w:sz w:val="22"/>
                      <w:szCs w:val="22"/>
                    </w:rPr>
                  </w:pPr>
                </w:p>
              </w:tc>
              <w:tc>
                <w:tcPr>
                  <w:tcW w:w="740" w:type="dxa"/>
                  <w:shd w:val="clear" w:color="auto" w:fill="auto"/>
                  <w:noWrap/>
                </w:tcPr>
                <w:p w:rsidR="00B04DD4" w:rsidRPr="0013016F" w:rsidRDefault="00B04DD4" w:rsidP="005E0D86">
                  <w:pPr>
                    <w:rPr>
                      <w:rFonts w:cs="Times New Roman"/>
                      <w:sz w:val="22"/>
                      <w:szCs w:val="22"/>
                    </w:rPr>
                  </w:pPr>
                </w:p>
              </w:tc>
              <w:tc>
                <w:tcPr>
                  <w:tcW w:w="961" w:type="dxa"/>
                  <w:shd w:val="clear" w:color="auto" w:fill="auto"/>
                  <w:noWrap/>
                </w:tcPr>
                <w:p w:rsidR="00B04DD4" w:rsidRPr="0013016F" w:rsidRDefault="00B04DD4" w:rsidP="005E0D86">
                  <w:pPr>
                    <w:rPr>
                      <w:rFonts w:cs="Times New Roman"/>
                      <w:sz w:val="22"/>
                      <w:szCs w:val="22"/>
                    </w:rPr>
                  </w:pPr>
                </w:p>
              </w:tc>
              <w:tc>
                <w:tcPr>
                  <w:tcW w:w="771" w:type="dxa"/>
                  <w:shd w:val="clear" w:color="auto" w:fill="auto"/>
                  <w:noWrap/>
                </w:tcPr>
                <w:p w:rsidR="00B04DD4" w:rsidRPr="0013016F" w:rsidRDefault="00B04DD4" w:rsidP="005E0D86">
                  <w:pPr>
                    <w:rPr>
                      <w:rFonts w:cs="Times New Roman"/>
                      <w:sz w:val="22"/>
                      <w:szCs w:val="22"/>
                    </w:rPr>
                  </w:pPr>
                </w:p>
              </w:tc>
            </w:tr>
            <w:tr w:rsidR="00B04DD4" w:rsidRPr="0013016F" w:rsidTr="00B822DE">
              <w:trPr>
                <w:trHeight w:val="300"/>
              </w:trPr>
              <w:tc>
                <w:tcPr>
                  <w:tcW w:w="1783" w:type="dxa"/>
                </w:tcPr>
                <w:p w:rsidR="00B04DD4" w:rsidRPr="0013016F" w:rsidRDefault="00B04DD4" w:rsidP="005E0D86">
                  <w:pPr>
                    <w:rPr>
                      <w:rFonts w:eastAsia="Times New Roman" w:cs="Times New Roman"/>
                      <w:color w:val="000000"/>
                      <w:vertAlign w:val="subscript"/>
                      <w:lang w:val="en-US"/>
                    </w:rPr>
                  </w:pPr>
                  <w:r w:rsidRPr="0013016F">
                    <w:rPr>
                      <w:rFonts w:eastAsia="Times New Roman" w:cs="Times New Roman"/>
                      <w:b/>
                      <w:color w:val="000000"/>
                      <w:lang w:val="en-US"/>
                    </w:rPr>
                    <w:t>5.</w:t>
                  </w:r>
                  <w:r w:rsidRPr="0013016F">
                    <w:rPr>
                      <w:rFonts w:eastAsia="Times New Roman" w:cs="Times New Roman"/>
                      <w:color w:val="000000"/>
                      <w:lang w:val="en-US"/>
                    </w:rPr>
                    <w:t xml:space="preserve"> Switch to negative task sets (SwitchToN)</w:t>
                  </w:r>
                </w:p>
              </w:tc>
              <w:tc>
                <w:tcPr>
                  <w:tcW w:w="911" w:type="dxa"/>
                </w:tcPr>
                <w:p w:rsidR="00B04DD4" w:rsidRPr="0013016F" w:rsidRDefault="00B04DD4" w:rsidP="005E0D86">
                  <w:pPr>
                    <w:rPr>
                      <w:rFonts w:cs="Times New Roman"/>
                      <w:sz w:val="22"/>
                      <w:szCs w:val="22"/>
                      <w:lang w:val="en-US"/>
                    </w:rPr>
                  </w:pPr>
                  <w:r w:rsidRPr="0013016F">
                    <w:rPr>
                      <w:rFonts w:cs="Times New Roman"/>
                      <w:sz w:val="22"/>
                      <w:szCs w:val="22"/>
                      <w:lang w:val="en-US"/>
                    </w:rPr>
                    <w:t>-243.74</w:t>
                  </w:r>
                </w:p>
              </w:tc>
              <w:tc>
                <w:tcPr>
                  <w:tcW w:w="850" w:type="dxa"/>
                </w:tcPr>
                <w:p w:rsidR="00B04DD4" w:rsidRPr="0013016F" w:rsidRDefault="00B04DD4" w:rsidP="005E0D86">
                  <w:pPr>
                    <w:rPr>
                      <w:rFonts w:cs="Times New Roman"/>
                      <w:sz w:val="22"/>
                      <w:szCs w:val="22"/>
                      <w:lang w:val="en-US"/>
                    </w:rPr>
                  </w:pPr>
                  <w:r w:rsidRPr="0013016F">
                    <w:rPr>
                      <w:rFonts w:cs="Times New Roman"/>
                      <w:sz w:val="22"/>
                      <w:szCs w:val="22"/>
                      <w:lang w:val="en-US"/>
                    </w:rPr>
                    <w:t>314.16</w:t>
                  </w:r>
                </w:p>
              </w:tc>
              <w:tc>
                <w:tcPr>
                  <w:tcW w:w="851"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0.06</w:t>
                  </w:r>
                </w:p>
              </w:tc>
              <w:tc>
                <w:tcPr>
                  <w:tcW w:w="737"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0.08</w:t>
                  </w:r>
                </w:p>
              </w:tc>
              <w:tc>
                <w:tcPr>
                  <w:tcW w:w="993"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-0.15</w:t>
                  </w:r>
                  <w:r w:rsidRPr="0013016F">
                    <w:rPr>
                      <w:rFonts w:cs="Times New Roman"/>
                      <w:sz w:val="22"/>
                      <w:szCs w:val="22"/>
                      <w:vertAlign w:val="superscript"/>
                    </w:rPr>
                    <w:t>**</w:t>
                  </w:r>
                </w:p>
              </w:tc>
              <w:tc>
                <w:tcPr>
                  <w:tcW w:w="992"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0.22</w:t>
                  </w:r>
                  <w:r w:rsidRPr="0013016F">
                    <w:rPr>
                      <w:rFonts w:cs="Times New Roman"/>
                      <w:sz w:val="22"/>
                      <w:szCs w:val="22"/>
                      <w:vertAlign w:val="superscript"/>
                    </w:rPr>
                    <w:t>***</w:t>
                  </w:r>
                </w:p>
              </w:tc>
              <w:tc>
                <w:tcPr>
                  <w:tcW w:w="740" w:type="dxa"/>
                  <w:shd w:val="clear" w:color="auto" w:fill="auto"/>
                  <w:noWrap/>
                  <w:hideMark/>
                </w:tcPr>
                <w:p w:rsidR="00B04DD4" w:rsidRPr="0013016F" w:rsidRDefault="00B04DD4" w:rsidP="005E0D86">
                  <w:pPr>
                    <w:rPr>
                      <w:rFonts w:cs="Times New Roman"/>
                      <w:sz w:val="22"/>
                      <w:szCs w:val="22"/>
                    </w:rPr>
                  </w:pPr>
                </w:p>
              </w:tc>
              <w:tc>
                <w:tcPr>
                  <w:tcW w:w="961" w:type="dxa"/>
                  <w:shd w:val="clear" w:color="auto" w:fill="auto"/>
                  <w:noWrap/>
                </w:tcPr>
                <w:p w:rsidR="00B04DD4" w:rsidRPr="0013016F" w:rsidRDefault="00B04DD4" w:rsidP="005E0D86">
                  <w:pPr>
                    <w:rPr>
                      <w:rFonts w:cs="Times New Roman"/>
                      <w:sz w:val="22"/>
                      <w:szCs w:val="22"/>
                    </w:rPr>
                  </w:pPr>
                </w:p>
              </w:tc>
              <w:tc>
                <w:tcPr>
                  <w:tcW w:w="771" w:type="dxa"/>
                  <w:shd w:val="clear" w:color="auto" w:fill="auto"/>
                  <w:noWrap/>
                </w:tcPr>
                <w:p w:rsidR="00B04DD4" w:rsidRPr="0013016F" w:rsidRDefault="00B04DD4" w:rsidP="005E0D86">
                  <w:pPr>
                    <w:rPr>
                      <w:rFonts w:cs="Times New Roman"/>
                      <w:sz w:val="22"/>
                      <w:szCs w:val="22"/>
                    </w:rPr>
                  </w:pPr>
                </w:p>
              </w:tc>
            </w:tr>
            <w:tr w:rsidR="00B04DD4" w:rsidRPr="0013016F" w:rsidTr="00B822DE">
              <w:trPr>
                <w:trHeight w:val="300"/>
              </w:trPr>
              <w:tc>
                <w:tcPr>
                  <w:tcW w:w="1783" w:type="dxa"/>
                </w:tcPr>
                <w:p w:rsidR="00B04DD4" w:rsidRPr="0013016F" w:rsidRDefault="00B04DD4" w:rsidP="005E0D86">
                  <w:pPr>
                    <w:rPr>
                      <w:rFonts w:eastAsia="Times New Roman" w:cs="Times New Roman"/>
                      <w:color w:val="000000"/>
                      <w:vertAlign w:val="subscript"/>
                      <w:lang w:val="en-US"/>
                    </w:rPr>
                  </w:pPr>
                  <w:r w:rsidRPr="0013016F">
                    <w:rPr>
                      <w:rFonts w:eastAsia="Times New Roman" w:cs="Times New Roman"/>
                      <w:b/>
                      <w:color w:val="000000"/>
                      <w:lang w:val="en-US"/>
                    </w:rPr>
                    <w:t>6.</w:t>
                  </w:r>
                  <w:r w:rsidRPr="0013016F">
                    <w:rPr>
                      <w:rFonts w:eastAsia="Times New Roman" w:cs="Times New Roman"/>
                      <w:color w:val="000000"/>
                      <w:lang w:val="en-US"/>
                    </w:rPr>
                    <w:t xml:space="preserve"> Switch from positive task sets (SwitchFromP)</w:t>
                  </w:r>
                </w:p>
              </w:tc>
              <w:tc>
                <w:tcPr>
                  <w:tcW w:w="911" w:type="dxa"/>
                </w:tcPr>
                <w:p w:rsidR="00B04DD4" w:rsidRPr="0013016F" w:rsidRDefault="00B04DD4" w:rsidP="005E0D86">
                  <w:pPr>
                    <w:rPr>
                      <w:rFonts w:cs="Times New Roman"/>
                      <w:sz w:val="22"/>
                      <w:szCs w:val="22"/>
                      <w:lang w:val="en-US"/>
                    </w:rPr>
                  </w:pPr>
                  <w:r w:rsidRPr="0013016F">
                    <w:rPr>
                      <w:rFonts w:cs="Times New Roman"/>
                      <w:sz w:val="22"/>
                      <w:szCs w:val="22"/>
                      <w:lang w:val="en-US"/>
                    </w:rPr>
                    <w:t>-5.13</w:t>
                  </w:r>
                </w:p>
              </w:tc>
              <w:tc>
                <w:tcPr>
                  <w:tcW w:w="850" w:type="dxa"/>
                </w:tcPr>
                <w:p w:rsidR="00B04DD4" w:rsidRPr="0013016F" w:rsidRDefault="00B04DD4" w:rsidP="005E0D86">
                  <w:pPr>
                    <w:rPr>
                      <w:rFonts w:cs="Times New Roman"/>
                      <w:sz w:val="22"/>
                      <w:szCs w:val="22"/>
                      <w:lang w:val="en-US"/>
                    </w:rPr>
                  </w:pPr>
                  <w:r w:rsidRPr="0013016F">
                    <w:rPr>
                      <w:rFonts w:cs="Times New Roman"/>
                      <w:sz w:val="22"/>
                      <w:szCs w:val="22"/>
                      <w:lang w:val="en-US"/>
                    </w:rPr>
                    <w:t>206.62</w:t>
                  </w:r>
                </w:p>
              </w:tc>
              <w:tc>
                <w:tcPr>
                  <w:tcW w:w="851"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0.02</w:t>
                  </w:r>
                </w:p>
              </w:tc>
              <w:tc>
                <w:tcPr>
                  <w:tcW w:w="737"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0.02</w:t>
                  </w:r>
                </w:p>
              </w:tc>
              <w:tc>
                <w:tcPr>
                  <w:tcW w:w="993"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-0.56</w:t>
                  </w:r>
                  <w:r w:rsidRPr="0013016F">
                    <w:rPr>
                      <w:rFonts w:cs="Times New Roman"/>
                      <w:sz w:val="22"/>
                      <w:szCs w:val="22"/>
                      <w:vertAlign w:val="superscript"/>
                    </w:rPr>
                    <w:t>***</w:t>
                  </w:r>
                </w:p>
              </w:tc>
              <w:tc>
                <w:tcPr>
                  <w:tcW w:w="992"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0.10</w:t>
                  </w:r>
                  <w:r w:rsidRPr="0013016F">
                    <w:rPr>
                      <w:rFonts w:cs="Times New Roman"/>
                      <w:sz w:val="22"/>
                      <w:szCs w:val="22"/>
                      <w:vertAlign w:val="superscript"/>
                    </w:rPr>
                    <w:t>+</w:t>
                  </w:r>
                </w:p>
              </w:tc>
              <w:tc>
                <w:tcPr>
                  <w:tcW w:w="740" w:type="dxa"/>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0.03</w:t>
                  </w:r>
                </w:p>
              </w:tc>
              <w:tc>
                <w:tcPr>
                  <w:tcW w:w="961" w:type="dxa"/>
                  <w:shd w:val="clear" w:color="auto" w:fill="auto"/>
                  <w:noWrap/>
                  <w:hideMark/>
                </w:tcPr>
                <w:p w:rsidR="00B04DD4" w:rsidRPr="0013016F" w:rsidRDefault="00B04DD4" w:rsidP="005E0D86">
                  <w:pPr>
                    <w:rPr>
                      <w:rFonts w:cs="Times New Roman"/>
                      <w:sz w:val="22"/>
                      <w:szCs w:val="22"/>
                    </w:rPr>
                  </w:pPr>
                </w:p>
              </w:tc>
              <w:tc>
                <w:tcPr>
                  <w:tcW w:w="771" w:type="dxa"/>
                  <w:shd w:val="clear" w:color="auto" w:fill="auto"/>
                  <w:noWrap/>
                </w:tcPr>
                <w:p w:rsidR="00B04DD4" w:rsidRPr="0013016F" w:rsidRDefault="00B04DD4" w:rsidP="005E0D86">
                  <w:pPr>
                    <w:rPr>
                      <w:rFonts w:cs="Times New Roman"/>
                      <w:sz w:val="22"/>
                      <w:szCs w:val="22"/>
                    </w:rPr>
                  </w:pPr>
                </w:p>
              </w:tc>
            </w:tr>
            <w:tr w:rsidR="00B04DD4" w:rsidRPr="0013016F" w:rsidTr="00B04DD4">
              <w:trPr>
                <w:trHeight w:val="300"/>
              </w:trPr>
              <w:tc>
                <w:tcPr>
                  <w:tcW w:w="1783" w:type="dxa"/>
                  <w:tcBorders>
                    <w:bottom w:val="single" w:sz="12" w:space="0" w:color="auto"/>
                  </w:tcBorders>
                </w:tcPr>
                <w:p w:rsidR="00B04DD4" w:rsidRPr="0013016F" w:rsidRDefault="00B04DD4" w:rsidP="005E0D86">
                  <w:pPr>
                    <w:rPr>
                      <w:rFonts w:eastAsia="Times New Roman" w:cs="Times New Roman"/>
                      <w:color w:val="000000"/>
                      <w:vertAlign w:val="subscript"/>
                      <w:lang w:val="en-US"/>
                    </w:rPr>
                  </w:pPr>
                  <w:r w:rsidRPr="0013016F">
                    <w:rPr>
                      <w:rFonts w:eastAsia="Times New Roman" w:cs="Times New Roman"/>
                      <w:b/>
                      <w:color w:val="000000"/>
                      <w:lang w:val="en-US"/>
                    </w:rPr>
                    <w:t>7.</w:t>
                  </w:r>
                  <w:r w:rsidRPr="0013016F">
                    <w:rPr>
                      <w:rFonts w:eastAsia="Times New Roman" w:cs="Times New Roman"/>
                      <w:color w:val="000000"/>
                      <w:lang w:val="en-US"/>
                    </w:rPr>
                    <w:t xml:space="preserve"> Switch from negative task sets (SwitchFromN)</w:t>
                  </w:r>
                </w:p>
              </w:tc>
              <w:tc>
                <w:tcPr>
                  <w:tcW w:w="911" w:type="dxa"/>
                  <w:tcBorders>
                    <w:bottom w:val="single" w:sz="12" w:space="0" w:color="auto"/>
                  </w:tcBorders>
                </w:tcPr>
                <w:p w:rsidR="00B04DD4" w:rsidRPr="0013016F" w:rsidRDefault="00B04DD4" w:rsidP="005E0D86">
                  <w:pPr>
                    <w:rPr>
                      <w:rFonts w:cs="Times New Roman"/>
                      <w:sz w:val="22"/>
                      <w:szCs w:val="22"/>
                      <w:lang w:val="en-US"/>
                    </w:rPr>
                  </w:pPr>
                  <w:r w:rsidRPr="0013016F">
                    <w:rPr>
                      <w:rFonts w:cs="Times New Roman"/>
                      <w:sz w:val="22"/>
                      <w:szCs w:val="22"/>
                      <w:lang w:val="en-US"/>
                    </w:rPr>
                    <w:t>-15.18</w:t>
                  </w:r>
                </w:p>
              </w:tc>
              <w:tc>
                <w:tcPr>
                  <w:tcW w:w="850" w:type="dxa"/>
                  <w:tcBorders>
                    <w:bottom w:val="single" w:sz="12" w:space="0" w:color="auto"/>
                  </w:tcBorders>
                </w:tcPr>
                <w:p w:rsidR="00B04DD4" w:rsidRPr="0013016F" w:rsidRDefault="00B04DD4" w:rsidP="005E0D86">
                  <w:pPr>
                    <w:rPr>
                      <w:rFonts w:cs="Times New Roman"/>
                      <w:sz w:val="22"/>
                      <w:szCs w:val="22"/>
                      <w:lang w:val="en-US"/>
                    </w:rPr>
                  </w:pPr>
                  <w:r w:rsidRPr="0013016F">
                    <w:rPr>
                      <w:rFonts w:cs="Times New Roman"/>
                      <w:sz w:val="22"/>
                      <w:szCs w:val="22"/>
                      <w:lang w:val="en-US"/>
                    </w:rPr>
                    <w:t>207.07</w:t>
                  </w:r>
                </w:p>
              </w:tc>
              <w:tc>
                <w:tcPr>
                  <w:tcW w:w="851" w:type="dxa"/>
                  <w:tcBorders>
                    <w:bottom w:val="single" w:sz="12" w:space="0" w:color="auto"/>
                  </w:tcBorders>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-0.00</w:t>
                  </w:r>
                </w:p>
              </w:tc>
              <w:tc>
                <w:tcPr>
                  <w:tcW w:w="737" w:type="dxa"/>
                  <w:tcBorders>
                    <w:bottom w:val="single" w:sz="12" w:space="0" w:color="auto"/>
                  </w:tcBorders>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0.09</w:t>
                  </w:r>
                </w:p>
              </w:tc>
              <w:tc>
                <w:tcPr>
                  <w:tcW w:w="993" w:type="dxa"/>
                  <w:tcBorders>
                    <w:bottom w:val="single" w:sz="12" w:space="0" w:color="auto"/>
                  </w:tcBorders>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-0.58</w:t>
                  </w:r>
                  <w:r w:rsidRPr="0013016F">
                    <w:rPr>
                      <w:rFonts w:cs="Times New Roman"/>
                      <w:sz w:val="22"/>
                      <w:szCs w:val="22"/>
                      <w:vertAlign w:val="superscript"/>
                    </w:rPr>
                    <w:t>***</w:t>
                  </w:r>
                </w:p>
              </w:tc>
              <w:tc>
                <w:tcPr>
                  <w:tcW w:w="992" w:type="dxa"/>
                  <w:tcBorders>
                    <w:bottom w:val="single" w:sz="12" w:space="0" w:color="auto"/>
                  </w:tcBorders>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0.22</w:t>
                  </w:r>
                  <w:r w:rsidRPr="0013016F">
                    <w:rPr>
                      <w:rFonts w:cs="Times New Roman"/>
                      <w:sz w:val="22"/>
                      <w:szCs w:val="22"/>
                      <w:vertAlign w:val="superscript"/>
                    </w:rPr>
                    <w:t>***</w:t>
                  </w:r>
                </w:p>
              </w:tc>
              <w:tc>
                <w:tcPr>
                  <w:tcW w:w="740" w:type="dxa"/>
                  <w:tcBorders>
                    <w:bottom w:val="single" w:sz="12" w:space="0" w:color="auto"/>
                  </w:tcBorders>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0.11</w:t>
                  </w:r>
                  <w:r w:rsidRPr="0013016F">
                    <w:rPr>
                      <w:rFonts w:cs="Times New Roman"/>
                      <w:sz w:val="22"/>
                      <w:szCs w:val="22"/>
                      <w:vertAlign w:val="superscript"/>
                    </w:rPr>
                    <w:t>+</w:t>
                  </w:r>
                </w:p>
              </w:tc>
              <w:tc>
                <w:tcPr>
                  <w:tcW w:w="961" w:type="dxa"/>
                  <w:tcBorders>
                    <w:bottom w:val="single" w:sz="12" w:space="0" w:color="auto"/>
                  </w:tcBorders>
                  <w:shd w:val="clear" w:color="auto" w:fill="auto"/>
                  <w:noWrap/>
                  <w:hideMark/>
                </w:tcPr>
                <w:p w:rsidR="00B04DD4" w:rsidRPr="0013016F" w:rsidRDefault="00B04DD4" w:rsidP="005E0D86">
                  <w:pPr>
                    <w:rPr>
                      <w:rFonts w:cs="Times New Roman"/>
                      <w:sz w:val="22"/>
                      <w:szCs w:val="22"/>
                    </w:rPr>
                  </w:pPr>
                  <w:r w:rsidRPr="0013016F">
                    <w:rPr>
                      <w:rFonts w:cs="Times New Roman"/>
                      <w:sz w:val="22"/>
                      <w:szCs w:val="22"/>
                    </w:rPr>
                    <w:t>0.26</w:t>
                  </w:r>
                  <w:r w:rsidRPr="0013016F">
                    <w:rPr>
                      <w:rFonts w:cs="Times New Roman"/>
                      <w:sz w:val="22"/>
                      <w:szCs w:val="22"/>
                      <w:vertAlign w:val="superscript"/>
                    </w:rPr>
                    <w:t>***</w:t>
                  </w:r>
                </w:p>
              </w:tc>
              <w:tc>
                <w:tcPr>
                  <w:tcW w:w="771" w:type="dxa"/>
                  <w:tcBorders>
                    <w:bottom w:val="single" w:sz="12" w:space="0" w:color="auto"/>
                  </w:tcBorders>
                  <w:shd w:val="clear" w:color="auto" w:fill="auto"/>
                  <w:noWrap/>
                  <w:hideMark/>
                </w:tcPr>
                <w:p w:rsidR="00B04DD4" w:rsidRPr="0013016F" w:rsidRDefault="00B04DD4" w:rsidP="005E0D86">
                  <w:pPr>
                    <w:rPr>
                      <w:rFonts w:cs="Times New Roman"/>
                      <w:sz w:val="22"/>
                      <w:szCs w:val="22"/>
                    </w:rPr>
                  </w:pPr>
                </w:p>
              </w:tc>
            </w:tr>
          </w:tbl>
          <w:p w:rsidR="00B04DD4" w:rsidRPr="00C030D9" w:rsidRDefault="00B04DD4" w:rsidP="005E0D86">
            <w:pPr>
              <w:pStyle w:val="Standard1"/>
              <w:spacing w:line="240" w:lineRule="auto"/>
              <w:jc w:val="center"/>
              <w:rPr>
                <w:rFonts w:cs="Times New Roman"/>
                <w:b/>
              </w:rPr>
            </w:pPr>
          </w:p>
        </w:tc>
      </w:tr>
      <w:tr w:rsidR="00B04DD4" w:rsidRPr="0013016F" w:rsidTr="00B822DE">
        <w:tc>
          <w:tcPr>
            <w:tcW w:w="9576" w:type="dxa"/>
            <w:shd w:val="clear" w:color="auto" w:fill="auto"/>
            <w:vAlign w:val="center"/>
          </w:tcPr>
          <w:p w:rsidR="00B04DD4" w:rsidRPr="00C030D9" w:rsidRDefault="00B04DD4" w:rsidP="005E0D86">
            <w:pPr>
              <w:pStyle w:val="Standard1"/>
              <w:spacing w:line="240" w:lineRule="auto"/>
              <w:rPr>
                <w:rFonts w:cs="Times New Roman"/>
                <w:b/>
              </w:rPr>
            </w:pPr>
            <w:r w:rsidRPr="00C030D9">
              <w:rPr>
                <w:rFonts w:cs="Times New Roman"/>
              </w:rPr>
              <w:t>Notes: + p &lt; 0.1, * p &lt; 0.05, ** p &lt; 0.01, *** p &lt; 0.001.</w:t>
            </w:r>
          </w:p>
        </w:tc>
      </w:tr>
    </w:tbl>
    <w:p w:rsidR="00B04DD4" w:rsidRPr="0013016F" w:rsidRDefault="00B04DD4" w:rsidP="005E0D86">
      <w:pPr>
        <w:pStyle w:val="Standard1"/>
        <w:spacing w:line="240" w:lineRule="auto"/>
        <w:jc w:val="center"/>
        <w:rPr>
          <w:rFonts w:cs="Times New Roman"/>
          <w:b/>
          <w:sz w:val="22"/>
          <w:szCs w:val="22"/>
          <w:lang w:val="en-US"/>
        </w:rPr>
      </w:pPr>
    </w:p>
    <w:p w:rsidR="00581A4D" w:rsidRPr="0013016F" w:rsidRDefault="00581A4D" w:rsidP="00581A4D">
      <w:pPr>
        <w:pStyle w:val="NormalWeb"/>
        <w:spacing w:before="0" w:beforeAutospacing="0" w:after="0" w:afterAutospacing="0" w:line="480" w:lineRule="auto"/>
        <w:ind w:left="480" w:hanging="480"/>
        <w:jc w:val="center"/>
      </w:pPr>
      <w:r>
        <w:br w:type="page"/>
      </w:r>
      <w:r w:rsidRPr="0013016F">
        <w:rPr>
          <w:b/>
        </w:rPr>
        <w:lastRenderedPageBreak/>
        <w:t>Figure Captions</w:t>
      </w:r>
    </w:p>
    <w:p w:rsidR="00581A4D" w:rsidRPr="0013016F" w:rsidRDefault="00581A4D" w:rsidP="00581A4D">
      <w:pPr>
        <w:pStyle w:val="NormalWeb"/>
        <w:spacing w:before="0" w:beforeAutospacing="0" w:after="0" w:afterAutospacing="0" w:line="480" w:lineRule="auto"/>
        <w:ind w:firstLine="480"/>
      </w:pPr>
      <w:r w:rsidRPr="0013016F">
        <w:rPr>
          <w:b/>
        </w:rPr>
        <w:t>Figure 1.</w:t>
      </w:r>
      <w:r w:rsidRPr="0013016F">
        <w:t xml:space="preserve"> Timeline of Room 101, an immersive virtual environment in which the participants are exposed to different prolonged and intermittent threats during 5:06 minutes. Prolonged threats (dark red) include spiders or an exploded floor that reveals a 3.5 meter drop. Intermittent threats (intermediate red) periods consist of startling threats such as explosions (vertical lines). During the less threatening epochs (light red), on</w:t>
      </w:r>
      <w:r>
        <w:t xml:space="preserve">ly ambient sounds are present. </w:t>
      </w:r>
    </w:p>
    <w:p w:rsidR="00581A4D" w:rsidRPr="0013016F" w:rsidRDefault="00581A4D" w:rsidP="00581A4D">
      <w:pPr>
        <w:pStyle w:val="NormalWeb"/>
        <w:spacing w:before="0" w:beforeAutospacing="0" w:after="0" w:afterAutospacing="0" w:line="480" w:lineRule="auto"/>
        <w:ind w:firstLine="480"/>
        <w:rPr>
          <w:noProof/>
        </w:rPr>
      </w:pPr>
      <w:r w:rsidRPr="0013016F">
        <w:rPr>
          <w:b/>
        </w:rPr>
        <w:t>Figure 2</w:t>
      </w:r>
      <w:r w:rsidRPr="0013016F">
        <w:t>. Skin conductance levels (top) and subjective arousal ratings (bottom) regressed sample-wise on reaction time costs of switching between non-affective task sets (SwitchNA) scores. Means and standard errors (shaded) of low (light blue) and high (dark blue) SwitchNA scores (determined via median split) are plotted. Green areas represent cluster-corrected (based on 1000 permutations) significant differences. Raw t-statistics (and gridlines at -2 and 2 for orientation) are included on top of the two subplots. SwitchNA did not predict differences in arousal</w:t>
      </w:r>
      <w:r>
        <w:rPr>
          <w:noProof/>
        </w:rPr>
        <w:t>.</w:t>
      </w:r>
    </w:p>
    <w:p w:rsidR="00581A4D" w:rsidRDefault="00581A4D" w:rsidP="00581A4D">
      <w:pPr>
        <w:pStyle w:val="NormalWeb"/>
        <w:spacing w:before="0" w:beforeAutospacing="0" w:after="0" w:afterAutospacing="0" w:line="480" w:lineRule="auto"/>
        <w:ind w:firstLine="480"/>
        <w:rPr>
          <w:noProof/>
        </w:rPr>
      </w:pPr>
      <w:r w:rsidRPr="0013016F">
        <w:rPr>
          <w:b/>
        </w:rPr>
        <w:t>Figure 3</w:t>
      </w:r>
      <w:r w:rsidRPr="0013016F">
        <w:t>. Skin conductance levels (top) and subjective arousal ratings (bottom) regressed sample-wise on reaction time costs of switching to positive task sets (SwitchToP) scores. Means and standard errors (shaded) of low (light blue) and high (dark blue) SwitchToP scores (determined via median split) are plotted. Green areas represent cluster-corrected (based on 1000 permutations) significant differences. Raw t-statistics (and gridlines at -2 and 2 for orientation) are included on top of the two subplots</w:t>
      </w:r>
      <w:r w:rsidRPr="0013016F">
        <w:rPr>
          <w:noProof/>
        </w:rPr>
        <w:t>. Lower SwitchToP predicted lower skin conductance levels starting at the end of the spiders epoch and lasting throughout less threatening phases until the beginning of the second prolonged threat, the floor epoch.</w:t>
      </w:r>
    </w:p>
    <w:p w:rsidR="00581A4D" w:rsidRPr="00581A4D" w:rsidRDefault="00581A4D" w:rsidP="00581A4D">
      <w:pPr>
        <w:pStyle w:val="NormalWeb"/>
        <w:spacing w:before="0" w:beforeAutospacing="0" w:after="0" w:afterAutospacing="0" w:line="480" w:lineRule="auto"/>
        <w:ind w:firstLine="480"/>
        <w:rPr>
          <w:rFonts w:eastAsia="SimSun"/>
          <w:noProof/>
          <w:kern w:val="3"/>
          <w:lang w:eastAsia="zh-CN" w:bidi="hi-IN"/>
        </w:rPr>
      </w:pPr>
      <w:r w:rsidRPr="0013016F">
        <w:rPr>
          <w:b/>
        </w:rPr>
        <w:t>Figure 4</w:t>
      </w:r>
      <w:r w:rsidRPr="0013016F">
        <w:t xml:space="preserve">. Skin conductance levels (top) and subjective arousal ratings (bottom) regressed sample-wise on reaction time costs of switch from negative task sets (SwitchFromN) scores. </w:t>
      </w:r>
      <w:r w:rsidRPr="0013016F">
        <w:lastRenderedPageBreak/>
        <w:t>Means and standard errors (shaded) of low (light blue) and high (dark blue) SwitchFromN scores (determined via median split) are plotted. Green areas represent cluster-corrected (based on 1000 permutations) significant differences. Raw t-statistics (and gridlines at -2 and 2 for orientation) are included on top of the two subplots.</w:t>
      </w:r>
      <w:r w:rsidRPr="0013016F">
        <w:rPr>
          <w:noProof/>
        </w:rPr>
        <w:t xml:space="preserve"> Lower SwitchFromN predicted higher subjective arousal rating d</w:t>
      </w:r>
      <w:r>
        <w:rPr>
          <w:noProof/>
        </w:rPr>
        <w:t>uring the exploded-floor epoch.</w:t>
      </w:r>
    </w:p>
    <w:p w:rsidR="00581A4D" w:rsidRPr="00C030D9" w:rsidRDefault="00581A4D" w:rsidP="00581A4D">
      <w:pPr>
        <w:keepNext/>
        <w:spacing w:line="480" w:lineRule="auto"/>
        <w:ind w:firstLine="480"/>
        <w:rPr>
          <w:rFonts w:eastAsia="Times New Roman" w:cs="Times New Roman"/>
          <w:kern w:val="0"/>
          <w:lang w:val="en-US" w:eastAsia="en-US" w:bidi="ar-SA"/>
        </w:rPr>
      </w:pPr>
      <w:r w:rsidRPr="00C030D9">
        <w:rPr>
          <w:rFonts w:eastAsia="Times New Roman" w:cs="Times New Roman"/>
          <w:b/>
          <w:kern w:val="0"/>
          <w:lang w:val="en-US" w:eastAsia="en-US" w:bidi="ar-SA"/>
        </w:rPr>
        <w:t>Figure 5</w:t>
      </w:r>
      <w:r w:rsidRPr="00C030D9">
        <w:rPr>
          <w:rFonts w:eastAsia="Times New Roman" w:cs="Times New Roman"/>
          <w:kern w:val="0"/>
          <w:lang w:val="en-US" w:eastAsia="en-US" w:bidi="ar-SA"/>
        </w:rPr>
        <w:t xml:space="preserve">. Skin conductance levels (top) and subjective arousal ratings (bottom) regressed sample-wise on RMSSD of Heart Rate Variability (HRV) scores. Means and standard errors (shaded) of low (light blue) and high (dark blue) RMSSD (determined via median split) are plotted. Green areas represent cluster-corrected (based on 1000 permutations) significant differences. Raw t-statistics (and gridlines at -2 and 2 for orientation) are included on top of the two subplots. Higher RMSSD predicted lower subjective arousal ratings during and after the two longest threat epochs, the spiders and the </w:t>
      </w:r>
      <w:r>
        <w:rPr>
          <w:rFonts w:eastAsia="Times New Roman" w:cs="Times New Roman"/>
          <w:kern w:val="0"/>
          <w:lang w:val="en-US" w:eastAsia="en-US" w:bidi="ar-SA"/>
        </w:rPr>
        <w:t>exploded-floor epoch.</w:t>
      </w:r>
    </w:p>
    <w:p w:rsidR="001C6697" w:rsidRDefault="00581A4D" w:rsidP="00581A4D">
      <w:pPr>
        <w:spacing w:line="480" w:lineRule="auto"/>
        <w:ind w:firstLine="480"/>
        <w:rPr>
          <w:lang w:val="en-US"/>
        </w:rPr>
      </w:pPr>
      <w:r w:rsidRPr="00581A4D">
        <w:rPr>
          <w:b/>
          <w:lang w:val="en-US"/>
        </w:rPr>
        <w:t>Figure 6</w:t>
      </w:r>
      <w:r w:rsidRPr="00581A4D">
        <w:rPr>
          <w:lang w:val="en-US"/>
        </w:rPr>
        <w:t>. Skin conductance levels (top) and subjective arousal ratings (bottom) regressed sample-wise on resilience (ER89) scores. Means and standard errors (shaded) of low (light blue) and high (dark blue) ER89 scores (determined via median split) are plotted. Green areas represent cluster-corrected (based on 1000 permutations) significant differences. Raw t-statistics (and gridlines at -2 and 2 for orientation) are included on top of the two subplots. High ER89 scores predicted lower subjective arousal ratings starting after the onset of the first prolonged threat, the spider epoch.</w:t>
      </w:r>
    </w:p>
    <w:p w:rsidR="001C6697" w:rsidRDefault="001C6697">
      <w:pPr>
        <w:widowControl/>
        <w:suppressAutoHyphens w:val="0"/>
        <w:autoSpaceDN/>
        <w:textAlignment w:val="auto"/>
        <w:rPr>
          <w:lang w:val="en-US"/>
        </w:rPr>
      </w:pPr>
      <w:r>
        <w:rPr>
          <w:lang w:val="en-US"/>
        </w:rPr>
        <w:br w:type="page"/>
      </w:r>
    </w:p>
    <w:p w:rsidR="001C6697" w:rsidRPr="0013016F" w:rsidRDefault="001C6697" w:rsidP="001C6697">
      <w:pPr>
        <w:widowControl/>
        <w:suppressAutoHyphens w:val="0"/>
        <w:autoSpaceDN/>
        <w:spacing w:after="200" w:line="480" w:lineRule="auto"/>
        <w:ind w:firstLine="720"/>
        <w:jc w:val="center"/>
        <w:textAlignment w:val="auto"/>
        <w:rPr>
          <w:rFonts w:cs="Times New Roman"/>
          <w:b/>
          <w:lang w:val="en-US"/>
        </w:rPr>
      </w:pPr>
      <w:r w:rsidRPr="0013016F">
        <w:rPr>
          <w:rFonts w:eastAsiaTheme="minorEastAsia" w:cs="Times New Roman"/>
          <w:b/>
          <w:kern w:val="0"/>
          <w:lang w:val="en-US" w:eastAsia="en-US" w:bidi="ar-SA"/>
        </w:rPr>
        <w:lastRenderedPageBreak/>
        <w:t>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1C6697" w:rsidRPr="0013016F" w:rsidTr="005423F0">
        <w:tc>
          <w:tcPr>
            <w:tcW w:w="9576" w:type="dxa"/>
          </w:tcPr>
          <w:p w:rsidR="001C6697" w:rsidRPr="005A3BBE" w:rsidRDefault="001C6697" w:rsidP="005423F0">
            <w:pPr>
              <w:pStyle w:val="Standard1"/>
              <w:spacing w:line="480" w:lineRule="auto"/>
              <w:rPr>
                <w:b/>
                <w:lang w:val="en-US"/>
              </w:rPr>
            </w:pPr>
            <w:r w:rsidRPr="005A3BBE">
              <w:rPr>
                <w:lang w:val="en-US"/>
              </w:rPr>
              <w:t xml:space="preserve">Table 1. </w:t>
            </w:r>
            <w:r w:rsidRPr="005A3BBE">
              <w:rPr>
                <w:lang w:val="en-US"/>
              </w:rPr>
              <w:br/>
            </w:r>
            <w:r w:rsidRPr="005A3BBE">
              <w:rPr>
                <w:i/>
                <w:lang w:val="en-US"/>
              </w:rPr>
              <w:t>Mean and standard deviations of the reaction times on the different trial types of the Task Switching Task.</w:t>
            </w:r>
          </w:p>
        </w:tc>
      </w:tr>
      <w:tr w:rsidR="001C6697" w:rsidRPr="0013016F" w:rsidTr="005423F0">
        <w:tc>
          <w:tcPr>
            <w:tcW w:w="9576" w:type="dxa"/>
          </w:tcPr>
          <w:tbl>
            <w:tblPr>
              <w:tblStyle w:val="TableGrid"/>
              <w:tblpPr w:leftFromText="180" w:rightFromText="180" w:vertAnchor="text" w:horzAnchor="margin" w:tblpY="143"/>
              <w:tblW w:w="94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2"/>
              <w:gridCol w:w="988"/>
              <w:gridCol w:w="988"/>
              <w:gridCol w:w="989"/>
              <w:gridCol w:w="988"/>
              <w:gridCol w:w="989"/>
              <w:gridCol w:w="988"/>
              <w:gridCol w:w="989"/>
              <w:gridCol w:w="988"/>
              <w:gridCol w:w="989"/>
            </w:tblGrid>
            <w:tr w:rsidR="001C6697" w:rsidRPr="0013016F" w:rsidTr="005423F0">
              <w:trPr>
                <w:trHeight w:val="255"/>
              </w:trPr>
              <w:tc>
                <w:tcPr>
                  <w:tcW w:w="602" w:type="dxa"/>
                  <w:tcBorders>
                    <w:top w:val="single" w:sz="4" w:space="0" w:color="auto"/>
                  </w:tcBorders>
                </w:tcPr>
                <w:p w:rsidR="001C6697" w:rsidRPr="005A3BBE" w:rsidRDefault="001C6697" w:rsidP="005423F0">
                  <w:pPr>
                    <w:keepNext/>
                    <w:spacing w:line="480" w:lineRule="auto"/>
                    <w:rPr>
                      <w:sz w:val="20"/>
                      <w:szCs w:val="20"/>
                      <w:lang w:val="en-US"/>
                    </w:rPr>
                  </w:pPr>
                </w:p>
              </w:tc>
              <w:tc>
                <w:tcPr>
                  <w:tcW w:w="988"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 xml:space="preserve">Val </w:t>
                  </w:r>
                </w:p>
                <w:p w:rsidR="001C6697" w:rsidRPr="0013016F" w:rsidRDefault="001C6697" w:rsidP="005423F0">
                  <w:pPr>
                    <w:keepNext/>
                    <w:spacing w:line="276" w:lineRule="auto"/>
                    <w:rPr>
                      <w:sz w:val="20"/>
                      <w:szCs w:val="20"/>
                    </w:rPr>
                  </w:pPr>
                  <w:r w:rsidRPr="0013016F">
                    <w:rPr>
                      <w:sz w:val="20"/>
                      <w:szCs w:val="20"/>
                    </w:rPr>
                    <w:t>repeat</w:t>
                  </w:r>
                </w:p>
              </w:tc>
              <w:tc>
                <w:tcPr>
                  <w:tcW w:w="988"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 xml:space="preserve">Col </w:t>
                  </w:r>
                </w:p>
                <w:p w:rsidR="001C6697" w:rsidRPr="0013016F" w:rsidRDefault="001C6697" w:rsidP="005423F0">
                  <w:pPr>
                    <w:keepNext/>
                    <w:spacing w:line="276" w:lineRule="auto"/>
                    <w:rPr>
                      <w:sz w:val="20"/>
                      <w:szCs w:val="20"/>
                    </w:rPr>
                  </w:pPr>
                  <w:r w:rsidRPr="0013016F">
                    <w:rPr>
                      <w:sz w:val="20"/>
                      <w:szCs w:val="20"/>
                    </w:rPr>
                    <w:t>repeat</w:t>
                  </w:r>
                </w:p>
              </w:tc>
              <w:tc>
                <w:tcPr>
                  <w:tcW w:w="989"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 xml:space="preserve">Gra </w:t>
                  </w:r>
                </w:p>
                <w:p w:rsidR="001C6697" w:rsidRPr="0013016F" w:rsidRDefault="001C6697" w:rsidP="005423F0">
                  <w:pPr>
                    <w:keepNext/>
                    <w:spacing w:line="276" w:lineRule="auto"/>
                    <w:rPr>
                      <w:sz w:val="20"/>
                      <w:szCs w:val="20"/>
                    </w:rPr>
                  </w:pPr>
                  <w:r w:rsidRPr="0013016F">
                    <w:rPr>
                      <w:sz w:val="20"/>
                      <w:szCs w:val="20"/>
                    </w:rPr>
                    <w:t>repeat</w:t>
                  </w:r>
                </w:p>
              </w:tc>
              <w:tc>
                <w:tcPr>
                  <w:tcW w:w="988"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Col to Val</w:t>
                  </w:r>
                </w:p>
              </w:tc>
              <w:tc>
                <w:tcPr>
                  <w:tcW w:w="989"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Gra to Val</w:t>
                  </w:r>
                </w:p>
              </w:tc>
              <w:tc>
                <w:tcPr>
                  <w:tcW w:w="988"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Val to Col</w:t>
                  </w:r>
                </w:p>
              </w:tc>
              <w:tc>
                <w:tcPr>
                  <w:tcW w:w="989"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Gra to Col</w:t>
                  </w:r>
                </w:p>
              </w:tc>
              <w:tc>
                <w:tcPr>
                  <w:tcW w:w="988"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Val to Gra</w:t>
                  </w:r>
                </w:p>
              </w:tc>
              <w:tc>
                <w:tcPr>
                  <w:tcW w:w="989" w:type="dxa"/>
                  <w:tcBorders>
                    <w:top w:val="single" w:sz="4" w:space="0" w:color="auto"/>
                    <w:bottom w:val="single" w:sz="4" w:space="0" w:color="auto"/>
                  </w:tcBorders>
                </w:tcPr>
                <w:p w:rsidR="001C6697" w:rsidRPr="0013016F" w:rsidRDefault="001C6697" w:rsidP="005423F0">
                  <w:pPr>
                    <w:keepNext/>
                    <w:spacing w:line="276" w:lineRule="auto"/>
                    <w:rPr>
                      <w:sz w:val="20"/>
                      <w:szCs w:val="20"/>
                    </w:rPr>
                  </w:pPr>
                  <w:r w:rsidRPr="0013016F">
                    <w:rPr>
                      <w:sz w:val="20"/>
                      <w:szCs w:val="20"/>
                    </w:rPr>
                    <w:t>Col to Gra</w:t>
                  </w:r>
                </w:p>
              </w:tc>
            </w:tr>
            <w:tr w:rsidR="001C6697" w:rsidRPr="0013016F" w:rsidTr="005423F0">
              <w:trPr>
                <w:trHeight w:val="255"/>
              </w:trPr>
              <w:tc>
                <w:tcPr>
                  <w:tcW w:w="602" w:type="dxa"/>
                </w:tcPr>
                <w:p w:rsidR="001C6697" w:rsidRPr="0013016F" w:rsidRDefault="001C6697" w:rsidP="005423F0">
                  <w:pPr>
                    <w:keepNext/>
                    <w:spacing w:line="480" w:lineRule="auto"/>
                    <w:rPr>
                      <w:sz w:val="20"/>
                      <w:szCs w:val="20"/>
                    </w:rPr>
                  </w:pPr>
                  <w:r w:rsidRPr="0013016F">
                    <w:rPr>
                      <w:sz w:val="20"/>
                      <w:szCs w:val="20"/>
                    </w:rPr>
                    <w:t>M</w:t>
                  </w:r>
                </w:p>
              </w:tc>
              <w:tc>
                <w:tcPr>
                  <w:tcW w:w="988"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1473.76</w:t>
                  </w:r>
                </w:p>
              </w:tc>
              <w:tc>
                <w:tcPr>
                  <w:tcW w:w="988"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1706.94</w:t>
                  </w:r>
                </w:p>
              </w:tc>
              <w:tc>
                <w:tcPr>
                  <w:tcW w:w="989"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1628.52</w:t>
                  </w:r>
                </w:p>
              </w:tc>
              <w:tc>
                <w:tcPr>
                  <w:tcW w:w="988"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1683.67</w:t>
                  </w:r>
                </w:p>
              </w:tc>
              <w:tc>
                <w:tcPr>
                  <w:tcW w:w="989"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1690.22</w:t>
                  </w:r>
                </w:p>
              </w:tc>
              <w:tc>
                <w:tcPr>
                  <w:tcW w:w="988"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2089.53</w:t>
                  </w:r>
                </w:p>
              </w:tc>
              <w:tc>
                <w:tcPr>
                  <w:tcW w:w="989"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2080.65</w:t>
                  </w:r>
                </w:p>
              </w:tc>
              <w:tc>
                <w:tcPr>
                  <w:tcW w:w="988"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2106.97</w:t>
                  </w:r>
                </w:p>
              </w:tc>
              <w:tc>
                <w:tcPr>
                  <w:tcW w:w="989" w:type="dxa"/>
                  <w:tcBorders>
                    <w:top w:val="single" w:sz="4" w:space="0" w:color="auto"/>
                  </w:tcBorders>
                </w:tcPr>
                <w:p w:rsidR="001C6697" w:rsidRPr="0013016F" w:rsidRDefault="001C6697" w:rsidP="005423F0">
                  <w:pPr>
                    <w:keepNext/>
                    <w:spacing w:line="480" w:lineRule="auto"/>
                    <w:rPr>
                      <w:sz w:val="20"/>
                      <w:szCs w:val="20"/>
                    </w:rPr>
                  </w:pPr>
                  <w:r w:rsidRPr="0013016F">
                    <w:rPr>
                      <w:sz w:val="20"/>
                      <w:szCs w:val="20"/>
                    </w:rPr>
                    <w:t>2139.12</w:t>
                  </w:r>
                </w:p>
              </w:tc>
            </w:tr>
            <w:tr w:rsidR="001C6697" w:rsidRPr="0013016F" w:rsidTr="005423F0">
              <w:trPr>
                <w:trHeight w:val="255"/>
              </w:trPr>
              <w:tc>
                <w:tcPr>
                  <w:tcW w:w="602"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SD</w:t>
                  </w:r>
                </w:p>
              </w:tc>
              <w:tc>
                <w:tcPr>
                  <w:tcW w:w="988"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311.91</w:t>
                  </w:r>
                </w:p>
              </w:tc>
              <w:tc>
                <w:tcPr>
                  <w:tcW w:w="988"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422.10</w:t>
                  </w:r>
                </w:p>
              </w:tc>
              <w:tc>
                <w:tcPr>
                  <w:tcW w:w="989"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403.87</w:t>
                  </w:r>
                </w:p>
              </w:tc>
              <w:tc>
                <w:tcPr>
                  <w:tcW w:w="988"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347.25</w:t>
                  </w:r>
                </w:p>
              </w:tc>
              <w:tc>
                <w:tcPr>
                  <w:tcW w:w="989"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340.10</w:t>
                  </w:r>
                </w:p>
              </w:tc>
              <w:tc>
                <w:tcPr>
                  <w:tcW w:w="988"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421.18</w:t>
                  </w:r>
                </w:p>
              </w:tc>
              <w:tc>
                <w:tcPr>
                  <w:tcW w:w="989"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421.12</w:t>
                  </w:r>
                </w:p>
              </w:tc>
              <w:tc>
                <w:tcPr>
                  <w:tcW w:w="988"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493.72</w:t>
                  </w:r>
                </w:p>
              </w:tc>
              <w:tc>
                <w:tcPr>
                  <w:tcW w:w="989" w:type="dxa"/>
                  <w:tcBorders>
                    <w:bottom w:val="single" w:sz="4" w:space="0" w:color="000000"/>
                  </w:tcBorders>
                </w:tcPr>
                <w:p w:rsidR="001C6697" w:rsidRPr="0013016F" w:rsidRDefault="001C6697" w:rsidP="005423F0">
                  <w:pPr>
                    <w:keepNext/>
                    <w:spacing w:line="480" w:lineRule="auto"/>
                    <w:rPr>
                      <w:sz w:val="20"/>
                      <w:szCs w:val="20"/>
                    </w:rPr>
                  </w:pPr>
                  <w:r w:rsidRPr="0013016F">
                    <w:rPr>
                      <w:sz w:val="20"/>
                      <w:szCs w:val="20"/>
                    </w:rPr>
                    <w:t>489.53</w:t>
                  </w:r>
                </w:p>
              </w:tc>
            </w:tr>
          </w:tbl>
          <w:p w:rsidR="001C6697" w:rsidRPr="0013016F" w:rsidRDefault="001C6697" w:rsidP="005423F0">
            <w:pPr>
              <w:pStyle w:val="Standard1"/>
              <w:spacing w:line="480" w:lineRule="auto"/>
              <w:jc w:val="center"/>
              <w:rPr>
                <w:b/>
              </w:rPr>
            </w:pPr>
          </w:p>
        </w:tc>
      </w:tr>
    </w:tbl>
    <w:p w:rsidR="001C6697" w:rsidRPr="0013016F" w:rsidRDefault="001C6697" w:rsidP="001C6697">
      <w:pPr>
        <w:spacing w:line="480" w:lineRule="auto"/>
        <w:rPr>
          <w:rFonts w:cs="Times New Roman"/>
        </w:rPr>
      </w:pPr>
      <w:r w:rsidRPr="0013016F">
        <w:rPr>
          <w:rFonts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1C6697" w:rsidRPr="00D435A9" w:rsidTr="005423F0">
        <w:tc>
          <w:tcPr>
            <w:tcW w:w="9576" w:type="dxa"/>
          </w:tcPr>
          <w:p w:rsidR="001C6697" w:rsidRPr="005A3BBE" w:rsidRDefault="001C6697" w:rsidP="005423F0">
            <w:pPr>
              <w:keepNext/>
              <w:spacing w:line="480" w:lineRule="auto"/>
              <w:rPr>
                <w:lang w:val="en-US"/>
              </w:rPr>
            </w:pPr>
          </w:p>
          <w:p w:rsidR="001C6697" w:rsidRPr="005A3BBE" w:rsidRDefault="001C6697" w:rsidP="005423F0">
            <w:pPr>
              <w:keepNext/>
              <w:spacing w:line="480" w:lineRule="auto"/>
              <w:rPr>
                <w:lang w:val="en-US"/>
              </w:rPr>
            </w:pPr>
            <w:r w:rsidRPr="005A3BBE">
              <w:rPr>
                <w:lang w:val="en-US"/>
              </w:rPr>
              <w:t xml:space="preserve">Table 2. </w:t>
            </w:r>
            <w:r w:rsidRPr="005A3BBE">
              <w:rPr>
                <w:lang w:val="en-US"/>
              </w:rPr>
              <w:br/>
            </w:r>
            <w:r w:rsidRPr="005A3BBE">
              <w:rPr>
                <w:i/>
                <w:lang w:val="en-US"/>
              </w:rPr>
              <w:t>Descriptive statistics and intercorrelations of the independent variables.</w:t>
            </w:r>
          </w:p>
        </w:tc>
      </w:tr>
      <w:tr w:rsidR="001C6697" w:rsidRPr="0013016F" w:rsidTr="005423F0">
        <w:tc>
          <w:tcPr>
            <w:tcW w:w="9576" w:type="dxa"/>
          </w:tcPr>
          <w:tbl>
            <w:tblPr>
              <w:tblpPr w:leftFromText="180" w:rightFromText="180" w:vertAnchor="text" w:horzAnchor="page" w:tblpX="613" w:tblpY="91"/>
              <w:tblW w:w="9589" w:type="dxa"/>
              <w:tblBorders>
                <w:top w:val="single" w:sz="4" w:space="0" w:color="auto"/>
                <w:bottom w:val="single" w:sz="4" w:space="0" w:color="auto"/>
              </w:tblBorders>
              <w:tblLayout w:type="fixed"/>
              <w:tblLook w:val="04A0" w:firstRow="1" w:lastRow="0" w:firstColumn="1" w:lastColumn="0" w:noHBand="0" w:noVBand="1"/>
            </w:tblPr>
            <w:tblGrid>
              <w:gridCol w:w="1783"/>
              <w:gridCol w:w="911"/>
              <w:gridCol w:w="850"/>
              <w:gridCol w:w="851"/>
              <w:gridCol w:w="737"/>
              <w:gridCol w:w="993"/>
              <w:gridCol w:w="992"/>
              <w:gridCol w:w="740"/>
              <w:gridCol w:w="961"/>
              <w:gridCol w:w="771"/>
            </w:tblGrid>
            <w:tr w:rsidR="001C6697" w:rsidRPr="0013016F" w:rsidTr="005423F0">
              <w:trPr>
                <w:trHeight w:val="300"/>
              </w:trPr>
              <w:tc>
                <w:tcPr>
                  <w:tcW w:w="1783" w:type="dxa"/>
                </w:tcPr>
                <w:p w:rsidR="001C6697" w:rsidRPr="0013016F" w:rsidRDefault="001C6697" w:rsidP="005423F0">
                  <w:pPr>
                    <w:spacing w:line="480" w:lineRule="auto"/>
                    <w:rPr>
                      <w:rFonts w:eastAsia="Times New Roman" w:cs="Times New Roman"/>
                      <w:b/>
                      <w:color w:val="000000"/>
                      <w:lang w:val="en-US"/>
                    </w:rPr>
                  </w:pPr>
                </w:p>
              </w:tc>
              <w:tc>
                <w:tcPr>
                  <w:tcW w:w="911" w:type="dxa"/>
                  <w:tcBorders>
                    <w:top w:val="single" w:sz="4" w:space="0" w:color="auto"/>
                    <w:bottom w:val="single" w:sz="4" w:space="0" w:color="000000"/>
                  </w:tcBorders>
                </w:tcPr>
                <w:p w:rsidR="001C6697" w:rsidRPr="0013016F" w:rsidRDefault="001C6697" w:rsidP="005423F0">
                  <w:pPr>
                    <w:spacing w:line="480" w:lineRule="auto"/>
                    <w:jc w:val="center"/>
                    <w:rPr>
                      <w:rFonts w:eastAsia="Times New Roman" w:cs="Times New Roman"/>
                      <w:b/>
                      <w:color w:val="000000"/>
                    </w:rPr>
                  </w:pPr>
                  <w:r w:rsidRPr="0013016F">
                    <w:rPr>
                      <w:rFonts w:eastAsia="Times New Roman" w:cs="Times New Roman"/>
                      <w:b/>
                      <w:color w:val="000000"/>
                    </w:rPr>
                    <w:t>M</w:t>
                  </w:r>
                </w:p>
              </w:tc>
              <w:tc>
                <w:tcPr>
                  <w:tcW w:w="850" w:type="dxa"/>
                  <w:tcBorders>
                    <w:top w:val="single" w:sz="4" w:space="0" w:color="auto"/>
                    <w:bottom w:val="single" w:sz="4" w:space="0" w:color="000000"/>
                  </w:tcBorders>
                </w:tcPr>
                <w:p w:rsidR="001C6697" w:rsidRPr="0013016F" w:rsidRDefault="001C6697" w:rsidP="005423F0">
                  <w:pPr>
                    <w:spacing w:line="480" w:lineRule="auto"/>
                    <w:jc w:val="center"/>
                    <w:rPr>
                      <w:rFonts w:eastAsia="Times New Roman" w:cs="Times New Roman"/>
                      <w:b/>
                      <w:color w:val="000000"/>
                      <w:lang w:val="en-US"/>
                    </w:rPr>
                  </w:pPr>
                  <w:r w:rsidRPr="0013016F">
                    <w:rPr>
                      <w:rFonts w:eastAsia="Times New Roman" w:cs="Times New Roman"/>
                      <w:b/>
                      <w:color w:val="000000"/>
                      <w:lang w:val="en-US"/>
                    </w:rPr>
                    <w:t>SD</w:t>
                  </w:r>
                </w:p>
              </w:tc>
              <w:tc>
                <w:tcPr>
                  <w:tcW w:w="851" w:type="dxa"/>
                  <w:tcBorders>
                    <w:top w:val="single" w:sz="4" w:space="0" w:color="auto"/>
                    <w:bottom w:val="single" w:sz="4" w:space="0" w:color="auto"/>
                  </w:tcBorders>
                  <w:shd w:val="clear" w:color="auto" w:fill="auto"/>
                  <w:noWrap/>
                  <w:vAlign w:val="bottom"/>
                </w:tcPr>
                <w:p w:rsidR="001C6697" w:rsidRPr="0013016F" w:rsidRDefault="001C6697" w:rsidP="005423F0">
                  <w:pPr>
                    <w:spacing w:line="480" w:lineRule="auto"/>
                    <w:jc w:val="center"/>
                    <w:rPr>
                      <w:rFonts w:eastAsia="Times New Roman" w:cs="Times New Roman"/>
                      <w:b/>
                      <w:color w:val="000000"/>
                      <w:lang w:val="en-US"/>
                    </w:rPr>
                  </w:pPr>
                  <w:r w:rsidRPr="0013016F">
                    <w:rPr>
                      <w:rFonts w:eastAsia="Times New Roman" w:cs="Times New Roman"/>
                      <w:b/>
                      <w:color w:val="000000"/>
                      <w:lang w:val="en-US"/>
                    </w:rPr>
                    <w:t>1.</w:t>
                  </w:r>
                </w:p>
              </w:tc>
              <w:tc>
                <w:tcPr>
                  <w:tcW w:w="737" w:type="dxa"/>
                  <w:tcBorders>
                    <w:top w:val="single" w:sz="4" w:space="0" w:color="auto"/>
                    <w:bottom w:val="single" w:sz="4" w:space="0" w:color="auto"/>
                  </w:tcBorders>
                  <w:shd w:val="clear" w:color="auto" w:fill="auto"/>
                  <w:noWrap/>
                  <w:vAlign w:val="bottom"/>
                </w:tcPr>
                <w:p w:rsidR="001C6697" w:rsidRPr="0013016F" w:rsidRDefault="001C6697" w:rsidP="005423F0">
                  <w:pPr>
                    <w:spacing w:line="480" w:lineRule="auto"/>
                    <w:jc w:val="center"/>
                    <w:rPr>
                      <w:rFonts w:eastAsia="Times New Roman" w:cs="Times New Roman"/>
                      <w:b/>
                      <w:color w:val="000000"/>
                      <w:lang w:val="en-US"/>
                    </w:rPr>
                  </w:pPr>
                  <w:r w:rsidRPr="0013016F">
                    <w:rPr>
                      <w:rFonts w:eastAsia="Times New Roman" w:cs="Times New Roman"/>
                      <w:b/>
                      <w:color w:val="000000"/>
                      <w:lang w:val="en-US"/>
                    </w:rPr>
                    <w:t>2.</w:t>
                  </w:r>
                </w:p>
              </w:tc>
              <w:tc>
                <w:tcPr>
                  <w:tcW w:w="993" w:type="dxa"/>
                  <w:tcBorders>
                    <w:top w:val="single" w:sz="4" w:space="0" w:color="auto"/>
                    <w:bottom w:val="single" w:sz="4" w:space="0" w:color="auto"/>
                  </w:tcBorders>
                  <w:shd w:val="clear" w:color="auto" w:fill="auto"/>
                  <w:noWrap/>
                  <w:vAlign w:val="bottom"/>
                </w:tcPr>
                <w:p w:rsidR="001C6697" w:rsidRPr="0013016F" w:rsidRDefault="001C6697" w:rsidP="005423F0">
                  <w:pPr>
                    <w:spacing w:line="480" w:lineRule="auto"/>
                    <w:jc w:val="center"/>
                    <w:rPr>
                      <w:rFonts w:eastAsia="Times New Roman" w:cs="Times New Roman"/>
                      <w:b/>
                      <w:color w:val="000000"/>
                      <w:lang w:val="en-US"/>
                    </w:rPr>
                  </w:pPr>
                  <w:r w:rsidRPr="0013016F">
                    <w:rPr>
                      <w:rFonts w:eastAsia="Times New Roman" w:cs="Times New Roman"/>
                      <w:b/>
                      <w:color w:val="000000"/>
                      <w:lang w:val="en-US"/>
                    </w:rPr>
                    <w:t>3.</w:t>
                  </w:r>
                </w:p>
              </w:tc>
              <w:tc>
                <w:tcPr>
                  <w:tcW w:w="992" w:type="dxa"/>
                  <w:tcBorders>
                    <w:top w:val="single" w:sz="4" w:space="0" w:color="auto"/>
                    <w:bottom w:val="single" w:sz="4" w:space="0" w:color="auto"/>
                  </w:tcBorders>
                  <w:shd w:val="clear" w:color="auto" w:fill="auto"/>
                  <w:noWrap/>
                  <w:vAlign w:val="bottom"/>
                </w:tcPr>
                <w:p w:rsidR="001C6697" w:rsidRPr="0013016F" w:rsidRDefault="001C6697" w:rsidP="005423F0">
                  <w:pPr>
                    <w:spacing w:line="480" w:lineRule="auto"/>
                    <w:jc w:val="center"/>
                    <w:rPr>
                      <w:rFonts w:eastAsia="Times New Roman" w:cs="Times New Roman"/>
                      <w:b/>
                      <w:color w:val="000000"/>
                      <w:lang w:val="en-US"/>
                    </w:rPr>
                  </w:pPr>
                  <w:r w:rsidRPr="0013016F">
                    <w:rPr>
                      <w:rFonts w:eastAsia="Times New Roman" w:cs="Times New Roman"/>
                      <w:b/>
                      <w:color w:val="000000"/>
                      <w:lang w:val="en-US"/>
                    </w:rPr>
                    <w:t>4.</w:t>
                  </w:r>
                </w:p>
              </w:tc>
              <w:tc>
                <w:tcPr>
                  <w:tcW w:w="740" w:type="dxa"/>
                  <w:tcBorders>
                    <w:top w:val="single" w:sz="4" w:space="0" w:color="auto"/>
                    <w:bottom w:val="single" w:sz="4" w:space="0" w:color="auto"/>
                  </w:tcBorders>
                  <w:shd w:val="clear" w:color="auto" w:fill="auto"/>
                  <w:noWrap/>
                  <w:vAlign w:val="bottom"/>
                </w:tcPr>
                <w:p w:rsidR="001C6697" w:rsidRPr="0013016F" w:rsidRDefault="001C6697" w:rsidP="005423F0">
                  <w:pPr>
                    <w:spacing w:line="480" w:lineRule="auto"/>
                    <w:jc w:val="center"/>
                    <w:rPr>
                      <w:rFonts w:eastAsia="Times New Roman" w:cs="Times New Roman"/>
                      <w:b/>
                      <w:color w:val="000000"/>
                      <w:lang w:val="en-US"/>
                    </w:rPr>
                  </w:pPr>
                  <w:r w:rsidRPr="0013016F">
                    <w:rPr>
                      <w:rFonts w:eastAsia="Times New Roman" w:cs="Times New Roman"/>
                      <w:b/>
                      <w:color w:val="000000"/>
                      <w:lang w:val="en-US"/>
                    </w:rPr>
                    <w:t>5.</w:t>
                  </w:r>
                </w:p>
              </w:tc>
              <w:tc>
                <w:tcPr>
                  <w:tcW w:w="961" w:type="dxa"/>
                  <w:tcBorders>
                    <w:top w:val="single" w:sz="4" w:space="0" w:color="auto"/>
                    <w:bottom w:val="single" w:sz="4" w:space="0" w:color="auto"/>
                  </w:tcBorders>
                  <w:shd w:val="clear" w:color="auto" w:fill="auto"/>
                  <w:noWrap/>
                  <w:vAlign w:val="bottom"/>
                </w:tcPr>
                <w:p w:rsidR="001C6697" w:rsidRPr="0013016F" w:rsidRDefault="001C6697" w:rsidP="005423F0">
                  <w:pPr>
                    <w:spacing w:line="480" w:lineRule="auto"/>
                    <w:jc w:val="center"/>
                    <w:rPr>
                      <w:rFonts w:eastAsia="Times New Roman" w:cs="Times New Roman"/>
                      <w:b/>
                      <w:color w:val="000000"/>
                      <w:lang w:val="en-US"/>
                    </w:rPr>
                  </w:pPr>
                  <w:r w:rsidRPr="0013016F">
                    <w:rPr>
                      <w:rFonts w:eastAsia="Times New Roman" w:cs="Times New Roman"/>
                      <w:b/>
                      <w:color w:val="000000"/>
                      <w:lang w:val="en-US"/>
                    </w:rPr>
                    <w:t>6.</w:t>
                  </w:r>
                </w:p>
              </w:tc>
              <w:tc>
                <w:tcPr>
                  <w:tcW w:w="771" w:type="dxa"/>
                  <w:tcBorders>
                    <w:bottom w:val="single" w:sz="4" w:space="0" w:color="auto"/>
                  </w:tcBorders>
                  <w:shd w:val="clear" w:color="auto" w:fill="auto"/>
                  <w:noWrap/>
                  <w:vAlign w:val="bottom"/>
                </w:tcPr>
                <w:p w:rsidR="001C6697" w:rsidRPr="0013016F" w:rsidRDefault="001C6697" w:rsidP="005423F0">
                  <w:pPr>
                    <w:spacing w:line="480" w:lineRule="auto"/>
                    <w:jc w:val="center"/>
                    <w:rPr>
                      <w:rFonts w:eastAsia="Times New Roman" w:cs="Times New Roman"/>
                      <w:b/>
                      <w:color w:val="000000"/>
                      <w:lang w:val="en-US"/>
                    </w:rPr>
                  </w:pPr>
                  <w:r w:rsidRPr="0013016F">
                    <w:rPr>
                      <w:rFonts w:eastAsia="Times New Roman" w:cs="Times New Roman"/>
                      <w:b/>
                      <w:color w:val="000000"/>
                      <w:lang w:val="en-US"/>
                    </w:rPr>
                    <w:t>7.</w:t>
                  </w:r>
                </w:p>
              </w:tc>
            </w:tr>
            <w:tr w:rsidR="001C6697" w:rsidRPr="0013016F" w:rsidTr="005423F0">
              <w:trPr>
                <w:trHeight w:val="300"/>
              </w:trPr>
              <w:tc>
                <w:tcPr>
                  <w:tcW w:w="1783" w:type="dxa"/>
                </w:tcPr>
                <w:p w:rsidR="001C6697" w:rsidRPr="0013016F" w:rsidRDefault="001C6697" w:rsidP="005423F0">
                  <w:pPr>
                    <w:spacing w:line="276" w:lineRule="auto"/>
                    <w:rPr>
                      <w:rFonts w:eastAsia="Times New Roman" w:cs="Times New Roman"/>
                      <w:color w:val="000000"/>
                      <w:lang w:val="en-US"/>
                    </w:rPr>
                  </w:pPr>
                  <w:r w:rsidRPr="0013016F">
                    <w:rPr>
                      <w:rFonts w:eastAsia="Times New Roman" w:cs="Times New Roman"/>
                      <w:b/>
                      <w:color w:val="000000"/>
                      <w:lang w:val="en-US"/>
                    </w:rPr>
                    <w:t>1.</w:t>
                  </w:r>
                  <w:r w:rsidRPr="0013016F">
                    <w:rPr>
                      <w:rFonts w:eastAsia="Times New Roman" w:cs="Times New Roman"/>
                      <w:color w:val="000000"/>
                      <w:lang w:val="en-US"/>
                    </w:rPr>
                    <w:t xml:space="preserve"> Heart Rate Variability (HRV)</w:t>
                  </w:r>
                </w:p>
              </w:tc>
              <w:tc>
                <w:tcPr>
                  <w:tcW w:w="911" w:type="dxa"/>
                  <w:tcBorders>
                    <w:top w:val="single" w:sz="4" w:space="0" w:color="000000"/>
                  </w:tcBorders>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0.05</w:t>
                  </w:r>
                </w:p>
              </w:tc>
              <w:tc>
                <w:tcPr>
                  <w:tcW w:w="850" w:type="dxa"/>
                  <w:tcBorders>
                    <w:top w:val="single" w:sz="4" w:space="0" w:color="000000"/>
                  </w:tcBorders>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0.02</w:t>
                  </w:r>
                </w:p>
              </w:tc>
              <w:tc>
                <w:tcPr>
                  <w:tcW w:w="851" w:type="dxa"/>
                  <w:tcBorders>
                    <w:top w:val="single" w:sz="4" w:space="0" w:color="auto"/>
                  </w:tcBorders>
                  <w:shd w:val="clear" w:color="auto" w:fill="auto"/>
                  <w:noWrap/>
                  <w:hideMark/>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1</w:t>
                  </w:r>
                </w:p>
              </w:tc>
              <w:tc>
                <w:tcPr>
                  <w:tcW w:w="737" w:type="dxa"/>
                  <w:tcBorders>
                    <w:top w:val="single" w:sz="4" w:space="0" w:color="auto"/>
                  </w:tcBorders>
                  <w:shd w:val="clear" w:color="auto" w:fill="auto"/>
                  <w:noWrap/>
                </w:tcPr>
                <w:p w:rsidR="001C6697" w:rsidRPr="0013016F" w:rsidRDefault="001C6697" w:rsidP="005423F0">
                  <w:pPr>
                    <w:spacing w:line="480" w:lineRule="auto"/>
                    <w:rPr>
                      <w:rFonts w:cs="Times New Roman"/>
                      <w:sz w:val="22"/>
                      <w:szCs w:val="22"/>
                      <w:lang w:val="en-US"/>
                    </w:rPr>
                  </w:pPr>
                </w:p>
              </w:tc>
              <w:tc>
                <w:tcPr>
                  <w:tcW w:w="993" w:type="dxa"/>
                  <w:tcBorders>
                    <w:top w:val="single" w:sz="4" w:space="0" w:color="auto"/>
                  </w:tcBorders>
                  <w:shd w:val="clear" w:color="auto" w:fill="auto"/>
                  <w:noWrap/>
                </w:tcPr>
                <w:p w:rsidR="001C6697" w:rsidRPr="0013016F" w:rsidRDefault="001C6697" w:rsidP="005423F0">
                  <w:pPr>
                    <w:spacing w:line="480" w:lineRule="auto"/>
                    <w:rPr>
                      <w:rFonts w:cs="Times New Roman"/>
                      <w:sz w:val="22"/>
                      <w:szCs w:val="22"/>
                      <w:lang w:val="en-US"/>
                    </w:rPr>
                  </w:pPr>
                </w:p>
              </w:tc>
              <w:tc>
                <w:tcPr>
                  <w:tcW w:w="992" w:type="dxa"/>
                  <w:tcBorders>
                    <w:top w:val="single" w:sz="4" w:space="0" w:color="auto"/>
                  </w:tcBorders>
                  <w:shd w:val="clear" w:color="auto" w:fill="auto"/>
                  <w:noWrap/>
                </w:tcPr>
                <w:p w:rsidR="001C6697" w:rsidRPr="0013016F" w:rsidRDefault="001C6697" w:rsidP="005423F0">
                  <w:pPr>
                    <w:spacing w:line="480" w:lineRule="auto"/>
                    <w:rPr>
                      <w:rFonts w:cs="Times New Roman"/>
                      <w:sz w:val="22"/>
                      <w:szCs w:val="22"/>
                      <w:lang w:val="en-US"/>
                    </w:rPr>
                  </w:pPr>
                </w:p>
              </w:tc>
              <w:tc>
                <w:tcPr>
                  <w:tcW w:w="740" w:type="dxa"/>
                  <w:tcBorders>
                    <w:top w:val="single" w:sz="4" w:space="0" w:color="auto"/>
                  </w:tcBorders>
                  <w:shd w:val="clear" w:color="auto" w:fill="auto"/>
                  <w:noWrap/>
                </w:tcPr>
                <w:p w:rsidR="001C6697" w:rsidRPr="0013016F" w:rsidRDefault="001C6697" w:rsidP="005423F0">
                  <w:pPr>
                    <w:spacing w:line="480" w:lineRule="auto"/>
                    <w:rPr>
                      <w:rFonts w:cs="Times New Roman"/>
                      <w:sz w:val="22"/>
                      <w:szCs w:val="22"/>
                      <w:lang w:val="en-US"/>
                    </w:rPr>
                  </w:pPr>
                </w:p>
              </w:tc>
              <w:tc>
                <w:tcPr>
                  <w:tcW w:w="961" w:type="dxa"/>
                  <w:tcBorders>
                    <w:top w:val="single" w:sz="4" w:space="0" w:color="auto"/>
                  </w:tcBorders>
                  <w:shd w:val="clear" w:color="auto" w:fill="auto"/>
                  <w:noWrap/>
                </w:tcPr>
                <w:p w:rsidR="001C6697" w:rsidRPr="0013016F" w:rsidRDefault="001C6697" w:rsidP="005423F0">
                  <w:pPr>
                    <w:spacing w:line="480" w:lineRule="auto"/>
                    <w:rPr>
                      <w:rFonts w:cs="Times New Roman"/>
                      <w:sz w:val="22"/>
                      <w:szCs w:val="22"/>
                      <w:lang w:val="en-US"/>
                    </w:rPr>
                  </w:pPr>
                </w:p>
              </w:tc>
              <w:tc>
                <w:tcPr>
                  <w:tcW w:w="771" w:type="dxa"/>
                  <w:shd w:val="clear" w:color="auto" w:fill="auto"/>
                  <w:noWrap/>
                </w:tcPr>
                <w:p w:rsidR="001C6697" w:rsidRPr="0013016F" w:rsidRDefault="001C6697" w:rsidP="005423F0">
                  <w:pPr>
                    <w:spacing w:line="480" w:lineRule="auto"/>
                    <w:rPr>
                      <w:rFonts w:cs="Times New Roman"/>
                      <w:sz w:val="22"/>
                      <w:szCs w:val="22"/>
                      <w:lang w:val="en-US"/>
                    </w:rPr>
                  </w:pPr>
                </w:p>
              </w:tc>
            </w:tr>
            <w:tr w:rsidR="001C6697" w:rsidRPr="0013016F" w:rsidTr="005423F0">
              <w:trPr>
                <w:trHeight w:val="300"/>
              </w:trPr>
              <w:tc>
                <w:tcPr>
                  <w:tcW w:w="1783" w:type="dxa"/>
                </w:tcPr>
                <w:p w:rsidR="001C6697" w:rsidRPr="0013016F" w:rsidRDefault="001C6697" w:rsidP="005423F0">
                  <w:pPr>
                    <w:spacing w:line="276" w:lineRule="auto"/>
                    <w:rPr>
                      <w:rFonts w:eastAsia="Times New Roman" w:cs="Times New Roman"/>
                      <w:color w:val="000000"/>
                      <w:lang w:val="en-US"/>
                    </w:rPr>
                  </w:pPr>
                  <w:r w:rsidRPr="0013016F">
                    <w:rPr>
                      <w:rFonts w:eastAsia="Times New Roman" w:cs="Times New Roman"/>
                      <w:b/>
                      <w:color w:val="000000"/>
                      <w:lang w:val="en-US"/>
                    </w:rPr>
                    <w:t>2.</w:t>
                  </w:r>
                  <w:r w:rsidRPr="0013016F">
                    <w:rPr>
                      <w:rFonts w:eastAsia="Times New Roman" w:cs="Times New Roman"/>
                      <w:color w:val="000000"/>
                      <w:lang w:val="en-US"/>
                    </w:rPr>
                    <w:t xml:space="preserve"> Resilience (ER89)</w:t>
                  </w:r>
                </w:p>
              </w:tc>
              <w:tc>
                <w:tcPr>
                  <w:tcW w:w="911"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2.04</w:t>
                  </w:r>
                </w:p>
              </w:tc>
              <w:tc>
                <w:tcPr>
                  <w:tcW w:w="850"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0.36</w:t>
                  </w:r>
                </w:p>
              </w:tc>
              <w:tc>
                <w:tcPr>
                  <w:tcW w:w="851" w:type="dxa"/>
                  <w:shd w:val="clear" w:color="auto" w:fill="auto"/>
                  <w:noWrap/>
                  <w:hideMark/>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0.16</w:t>
                  </w:r>
                  <w:r w:rsidRPr="0013016F">
                    <w:rPr>
                      <w:rFonts w:cs="Times New Roman"/>
                      <w:sz w:val="22"/>
                      <w:szCs w:val="22"/>
                      <w:vertAlign w:val="superscript"/>
                      <w:lang w:val="en-US"/>
                    </w:rPr>
                    <w:t>**</w:t>
                  </w:r>
                </w:p>
              </w:tc>
              <w:tc>
                <w:tcPr>
                  <w:tcW w:w="737" w:type="dxa"/>
                  <w:shd w:val="clear" w:color="auto" w:fill="auto"/>
                  <w:noWrap/>
                  <w:hideMark/>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1</w:t>
                  </w:r>
                </w:p>
              </w:tc>
              <w:tc>
                <w:tcPr>
                  <w:tcW w:w="993" w:type="dxa"/>
                  <w:shd w:val="clear" w:color="auto" w:fill="auto"/>
                  <w:noWrap/>
                </w:tcPr>
                <w:p w:rsidR="001C6697" w:rsidRPr="0013016F" w:rsidRDefault="001C6697" w:rsidP="005423F0">
                  <w:pPr>
                    <w:spacing w:line="480" w:lineRule="auto"/>
                    <w:rPr>
                      <w:rFonts w:cs="Times New Roman"/>
                      <w:sz w:val="22"/>
                      <w:szCs w:val="22"/>
                      <w:lang w:val="en-US"/>
                    </w:rPr>
                  </w:pPr>
                </w:p>
              </w:tc>
              <w:tc>
                <w:tcPr>
                  <w:tcW w:w="992" w:type="dxa"/>
                  <w:shd w:val="clear" w:color="auto" w:fill="auto"/>
                  <w:noWrap/>
                </w:tcPr>
                <w:p w:rsidR="001C6697" w:rsidRPr="0013016F" w:rsidRDefault="001C6697" w:rsidP="005423F0">
                  <w:pPr>
                    <w:spacing w:line="480" w:lineRule="auto"/>
                    <w:rPr>
                      <w:rFonts w:cs="Times New Roman"/>
                      <w:sz w:val="22"/>
                      <w:szCs w:val="22"/>
                      <w:lang w:val="en-US"/>
                    </w:rPr>
                  </w:pPr>
                </w:p>
              </w:tc>
              <w:tc>
                <w:tcPr>
                  <w:tcW w:w="740" w:type="dxa"/>
                  <w:shd w:val="clear" w:color="auto" w:fill="auto"/>
                  <w:noWrap/>
                </w:tcPr>
                <w:p w:rsidR="001C6697" w:rsidRPr="0013016F" w:rsidRDefault="001C6697" w:rsidP="005423F0">
                  <w:pPr>
                    <w:spacing w:line="480" w:lineRule="auto"/>
                    <w:rPr>
                      <w:rFonts w:cs="Times New Roman"/>
                      <w:sz w:val="22"/>
                      <w:szCs w:val="22"/>
                      <w:lang w:val="en-US"/>
                    </w:rPr>
                  </w:pPr>
                </w:p>
              </w:tc>
              <w:tc>
                <w:tcPr>
                  <w:tcW w:w="961" w:type="dxa"/>
                  <w:shd w:val="clear" w:color="auto" w:fill="auto"/>
                  <w:noWrap/>
                </w:tcPr>
                <w:p w:rsidR="001C6697" w:rsidRPr="0013016F" w:rsidRDefault="001C6697" w:rsidP="005423F0">
                  <w:pPr>
                    <w:spacing w:line="480" w:lineRule="auto"/>
                    <w:rPr>
                      <w:rFonts w:cs="Times New Roman"/>
                      <w:sz w:val="22"/>
                      <w:szCs w:val="22"/>
                      <w:lang w:val="en-US"/>
                    </w:rPr>
                  </w:pPr>
                </w:p>
              </w:tc>
              <w:tc>
                <w:tcPr>
                  <w:tcW w:w="771" w:type="dxa"/>
                  <w:shd w:val="clear" w:color="auto" w:fill="auto"/>
                  <w:noWrap/>
                </w:tcPr>
                <w:p w:rsidR="001C6697" w:rsidRPr="0013016F" w:rsidRDefault="001C6697" w:rsidP="005423F0">
                  <w:pPr>
                    <w:spacing w:line="480" w:lineRule="auto"/>
                    <w:rPr>
                      <w:rFonts w:cs="Times New Roman"/>
                      <w:sz w:val="22"/>
                      <w:szCs w:val="22"/>
                      <w:lang w:val="en-US"/>
                    </w:rPr>
                  </w:pPr>
                </w:p>
              </w:tc>
            </w:tr>
            <w:tr w:rsidR="001C6697" w:rsidRPr="0013016F" w:rsidTr="005423F0">
              <w:trPr>
                <w:trHeight w:val="300"/>
              </w:trPr>
              <w:tc>
                <w:tcPr>
                  <w:tcW w:w="1783" w:type="dxa"/>
                </w:tcPr>
                <w:p w:rsidR="001C6697" w:rsidRPr="0013016F" w:rsidRDefault="001C6697" w:rsidP="005423F0">
                  <w:pPr>
                    <w:spacing w:line="276" w:lineRule="auto"/>
                    <w:rPr>
                      <w:rFonts w:eastAsia="Times New Roman" w:cs="Times New Roman"/>
                      <w:color w:val="000000"/>
                      <w:lang w:val="en-US"/>
                    </w:rPr>
                  </w:pPr>
                  <w:r w:rsidRPr="0013016F">
                    <w:rPr>
                      <w:rFonts w:eastAsia="Times New Roman" w:cs="Times New Roman"/>
                      <w:b/>
                      <w:color w:val="000000"/>
                      <w:lang w:val="en-US"/>
                    </w:rPr>
                    <w:t>3.</w:t>
                  </w:r>
                  <w:r w:rsidRPr="0013016F">
                    <w:rPr>
                      <w:rFonts w:eastAsia="Times New Roman" w:cs="Times New Roman"/>
                      <w:color w:val="000000"/>
                      <w:lang w:val="en-US"/>
                    </w:rPr>
                    <w:t xml:space="preserve"> Switch between non-affective task sets (SwitchNA)</w:t>
                  </w:r>
                </w:p>
              </w:tc>
              <w:tc>
                <w:tcPr>
                  <w:tcW w:w="911"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438.57</w:t>
                  </w:r>
                </w:p>
              </w:tc>
              <w:tc>
                <w:tcPr>
                  <w:tcW w:w="850"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254.49</w:t>
                  </w:r>
                </w:p>
              </w:tc>
              <w:tc>
                <w:tcPr>
                  <w:tcW w:w="851"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0.07</w:t>
                  </w:r>
                </w:p>
              </w:tc>
              <w:tc>
                <w:tcPr>
                  <w:tcW w:w="737"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-0.03</w:t>
                  </w:r>
                </w:p>
              </w:tc>
              <w:tc>
                <w:tcPr>
                  <w:tcW w:w="993"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1</w:t>
                  </w:r>
                </w:p>
              </w:tc>
              <w:tc>
                <w:tcPr>
                  <w:tcW w:w="992" w:type="dxa"/>
                  <w:shd w:val="clear" w:color="auto" w:fill="auto"/>
                  <w:noWrap/>
                </w:tcPr>
                <w:p w:rsidR="001C6697" w:rsidRPr="0013016F" w:rsidRDefault="001C6697" w:rsidP="005423F0">
                  <w:pPr>
                    <w:spacing w:line="480" w:lineRule="auto"/>
                    <w:rPr>
                      <w:rFonts w:cs="Times New Roman"/>
                      <w:sz w:val="22"/>
                      <w:szCs w:val="22"/>
                    </w:rPr>
                  </w:pPr>
                </w:p>
              </w:tc>
              <w:tc>
                <w:tcPr>
                  <w:tcW w:w="740" w:type="dxa"/>
                  <w:shd w:val="clear" w:color="auto" w:fill="auto"/>
                  <w:noWrap/>
                </w:tcPr>
                <w:p w:rsidR="001C6697" w:rsidRPr="0013016F" w:rsidRDefault="001C6697" w:rsidP="005423F0">
                  <w:pPr>
                    <w:spacing w:line="480" w:lineRule="auto"/>
                    <w:rPr>
                      <w:rFonts w:cs="Times New Roman"/>
                      <w:sz w:val="22"/>
                      <w:szCs w:val="22"/>
                    </w:rPr>
                  </w:pPr>
                </w:p>
              </w:tc>
              <w:tc>
                <w:tcPr>
                  <w:tcW w:w="961" w:type="dxa"/>
                  <w:shd w:val="clear" w:color="auto" w:fill="auto"/>
                  <w:noWrap/>
                </w:tcPr>
                <w:p w:rsidR="001C6697" w:rsidRPr="0013016F" w:rsidRDefault="001C6697" w:rsidP="005423F0">
                  <w:pPr>
                    <w:spacing w:line="480" w:lineRule="auto"/>
                    <w:rPr>
                      <w:rFonts w:cs="Times New Roman"/>
                      <w:sz w:val="22"/>
                      <w:szCs w:val="22"/>
                    </w:rPr>
                  </w:pPr>
                </w:p>
              </w:tc>
              <w:tc>
                <w:tcPr>
                  <w:tcW w:w="771" w:type="dxa"/>
                  <w:shd w:val="clear" w:color="auto" w:fill="auto"/>
                  <w:noWrap/>
                </w:tcPr>
                <w:p w:rsidR="001C6697" w:rsidRPr="0013016F" w:rsidRDefault="001C6697" w:rsidP="005423F0">
                  <w:pPr>
                    <w:spacing w:line="480" w:lineRule="auto"/>
                    <w:rPr>
                      <w:rFonts w:cs="Times New Roman"/>
                      <w:sz w:val="22"/>
                      <w:szCs w:val="22"/>
                    </w:rPr>
                  </w:pPr>
                </w:p>
              </w:tc>
            </w:tr>
            <w:tr w:rsidR="001C6697" w:rsidRPr="0013016F" w:rsidTr="005423F0">
              <w:trPr>
                <w:trHeight w:val="300"/>
              </w:trPr>
              <w:tc>
                <w:tcPr>
                  <w:tcW w:w="1783" w:type="dxa"/>
                </w:tcPr>
                <w:p w:rsidR="001C6697" w:rsidRPr="0013016F" w:rsidRDefault="001C6697" w:rsidP="005423F0">
                  <w:pPr>
                    <w:spacing w:line="276" w:lineRule="auto"/>
                    <w:rPr>
                      <w:rFonts w:eastAsia="Times New Roman" w:cs="Times New Roman"/>
                      <w:color w:val="000000"/>
                      <w:vertAlign w:val="subscript"/>
                      <w:lang w:val="en-US"/>
                    </w:rPr>
                  </w:pPr>
                  <w:r w:rsidRPr="0013016F">
                    <w:rPr>
                      <w:rFonts w:eastAsia="Times New Roman" w:cs="Times New Roman"/>
                      <w:b/>
                      <w:color w:val="000000"/>
                      <w:lang w:val="en-US"/>
                    </w:rPr>
                    <w:t>4.</w:t>
                  </w:r>
                  <w:r w:rsidRPr="0013016F">
                    <w:rPr>
                      <w:rFonts w:eastAsia="Times New Roman" w:cs="Times New Roman"/>
                      <w:color w:val="000000"/>
                      <w:lang w:val="en-US"/>
                    </w:rPr>
                    <w:t xml:space="preserve"> Switch to positive task set (SwitchToP)</w:t>
                  </w:r>
                </w:p>
              </w:tc>
              <w:tc>
                <w:tcPr>
                  <w:tcW w:w="911"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-210.45</w:t>
                  </w:r>
                </w:p>
              </w:tc>
              <w:tc>
                <w:tcPr>
                  <w:tcW w:w="850"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330.39</w:t>
                  </w:r>
                </w:p>
              </w:tc>
              <w:tc>
                <w:tcPr>
                  <w:tcW w:w="851"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0.14</w:t>
                  </w:r>
                  <w:r w:rsidRPr="0013016F">
                    <w:rPr>
                      <w:rFonts w:cs="Times New Roman"/>
                      <w:sz w:val="22"/>
                      <w:szCs w:val="22"/>
                      <w:vertAlign w:val="superscript"/>
                    </w:rPr>
                    <w:t>*</w:t>
                  </w:r>
                </w:p>
              </w:tc>
              <w:tc>
                <w:tcPr>
                  <w:tcW w:w="737"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0.12</w:t>
                  </w:r>
                  <w:r w:rsidRPr="0013016F">
                    <w:rPr>
                      <w:rFonts w:cs="Times New Roman"/>
                      <w:sz w:val="22"/>
                      <w:szCs w:val="22"/>
                      <w:vertAlign w:val="superscript"/>
                    </w:rPr>
                    <w:t>*</w:t>
                  </w:r>
                </w:p>
              </w:tc>
              <w:tc>
                <w:tcPr>
                  <w:tcW w:w="993"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-0.19</w:t>
                  </w:r>
                  <w:r w:rsidRPr="0013016F">
                    <w:rPr>
                      <w:rFonts w:cs="Times New Roman"/>
                      <w:sz w:val="22"/>
                      <w:szCs w:val="22"/>
                      <w:vertAlign w:val="superscript"/>
                    </w:rPr>
                    <w:t>**</w:t>
                  </w:r>
                </w:p>
              </w:tc>
              <w:tc>
                <w:tcPr>
                  <w:tcW w:w="992"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1</w:t>
                  </w:r>
                </w:p>
              </w:tc>
              <w:tc>
                <w:tcPr>
                  <w:tcW w:w="740" w:type="dxa"/>
                  <w:shd w:val="clear" w:color="auto" w:fill="auto"/>
                  <w:noWrap/>
                </w:tcPr>
                <w:p w:rsidR="001C6697" w:rsidRPr="0013016F" w:rsidRDefault="001C6697" w:rsidP="005423F0">
                  <w:pPr>
                    <w:spacing w:line="480" w:lineRule="auto"/>
                    <w:rPr>
                      <w:rFonts w:cs="Times New Roman"/>
                      <w:sz w:val="22"/>
                      <w:szCs w:val="22"/>
                    </w:rPr>
                  </w:pPr>
                </w:p>
              </w:tc>
              <w:tc>
                <w:tcPr>
                  <w:tcW w:w="961" w:type="dxa"/>
                  <w:shd w:val="clear" w:color="auto" w:fill="auto"/>
                  <w:noWrap/>
                </w:tcPr>
                <w:p w:rsidR="001C6697" w:rsidRPr="0013016F" w:rsidRDefault="001C6697" w:rsidP="005423F0">
                  <w:pPr>
                    <w:spacing w:line="480" w:lineRule="auto"/>
                    <w:rPr>
                      <w:rFonts w:cs="Times New Roman"/>
                      <w:sz w:val="22"/>
                      <w:szCs w:val="22"/>
                    </w:rPr>
                  </w:pPr>
                </w:p>
              </w:tc>
              <w:tc>
                <w:tcPr>
                  <w:tcW w:w="771" w:type="dxa"/>
                  <w:shd w:val="clear" w:color="auto" w:fill="auto"/>
                  <w:noWrap/>
                </w:tcPr>
                <w:p w:rsidR="001C6697" w:rsidRPr="0013016F" w:rsidRDefault="001C6697" w:rsidP="005423F0">
                  <w:pPr>
                    <w:spacing w:line="480" w:lineRule="auto"/>
                    <w:rPr>
                      <w:rFonts w:cs="Times New Roman"/>
                      <w:sz w:val="22"/>
                      <w:szCs w:val="22"/>
                    </w:rPr>
                  </w:pPr>
                </w:p>
              </w:tc>
            </w:tr>
            <w:tr w:rsidR="001C6697" w:rsidRPr="0013016F" w:rsidTr="005423F0">
              <w:trPr>
                <w:trHeight w:val="300"/>
              </w:trPr>
              <w:tc>
                <w:tcPr>
                  <w:tcW w:w="1783" w:type="dxa"/>
                </w:tcPr>
                <w:p w:rsidR="001C6697" w:rsidRPr="0013016F" w:rsidRDefault="001C6697" w:rsidP="005423F0">
                  <w:pPr>
                    <w:spacing w:line="276" w:lineRule="auto"/>
                    <w:rPr>
                      <w:rFonts w:eastAsia="Times New Roman" w:cs="Times New Roman"/>
                      <w:color w:val="000000"/>
                      <w:vertAlign w:val="subscript"/>
                      <w:lang w:val="en-US"/>
                    </w:rPr>
                  </w:pPr>
                  <w:r w:rsidRPr="0013016F">
                    <w:rPr>
                      <w:rFonts w:eastAsia="Times New Roman" w:cs="Times New Roman"/>
                      <w:b/>
                      <w:color w:val="000000"/>
                      <w:lang w:val="en-US"/>
                    </w:rPr>
                    <w:t>5.</w:t>
                  </w:r>
                  <w:r w:rsidRPr="0013016F">
                    <w:rPr>
                      <w:rFonts w:eastAsia="Times New Roman" w:cs="Times New Roman"/>
                      <w:color w:val="000000"/>
                      <w:lang w:val="en-US"/>
                    </w:rPr>
                    <w:t xml:space="preserve"> Switch to negative task sets (SwitchToN)</w:t>
                  </w:r>
                </w:p>
              </w:tc>
              <w:tc>
                <w:tcPr>
                  <w:tcW w:w="911"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-243.74</w:t>
                  </w:r>
                </w:p>
              </w:tc>
              <w:tc>
                <w:tcPr>
                  <w:tcW w:w="850"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314.16</w:t>
                  </w:r>
                </w:p>
              </w:tc>
              <w:tc>
                <w:tcPr>
                  <w:tcW w:w="851"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0.06</w:t>
                  </w:r>
                </w:p>
              </w:tc>
              <w:tc>
                <w:tcPr>
                  <w:tcW w:w="737"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0.08</w:t>
                  </w:r>
                </w:p>
              </w:tc>
              <w:tc>
                <w:tcPr>
                  <w:tcW w:w="993"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-0.15</w:t>
                  </w:r>
                  <w:r w:rsidRPr="0013016F">
                    <w:rPr>
                      <w:rFonts w:cs="Times New Roman"/>
                      <w:sz w:val="22"/>
                      <w:szCs w:val="22"/>
                      <w:vertAlign w:val="superscript"/>
                    </w:rPr>
                    <w:t>**</w:t>
                  </w:r>
                </w:p>
              </w:tc>
              <w:tc>
                <w:tcPr>
                  <w:tcW w:w="992"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0.22</w:t>
                  </w:r>
                  <w:r w:rsidRPr="0013016F">
                    <w:rPr>
                      <w:rFonts w:cs="Times New Roman"/>
                      <w:sz w:val="22"/>
                      <w:szCs w:val="22"/>
                      <w:vertAlign w:val="superscript"/>
                    </w:rPr>
                    <w:t>***</w:t>
                  </w:r>
                </w:p>
              </w:tc>
              <w:tc>
                <w:tcPr>
                  <w:tcW w:w="740"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1</w:t>
                  </w:r>
                </w:p>
              </w:tc>
              <w:tc>
                <w:tcPr>
                  <w:tcW w:w="961" w:type="dxa"/>
                  <w:shd w:val="clear" w:color="auto" w:fill="auto"/>
                  <w:noWrap/>
                </w:tcPr>
                <w:p w:rsidR="001C6697" w:rsidRPr="0013016F" w:rsidRDefault="001C6697" w:rsidP="005423F0">
                  <w:pPr>
                    <w:spacing w:line="480" w:lineRule="auto"/>
                    <w:rPr>
                      <w:rFonts w:cs="Times New Roman"/>
                      <w:sz w:val="22"/>
                      <w:szCs w:val="22"/>
                    </w:rPr>
                  </w:pPr>
                </w:p>
              </w:tc>
              <w:tc>
                <w:tcPr>
                  <w:tcW w:w="771" w:type="dxa"/>
                  <w:shd w:val="clear" w:color="auto" w:fill="auto"/>
                  <w:noWrap/>
                </w:tcPr>
                <w:p w:rsidR="001C6697" w:rsidRPr="0013016F" w:rsidRDefault="001C6697" w:rsidP="005423F0">
                  <w:pPr>
                    <w:spacing w:line="480" w:lineRule="auto"/>
                    <w:rPr>
                      <w:rFonts w:cs="Times New Roman"/>
                      <w:sz w:val="22"/>
                      <w:szCs w:val="22"/>
                    </w:rPr>
                  </w:pPr>
                </w:p>
              </w:tc>
            </w:tr>
            <w:tr w:rsidR="001C6697" w:rsidRPr="0013016F" w:rsidTr="005423F0">
              <w:trPr>
                <w:trHeight w:val="300"/>
              </w:trPr>
              <w:tc>
                <w:tcPr>
                  <w:tcW w:w="1783" w:type="dxa"/>
                </w:tcPr>
                <w:p w:rsidR="001C6697" w:rsidRPr="0013016F" w:rsidRDefault="001C6697" w:rsidP="005423F0">
                  <w:pPr>
                    <w:spacing w:line="276" w:lineRule="auto"/>
                    <w:rPr>
                      <w:rFonts w:eastAsia="Times New Roman" w:cs="Times New Roman"/>
                      <w:color w:val="000000"/>
                      <w:vertAlign w:val="subscript"/>
                      <w:lang w:val="en-US"/>
                    </w:rPr>
                  </w:pPr>
                  <w:r w:rsidRPr="0013016F">
                    <w:rPr>
                      <w:rFonts w:eastAsia="Times New Roman" w:cs="Times New Roman"/>
                      <w:b/>
                      <w:color w:val="000000"/>
                      <w:lang w:val="en-US"/>
                    </w:rPr>
                    <w:t>6.</w:t>
                  </w:r>
                  <w:r w:rsidRPr="0013016F">
                    <w:rPr>
                      <w:rFonts w:eastAsia="Times New Roman" w:cs="Times New Roman"/>
                      <w:color w:val="000000"/>
                      <w:lang w:val="en-US"/>
                    </w:rPr>
                    <w:t xml:space="preserve"> Switch from positive task sets (SwitchFromP)</w:t>
                  </w:r>
                </w:p>
              </w:tc>
              <w:tc>
                <w:tcPr>
                  <w:tcW w:w="911"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-5.13</w:t>
                  </w:r>
                </w:p>
              </w:tc>
              <w:tc>
                <w:tcPr>
                  <w:tcW w:w="850"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206.62</w:t>
                  </w:r>
                </w:p>
              </w:tc>
              <w:tc>
                <w:tcPr>
                  <w:tcW w:w="851"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0.02</w:t>
                  </w:r>
                </w:p>
              </w:tc>
              <w:tc>
                <w:tcPr>
                  <w:tcW w:w="737"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0.02</w:t>
                  </w:r>
                </w:p>
              </w:tc>
              <w:tc>
                <w:tcPr>
                  <w:tcW w:w="993"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-0.56</w:t>
                  </w:r>
                  <w:r w:rsidRPr="0013016F">
                    <w:rPr>
                      <w:rFonts w:cs="Times New Roman"/>
                      <w:sz w:val="22"/>
                      <w:szCs w:val="22"/>
                      <w:vertAlign w:val="superscript"/>
                    </w:rPr>
                    <w:t>***</w:t>
                  </w:r>
                </w:p>
              </w:tc>
              <w:tc>
                <w:tcPr>
                  <w:tcW w:w="992"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0.10</w:t>
                  </w:r>
                  <w:r w:rsidRPr="0013016F">
                    <w:rPr>
                      <w:rFonts w:cs="Times New Roman"/>
                      <w:sz w:val="22"/>
                      <w:szCs w:val="22"/>
                      <w:vertAlign w:val="superscript"/>
                    </w:rPr>
                    <w:t>+</w:t>
                  </w:r>
                </w:p>
              </w:tc>
              <w:tc>
                <w:tcPr>
                  <w:tcW w:w="740"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0.03</w:t>
                  </w:r>
                </w:p>
              </w:tc>
              <w:tc>
                <w:tcPr>
                  <w:tcW w:w="961"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1</w:t>
                  </w:r>
                </w:p>
              </w:tc>
              <w:tc>
                <w:tcPr>
                  <w:tcW w:w="771" w:type="dxa"/>
                  <w:shd w:val="clear" w:color="auto" w:fill="auto"/>
                  <w:noWrap/>
                </w:tcPr>
                <w:p w:rsidR="001C6697" w:rsidRPr="0013016F" w:rsidRDefault="001C6697" w:rsidP="005423F0">
                  <w:pPr>
                    <w:spacing w:line="480" w:lineRule="auto"/>
                    <w:rPr>
                      <w:rFonts w:cs="Times New Roman"/>
                      <w:sz w:val="22"/>
                      <w:szCs w:val="22"/>
                    </w:rPr>
                  </w:pPr>
                </w:p>
              </w:tc>
            </w:tr>
            <w:tr w:rsidR="001C6697" w:rsidRPr="0013016F" w:rsidTr="005423F0">
              <w:trPr>
                <w:trHeight w:val="300"/>
              </w:trPr>
              <w:tc>
                <w:tcPr>
                  <w:tcW w:w="1783" w:type="dxa"/>
                </w:tcPr>
                <w:p w:rsidR="001C6697" w:rsidRPr="0013016F" w:rsidRDefault="001C6697" w:rsidP="005423F0">
                  <w:pPr>
                    <w:spacing w:line="276" w:lineRule="auto"/>
                    <w:rPr>
                      <w:rFonts w:eastAsia="Times New Roman" w:cs="Times New Roman"/>
                      <w:color w:val="000000"/>
                      <w:vertAlign w:val="subscript"/>
                      <w:lang w:val="en-US"/>
                    </w:rPr>
                  </w:pPr>
                  <w:r w:rsidRPr="0013016F">
                    <w:rPr>
                      <w:rFonts w:eastAsia="Times New Roman" w:cs="Times New Roman"/>
                      <w:b/>
                      <w:color w:val="000000"/>
                      <w:lang w:val="en-US"/>
                    </w:rPr>
                    <w:t>7.</w:t>
                  </w:r>
                  <w:r w:rsidRPr="0013016F">
                    <w:rPr>
                      <w:rFonts w:eastAsia="Times New Roman" w:cs="Times New Roman"/>
                      <w:color w:val="000000"/>
                      <w:lang w:val="en-US"/>
                    </w:rPr>
                    <w:t xml:space="preserve"> Switch from negative task sets (SwitchFromN)</w:t>
                  </w:r>
                </w:p>
              </w:tc>
              <w:tc>
                <w:tcPr>
                  <w:tcW w:w="911"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-15.18</w:t>
                  </w:r>
                </w:p>
              </w:tc>
              <w:tc>
                <w:tcPr>
                  <w:tcW w:w="850" w:type="dxa"/>
                </w:tcPr>
                <w:p w:rsidR="001C6697" w:rsidRPr="0013016F" w:rsidRDefault="001C6697" w:rsidP="005423F0">
                  <w:pPr>
                    <w:spacing w:line="480" w:lineRule="auto"/>
                    <w:rPr>
                      <w:rFonts w:cs="Times New Roman"/>
                      <w:sz w:val="22"/>
                      <w:szCs w:val="22"/>
                      <w:lang w:val="en-US"/>
                    </w:rPr>
                  </w:pPr>
                  <w:r w:rsidRPr="0013016F">
                    <w:rPr>
                      <w:rFonts w:cs="Times New Roman"/>
                      <w:sz w:val="22"/>
                      <w:szCs w:val="22"/>
                      <w:lang w:val="en-US"/>
                    </w:rPr>
                    <w:t>207.07</w:t>
                  </w:r>
                </w:p>
              </w:tc>
              <w:tc>
                <w:tcPr>
                  <w:tcW w:w="851"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-0.00</w:t>
                  </w:r>
                </w:p>
              </w:tc>
              <w:tc>
                <w:tcPr>
                  <w:tcW w:w="737"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0.09</w:t>
                  </w:r>
                </w:p>
              </w:tc>
              <w:tc>
                <w:tcPr>
                  <w:tcW w:w="993"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-0.58</w:t>
                  </w:r>
                  <w:r w:rsidRPr="0013016F">
                    <w:rPr>
                      <w:rFonts w:cs="Times New Roman"/>
                      <w:sz w:val="22"/>
                      <w:szCs w:val="22"/>
                      <w:vertAlign w:val="superscript"/>
                    </w:rPr>
                    <w:t>***</w:t>
                  </w:r>
                </w:p>
              </w:tc>
              <w:tc>
                <w:tcPr>
                  <w:tcW w:w="992"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0.22</w:t>
                  </w:r>
                  <w:r w:rsidRPr="0013016F">
                    <w:rPr>
                      <w:rFonts w:cs="Times New Roman"/>
                      <w:sz w:val="22"/>
                      <w:szCs w:val="22"/>
                      <w:vertAlign w:val="superscript"/>
                    </w:rPr>
                    <w:t>***</w:t>
                  </w:r>
                </w:p>
              </w:tc>
              <w:tc>
                <w:tcPr>
                  <w:tcW w:w="740"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0.11</w:t>
                  </w:r>
                  <w:r w:rsidRPr="0013016F">
                    <w:rPr>
                      <w:rFonts w:cs="Times New Roman"/>
                      <w:sz w:val="22"/>
                      <w:szCs w:val="22"/>
                      <w:vertAlign w:val="superscript"/>
                    </w:rPr>
                    <w:t>+</w:t>
                  </w:r>
                </w:p>
              </w:tc>
              <w:tc>
                <w:tcPr>
                  <w:tcW w:w="961"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0.26</w:t>
                  </w:r>
                  <w:r w:rsidRPr="0013016F">
                    <w:rPr>
                      <w:rFonts w:cs="Times New Roman"/>
                      <w:sz w:val="22"/>
                      <w:szCs w:val="22"/>
                      <w:vertAlign w:val="superscript"/>
                    </w:rPr>
                    <w:t>***</w:t>
                  </w:r>
                </w:p>
              </w:tc>
              <w:tc>
                <w:tcPr>
                  <w:tcW w:w="771" w:type="dxa"/>
                  <w:shd w:val="clear" w:color="auto" w:fill="auto"/>
                  <w:noWrap/>
                  <w:hideMark/>
                </w:tcPr>
                <w:p w:rsidR="001C6697" w:rsidRPr="0013016F" w:rsidRDefault="001C6697" w:rsidP="005423F0">
                  <w:pPr>
                    <w:spacing w:line="480" w:lineRule="auto"/>
                    <w:rPr>
                      <w:rFonts w:cs="Times New Roman"/>
                      <w:sz w:val="22"/>
                      <w:szCs w:val="22"/>
                    </w:rPr>
                  </w:pPr>
                  <w:r w:rsidRPr="0013016F">
                    <w:rPr>
                      <w:rFonts w:cs="Times New Roman"/>
                      <w:sz w:val="22"/>
                      <w:szCs w:val="22"/>
                    </w:rPr>
                    <w:t>1</w:t>
                  </w:r>
                </w:p>
              </w:tc>
            </w:tr>
          </w:tbl>
          <w:p w:rsidR="001C6697" w:rsidRPr="0013016F" w:rsidRDefault="001C6697" w:rsidP="005423F0">
            <w:pPr>
              <w:pStyle w:val="Standard1"/>
              <w:spacing w:line="480" w:lineRule="auto"/>
              <w:jc w:val="center"/>
              <w:rPr>
                <w:b/>
              </w:rPr>
            </w:pPr>
          </w:p>
        </w:tc>
      </w:tr>
      <w:tr w:rsidR="001C6697" w:rsidRPr="0013016F" w:rsidTr="005423F0">
        <w:tc>
          <w:tcPr>
            <w:tcW w:w="9576" w:type="dxa"/>
            <w:vAlign w:val="center"/>
          </w:tcPr>
          <w:p w:rsidR="001C6697" w:rsidRPr="0013016F" w:rsidRDefault="001C6697" w:rsidP="005423F0">
            <w:pPr>
              <w:pStyle w:val="Standard1"/>
              <w:spacing w:line="480" w:lineRule="auto"/>
              <w:rPr>
                <w:b/>
              </w:rPr>
            </w:pPr>
            <w:r w:rsidRPr="0013016F">
              <w:t>Notes: + p &lt; 0.1, * p &lt; 0.05, ** p &lt; 0.01, *** p &lt; 0.001.</w:t>
            </w:r>
          </w:p>
        </w:tc>
      </w:tr>
    </w:tbl>
    <w:p w:rsidR="001C6697" w:rsidRPr="0013016F" w:rsidRDefault="001C6697" w:rsidP="001C6697">
      <w:pPr>
        <w:pStyle w:val="Standard1"/>
        <w:spacing w:line="480" w:lineRule="auto"/>
        <w:jc w:val="center"/>
        <w:rPr>
          <w:rFonts w:cs="Times New Roman"/>
          <w:b/>
          <w:sz w:val="22"/>
          <w:szCs w:val="22"/>
          <w:lang w:val="en-US"/>
        </w:rPr>
      </w:pPr>
    </w:p>
    <w:p w:rsidR="001C6697" w:rsidRPr="0013016F" w:rsidRDefault="001C6697" w:rsidP="001C6697">
      <w:pPr>
        <w:spacing w:line="480" w:lineRule="auto"/>
        <w:rPr>
          <w:rFonts w:eastAsiaTheme="minorEastAsia" w:cs="Times New Roman"/>
          <w:kern w:val="0"/>
          <w:lang w:val="en-US" w:eastAsia="en-US" w:bidi="ar-SA"/>
        </w:rPr>
      </w:pPr>
      <w:r w:rsidRPr="0013016F">
        <w:rPr>
          <w:rFonts w:cs="Times New Roman"/>
        </w:rPr>
        <w:br w:type="page"/>
      </w:r>
    </w:p>
    <w:p w:rsidR="001C6697" w:rsidRPr="0013016F" w:rsidRDefault="001C6697" w:rsidP="001C6697">
      <w:pPr>
        <w:pStyle w:val="NormalWeb"/>
        <w:spacing w:line="480" w:lineRule="auto"/>
        <w:ind w:left="480" w:hanging="480"/>
        <w:jc w:val="center"/>
      </w:pPr>
      <w:r w:rsidRPr="0013016F">
        <w:rPr>
          <w:b/>
        </w:rPr>
        <w:lastRenderedPageBreak/>
        <w:t>Figure Captions</w:t>
      </w:r>
    </w:p>
    <w:p w:rsidR="001C6697" w:rsidRPr="0013016F" w:rsidRDefault="001C6697" w:rsidP="001C6697">
      <w:pPr>
        <w:pStyle w:val="NormalWeb"/>
        <w:spacing w:before="0" w:beforeAutospacing="0" w:after="0" w:afterAutospacing="0" w:line="480" w:lineRule="auto"/>
        <w:ind w:firstLine="480"/>
      </w:pPr>
      <w:r w:rsidRPr="0013016F">
        <w:rPr>
          <w:b/>
        </w:rPr>
        <w:t>Figure 1.</w:t>
      </w:r>
      <w:r w:rsidRPr="0013016F">
        <w:t xml:space="preserve"> Timeline of Room 101, an immersive virtual environment in which the participants are exposed to different prolonged and intermittent threats during 5:06 minutes. Prolonged threats (dark red) include spiders or an exploded floor that reveals a 3.5 meter drop. Intermittent threats (intermediate red) periods consist of startling threats such as explosions (vertical lines). During the less threatening epochs (light red), only ambient sounds are present. </w:t>
      </w:r>
    </w:p>
    <w:p w:rsidR="001C6697" w:rsidRPr="0013016F" w:rsidRDefault="001C6697" w:rsidP="001C6697">
      <w:pPr>
        <w:pStyle w:val="NormalWeb"/>
        <w:spacing w:before="0" w:beforeAutospacing="0" w:after="0" w:afterAutospacing="0" w:line="480" w:lineRule="auto"/>
        <w:ind w:firstLine="480"/>
      </w:pPr>
    </w:p>
    <w:p w:rsidR="001C6697" w:rsidRPr="0013016F" w:rsidRDefault="001C6697" w:rsidP="001C6697">
      <w:pPr>
        <w:pStyle w:val="NormalWeb"/>
        <w:spacing w:before="0" w:beforeAutospacing="0" w:after="0" w:afterAutospacing="0" w:line="480" w:lineRule="auto"/>
        <w:ind w:firstLine="480"/>
        <w:rPr>
          <w:noProof/>
        </w:rPr>
      </w:pPr>
      <w:r w:rsidRPr="0013016F">
        <w:rPr>
          <w:b/>
        </w:rPr>
        <w:t>Figure 2</w:t>
      </w:r>
      <w:r w:rsidRPr="0013016F">
        <w:t>. Skin conductance levels (top) and subjective arousal ratings (bottom) regressed sample-wise on reaction time costs of switching between non-affective task sets (SwitchNA) scores. Means and standard errors (shaded) of low (light blue) and high (dark blue) SwitchNA scores (determined via median split) are plotted. Green areas represent cluster-corrected (based on 1000 permutations) significant differences. Raw t-statistics (and gridlines at -2 and 2 for orientation) are included on top of the two subplots. SwitchNA did not predict differences in arousal</w:t>
      </w:r>
      <w:r w:rsidRPr="0013016F">
        <w:rPr>
          <w:noProof/>
        </w:rPr>
        <w:t>.</w:t>
      </w:r>
    </w:p>
    <w:p w:rsidR="001C6697" w:rsidRPr="0013016F" w:rsidRDefault="001C6697" w:rsidP="001C6697">
      <w:pPr>
        <w:pStyle w:val="NormalWeb"/>
        <w:spacing w:before="0" w:beforeAutospacing="0" w:after="0" w:afterAutospacing="0" w:line="480" w:lineRule="auto"/>
        <w:ind w:firstLine="480"/>
        <w:rPr>
          <w:noProof/>
        </w:rPr>
      </w:pPr>
    </w:p>
    <w:p w:rsidR="001C6697" w:rsidRPr="0013016F" w:rsidRDefault="001C6697" w:rsidP="001C6697">
      <w:pPr>
        <w:pStyle w:val="NormalWeb"/>
        <w:spacing w:before="0" w:beforeAutospacing="0" w:after="0" w:afterAutospacing="0" w:line="480" w:lineRule="auto"/>
        <w:ind w:firstLine="480"/>
        <w:rPr>
          <w:noProof/>
        </w:rPr>
      </w:pPr>
      <w:r w:rsidRPr="0013016F">
        <w:rPr>
          <w:b/>
        </w:rPr>
        <w:t>Figure 3</w:t>
      </w:r>
      <w:r w:rsidRPr="0013016F">
        <w:t>. Skin conductance levels (top) and subjective arousal ratings (bottom) regressed sample-wise on reaction time costs of switching to positive task sets (SwitchToP) scores. Means and standard errors (shaded) of low (light blue) and high (dark blue) SwitchToP scores (determined via median split) are plotted. Green areas represent cluster-corrected (based on 1000 permutations) significant differences. Raw t-statistics (and gridlines at -2 and 2 for orientation) are included on top of the two subplots</w:t>
      </w:r>
      <w:r w:rsidRPr="0013016F">
        <w:rPr>
          <w:noProof/>
        </w:rPr>
        <w:t>. Lower SwitchToP predicted lower skin conductance levels starting at the end of the spiders epoch and lasting throughout less threatening phases until the beginning of the second prolonged threat, the floor epoch.</w:t>
      </w:r>
    </w:p>
    <w:p w:rsidR="001C6697" w:rsidRPr="0013016F" w:rsidRDefault="001C6697" w:rsidP="001C6697">
      <w:pPr>
        <w:spacing w:line="480" w:lineRule="auto"/>
        <w:ind w:firstLine="480"/>
        <w:rPr>
          <w:rFonts w:cs="Times New Roman"/>
          <w:noProof/>
          <w:lang w:val="en-US"/>
        </w:rPr>
      </w:pPr>
      <w:r w:rsidRPr="0013016F">
        <w:rPr>
          <w:rFonts w:cs="Times New Roman"/>
          <w:b/>
          <w:lang w:val="en-US"/>
        </w:rPr>
        <w:lastRenderedPageBreak/>
        <w:t>Figure 4</w:t>
      </w:r>
      <w:r w:rsidRPr="0013016F">
        <w:rPr>
          <w:rFonts w:cs="Times New Roman"/>
          <w:lang w:val="en-US"/>
        </w:rPr>
        <w:t>. Skin conductance levels (top) and subjective arousal ratings (bottom) regressed sample-wise on reaction time costs of switch from negative task sets (SwitchFromN) scores. Means and standard errors (shaded) of low (light blue) and high (dark blue) SwitchFromN scores (determined via median split) are plotted. Green areas represent cluster-corrected (based on 1000 permutations) significant differences. Raw t-statistics (and gridlines at -2 and 2 for orientation) are included on top of the two subplots.</w:t>
      </w:r>
      <w:r w:rsidRPr="0013016F">
        <w:rPr>
          <w:rFonts w:cs="Times New Roman"/>
          <w:noProof/>
          <w:lang w:val="en-US"/>
        </w:rPr>
        <w:t xml:space="preserve"> Lower SwitchFromN predicted higher subjective arousal rating during the exploded-floor epoch.</w:t>
      </w:r>
    </w:p>
    <w:p w:rsidR="001C6697" w:rsidRPr="0013016F" w:rsidRDefault="001C6697" w:rsidP="001C6697">
      <w:pPr>
        <w:spacing w:line="480" w:lineRule="auto"/>
        <w:ind w:firstLine="480"/>
        <w:rPr>
          <w:rFonts w:eastAsiaTheme="minorEastAsia" w:cs="Times New Roman"/>
          <w:b/>
          <w:kern w:val="0"/>
          <w:lang w:val="en-US" w:eastAsia="en-US" w:bidi="ar-SA"/>
        </w:rPr>
      </w:pPr>
    </w:p>
    <w:p w:rsidR="001C6697" w:rsidRPr="0013016F" w:rsidRDefault="001C6697" w:rsidP="001C6697">
      <w:pPr>
        <w:keepNext/>
        <w:spacing w:line="480" w:lineRule="auto"/>
        <w:ind w:firstLine="480"/>
        <w:rPr>
          <w:rFonts w:eastAsiaTheme="minorEastAsia" w:cs="Times New Roman"/>
          <w:kern w:val="0"/>
          <w:lang w:val="en-US" w:eastAsia="en-US" w:bidi="ar-SA"/>
        </w:rPr>
      </w:pPr>
      <w:r w:rsidRPr="0013016F">
        <w:rPr>
          <w:rFonts w:eastAsiaTheme="minorEastAsia" w:cs="Times New Roman"/>
          <w:b/>
          <w:kern w:val="0"/>
          <w:lang w:val="en-US" w:eastAsia="en-US" w:bidi="ar-SA"/>
        </w:rPr>
        <w:t>Figure 5</w:t>
      </w:r>
      <w:r w:rsidRPr="0013016F">
        <w:rPr>
          <w:rFonts w:eastAsiaTheme="minorEastAsia" w:cs="Times New Roman"/>
          <w:kern w:val="0"/>
          <w:lang w:val="en-US" w:eastAsia="en-US" w:bidi="ar-SA"/>
        </w:rPr>
        <w:t>. Skin conductance levels (top) and subjective arousal ratings (bottom) regressed sample-wise on RMSSD of Heart Rate Variability (HRV) scores. Means and standard errors (shaded) of low (light blue) and high (dark blue) RMSSD (determined via median split) are plotted. Green areas represent cluster-corrected (based on 1000 permutations) significant differences. Raw t-statistics (and gridlines at -2 and 2 for orientation) are included on top of the two subplots. Higher RMSSD predicted lower subjective arousal ratings during and after the two longest threat epochs, the spiders and the exploded-floor epoch.</w:t>
      </w:r>
    </w:p>
    <w:p w:rsidR="001C6697" w:rsidRPr="0013016F" w:rsidRDefault="001C6697" w:rsidP="001C6697">
      <w:pPr>
        <w:keepNext/>
        <w:spacing w:line="480" w:lineRule="auto"/>
        <w:ind w:firstLine="480"/>
        <w:rPr>
          <w:rFonts w:eastAsiaTheme="minorEastAsia" w:cs="Times New Roman"/>
          <w:kern w:val="0"/>
          <w:lang w:val="en-US" w:eastAsia="en-US" w:bidi="ar-SA"/>
        </w:rPr>
      </w:pPr>
    </w:p>
    <w:p w:rsidR="001C6697" w:rsidRPr="0013016F" w:rsidRDefault="001C6697" w:rsidP="001C6697">
      <w:pPr>
        <w:pStyle w:val="NormalWeb"/>
        <w:spacing w:before="0" w:beforeAutospacing="0" w:after="0" w:afterAutospacing="0" w:line="480" w:lineRule="auto"/>
        <w:ind w:firstLine="480"/>
      </w:pPr>
      <w:r w:rsidRPr="0013016F">
        <w:rPr>
          <w:b/>
        </w:rPr>
        <w:t>Figure 6</w:t>
      </w:r>
      <w:r w:rsidRPr="0013016F">
        <w:t>. Skin conductance levels (top) and subjective arousal ratings (bottom) regressed sample-wise on resilience (ER89) scores. Means and standard errors (shaded) of low (light blue) and high (dark blue) ER89 scores (determined via median split) are plotted. Green areas represent cluster-corrected (based on 1000 permutations) significant differences. Raw t-statistics (and gridlines at -2 and 2 for orientation) are included on top of the two subplots. High ER89 scores predicted lower subjective arousal ratings starting after the onset of the first prolonged threat, the spider epoch.</w:t>
      </w:r>
      <w:r w:rsidRPr="0013016F">
        <w:rPr>
          <w:b/>
        </w:rPr>
        <w:br w:type="page"/>
      </w:r>
    </w:p>
    <w:p w:rsidR="001C6697" w:rsidRPr="0013016F" w:rsidRDefault="001C6697" w:rsidP="001C6697">
      <w:pPr>
        <w:pStyle w:val="NormalWeb"/>
        <w:spacing w:line="480" w:lineRule="auto"/>
        <w:ind w:left="480" w:hanging="480"/>
        <w:jc w:val="center"/>
        <w:rPr>
          <w:b/>
        </w:rPr>
      </w:pPr>
      <w:r w:rsidRPr="0013016F">
        <w:rPr>
          <w:b/>
        </w:rPr>
        <w:lastRenderedPageBreak/>
        <w:t>Figures</w:t>
      </w:r>
    </w:p>
    <w:p w:rsidR="001C6697" w:rsidRPr="0013016F" w:rsidRDefault="001C6697" w:rsidP="001C6697">
      <w:pPr>
        <w:pStyle w:val="NormalWeb"/>
        <w:spacing w:line="480" w:lineRule="auto"/>
        <w:ind w:left="480" w:hanging="480"/>
      </w:pPr>
      <w:r w:rsidRPr="0013016F">
        <w:t>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C6697" w:rsidRPr="0013016F" w:rsidTr="005423F0">
        <w:tc>
          <w:tcPr>
            <w:tcW w:w="9576" w:type="dxa"/>
          </w:tcPr>
          <w:p w:rsidR="001C6697" w:rsidRPr="0013016F" w:rsidRDefault="001C6697" w:rsidP="005423F0">
            <w:pPr>
              <w:keepNext/>
              <w:spacing w:line="480" w:lineRule="auto"/>
              <w:rPr>
                <w:b/>
              </w:rPr>
            </w:pPr>
          </w:p>
          <w:p w:rsidR="001C6697" w:rsidRPr="0013016F" w:rsidRDefault="001C6697" w:rsidP="005423F0">
            <w:pPr>
              <w:keepNext/>
              <w:spacing w:line="480" w:lineRule="auto"/>
              <w:jc w:val="center"/>
              <w:rPr>
                <w:b/>
              </w:rPr>
            </w:pPr>
            <w:r w:rsidRPr="0013016F">
              <w:rPr>
                <w:b/>
                <w:noProof/>
                <w:lang w:val="en-US" w:eastAsia="en-US" w:bidi="ar-SA"/>
              </w:rPr>
              <w:drawing>
                <wp:inline distT="0" distB="0" distL="0" distR="0" wp14:anchorId="24979CBB" wp14:editId="676475E4">
                  <wp:extent cx="5981700" cy="1674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Timeline.png"/>
                          <pic:cNvPicPr/>
                        </pic:nvPicPr>
                        <pic:blipFill rotWithShape="1">
                          <a:blip r:embed="rId9">
                            <a:extLst>
                              <a:ext uri="{28A0092B-C50C-407E-A947-70E740481C1C}">
                                <a14:useLocalDpi xmlns:a14="http://schemas.microsoft.com/office/drawing/2010/main" val="0"/>
                              </a:ext>
                            </a:extLst>
                          </a:blip>
                          <a:srcRect l="22373" t="41222"/>
                          <a:stretch/>
                        </pic:blipFill>
                        <pic:spPr bwMode="auto">
                          <a:xfrm>
                            <a:off x="0" y="0"/>
                            <a:ext cx="5985168" cy="1675587"/>
                          </a:xfrm>
                          <a:prstGeom prst="rect">
                            <a:avLst/>
                          </a:prstGeom>
                          <a:ln>
                            <a:noFill/>
                          </a:ln>
                          <a:extLst>
                            <a:ext uri="{53640926-AAD7-44D8-BBD7-CCE9431645EC}">
                              <a14:shadowObscured xmlns:a14="http://schemas.microsoft.com/office/drawing/2010/main"/>
                            </a:ext>
                          </a:extLst>
                        </pic:spPr>
                      </pic:pic>
                    </a:graphicData>
                  </a:graphic>
                </wp:inline>
              </w:drawing>
            </w:r>
          </w:p>
        </w:tc>
      </w:tr>
      <w:tr w:rsidR="001C6697" w:rsidRPr="0013016F" w:rsidTr="005423F0">
        <w:tc>
          <w:tcPr>
            <w:tcW w:w="9576" w:type="dxa"/>
          </w:tcPr>
          <w:p w:rsidR="001C6697" w:rsidRPr="0013016F" w:rsidRDefault="001C6697" w:rsidP="005423F0">
            <w:pPr>
              <w:keepNext/>
              <w:spacing w:line="480" w:lineRule="auto"/>
              <w:jc w:val="center"/>
              <w:rPr>
                <w:b/>
              </w:rPr>
            </w:pPr>
          </w:p>
        </w:tc>
      </w:tr>
      <w:tr w:rsidR="001C6697" w:rsidRPr="0013016F" w:rsidTr="005423F0">
        <w:tc>
          <w:tcPr>
            <w:tcW w:w="9576" w:type="dxa"/>
          </w:tcPr>
          <w:p w:rsidR="001C6697" w:rsidRPr="0013016F" w:rsidRDefault="001C6697" w:rsidP="005423F0">
            <w:pPr>
              <w:keepNext/>
              <w:spacing w:line="480" w:lineRule="auto"/>
              <w:rPr>
                <w:noProof/>
              </w:rPr>
            </w:pPr>
            <w:r w:rsidRPr="0013016F">
              <w:t xml:space="preserve"> </w:t>
            </w:r>
          </w:p>
          <w:p w:rsidR="001C6697" w:rsidRPr="0013016F" w:rsidRDefault="001C6697" w:rsidP="005423F0">
            <w:pPr>
              <w:keepNext/>
              <w:spacing w:line="480" w:lineRule="auto"/>
              <w:rPr>
                <w:b/>
              </w:rPr>
            </w:pPr>
          </w:p>
        </w:tc>
      </w:tr>
    </w:tbl>
    <w:p w:rsidR="001C6697" w:rsidRPr="0013016F" w:rsidRDefault="001C6697" w:rsidP="001C6697">
      <w:pPr>
        <w:spacing w:line="480" w:lineRule="auto"/>
        <w:rPr>
          <w:rFonts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C6697" w:rsidRPr="0013016F" w:rsidTr="005423F0">
        <w:tc>
          <w:tcPr>
            <w:tcW w:w="9576" w:type="dxa"/>
          </w:tcPr>
          <w:p w:rsidR="001C6697" w:rsidRPr="0013016F" w:rsidRDefault="001C6697" w:rsidP="005423F0">
            <w:pPr>
              <w:keepNext/>
              <w:spacing w:line="480" w:lineRule="auto"/>
              <w:jc w:val="center"/>
            </w:pPr>
          </w:p>
        </w:tc>
      </w:tr>
      <w:tr w:rsidR="001C6697" w:rsidRPr="0013016F" w:rsidTr="005423F0">
        <w:tc>
          <w:tcPr>
            <w:tcW w:w="9576" w:type="dxa"/>
          </w:tcPr>
          <w:p w:rsidR="001C6697" w:rsidRPr="0013016F" w:rsidRDefault="001C6697" w:rsidP="005423F0">
            <w:pPr>
              <w:keepNext/>
              <w:spacing w:line="480" w:lineRule="auto"/>
            </w:pPr>
          </w:p>
        </w:tc>
      </w:tr>
    </w:tbl>
    <w:p w:rsidR="001C6697" w:rsidRPr="0013016F" w:rsidRDefault="001C6697" w:rsidP="001C6697">
      <w:pPr>
        <w:spacing w:line="480" w:lineRule="auto"/>
        <w:rPr>
          <w:rFonts w:cs="Times New Roman"/>
          <w:i/>
          <w:iCs/>
          <w:lang w:val="en-US"/>
        </w:rPr>
      </w:pPr>
      <w:r w:rsidRPr="0013016F">
        <w:rPr>
          <w:rFonts w:cs="Times New Roman"/>
          <w:i/>
          <w:iCs/>
          <w:lang w:val="en-US"/>
        </w:rPr>
        <w:br w:type="page"/>
      </w:r>
    </w:p>
    <w:p w:rsidR="001C6697" w:rsidRPr="0013016F" w:rsidRDefault="001C6697" w:rsidP="001C6697">
      <w:pPr>
        <w:spacing w:line="480" w:lineRule="auto"/>
        <w:rPr>
          <w:rFonts w:cs="Times New Roman"/>
          <w:lang w:val="en-US"/>
        </w:rPr>
      </w:pPr>
      <w:r w:rsidRPr="0013016F">
        <w:rPr>
          <w:rFonts w:cs="Times New Roman"/>
          <w:iCs/>
          <w:lang w:val="en-US"/>
        </w:rPr>
        <w:lastRenderedPageBreak/>
        <w:t>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C6697" w:rsidRPr="0013016F" w:rsidTr="005423F0">
        <w:tc>
          <w:tcPr>
            <w:tcW w:w="9576" w:type="dxa"/>
          </w:tcPr>
          <w:p w:rsidR="001C6697" w:rsidRPr="0013016F" w:rsidRDefault="001C6697" w:rsidP="005423F0">
            <w:pPr>
              <w:pStyle w:val="Caption"/>
              <w:spacing w:line="480" w:lineRule="auto"/>
              <w:rPr>
                <w:noProof/>
              </w:rPr>
            </w:pPr>
            <w:r w:rsidRPr="0013016F">
              <w:rPr>
                <w:noProof/>
                <w:lang w:val="en-US" w:eastAsia="en-US" w:bidi="ar-SA"/>
              </w:rPr>
              <w:drawing>
                <wp:inline distT="0" distB="0" distL="0" distR="0" wp14:anchorId="140BA25E" wp14:editId="1D60B143">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NA_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tc>
      </w:tr>
    </w:tbl>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r w:rsidRPr="0013016F">
        <w:rPr>
          <w:rFonts w:cs="Times New Roman"/>
          <w:lang w:val="en-US"/>
        </w:rPr>
        <w:lastRenderedPageBreak/>
        <w:t>Figure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1C6697" w:rsidRPr="0013016F" w:rsidTr="005423F0">
        <w:tc>
          <w:tcPr>
            <w:tcW w:w="9354" w:type="dxa"/>
          </w:tcPr>
          <w:p w:rsidR="001C6697" w:rsidRPr="0013016F" w:rsidRDefault="001C6697" w:rsidP="005423F0">
            <w:pPr>
              <w:pStyle w:val="Caption"/>
              <w:spacing w:line="480" w:lineRule="auto"/>
            </w:pPr>
            <w:r w:rsidRPr="0013016F">
              <w:rPr>
                <w:noProof/>
                <w:lang w:val="en-US" w:eastAsia="en-US" w:bidi="ar-SA"/>
              </w:rPr>
              <w:drawing>
                <wp:inline distT="0" distB="0" distL="0" distR="0" wp14:anchorId="217D2B43" wp14:editId="59F16D99">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ToP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tc>
        <w:tc>
          <w:tcPr>
            <w:tcW w:w="222" w:type="dxa"/>
          </w:tcPr>
          <w:p w:rsidR="001C6697" w:rsidRPr="0013016F" w:rsidRDefault="001C6697" w:rsidP="005423F0">
            <w:pPr>
              <w:keepNext/>
              <w:spacing w:line="480" w:lineRule="auto"/>
            </w:pPr>
          </w:p>
        </w:tc>
      </w:tr>
      <w:tr w:rsidR="001C6697" w:rsidRPr="0013016F" w:rsidTr="005423F0">
        <w:tc>
          <w:tcPr>
            <w:tcW w:w="9354" w:type="dxa"/>
          </w:tcPr>
          <w:p w:rsidR="001C6697" w:rsidRPr="0013016F" w:rsidRDefault="001C6697" w:rsidP="005423F0">
            <w:pPr>
              <w:pStyle w:val="Caption"/>
              <w:spacing w:line="480" w:lineRule="auto"/>
              <w:rPr>
                <w:noProof/>
              </w:rPr>
            </w:pPr>
          </w:p>
        </w:tc>
        <w:tc>
          <w:tcPr>
            <w:tcW w:w="222" w:type="dxa"/>
          </w:tcPr>
          <w:p w:rsidR="001C6697" w:rsidRPr="0013016F" w:rsidRDefault="001C6697" w:rsidP="005423F0">
            <w:pPr>
              <w:keepNext/>
              <w:spacing w:line="480" w:lineRule="auto"/>
            </w:pPr>
          </w:p>
        </w:tc>
      </w:tr>
    </w:tbl>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r w:rsidRPr="0013016F">
        <w:rPr>
          <w:rFonts w:cs="Times New Roman"/>
          <w:lang w:val="en-US"/>
        </w:rPr>
        <w:lastRenderedPageBreak/>
        <w:t>Figure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1C6697" w:rsidRPr="0013016F" w:rsidTr="005423F0">
        <w:tc>
          <w:tcPr>
            <w:tcW w:w="9354" w:type="dxa"/>
          </w:tcPr>
          <w:p w:rsidR="001C6697" w:rsidRPr="0013016F" w:rsidRDefault="001C6697" w:rsidP="005423F0">
            <w:pPr>
              <w:pStyle w:val="Caption"/>
              <w:spacing w:line="480" w:lineRule="auto"/>
            </w:pPr>
            <w:r w:rsidRPr="0013016F">
              <w:rPr>
                <w:noProof/>
                <w:lang w:val="en-US" w:eastAsia="en-US" w:bidi="ar-SA"/>
              </w:rPr>
              <w:drawing>
                <wp:inline distT="0" distB="0" distL="0" distR="0" wp14:anchorId="1E0672A2" wp14:editId="7868617A">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r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tc>
        <w:tc>
          <w:tcPr>
            <w:tcW w:w="222" w:type="dxa"/>
          </w:tcPr>
          <w:p w:rsidR="001C6697" w:rsidRPr="0013016F" w:rsidRDefault="001C6697" w:rsidP="005423F0">
            <w:pPr>
              <w:keepNext/>
              <w:spacing w:line="480" w:lineRule="auto"/>
            </w:pPr>
          </w:p>
        </w:tc>
      </w:tr>
      <w:tr w:rsidR="001C6697" w:rsidRPr="0013016F" w:rsidTr="005423F0">
        <w:tc>
          <w:tcPr>
            <w:tcW w:w="9354" w:type="dxa"/>
          </w:tcPr>
          <w:p w:rsidR="001C6697" w:rsidRPr="0013016F" w:rsidRDefault="001C6697" w:rsidP="005423F0">
            <w:pPr>
              <w:pStyle w:val="Caption"/>
              <w:spacing w:line="480" w:lineRule="auto"/>
              <w:rPr>
                <w:noProof/>
              </w:rPr>
            </w:pPr>
          </w:p>
          <w:p w:rsidR="001C6697" w:rsidRPr="0013016F" w:rsidRDefault="001C6697" w:rsidP="005423F0">
            <w:pPr>
              <w:pStyle w:val="Caption"/>
              <w:spacing w:line="480" w:lineRule="auto"/>
              <w:rPr>
                <w:noProof/>
              </w:rPr>
            </w:pPr>
          </w:p>
          <w:p w:rsidR="001C6697" w:rsidRPr="0013016F" w:rsidRDefault="001C6697" w:rsidP="005423F0">
            <w:pPr>
              <w:pStyle w:val="Caption"/>
              <w:spacing w:line="480" w:lineRule="auto"/>
              <w:rPr>
                <w:noProof/>
              </w:rPr>
            </w:pPr>
          </w:p>
          <w:p w:rsidR="001C6697" w:rsidRPr="0013016F" w:rsidRDefault="001C6697" w:rsidP="005423F0">
            <w:pPr>
              <w:pStyle w:val="Caption"/>
              <w:spacing w:line="480" w:lineRule="auto"/>
              <w:rPr>
                <w:i w:val="0"/>
                <w:noProof/>
              </w:rPr>
            </w:pPr>
            <w:r w:rsidRPr="0013016F">
              <w:rPr>
                <w:i w:val="0"/>
                <w:noProof/>
              </w:rPr>
              <w:lastRenderedPageBreak/>
              <w:t>Figure 5</w:t>
            </w:r>
          </w:p>
        </w:tc>
        <w:tc>
          <w:tcPr>
            <w:tcW w:w="222" w:type="dxa"/>
          </w:tcPr>
          <w:p w:rsidR="001C6697" w:rsidRPr="0013016F" w:rsidRDefault="001C6697" w:rsidP="005423F0">
            <w:pPr>
              <w:keepNext/>
              <w:spacing w:line="480" w:lineRule="auto"/>
            </w:pPr>
          </w:p>
        </w:tc>
      </w:tr>
    </w:tbl>
    <w:p w:rsidR="001C6697" w:rsidRPr="0013016F" w:rsidRDefault="001C6697" w:rsidP="001C6697">
      <w:pPr>
        <w:spacing w:line="480" w:lineRule="auto"/>
        <w:rPr>
          <w:rFonts w:cs="Times New Roman"/>
          <w:lang w:val="en-US"/>
        </w:rPr>
      </w:pPr>
      <w:r w:rsidRPr="0013016F">
        <w:rPr>
          <w:rFonts w:cs="Times New Roman"/>
          <w:noProof/>
          <w:lang w:val="en-US" w:eastAsia="en-US" w:bidi="ar-SA"/>
        </w:rPr>
        <w:drawing>
          <wp:inline distT="0" distB="0" distL="0" distR="0" wp14:anchorId="5770811A" wp14:editId="12159EFC">
            <wp:extent cx="5943600" cy="59436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p>
    <w:p w:rsidR="001C6697" w:rsidRPr="0013016F" w:rsidRDefault="001C6697" w:rsidP="001C6697">
      <w:pPr>
        <w:spacing w:line="480" w:lineRule="auto"/>
        <w:rPr>
          <w:rFonts w:cs="Times New Roman"/>
          <w:lang w:val="en-US"/>
        </w:rPr>
      </w:pPr>
      <w:r w:rsidRPr="0013016F">
        <w:rPr>
          <w:rFonts w:cs="Times New Roman"/>
          <w:lang w:val="en-US"/>
        </w:rPr>
        <w:lastRenderedPageBreak/>
        <w:t>Figure 6</w:t>
      </w:r>
    </w:p>
    <w:p w:rsidR="001C6697" w:rsidRPr="00D80935" w:rsidRDefault="001C6697" w:rsidP="001C6697">
      <w:pPr>
        <w:spacing w:line="480" w:lineRule="auto"/>
        <w:rPr>
          <w:rFonts w:cs="Times New Roman"/>
          <w:lang w:val="en-US"/>
        </w:rPr>
      </w:pPr>
      <w:r w:rsidRPr="0013016F">
        <w:rPr>
          <w:rFonts w:cs="Times New Roman"/>
          <w:noProof/>
          <w:lang w:val="en-US" w:eastAsia="en-US" w:bidi="ar-SA"/>
        </w:rPr>
        <w:drawing>
          <wp:inline distT="0" distB="0" distL="0" distR="0" wp14:anchorId="6280E989" wp14:editId="068C0B42">
            <wp:extent cx="5943600" cy="59436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89wTsp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1C6697" w:rsidRPr="00095A5A" w:rsidRDefault="001C6697" w:rsidP="001C6697">
      <w:pPr>
        <w:rPr>
          <w:rFonts w:cs="Times New Roman"/>
          <w:lang w:val="en-US"/>
        </w:rPr>
      </w:pPr>
      <w:r w:rsidRPr="00095A5A">
        <w:rPr>
          <w:rFonts w:cs="Times New Roman"/>
          <w:lang w:val="en-US"/>
        </w:rPr>
        <w:br w:type="page"/>
      </w:r>
    </w:p>
    <w:p w:rsidR="001C6697" w:rsidRDefault="001C6697" w:rsidP="001C6697"/>
    <w:p w:rsidR="002170C2" w:rsidRPr="00581A4D" w:rsidRDefault="002170C2" w:rsidP="00581A4D">
      <w:pPr>
        <w:spacing w:line="480" w:lineRule="auto"/>
        <w:ind w:firstLine="480"/>
        <w:rPr>
          <w:rFonts w:cs="Times New Roman"/>
          <w:lang w:val="en-US"/>
        </w:rPr>
      </w:pPr>
      <w:bookmarkStart w:id="0" w:name="_GoBack"/>
      <w:bookmarkEnd w:id="0"/>
    </w:p>
    <w:sectPr w:rsidR="002170C2" w:rsidRPr="00581A4D" w:rsidSect="009863F8">
      <w:headerReference w:type="default" r:id="rId15"/>
      <w:footerReference w:type="default" r:id="rId16"/>
      <w:headerReference w:type="first" r:id="rId17"/>
      <w:pgSz w:w="12240" w:h="15840"/>
      <w:pgMar w:top="1440" w:right="1440" w:bottom="1440" w:left="1440" w:header="720" w:footer="72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B8E" w:rsidRDefault="00D32B8E">
      <w:r>
        <w:separator/>
      </w:r>
    </w:p>
  </w:endnote>
  <w:endnote w:type="continuationSeparator" w:id="0">
    <w:p w:rsidR="00D32B8E" w:rsidRDefault="00D3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427" w:rsidRDefault="00E50427">
    <w:pPr>
      <w:pStyle w:val="Footer"/>
      <w:jc w:val="right"/>
    </w:pPr>
    <w:r>
      <w:fldChar w:fldCharType="begin"/>
    </w:r>
    <w:r w:rsidRPr="004C0CB7">
      <w:instrText xml:space="preserve"> PAGE   \* MERGEFORMAT </w:instrText>
    </w:r>
    <w:r>
      <w:fldChar w:fldCharType="separate"/>
    </w:r>
    <w:r w:rsidR="001C6697">
      <w:rPr>
        <w:noProof/>
      </w:rPr>
      <w:t>49</w:t>
    </w:r>
    <w:r>
      <w:rPr>
        <w:noProof/>
      </w:rPr>
      <w:fldChar w:fldCharType="end"/>
    </w:r>
  </w:p>
  <w:p w:rsidR="00E50427" w:rsidRDefault="00E50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B8E" w:rsidRDefault="00D32B8E">
      <w:r>
        <w:rPr>
          <w:color w:val="000000"/>
        </w:rPr>
        <w:separator/>
      </w:r>
    </w:p>
  </w:footnote>
  <w:footnote w:type="continuationSeparator" w:id="0">
    <w:p w:rsidR="00D32B8E" w:rsidRDefault="00D32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427" w:rsidRPr="003E1017" w:rsidRDefault="00E50427" w:rsidP="00AA3DE4">
    <w:pPr>
      <w:pStyle w:val="Header"/>
      <w:rPr>
        <w:lang w:val="en-US"/>
      </w:rPr>
    </w:pPr>
    <w:r w:rsidRPr="003E1017">
      <w:rPr>
        <w:lang w:val="en-US"/>
      </w:rPr>
      <w:t xml:space="preserve">AROUSAL REGULATION DURING </w:t>
    </w:r>
    <w:r>
      <w:rPr>
        <w:lang w:val="en-US"/>
      </w:rPr>
      <w:t>PROLONGED</w:t>
    </w:r>
    <w:r w:rsidRPr="003E1017">
      <w:rPr>
        <w:lang w:val="en-US"/>
      </w:rPr>
      <w:t xml:space="preserve"> THREAT</w:t>
    </w:r>
  </w:p>
  <w:p w:rsidR="00E50427" w:rsidRPr="00AA3DE4" w:rsidRDefault="00E50427">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427" w:rsidRPr="003E1017" w:rsidRDefault="00E50427">
    <w:pPr>
      <w:pStyle w:val="Header"/>
      <w:rPr>
        <w:lang w:val="en-US"/>
      </w:rPr>
    </w:pPr>
    <w:r w:rsidRPr="003E1017">
      <w:rPr>
        <w:lang w:val="en-US"/>
      </w:rPr>
      <w:t>SPONTANEOUS AROUSAL REGULATION DURING CONTINUOUS THREAT</w:t>
    </w:r>
  </w:p>
  <w:p w:rsidR="00E50427" w:rsidRPr="003E1017" w:rsidRDefault="00E5042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2B44"/>
    <w:multiLevelType w:val="hybridMultilevel"/>
    <w:tmpl w:val="D4C62A8C"/>
    <w:lvl w:ilvl="0" w:tplc="5ABE9342">
      <w:numFmt w:val="bullet"/>
      <w:lvlText w:val="-"/>
      <w:lvlJc w:val="left"/>
      <w:pPr>
        <w:ind w:left="1068" w:hanging="360"/>
      </w:pPr>
      <w:rPr>
        <w:rFonts w:ascii="Calibri" w:eastAsia="SimSu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2BAE66D6"/>
    <w:multiLevelType w:val="hybridMultilevel"/>
    <w:tmpl w:val="967E0778"/>
    <w:lvl w:ilvl="0" w:tplc="D4EAB86C">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463A4"/>
    <w:multiLevelType w:val="hybridMultilevel"/>
    <w:tmpl w:val="B0763202"/>
    <w:lvl w:ilvl="0" w:tplc="8A7E8876">
      <w:numFmt w:val="bullet"/>
      <w:lvlText w:val="-"/>
      <w:lvlJc w:val="left"/>
      <w:pPr>
        <w:ind w:left="720" w:hanging="360"/>
      </w:pPr>
      <w:rPr>
        <w:rFonts w:ascii="Calibri" w:eastAsia="SimSu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9C0CE6"/>
    <w:multiLevelType w:val="hybridMultilevel"/>
    <w:tmpl w:val="1C22AD40"/>
    <w:lvl w:ilvl="0" w:tplc="AEC8C6DA">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216A33"/>
    <w:multiLevelType w:val="multilevel"/>
    <w:tmpl w:val="0A74587C"/>
    <w:styleLink w:val="WWNum1"/>
    <w:lvl w:ilvl="0">
      <w:numFmt w:val="bullet"/>
      <w:lvlText w:val="-"/>
      <w:lvlJc w:val="left"/>
      <w:rPr>
        <w:rFonts w:cs="Calibri"/>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5" w15:restartNumberingAfterBreak="0">
    <w:nsid w:val="55D51A06"/>
    <w:multiLevelType w:val="hybridMultilevel"/>
    <w:tmpl w:val="02A8419A"/>
    <w:lvl w:ilvl="0" w:tplc="412CC3B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8A128D"/>
    <w:multiLevelType w:val="multilevel"/>
    <w:tmpl w:val="D31C8150"/>
    <w:styleLink w:val="WWNum2"/>
    <w:lvl w:ilvl="0">
      <w:numFmt w:val="bullet"/>
      <w:lvlText w:val="-"/>
      <w:lvlJc w:val="left"/>
      <w:rPr>
        <w:rFonts w:cs="Calibri"/>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num w:numId="1">
    <w:abstractNumId w:val="4"/>
  </w:num>
  <w:num w:numId="2">
    <w:abstractNumId w:val="6"/>
  </w:num>
  <w:num w:numId="3">
    <w:abstractNumId w:val="0"/>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F19"/>
    <w:rsid w:val="0000334E"/>
    <w:rsid w:val="00003861"/>
    <w:rsid w:val="0000440A"/>
    <w:rsid w:val="0000576B"/>
    <w:rsid w:val="0001043B"/>
    <w:rsid w:val="00010F90"/>
    <w:rsid w:val="0001256F"/>
    <w:rsid w:val="00015EA3"/>
    <w:rsid w:val="000160D3"/>
    <w:rsid w:val="000201B3"/>
    <w:rsid w:val="00023D36"/>
    <w:rsid w:val="0002425C"/>
    <w:rsid w:val="00024572"/>
    <w:rsid w:val="0002781A"/>
    <w:rsid w:val="00031232"/>
    <w:rsid w:val="00031D51"/>
    <w:rsid w:val="00035ECB"/>
    <w:rsid w:val="00036345"/>
    <w:rsid w:val="000435A3"/>
    <w:rsid w:val="0004546E"/>
    <w:rsid w:val="000502FE"/>
    <w:rsid w:val="00050A3A"/>
    <w:rsid w:val="00052706"/>
    <w:rsid w:val="00052FEC"/>
    <w:rsid w:val="000537D9"/>
    <w:rsid w:val="00057F48"/>
    <w:rsid w:val="00057FE1"/>
    <w:rsid w:val="000609A0"/>
    <w:rsid w:val="00060DD3"/>
    <w:rsid w:val="000643E7"/>
    <w:rsid w:val="00065D3C"/>
    <w:rsid w:val="00067ECC"/>
    <w:rsid w:val="000717A2"/>
    <w:rsid w:val="000740F3"/>
    <w:rsid w:val="00075CE6"/>
    <w:rsid w:val="0007649C"/>
    <w:rsid w:val="000764E2"/>
    <w:rsid w:val="00076CE9"/>
    <w:rsid w:val="00076FBB"/>
    <w:rsid w:val="0008002E"/>
    <w:rsid w:val="0008325F"/>
    <w:rsid w:val="00083BC6"/>
    <w:rsid w:val="00090307"/>
    <w:rsid w:val="00090E66"/>
    <w:rsid w:val="000914DD"/>
    <w:rsid w:val="00092B84"/>
    <w:rsid w:val="00095240"/>
    <w:rsid w:val="00095A5A"/>
    <w:rsid w:val="00097835"/>
    <w:rsid w:val="000A10EC"/>
    <w:rsid w:val="000A2D23"/>
    <w:rsid w:val="000A2E08"/>
    <w:rsid w:val="000A68C9"/>
    <w:rsid w:val="000A7824"/>
    <w:rsid w:val="000B2C25"/>
    <w:rsid w:val="000B31E2"/>
    <w:rsid w:val="000B4592"/>
    <w:rsid w:val="000B7CF8"/>
    <w:rsid w:val="000C178A"/>
    <w:rsid w:val="000C3FFE"/>
    <w:rsid w:val="000C4763"/>
    <w:rsid w:val="000C4B7A"/>
    <w:rsid w:val="000D0B9E"/>
    <w:rsid w:val="000D1279"/>
    <w:rsid w:val="000D2434"/>
    <w:rsid w:val="000D39F1"/>
    <w:rsid w:val="000D3A37"/>
    <w:rsid w:val="000D49D9"/>
    <w:rsid w:val="000D5287"/>
    <w:rsid w:val="000D7770"/>
    <w:rsid w:val="000E3786"/>
    <w:rsid w:val="000E3FDC"/>
    <w:rsid w:val="000E58E7"/>
    <w:rsid w:val="000E72AE"/>
    <w:rsid w:val="000E79AC"/>
    <w:rsid w:val="000F10C8"/>
    <w:rsid w:val="000F60A0"/>
    <w:rsid w:val="000F6BF5"/>
    <w:rsid w:val="00103A3C"/>
    <w:rsid w:val="00103BBE"/>
    <w:rsid w:val="00104F4A"/>
    <w:rsid w:val="00106243"/>
    <w:rsid w:val="00110E88"/>
    <w:rsid w:val="00111230"/>
    <w:rsid w:val="001112AC"/>
    <w:rsid w:val="00114193"/>
    <w:rsid w:val="00114FF4"/>
    <w:rsid w:val="001161F1"/>
    <w:rsid w:val="00120139"/>
    <w:rsid w:val="0012106B"/>
    <w:rsid w:val="00121995"/>
    <w:rsid w:val="00123C9C"/>
    <w:rsid w:val="00124243"/>
    <w:rsid w:val="00126724"/>
    <w:rsid w:val="0013016F"/>
    <w:rsid w:val="0013174F"/>
    <w:rsid w:val="001336B8"/>
    <w:rsid w:val="00133F49"/>
    <w:rsid w:val="00134875"/>
    <w:rsid w:val="00135886"/>
    <w:rsid w:val="00135E89"/>
    <w:rsid w:val="00137951"/>
    <w:rsid w:val="00137B46"/>
    <w:rsid w:val="0014155A"/>
    <w:rsid w:val="00142E48"/>
    <w:rsid w:val="0014326E"/>
    <w:rsid w:val="00144EBC"/>
    <w:rsid w:val="00155050"/>
    <w:rsid w:val="001608BE"/>
    <w:rsid w:val="0016120B"/>
    <w:rsid w:val="001617C3"/>
    <w:rsid w:val="00162A54"/>
    <w:rsid w:val="00163136"/>
    <w:rsid w:val="00164F5C"/>
    <w:rsid w:val="00165E0B"/>
    <w:rsid w:val="0017079E"/>
    <w:rsid w:val="00171606"/>
    <w:rsid w:val="00172616"/>
    <w:rsid w:val="00172694"/>
    <w:rsid w:val="00173108"/>
    <w:rsid w:val="00173803"/>
    <w:rsid w:val="001750FF"/>
    <w:rsid w:val="001758B7"/>
    <w:rsid w:val="00177D43"/>
    <w:rsid w:val="001806CA"/>
    <w:rsid w:val="0018363C"/>
    <w:rsid w:val="00184544"/>
    <w:rsid w:val="00184B69"/>
    <w:rsid w:val="00185E8B"/>
    <w:rsid w:val="00195003"/>
    <w:rsid w:val="00195EE0"/>
    <w:rsid w:val="001A3E37"/>
    <w:rsid w:val="001A4CE3"/>
    <w:rsid w:val="001A5D57"/>
    <w:rsid w:val="001A7B80"/>
    <w:rsid w:val="001B0A2E"/>
    <w:rsid w:val="001B1C9E"/>
    <w:rsid w:val="001B2861"/>
    <w:rsid w:val="001B309F"/>
    <w:rsid w:val="001B36FA"/>
    <w:rsid w:val="001B3969"/>
    <w:rsid w:val="001B4870"/>
    <w:rsid w:val="001B6CC6"/>
    <w:rsid w:val="001C2260"/>
    <w:rsid w:val="001C6697"/>
    <w:rsid w:val="001D06AC"/>
    <w:rsid w:val="001D1F44"/>
    <w:rsid w:val="001D309E"/>
    <w:rsid w:val="001D4F86"/>
    <w:rsid w:val="001D6ED8"/>
    <w:rsid w:val="001D796C"/>
    <w:rsid w:val="001E19DC"/>
    <w:rsid w:val="001E1ABB"/>
    <w:rsid w:val="001E1C1E"/>
    <w:rsid w:val="001E3C8D"/>
    <w:rsid w:val="001E5E57"/>
    <w:rsid w:val="001F1570"/>
    <w:rsid w:val="001F1B79"/>
    <w:rsid w:val="001F20AF"/>
    <w:rsid w:val="001F2E41"/>
    <w:rsid w:val="001F57AA"/>
    <w:rsid w:val="001F754A"/>
    <w:rsid w:val="001F7C09"/>
    <w:rsid w:val="00200024"/>
    <w:rsid w:val="00201080"/>
    <w:rsid w:val="002023A4"/>
    <w:rsid w:val="002131C7"/>
    <w:rsid w:val="002170C2"/>
    <w:rsid w:val="00224961"/>
    <w:rsid w:val="002254AB"/>
    <w:rsid w:val="00225D40"/>
    <w:rsid w:val="00225D7B"/>
    <w:rsid w:val="00225F9E"/>
    <w:rsid w:val="00230D6E"/>
    <w:rsid w:val="00233584"/>
    <w:rsid w:val="0023394C"/>
    <w:rsid w:val="00234051"/>
    <w:rsid w:val="00235F59"/>
    <w:rsid w:val="002370AE"/>
    <w:rsid w:val="00241DF6"/>
    <w:rsid w:val="00243413"/>
    <w:rsid w:val="0024424D"/>
    <w:rsid w:val="00246A1A"/>
    <w:rsid w:val="00246E13"/>
    <w:rsid w:val="002524A3"/>
    <w:rsid w:val="002527CE"/>
    <w:rsid w:val="00254A03"/>
    <w:rsid w:val="00255089"/>
    <w:rsid w:val="00263B5E"/>
    <w:rsid w:val="00264216"/>
    <w:rsid w:val="00266992"/>
    <w:rsid w:val="0027257E"/>
    <w:rsid w:val="002744A2"/>
    <w:rsid w:val="002804D1"/>
    <w:rsid w:val="002850EE"/>
    <w:rsid w:val="00292603"/>
    <w:rsid w:val="002963A7"/>
    <w:rsid w:val="002970EE"/>
    <w:rsid w:val="002A531C"/>
    <w:rsid w:val="002A54FA"/>
    <w:rsid w:val="002A5C5D"/>
    <w:rsid w:val="002A6881"/>
    <w:rsid w:val="002A7E79"/>
    <w:rsid w:val="002B009E"/>
    <w:rsid w:val="002B21E3"/>
    <w:rsid w:val="002B38E9"/>
    <w:rsid w:val="002B40E6"/>
    <w:rsid w:val="002B6A5D"/>
    <w:rsid w:val="002B6DDA"/>
    <w:rsid w:val="002C1738"/>
    <w:rsid w:val="002C1773"/>
    <w:rsid w:val="002C21D0"/>
    <w:rsid w:val="002C2475"/>
    <w:rsid w:val="002C2778"/>
    <w:rsid w:val="002C2C44"/>
    <w:rsid w:val="002C480F"/>
    <w:rsid w:val="002D2B5E"/>
    <w:rsid w:val="002D3EFD"/>
    <w:rsid w:val="002D7297"/>
    <w:rsid w:val="002E0FD6"/>
    <w:rsid w:val="002E200E"/>
    <w:rsid w:val="002E2D04"/>
    <w:rsid w:val="002E3EEB"/>
    <w:rsid w:val="002E419F"/>
    <w:rsid w:val="002E6780"/>
    <w:rsid w:val="002E69EA"/>
    <w:rsid w:val="002E7BF3"/>
    <w:rsid w:val="002F245E"/>
    <w:rsid w:val="002F28BC"/>
    <w:rsid w:val="002F3FC4"/>
    <w:rsid w:val="002F6CDA"/>
    <w:rsid w:val="00300267"/>
    <w:rsid w:val="00300F32"/>
    <w:rsid w:val="003059A7"/>
    <w:rsid w:val="00306514"/>
    <w:rsid w:val="00310E7C"/>
    <w:rsid w:val="0031122D"/>
    <w:rsid w:val="00313E50"/>
    <w:rsid w:val="00313F49"/>
    <w:rsid w:val="00314C2C"/>
    <w:rsid w:val="00324F04"/>
    <w:rsid w:val="00330101"/>
    <w:rsid w:val="00330D5B"/>
    <w:rsid w:val="00331232"/>
    <w:rsid w:val="00333162"/>
    <w:rsid w:val="00334B48"/>
    <w:rsid w:val="00335686"/>
    <w:rsid w:val="00335DD9"/>
    <w:rsid w:val="00336570"/>
    <w:rsid w:val="00340621"/>
    <w:rsid w:val="00342AA0"/>
    <w:rsid w:val="00343422"/>
    <w:rsid w:val="00345252"/>
    <w:rsid w:val="00353EB4"/>
    <w:rsid w:val="00354EA1"/>
    <w:rsid w:val="003649E3"/>
    <w:rsid w:val="00367357"/>
    <w:rsid w:val="00367D81"/>
    <w:rsid w:val="00370880"/>
    <w:rsid w:val="00371F19"/>
    <w:rsid w:val="00375630"/>
    <w:rsid w:val="003762AE"/>
    <w:rsid w:val="0037763C"/>
    <w:rsid w:val="003779B9"/>
    <w:rsid w:val="0038014B"/>
    <w:rsid w:val="003806D7"/>
    <w:rsid w:val="00380C81"/>
    <w:rsid w:val="00381264"/>
    <w:rsid w:val="0038680A"/>
    <w:rsid w:val="00390A70"/>
    <w:rsid w:val="00391BF3"/>
    <w:rsid w:val="00392671"/>
    <w:rsid w:val="003929A9"/>
    <w:rsid w:val="00395497"/>
    <w:rsid w:val="00396BD6"/>
    <w:rsid w:val="003A08FE"/>
    <w:rsid w:val="003A538B"/>
    <w:rsid w:val="003A7925"/>
    <w:rsid w:val="003B055F"/>
    <w:rsid w:val="003B2245"/>
    <w:rsid w:val="003B366E"/>
    <w:rsid w:val="003B7B51"/>
    <w:rsid w:val="003C0F27"/>
    <w:rsid w:val="003C2014"/>
    <w:rsid w:val="003C48A4"/>
    <w:rsid w:val="003C57EB"/>
    <w:rsid w:val="003D5827"/>
    <w:rsid w:val="003D7308"/>
    <w:rsid w:val="003E0C20"/>
    <w:rsid w:val="003E1017"/>
    <w:rsid w:val="003E40C9"/>
    <w:rsid w:val="003E51D5"/>
    <w:rsid w:val="003F34A0"/>
    <w:rsid w:val="003F72FF"/>
    <w:rsid w:val="00400C45"/>
    <w:rsid w:val="00402728"/>
    <w:rsid w:val="00406FDF"/>
    <w:rsid w:val="004101CA"/>
    <w:rsid w:val="00411F76"/>
    <w:rsid w:val="00412C74"/>
    <w:rsid w:val="00413041"/>
    <w:rsid w:val="00413A49"/>
    <w:rsid w:val="00413F69"/>
    <w:rsid w:val="00414016"/>
    <w:rsid w:val="004152F1"/>
    <w:rsid w:val="00416EFA"/>
    <w:rsid w:val="0042043F"/>
    <w:rsid w:val="00423370"/>
    <w:rsid w:val="00423AA8"/>
    <w:rsid w:val="00424EEB"/>
    <w:rsid w:val="004257AE"/>
    <w:rsid w:val="00430E67"/>
    <w:rsid w:val="0043730E"/>
    <w:rsid w:val="004426A2"/>
    <w:rsid w:val="004442E3"/>
    <w:rsid w:val="0045479A"/>
    <w:rsid w:val="00455738"/>
    <w:rsid w:val="00455AB6"/>
    <w:rsid w:val="00455B63"/>
    <w:rsid w:val="004563D6"/>
    <w:rsid w:val="00457A17"/>
    <w:rsid w:val="00461663"/>
    <w:rsid w:val="004627EB"/>
    <w:rsid w:val="004644D2"/>
    <w:rsid w:val="00464A2B"/>
    <w:rsid w:val="0046656D"/>
    <w:rsid w:val="004674EA"/>
    <w:rsid w:val="0047005F"/>
    <w:rsid w:val="004750AF"/>
    <w:rsid w:val="004751DD"/>
    <w:rsid w:val="004762D6"/>
    <w:rsid w:val="00477116"/>
    <w:rsid w:val="00477798"/>
    <w:rsid w:val="00483152"/>
    <w:rsid w:val="004847F8"/>
    <w:rsid w:val="0048665C"/>
    <w:rsid w:val="00490510"/>
    <w:rsid w:val="004A31A1"/>
    <w:rsid w:val="004A4C86"/>
    <w:rsid w:val="004B2CEF"/>
    <w:rsid w:val="004B6237"/>
    <w:rsid w:val="004B6B80"/>
    <w:rsid w:val="004C0A36"/>
    <w:rsid w:val="004C0CB7"/>
    <w:rsid w:val="004C4DFC"/>
    <w:rsid w:val="004C6695"/>
    <w:rsid w:val="004D02CE"/>
    <w:rsid w:val="004D0FD9"/>
    <w:rsid w:val="004D1912"/>
    <w:rsid w:val="004D2229"/>
    <w:rsid w:val="004D2B6D"/>
    <w:rsid w:val="004D346A"/>
    <w:rsid w:val="004D6147"/>
    <w:rsid w:val="004D778D"/>
    <w:rsid w:val="004D78C3"/>
    <w:rsid w:val="004E2ADF"/>
    <w:rsid w:val="004E422A"/>
    <w:rsid w:val="004E575E"/>
    <w:rsid w:val="004E63A1"/>
    <w:rsid w:val="004E7BA8"/>
    <w:rsid w:val="004F2C9D"/>
    <w:rsid w:val="004F2CC1"/>
    <w:rsid w:val="004F5720"/>
    <w:rsid w:val="004F7118"/>
    <w:rsid w:val="00502A81"/>
    <w:rsid w:val="00502C30"/>
    <w:rsid w:val="00502E1B"/>
    <w:rsid w:val="00503761"/>
    <w:rsid w:val="00504103"/>
    <w:rsid w:val="00506E65"/>
    <w:rsid w:val="005077AC"/>
    <w:rsid w:val="00507ABC"/>
    <w:rsid w:val="005140E1"/>
    <w:rsid w:val="00515390"/>
    <w:rsid w:val="00517F8B"/>
    <w:rsid w:val="005213F8"/>
    <w:rsid w:val="005216C3"/>
    <w:rsid w:val="005218B9"/>
    <w:rsid w:val="00533464"/>
    <w:rsid w:val="00534A2D"/>
    <w:rsid w:val="00535AB3"/>
    <w:rsid w:val="00536056"/>
    <w:rsid w:val="00537682"/>
    <w:rsid w:val="00544CAC"/>
    <w:rsid w:val="00546325"/>
    <w:rsid w:val="00547D8B"/>
    <w:rsid w:val="00551314"/>
    <w:rsid w:val="00551DE3"/>
    <w:rsid w:val="00553658"/>
    <w:rsid w:val="00554524"/>
    <w:rsid w:val="00555D18"/>
    <w:rsid w:val="005569B6"/>
    <w:rsid w:val="00556B57"/>
    <w:rsid w:val="00557D03"/>
    <w:rsid w:val="005617B1"/>
    <w:rsid w:val="00562BA2"/>
    <w:rsid w:val="00565EC8"/>
    <w:rsid w:val="00567B07"/>
    <w:rsid w:val="00570DDB"/>
    <w:rsid w:val="00571F4D"/>
    <w:rsid w:val="00575F9A"/>
    <w:rsid w:val="00580797"/>
    <w:rsid w:val="005808AC"/>
    <w:rsid w:val="00581332"/>
    <w:rsid w:val="00581A4D"/>
    <w:rsid w:val="00583AAF"/>
    <w:rsid w:val="0058691E"/>
    <w:rsid w:val="00586EE1"/>
    <w:rsid w:val="00587529"/>
    <w:rsid w:val="005904C7"/>
    <w:rsid w:val="00591350"/>
    <w:rsid w:val="00591E6D"/>
    <w:rsid w:val="0059328C"/>
    <w:rsid w:val="00593414"/>
    <w:rsid w:val="005937A9"/>
    <w:rsid w:val="0059451A"/>
    <w:rsid w:val="00595C21"/>
    <w:rsid w:val="0059798D"/>
    <w:rsid w:val="00597F46"/>
    <w:rsid w:val="005A1DFB"/>
    <w:rsid w:val="005A353A"/>
    <w:rsid w:val="005A3E2C"/>
    <w:rsid w:val="005A4D8D"/>
    <w:rsid w:val="005A56E5"/>
    <w:rsid w:val="005A6E3D"/>
    <w:rsid w:val="005B03F8"/>
    <w:rsid w:val="005B375C"/>
    <w:rsid w:val="005C1C77"/>
    <w:rsid w:val="005C6382"/>
    <w:rsid w:val="005D0FAD"/>
    <w:rsid w:val="005D13EE"/>
    <w:rsid w:val="005D159F"/>
    <w:rsid w:val="005D2183"/>
    <w:rsid w:val="005D24BB"/>
    <w:rsid w:val="005D4128"/>
    <w:rsid w:val="005D6449"/>
    <w:rsid w:val="005E0D86"/>
    <w:rsid w:val="005E137A"/>
    <w:rsid w:val="005E19BD"/>
    <w:rsid w:val="005E3B3F"/>
    <w:rsid w:val="005E53E1"/>
    <w:rsid w:val="005E62AF"/>
    <w:rsid w:val="005E7882"/>
    <w:rsid w:val="005F0CCA"/>
    <w:rsid w:val="005F1E36"/>
    <w:rsid w:val="005F2242"/>
    <w:rsid w:val="005F51AA"/>
    <w:rsid w:val="00602F6B"/>
    <w:rsid w:val="00603EC1"/>
    <w:rsid w:val="006058A1"/>
    <w:rsid w:val="00606DAF"/>
    <w:rsid w:val="0060747A"/>
    <w:rsid w:val="00610839"/>
    <w:rsid w:val="00610BB8"/>
    <w:rsid w:val="0061141B"/>
    <w:rsid w:val="00612805"/>
    <w:rsid w:val="0061385F"/>
    <w:rsid w:val="006143FE"/>
    <w:rsid w:val="00616CA6"/>
    <w:rsid w:val="00617385"/>
    <w:rsid w:val="006204AE"/>
    <w:rsid w:val="00622B5A"/>
    <w:rsid w:val="00622F88"/>
    <w:rsid w:val="00626DEF"/>
    <w:rsid w:val="00631089"/>
    <w:rsid w:val="006354C2"/>
    <w:rsid w:val="00635E68"/>
    <w:rsid w:val="00640BBA"/>
    <w:rsid w:val="00645524"/>
    <w:rsid w:val="006506AA"/>
    <w:rsid w:val="00653BF2"/>
    <w:rsid w:val="00655E64"/>
    <w:rsid w:val="00657755"/>
    <w:rsid w:val="00660166"/>
    <w:rsid w:val="006601F4"/>
    <w:rsid w:val="006616C8"/>
    <w:rsid w:val="00661976"/>
    <w:rsid w:val="00663219"/>
    <w:rsid w:val="0066520C"/>
    <w:rsid w:val="006738DC"/>
    <w:rsid w:val="00675489"/>
    <w:rsid w:val="00675586"/>
    <w:rsid w:val="00675D16"/>
    <w:rsid w:val="00676320"/>
    <w:rsid w:val="006779CC"/>
    <w:rsid w:val="00681020"/>
    <w:rsid w:val="00684862"/>
    <w:rsid w:val="00684B4D"/>
    <w:rsid w:val="0068781F"/>
    <w:rsid w:val="00687E10"/>
    <w:rsid w:val="00696811"/>
    <w:rsid w:val="006A7177"/>
    <w:rsid w:val="006A7602"/>
    <w:rsid w:val="006A7B3E"/>
    <w:rsid w:val="006B35CD"/>
    <w:rsid w:val="006B3785"/>
    <w:rsid w:val="006B504A"/>
    <w:rsid w:val="006C0167"/>
    <w:rsid w:val="006C0324"/>
    <w:rsid w:val="006C211B"/>
    <w:rsid w:val="006C2AB3"/>
    <w:rsid w:val="006C3BE2"/>
    <w:rsid w:val="006C5CAB"/>
    <w:rsid w:val="006D4BDE"/>
    <w:rsid w:val="006D5A13"/>
    <w:rsid w:val="006D5EAE"/>
    <w:rsid w:val="006E09AE"/>
    <w:rsid w:val="006E19DE"/>
    <w:rsid w:val="006E4138"/>
    <w:rsid w:val="006E515E"/>
    <w:rsid w:val="006E52EB"/>
    <w:rsid w:val="006E72E8"/>
    <w:rsid w:val="006F00F6"/>
    <w:rsid w:val="006F07A7"/>
    <w:rsid w:val="006F4ECC"/>
    <w:rsid w:val="007007C9"/>
    <w:rsid w:val="007019CD"/>
    <w:rsid w:val="007068FA"/>
    <w:rsid w:val="00707D20"/>
    <w:rsid w:val="007104D0"/>
    <w:rsid w:val="00711BF6"/>
    <w:rsid w:val="00711CA0"/>
    <w:rsid w:val="00713AA7"/>
    <w:rsid w:val="0071600E"/>
    <w:rsid w:val="00721ADA"/>
    <w:rsid w:val="00722179"/>
    <w:rsid w:val="007265BE"/>
    <w:rsid w:val="00726AF7"/>
    <w:rsid w:val="00727257"/>
    <w:rsid w:val="00730EC5"/>
    <w:rsid w:val="00731272"/>
    <w:rsid w:val="00732E9C"/>
    <w:rsid w:val="00736D1B"/>
    <w:rsid w:val="00743012"/>
    <w:rsid w:val="00746DED"/>
    <w:rsid w:val="00750983"/>
    <w:rsid w:val="0075494A"/>
    <w:rsid w:val="0075540C"/>
    <w:rsid w:val="007567E9"/>
    <w:rsid w:val="00757423"/>
    <w:rsid w:val="00757860"/>
    <w:rsid w:val="00760123"/>
    <w:rsid w:val="007610A3"/>
    <w:rsid w:val="00762D5C"/>
    <w:rsid w:val="00763710"/>
    <w:rsid w:val="00765E81"/>
    <w:rsid w:val="00771413"/>
    <w:rsid w:val="0077603F"/>
    <w:rsid w:val="00776040"/>
    <w:rsid w:val="0077709C"/>
    <w:rsid w:val="00782207"/>
    <w:rsid w:val="007830D8"/>
    <w:rsid w:val="00783FFB"/>
    <w:rsid w:val="00791DC0"/>
    <w:rsid w:val="00793D6D"/>
    <w:rsid w:val="00794750"/>
    <w:rsid w:val="00794D36"/>
    <w:rsid w:val="00795883"/>
    <w:rsid w:val="007962CC"/>
    <w:rsid w:val="007A0EE7"/>
    <w:rsid w:val="007A2858"/>
    <w:rsid w:val="007A28E9"/>
    <w:rsid w:val="007A3C0D"/>
    <w:rsid w:val="007A574C"/>
    <w:rsid w:val="007A6A0D"/>
    <w:rsid w:val="007B2015"/>
    <w:rsid w:val="007B3180"/>
    <w:rsid w:val="007B44F3"/>
    <w:rsid w:val="007B594A"/>
    <w:rsid w:val="007B729F"/>
    <w:rsid w:val="007C26DD"/>
    <w:rsid w:val="007C2D0D"/>
    <w:rsid w:val="007C3BB5"/>
    <w:rsid w:val="007C4416"/>
    <w:rsid w:val="007C4B72"/>
    <w:rsid w:val="007C7A19"/>
    <w:rsid w:val="007D3E02"/>
    <w:rsid w:val="007D3E89"/>
    <w:rsid w:val="007D50F5"/>
    <w:rsid w:val="007D6F88"/>
    <w:rsid w:val="007E1A7D"/>
    <w:rsid w:val="007E37EB"/>
    <w:rsid w:val="007E4E13"/>
    <w:rsid w:val="007E7C66"/>
    <w:rsid w:val="007F2059"/>
    <w:rsid w:val="007F3BE8"/>
    <w:rsid w:val="007F4313"/>
    <w:rsid w:val="007F6F12"/>
    <w:rsid w:val="00802968"/>
    <w:rsid w:val="00803670"/>
    <w:rsid w:val="00810E3A"/>
    <w:rsid w:val="0081145E"/>
    <w:rsid w:val="00811A13"/>
    <w:rsid w:val="00815435"/>
    <w:rsid w:val="00815857"/>
    <w:rsid w:val="00815C0F"/>
    <w:rsid w:val="008222A2"/>
    <w:rsid w:val="00823113"/>
    <w:rsid w:val="00824E1D"/>
    <w:rsid w:val="00827CAF"/>
    <w:rsid w:val="00830CFF"/>
    <w:rsid w:val="00832AD3"/>
    <w:rsid w:val="008333FE"/>
    <w:rsid w:val="00833E60"/>
    <w:rsid w:val="008352A4"/>
    <w:rsid w:val="00836A04"/>
    <w:rsid w:val="008375E4"/>
    <w:rsid w:val="0084646D"/>
    <w:rsid w:val="00846BD9"/>
    <w:rsid w:val="0084748B"/>
    <w:rsid w:val="008474B3"/>
    <w:rsid w:val="008475F2"/>
    <w:rsid w:val="00852B6D"/>
    <w:rsid w:val="00853E64"/>
    <w:rsid w:val="008578CC"/>
    <w:rsid w:val="00860F61"/>
    <w:rsid w:val="008619A5"/>
    <w:rsid w:val="0086503E"/>
    <w:rsid w:val="008672E9"/>
    <w:rsid w:val="00867A83"/>
    <w:rsid w:val="00872D2F"/>
    <w:rsid w:val="00875566"/>
    <w:rsid w:val="00877A89"/>
    <w:rsid w:val="00877D19"/>
    <w:rsid w:val="00884662"/>
    <w:rsid w:val="00885150"/>
    <w:rsid w:val="008860BD"/>
    <w:rsid w:val="008916BA"/>
    <w:rsid w:val="00891D3E"/>
    <w:rsid w:val="0089368B"/>
    <w:rsid w:val="00894635"/>
    <w:rsid w:val="00895ED9"/>
    <w:rsid w:val="008963DB"/>
    <w:rsid w:val="008971DD"/>
    <w:rsid w:val="008A0F1A"/>
    <w:rsid w:val="008A2106"/>
    <w:rsid w:val="008A36CA"/>
    <w:rsid w:val="008A426F"/>
    <w:rsid w:val="008A77FC"/>
    <w:rsid w:val="008A7F34"/>
    <w:rsid w:val="008B00E8"/>
    <w:rsid w:val="008B0611"/>
    <w:rsid w:val="008B22B4"/>
    <w:rsid w:val="008B45D8"/>
    <w:rsid w:val="008B4976"/>
    <w:rsid w:val="008B4B83"/>
    <w:rsid w:val="008B58D6"/>
    <w:rsid w:val="008B61DC"/>
    <w:rsid w:val="008B7037"/>
    <w:rsid w:val="008B72E9"/>
    <w:rsid w:val="008C04B5"/>
    <w:rsid w:val="008C04B8"/>
    <w:rsid w:val="008C0629"/>
    <w:rsid w:val="008D1B33"/>
    <w:rsid w:val="008D2AC0"/>
    <w:rsid w:val="008D41CA"/>
    <w:rsid w:val="008D6D29"/>
    <w:rsid w:val="008E12B5"/>
    <w:rsid w:val="008E2332"/>
    <w:rsid w:val="008E34A3"/>
    <w:rsid w:val="008E4993"/>
    <w:rsid w:val="008E51F2"/>
    <w:rsid w:val="008E5A7D"/>
    <w:rsid w:val="008E6B33"/>
    <w:rsid w:val="008E7089"/>
    <w:rsid w:val="008E72CC"/>
    <w:rsid w:val="008E7982"/>
    <w:rsid w:val="008F0EE9"/>
    <w:rsid w:val="008F1586"/>
    <w:rsid w:val="008F46CC"/>
    <w:rsid w:val="0090162A"/>
    <w:rsid w:val="0091017A"/>
    <w:rsid w:val="00911E78"/>
    <w:rsid w:val="00912131"/>
    <w:rsid w:val="009121F5"/>
    <w:rsid w:val="0091424D"/>
    <w:rsid w:val="00914CA3"/>
    <w:rsid w:val="00917033"/>
    <w:rsid w:val="009177C4"/>
    <w:rsid w:val="00920F29"/>
    <w:rsid w:val="00921E76"/>
    <w:rsid w:val="009221A6"/>
    <w:rsid w:val="0092381F"/>
    <w:rsid w:val="00930682"/>
    <w:rsid w:val="00930A00"/>
    <w:rsid w:val="00932587"/>
    <w:rsid w:val="00932B8B"/>
    <w:rsid w:val="0093328F"/>
    <w:rsid w:val="009347DF"/>
    <w:rsid w:val="0093489E"/>
    <w:rsid w:val="00935961"/>
    <w:rsid w:val="00935BAB"/>
    <w:rsid w:val="00936541"/>
    <w:rsid w:val="009433FA"/>
    <w:rsid w:val="009437C4"/>
    <w:rsid w:val="009465D1"/>
    <w:rsid w:val="0094715D"/>
    <w:rsid w:val="00950DC5"/>
    <w:rsid w:val="00951433"/>
    <w:rsid w:val="00953425"/>
    <w:rsid w:val="009557D4"/>
    <w:rsid w:val="009571CE"/>
    <w:rsid w:val="009578D8"/>
    <w:rsid w:val="0096116F"/>
    <w:rsid w:val="00963623"/>
    <w:rsid w:val="00964414"/>
    <w:rsid w:val="009646CC"/>
    <w:rsid w:val="00964E15"/>
    <w:rsid w:val="009730FB"/>
    <w:rsid w:val="009737F9"/>
    <w:rsid w:val="00974650"/>
    <w:rsid w:val="009818AA"/>
    <w:rsid w:val="009819F0"/>
    <w:rsid w:val="00981D5E"/>
    <w:rsid w:val="00982100"/>
    <w:rsid w:val="00982347"/>
    <w:rsid w:val="00983AC0"/>
    <w:rsid w:val="00984649"/>
    <w:rsid w:val="00985C9C"/>
    <w:rsid w:val="009863F8"/>
    <w:rsid w:val="0098769C"/>
    <w:rsid w:val="009912AE"/>
    <w:rsid w:val="009933F6"/>
    <w:rsid w:val="00993C55"/>
    <w:rsid w:val="00996E57"/>
    <w:rsid w:val="009970FD"/>
    <w:rsid w:val="00997FF3"/>
    <w:rsid w:val="009A1761"/>
    <w:rsid w:val="009A20D5"/>
    <w:rsid w:val="009A5739"/>
    <w:rsid w:val="009A5962"/>
    <w:rsid w:val="009A7F63"/>
    <w:rsid w:val="009C540F"/>
    <w:rsid w:val="009C5BF5"/>
    <w:rsid w:val="009C5F6A"/>
    <w:rsid w:val="009C7758"/>
    <w:rsid w:val="009C7E17"/>
    <w:rsid w:val="009D0848"/>
    <w:rsid w:val="009D3CE1"/>
    <w:rsid w:val="009D45FC"/>
    <w:rsid w:val="009D4863"/>
    <w:rsid w:val="009D5105"/>
    <w:rsid w:val="009D5188"/>
    <w:rsid w:val="009D62BD"/>
    <w:rsid w:val="009D66C6"/>
    <w:rsid w:val="009D7175"/>
    <w:rsid w:val="009D78C5"/>
    <w:rsid w:val="009E1279"/>
    <w:rsid w:val="009E16C5"/>
    <w:rsid w:val="009E179E"/>
    <w:rsid w:val="009E20C1"/>
    <w:rsid w:val="009E37DC"/>
    <w:rsid w:val="009E3D5C"/>
    <w:rsid w:val="009E456E"/>
    <w:rsid w:val="009F0009"/>
    <w:rsid w:val="009F0521"/>
    <w:rsid w:val="009F295D"/>
    <w:rsid w:val="009F4CDE"/>
    <w:rsid w:val="009F70B8"/>
    <w:rsid w:val="00A00745"/>
    <w:rsid w:val="00A014E6"/>
    <w:rsid w:val="00A02AF4"/>
    <w:rsid w:val="00A04CB4"/>
    <w:rsid w:val="00A14D90"/>
    <w:rsid w:val="00A25063"/>
    <w:rsid w:val="00A26A66"/>
    <w:rsid w:val="00A27033"/>
    <w:rsid w:val="00A271DD"/>
    <w:rsid w:val="00A31FDE"/>
    <w:rsid w:val="00A3220A"/>
    <w:rsid w:val="00A324FA"/>
    <w:rsid w:val="00A32B06"/>
    <w:rsid w:val="00A35353"/>
    <w:rsid w:val="00A36A5F"/>
    <w:rsid w:val="00A37C7F"/>
    <w:rsid w:val="00A406A3"/>
    <w:rsid w:val="00A40957"/>
    <w:rsid w:val="00A44288"/>
    <w:rsid w:val="00A45FFF"/>
    <w:rsid w:val="00A461EB"/>
    <w:rsid w:val="00A51501"/>
    <w:rsid w:val="00A52657"/>
    <w:rsid w:val="00A5672B"/>
    <w:rsid w:val="00A64547"/>
    <w:rsid w:val="00A663F7"/>
    <w:rsid w:val="00A667F5"/>
    <w:rsid w:val="00A67BA4"/>
    <w:rsid w:val="00A74592"/>
    <w:rsid w:val="00A8038F"/>
    <w:rsid w:val="00A8165F"/>
    <w:rsid w:val="00A820D8"/>
    <w:rsid w:val="00A83504"/>
    <w:rsid w:val="00A85CD6"/>
    <w:rsid w:val="00A91414"/>
    <w:rsid w:val="00A951E1"/>
    <w:rsid w:val="00A96BF7"/>
    <w:rsid w:val="00AA1F6F"/>
    <w:rsid w:val="00AA24EC"/>
    <w:rsid w:val="00AA2ED9"/>
    <w:rsid w:val="00AA3DE4"/>
    <w:rsid w:val="00AA56AD"/>
    <w:rsid w:val="00AA5B63"/>
    <w:rsid w:val="00AB249E"/>
    <w:rsid w:val="00AB2FEA"/>
    <w:rsid w:val="00AB3171"/>
    <w:rsid w:val="00AB4529"/>
    <w:rsid w:val="00AB5A6B"/>
    <w:rsid w:val="00AB5FE2"/>
    <w:rsid w:val="00AB7617"/>
    <w:rsid w:val="00AC1833"/>
    <w:rsid w:val="00AC27AB"/>
    <w:rsid w:val="00AC446F"/>
    <w:rsid w:val="00AC579C"/>
    <w:rsid w:val="00AC67ED"/>
    <w:rsid w:val="00AC737E"/>
    <w:rsid w:val="00AD2977"/>
    <w:rsid w:val="00AD298F"/>
    <w:rsid w:val="00AD31E2"/>
    <w:rsid w:val="00AE0BBD"/>
    <w:rsid w:val="00AE1F7D"/>
    <w:rsid w:val="00AE35F8"/>
    <w:rsid w:val="00AE3D48"/>
    <w:rsid w:val="00AF031A"/>
    <w:rsid w:val="00AF2198"/>
    <w:rsid w:val="00AF3942"/>
    <w:rsid w:val="00AF5FFA"/>
    <w:rsid w:val="00AF60D4"/>
    <w:rsid w:val="00AF6C2F"/>
    <w:rsid w:val="00AF7E2B"/>
    <w:rsid w:val="00B00599"/>
    <w:rsid w:val="00B02289"/>
    <w:rsid w:val="00B03E22"/>
    <w:rsid w:val="00B04DD4"/>
    <w:rsid w:val="00B117FF"/>
    <w:rsid w:val="00B13309"/>
    <w:rsid w:val="00B17BBA"/>
    <w:rsid w:val="00B20605"/>
    <w:rsid w:val="00B20CBB"/>
    <w:rsid w:val="00B210D2"/>
    <w:rsid w:val="00B24B8A"/>
    <w:rsid w:val="00B2532D"/>
    <w:rsid w:val="00B26E0A"/>
    <w:rsid w:val="00B30553"/>
    <w:rsid w:val="00B309AA"/>
    <w:rsid w:val="00B31593"/>
    <w:rsid w:val="00B33995"/>
    <w:rsid w:val="00B423C2"/>
    <w:rsid w:val="00B445C7"/>
    <w:rsid w:val="00B4509E"/>
    <w:rsid w:val="00B50CD1"/>
    <w:rsid w:val="00B51A18"/>
    <w:rsid w:val="00B5200F"/>
    <w:rsid w:val="00B52830"/>
    <w:rsid w:val="00B53705"/>
    <w:rsid w:val="00B548CE"/>
    <w:rsid w:val="00B55BAE"/>
    <w:rsid w:val="00B65AB0"/>
    <w:rsid w:val="00B66F9F"/>
    <w:rsid w:val="00B727E7"/>
    <w:rsid w:val="00B76425"/>
    <w:rsid w:val="00B8063E"/>
    <w:rsid w:val="00B86A15"/>
    <w:rsid w:val="00B86D28"/>
    <w:rsid w:val="00B877FD"/>
    <w:rsid w:val="00B87D2A"/>
    <w:rsid w:val="00B92F79"/>
    <w:rsid w:val="00B93442"/>
    <w:rsid w:val="00B969F3"/>
    <w:rsid w:val="00B96A51"/>
    <w:rsid w:val="00BA0033"/>
    <w:rsid w:val="00BA1219"/>
    <w:rsid w:val="00BA2332"/>
    <w:rsid w:val="00BA6D99"/>
    <w:rsid w:val="00BB4D30"/>
    <w:rsid w:val="00BB53C9"/>
    <w:rsid w:val="00BB69DE"/>
    <w:rsid w:val="00BC2264"/>
    <w:rsid w:val="00BC276C"/>
    <w:rsid w:val="00BC29E4"/>
    <w:rsid w:val="00BC34BF"/>
    <w:rsid w:val="00BC4763"/>
    <w:rsid w:val="00BC6943"/>
    <w:rsid w:val="00BC6BC4"/>
    <w:rsid w:val="00BC7599"/>
    <w:rsid w:val="00BD1F45"/>
    <w:rsid w:val="00BD5F21"/>
    <w:rsid w:val="00BE051A"/>
    <w:rsid w:val="00BE427E"/>
    <w:rsid w:val="00BE442D"/>
    <w:rsid w:val="00BE7665"/>
    <w:rsid w:val="00BF4DFE"/>
    <w:rsid w:val="00BF7147"/>
    <w:rsid w:val="00C02728"/>
    <w:rsid w:val="00C027F3"/>
    <w:rsid w:val="00C056CB"/>
    <w:rsid w:val="00C06947"/>
    <w:rsid w:val="00C107DA"/>
    <w:rsid w:val="00C11870"/>
    <w:rsid w:val="00C1373D"/>
    <w:rsid w:val="00C139B6"/>
    <w:rsid w:val="00C13C04"/>
    <w:rsid w:val="00C14A9B"/>
    <w:rsid w:val="00C14D46"/>
    <w:rsid w:val="00C15D37"/>
    <w:rsid w:val="00C16278"/>
    <w:rsid w:val="00C20DB2"/>
    <w:rsid w:val="00C2131B"/>
    <w:rsid w:val="00C215D7"/>
    <w:rsid w:val="00C24C74"/>
    <w:rsid w:val="00C25F40"/>
    <w:rsid w:val="00C26007"/>
    <w:rsid w:val="00C26770"/>
    <w:rsid w:val="00C26ACC"/>
    <w:rsid w:val="00C3119A"/>
    <w:rsid w:val="00C3318C"/>
    <w:rsid w:val="00C345B7"/>
    <w:rsid w:val="00C34CEF"/>
    <w:rsid w:val="00C354FE"/>
    <w:rsid w:val="00C364AA"/>
    <w:rsid w:val="00C36F26"/>
    <w:rsid w:val="00C439C4"/>
    <w:rsid w:val="00C44587"/>
    <w:rsid w:val="00C44F2B"/>
    <w:rsid w:val="00C5083F"/>
    <w:rsid w:val="00C510EA"/>
    <w:rsid w:val="00C52356"/>
    <w:rsid w:val="00C55288"/>
    <w:rsid w:val="00C5633C"/>
    <w:rsid w:val="00C568D2"/>
    <w:rsid w:val="00C60D1E"/>
    <w:rsid w:val="00C61411"/>
    <w:rsid w:val="00C61B1A"/>
    <w:rsid w:val="00C63677"/>
    <w:rsid w:val="00C6372D"/>
    <w:rsid w:val="00C65DCE"/>
    <w:rsid w:val="00C72580"/>
    <w:rsid w:val="00C74258"/>
    <w:rsid w:val="00C75481"/>
    <w:rsid w:val="00C8053A"/>
    <w:rsid w:val="00C83B5E"/>
    <w:rsid w:val="00C8536A"/>
    <w:rsid w:val="00C8627C"/>
    <w:rsid w:val="00C903FA"/>
    <w:rsid w:val="00C90452"/>
    <w:rsid w:val="00C92B0F"/>
    <w:rsid w:val="00C954F2"/>
    <w:rsid w:val="00CA0320"/>
    <w:rsid w:val="00CA3ED8"/>
    <w:rsid w:val="00CA601D"/>
    <w:rsid w:val="00CA747C"/>
    <w:rsid w:val="00CB04E1"/>
    <w:rsid w:val="00CB25F4"/>
    <w:rsid w:val="00CB5C62"/>
    <w:rsid w:val="00CC0D48"/>
    <w:rsid w:val="00CC3393"/>
    <w:rsid w:val="00CC5114"/>
    <w:rsid w:val="00CC5573"/>
    <w:rsid w:val="00CC6A77"/>
    <w:rsid w:val="00CC7619"/>
    <w:rsid w:val="00CD0563"/>
    <w:rsid w:val="00CD4042"/>
    <w:rsid w:val="00CD7059"/>
    <w:rsid w:val="00CD7240"/>
    <w:rsid w:val="00CD72A5"/>
    <w:rsid w:val="00CD7C0B"/>
    <w:rsid w:val="00CD7E06"/>
    <w:rsid w:val="00CE1D92"/>
    <w:rsid w:val="00CE28EB"/>
    <w:rsid w:val="00CE294E"/>
    <w:rsid w:val="00CE333F"/>
    <w:rsid w:val="00CE3C91"/>
    <w:rsid w:val="00CE3CAD"/>
    <w:rsid w:val="00CE61B9"/>
    <w:rsid w:val="00CE6312"/>
    <w:rsid w:val="00CF27C8"/>
    <w:rsid w:val="00CF65B8"/>
    <w:rsid w:val="00CF66E2"/>
    <w:rsid w:val="00CF6B88"/>
    <w:rsid w:val="00CF797B"/>
    <w:rsid w:val="00D0176D"/>
    <w:rsid w:val="00D01841"/>
    <w:rsid w:val="00D01A32"/>
    <w:rsid w:val="00D07145"/>
    <w:rsid w:val="00D0799E"/>
    <w:rsid w:val="00D13869"/>
    <w:rsid w:val="00D14A45"/>
    <w:rsid w:val="00D15E7B"/>
    <w:rsid w:val="00D17CBD"/>
    <w:rsid w:val="00D23E28"/>
    <w:rsid w:val="00D24753"/>
    <w:rsid w:val="00D25DE8"/>
    <w:rsid w:val="00D269F2"/>
    <w:rsid w:val="00D31DDD"/>
    <w:rsid w:val="00D32B8E"/>
    <w:rsid w:val="00D4033B"/>
    <w:rsid w:val="00D40AA9"/>
    <w:rsid w:val="00D40B1D"/>
    <w:rsid w:val="00D41BA0"/>
    <w:rsid w:val="00D41CBA"/>
    <w:rsid w:val="00D452C4"/>
    <w:rsid w:val="00D50E5D"/>
    <w:rsid w:val="00D51D75"/>
    <w:rsid w:val="00D5328B"/>
    <w:rsid w:val="00D564A6"/>
    <w:rsid w:val="00D56E60"/>
    <w:rsid w:val="00D571EE"/>
    <w:rsid w:val="00D61AFE"/>
    <w:rsid w:val="00D636F4"/>
    <w:rsid w:val="00D63CF7"/>
    <w:rsid w:val="00D6602A"/>
    <w:rsid w:val="00D7144D"/>
    <w:rsid w:val="00D761D8"/>
    <w:rsid w:val="00D77B75"/>
    <w:rsid w:val="00D77EFA"/>
    <w:rsid w:val="00D80935"/>
    <w:rsid w:val="00D815E8"/>
    <w:rsid w:val="00D82B70"/>
    <w:rsid w:val="00D83146"/>
    <w:rsid w:val="00D84972"/>
    <w:rsid w:val="00D86BA2"/>
    <w:rsid w:val="00D90233"/>
    <w:rsid w:val="00D92F1B"/>
    <w:rsid w:val="00D92FA6"/>
    <w:rsid w:val="00D94364"/>
    <w:rsid w:val="00D972D3"/>
    <w:rsid w:val="00DA47FF"/>
    <w:rsid w:val="00DA65F7"/>
    <w:rsid w:val="00DA784E"/>
    <w:rsid w:val="00DA7D33"/>
    <w:rsid w:val="00DB201E"/>
    <w:rsid w:val="00DB5CA4"/>
    <w:rsid w:val="00DB7998"/>
    <w:rsid w:val="00DC217E"/>
    <w:rsid w:val="00DC61A7"/>
    <w:rsid w:val="00DC7CBC"/>
    <w:rsid w:val="00DD244C"/>
    <w:rsid w:val="00DD272F"/>
    <w:rsid w:val="00DD30B2"/>
    <w:rsid w:val="00DD31FB"/>
    <w:rsid w:val="00DD3372"/>
    <w:rsid w:val="00DD42C7"/>
    <w:rsid w:val="00DD4DA3"/>
    <w:rsid w:val="00DD6E46"/>
    <w:rsid w:val="00DE3864"/>
    <w:rsid w:val="00DE76C7"/>
    <w:rsid w:val="00DF0210"/>
    <w:rsid w:val="00DF0F7D"/>
    <w:rsid w:val="00DF20BA"/>
    <w:rsid w:val="00DF24D2"/>
    <w:rsid w:val="00DF5258"/>
    <w:rsid w:val="00DF7241"/>
    <w:rsid w:val="00E01B5C"/>
    <w:rsid w:val="00E01BA9"/>
    <w:rsid w:val="00E02965"/>
    <w:rsid w:val="00E02C28"/>
    <w:rsid w:val="00E04E3B"/>
    <w:rsid w:val="00E05463"/>
    <w:rsid w:val="00E11B97"/>
    <w:rsid w:val="00E13164"/>
    <w:rsid w:val="00E15C98"/>
    <w:rsid w:val="00E21340"/>
    <w:rsid w:val="00E2416E"/>
    <w:rsid w:val="00E25CAD"/>
    <w:rsid w:val="00E30637"/>
    <w:rsid w:val="00E32316"/>
    <w:rsid w:val="00E32D32"/>
    <w:rsid w:val="00E3343A"/>
    <w:rsid w:val="00E361F6"/>
    <w:rsid w:val="00E36D41"/>
    <w:rsid w:val="00E37362"/>
    <w:rsid w:val="00E37C85"/>
    <w:rsid w:val="00E418BD"/>
    <w:rsid w:val="00E43E0C"/>
    <w:rsid w:val="00E45467"/>
    <w:rsid w:val="00E462D0"/>
    <w:rsid w:val="00E50427"/>
    <w:rsid w:val="00E54E55"/>
    <w:rsid w:val="00E550CD"/>
    <w:rsid w:val="00E5688A"/>
    <w:rsid w:val="00E6069A"/>
    <w:rsid w:val="00E61BA8"/>
    <w:rsid w:val="00E61D1C"/>
    <w:rsid w:val="00E640D9"/>
    <w:rsid w:val="00E6644A"/>
    <w:rsid w:val="00E6748E"/>
    <w:rsid w:val="00E7786A"/>
    <w:rsid w:val="00E80288"/>
    <w:rsid w:val="00E85311"/>
    <w:rsid w:val="00E85664"/>
    <w:rsid w:val="00E9059F"/>
    <w:rsid w:val="00E91B96"/>
    <w:rsid w:val="00E94999"/>
    <w:rsid w:val="00E968FC"/>
    <w:rsid w:val="00E97BDC"/>
    <w:rsid w:val="00EA0061"/>
    <w:rsid w:val="00EA114C"/>
    <w:rsid w:val="00EA1F7E"/>
    <w:rsid w:val="00EA503B"/>
    <w:rsid w:val="00EA69B2"/>
    <w:rsid w:val="00EB2736"/>
    <w:rsid w:val="00EB4747"/>
    <w:rsid w:val="00EB4B5E"/>
    <w:rsid w:val="00EB4FA5"/>
    <w:rsid w:val="00EB57F9"/>
    <w:rsid w:val="00EB7678"/>
    <w:rsid w:val="00EB78B5"/>
    <w:rsid w:val="00EC1B4B"/>
    <w:rsid w:val="00EC1E8F"/>
    <w:rsid w:val="00EC3A79"/>
    <w:rsid w:val="00EC43EA"/>
    <w:rsid w:val="00ED04A2"/>
    <w:rsid w:val="00ED57C3"/>
    <w:rsid w:val="00ED615E"/>
    <w:rsid w:val="00EE1ACD"/>
    <w:rsid w:val="00EE4EE5"/>
    <w:rsid w:val="00EF1EB2"/>
    <w:rsid w:val="00EF59F2"/>
    <w:rsid w:val="00F01AE9"/>
    <w:rsid w:val="00F03AB3"/>
    <w:rsid w:val="00F040F0"/>
    <w:rsid w:val="00F05CC2"/>
    <w:rsid w:val="00F16ECB"/>
    <w:rsid w:val="00F2053E"/>
    <w:rsid w:val="00F20960"/>
    <w:rsid w:val="00F23865"/>
    <w:rsid w:val="00F24C56"/>
    <w:rsid w:val="00F25BFA"/>
    <w:rsid w:val="00F25C2C"/>
    <w:rsid w:val="00F314F2"/>
    <w:rsid w:val="00F31AC1"/>
    <w:rsid w:val="00F364C7"/>
    <w:rsid w:val="00F40582"/>
    <w:rsid w:val="00F41907"/>
    <w:rsid w:val="00F41FAB"/>
    <w:rsid w:val="00F44B96"/>
    <w:rsid w:val="00F44CB0"/>
    <w:rsid w:val="00F5057B"/>
    <w:rsid w:val="00F507F5"/>
    <w:rsid w:val="00F55DA7"/>
    <w:rsid w:val="00F6020E"/>
    <w:rsid w:val="00F603A8"/>
    <w:rsid w:val="00F62728"/>
    <w:rsid w:val="00F62DFC"/>
    <w:rsid w:val="00F63392"/>
    <w:rsid w:val="00F64988"/>
    <w:rsid w:val="00F65AD9"/>
    <w:rsid w:val="00F701E4"/>
    <w:rsid w:val="00F71665"/>
    <w:rsid w:val="00F73ADD"/>
    <w:rsid w:val="00F748A0"/>
    <w:rsid w:val="00F75E81"/>
    <w:rsid w:val="00F77FE0"/>
    <w:rsid w:val="00F80FDB"/>
    <w:rsid w:val="00F81E52"/>
    <w:rsid w:val="00F872C1"/>
    <w:rsid w:val="00F90585"/>
    <w:rsid w:val="00F909CE"/>
    <w:rsid w:val="00FA3D48"/>
    <w:rsid w:val="00FA7E14"/>
    <w:rsid w:val="00FB0D3C"/>
    <w:rsid w:val="00FB5EF9"/>
    <w:rsid w:val="00FB6989"/>
    <w:rsid w:val="00FC0248"/>
    <w:rsid w:val="00FC1179"/>
    <w:rsid w:val="00FC2131"/>
    <w:rsid w:val="00FC5461"/>
    <w:rsid w:val="00FC58B8"/>
    <w:rsid w:val="00FC6289"/>
    <w:rsid w:val="00FC7701"/>
    <w:rsid w:val="00FC78FA"/>
    <w:rsid w:val="00FD11AB"/>
    <w:rsid w:val="00FD3385"/>
    <w:rsid w:val="00FD39B8"/>
    <w:rsid w:val="00FD4674"/>
    <w:rsid w:val="00FD4FAC"/>
    <w:rsid w:val="00FD74A6"/>
    <w:rsid w:val="00FD7D57"/>
    <w:rsid w:val="00FE15F0"/>
    <w:rsid w:val="00FE2E1D"/>
    <w:rsid w:val="00FE307C"/>
    <w:rsid w:val="00FE7183"/>
    <w:rsid w:val="00FF01D9"/>
    <w:rsid w:val="00FF3D08"/>
    <w:rsid w:val="00FF3D29"/>
    <w:rsid w:val="00FF5561"/>
    <w:rsid w:val="00FF7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68AD521-41A5-47BF-92F9-BD355955B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40F0"/>
    <w:pPr>
      <w:widowControl w:val="0"/>
      <w:suppressAutoHyphens/>
      <w:autoSpaceDN w:val="0"/>
      <w:textAlignment w:val="baseline"/>
    </w:pPr>
    <w:rPr>
      <w:kern w:val="3"/>
      <w:sz w:val="24"/>
      <w:szCs w:val="24"/>
      <w:lang w:val="de-DE"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rsid w:val="00F040F0"/>
    <w:pPr>
      <w:suppressAutoHyphens/>
      <w:autoSpaceDN w:val="0"/>
      <w:spacing w:after="160" w:line="259" w:lineRule="auto"/>
      <w:textAlignment w:val="baseline"/>
    </w:pPr>
    <w:rPr>
      <w:kern w:val="3"/>
      <w:sz w:val="24"/>
      <w:szCs w:val="24"/>
      <w:lang w:val="de-DE" w:eastAsia="zh-CN" w:bidi="hi-IN"/>
    </w:rPr>
  </w:style>
  <w:style w:type="paragraph" w:customStyle="1" w:styleId="Heading">
    <w:name w:val="Heading"/>
    <w:basedOn w:val="Standard1"/>
    <w:next w:val="Textbody"/>
    <w:rsid w:val="00F040F0"/>
    <w:pPr>
      <w:keepNext/>
      <w:spacing w:before="240" w:after="120"/>
    </w:pPr>
    <w:rPr>
      <w:rFonts w:ascii="Arial" w:eastAsia="Microsoft YaHei" w:hAnsi="Arial"/>
      <w:sz w:val="28"/>
      <w:szCs w:val="28"/>
    </w:rPr>
  </w:style>
  <w:style w:type="paragraph" w:customStyle="1" w:styleId="Textbody">
    <w:name w:val="Text body"/>
    <w:basedOn w:val="Standard1"/>
    <w:rsid w:val="00F040F0"/>
    <w:pPr>
      <w:spacing w:after="120"/>
    </w:pPr>
  </w:style>
  <w:style w:type="paragraph" w:styleId="List">
    <w:name w:val="List"/>
    <w:basedOn w:val="Textbody"/>
    <w:rsid w:val="00F040F0"/>
  </w:style>
  <w:style w:type="paragraph" w:styleId="Caption">
    <w:name w:val="caption"/>
    <w:basedOn w:val="Standard1"/>
    <w:uiPriority w:val="35"/>
    <w:qFormat/>
    <w:rsid w:val="00F040F0"/>
    <w:pPr>
      <w:suppressLineNumbers/>
      <w:spacing w:before="120" w:after="120"/>
    </w:pPr>
    <w:rPr>
      <w:i/>
      <w:iCs/>
    </w:rPr>
  </w:style>
  <w:style w:type="paragraph" w:customStyle="1" w:styleId="Index">
    <w:name w:val="Index"/>
    <w:basedOn w:val="Standard1"/>
    <w:rsid w:val="00F040F0"/>
    <w:pPr>
      <w:suppressLineNumbers/>
    </w:pPr>
  </w:style>
  <w:style w:type="paragraph" w:styleId="CommentText">
    <w:name w:val="annotation text"/>
    <w:basedOn w:val="Standard1"/>
    <w:link w:val="CommentTextChar"/>
    <w:uiPriority w:val="99"/>
    <w:rsid w:val="00F040F0"/>
    <w:pPr>
      <w:spacing w:line="240" w:lineRule="auto"/>
    </w:pPr>
    <w:rPr>
      <w:sz w:val="20"/>
      <w:szCs w:val="20"/>
    </w:rPr>
  </w:style>
  <w:style w:type="paragraph" w:styleId="BalloonText">
    <w:name w:val="Balloon Text"/>
    <w:basedOn w:val="Standard1"/>
    <w:rsid w:val="00F040F0"/>
    <w:pPr>
      <w:spacing w:after="0" w:line="240" w:lineRule="auto"/>
    </w:pPr>
    <w:rPr>
      <w:rFonts w:ascii="Tahoma" w:hAnsi="Tahoma" w:cs="Tahoma"/>
      <w:sz w:val="16"/>
      <w:szCs w:val="16"/>
    </w:rPr>
  </w:style>
  <w:style w:type="paragraph" w:styleId="CommentSubject">
    <w:name w:val="annotation subject"/>
    <w:basedOn w:val="CommentText"/>
    <w:rsid w:val="00F040F0"/>
    <w:rPr>
      <w:b/>
      <w:bCs/>
    </w:rPr>
  </w:style>
  <w:style w:type="paragraph" w:styleId="ListParagraph">
    <w:name w:val="List Paragraph"/>
    <w:basedOn w:val="Standard1"/>
    <w:rsid w:val="00F040F0"/>
    <w:pPr>
      <w:ind w:left="720"/>
    </w:pPr>
  </w:style>
  <w:style w:type="character" w:styleId="CommentReference">
    <w:name w:val="annotation reference"/>
    <w:uiPriority w:val="99"/>
    <w:rsid w:val="00F040F0"/>
    <w:rPr>
      <w:sz w:val="16"/>
      <w:szCs w:val="16"/>
    </w:rPr>
  </w:style>
  <w:style w:type="character" w:customStyle="1" w:styleId="KommentartextZchn">
    <w:name w:val="Kommentartext Zchn"/>
    <w:rsid w:val="00F040F0"/>
    <w:rPr>
      <w:sz w:val="20"/>
      <w:szCs w:val="20"/>
      <w:lang w:val="de-DE"/>
    </w:rPr>
  </w:style>
  <w:style w:type="character" w:customStyle="1" w:styleId="SprechblasentextZchn">
    <w:name w:val="Sprechblasentext Zchn"/>
    <w:rsid w:val="00F040F0"/>
    <w:rPr>
      <w:rFonts w:ascii="Tahoma" w:hAnsi="Tahoma" w:cs="Tahoma"/>
      <w:sz w:val="16"/>
      <w:szCs w:val="16"/>
      <w:lang w:val="de-DE"/>
    </w:rPr>
  </w:style>
  <w:style w:type="character" w:customStyle="1" w:styleId="KommentarthemaZchn">
    <w:name w:val="Kommentarthema Zchn"/>
    <w:rsid w:val="00F040F0"/>
    <w:rPr>
      <w:b/>
      <w:bCs/>
      <w:sz w:val="20"/>
      <w:szCs w:val="20"/>
      <w:lang w:val="de-DE"/>
    </w:rPr>
  </w:style>
  <w:style w:type="character" w:customStyle="1" w:styleId="ListLabel1">
    <w:name w:val="ListLabel 1"/>
    <w:rsid w:val="00F040F0"/>
    <w:rPr>
      <w:rFonts w:cs="Calibri"/>
    </w:rPr>
  </w:style>
  <w:style w:type="character" w:customStyle="1" w:styleId="ListLabel2">
    <w:name w:val="ListLabel 2"/>
    <w:rsid w:val="00F040F0"/>
    <w:rPr>
      <w:rFonts w:cs="Courier New"/>
    </w:rPr>
  </w:style>
  <w:style w:type="numbering" w:customStyle="1" w:styleId="WWNum1">
    <w:name w:val="WWNum1"/>
    <w:basedOn w:val="NoList"/>
    <w:rsid w:val="00F040F0"/>
    <w:pPr>
      <w:numPr>
        <w:numId w:val="1"/>
      </w:numPr>
    </w:pPr>
  </w:style>
  <w:style w:type="numbering" w:customStyle="1" w:styleId="WWNum2">
    <w:name w:val="WWNum2"/>
    <w:basedOn w:val="NoList"/>
    <w:rsid w:val="00F040F0"/>
    <w:pPr>
      <w:numPr>
        <w:numId w:val="2"/>
      </w:numPr>
    </w:pPr>
  </w:style>
  <w:style w:type="character" w:styleId="Hyperlink">
    <w:name w:val="Hyperlink"/>
    <w:uiPriority w:val="99"/>
    <w:unhideWhenUsed/>
    <w:rsid w:val="00E30637"/>
    <w:rPr>
      <w:color w:val="0000FF"/>
      <w:u w:val="single"/>
    </w:rPr>
  </w:style>
  <w:style w:type="table" w:styleId="TableGrid">
    <w:name w:val="Table Grid"/>
    <w:basedOn w:val="TableNormal"/>
    <w:uiPriority w:val="39"/>
    <w:rsid w:val="009D486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0510"/>
    <w:pPr>
      <w:widowControl/>
      <w:suppressAutoHyphens w:val="0"/>
      <w:autoSpaceDN/>
      <w:spacing w:before="100" w:beforeAutospacing="1" w:after="100" w:afterAutospacing="1"/>
      <w:textAlignment w:val="auto"/>
    </w:pPr>
    <w:rPr>
      <w:rFonts w:eastAsia="Times New Roman" w:cs="Times New Roman"/>
      <w:kern w:val="0"/>
      <w:lang w:val="en-US" w:eastAsia="en-US" w:bidi="ar-SA"/>
    </w:rPr>
  </w:style>
  <w:style w:type="paragraph" w:styleId="Header">
    <w:name w:val="header"/>
    <w:basedOn w:val="Normal"/>
    <w:link w:val="HeaderChar"/>
    <w:uiPriority w:val="99"/>
    <w:unhideWhenUsed/>
    <w:rsid w:val="004C0CB7"/>
    <w:pPr>
      <w:tabs>
        <w:tab w:val="center" w:pos="4680"/>
        <w:tab w:val="right" w:pos="9360"/>
      </w:tabs>
    </w:pPr>
    <w:rPr>
      <w:szCs w:val="21"/>
    </w:rPr>
  </w:style>
  <w:style w:type="character" w:customStyle="1" w:styleId="HeaderChar">
    <w:name w:val="Header Char"/>
    <w:link w:val="Header"/>
    <w:uiPriority w:val="99"/>
    <w:rsid w:val="004C0CB7"/>
    <w:rPr>
      <w:szCs w:val="21"/>
    </w:rPr>
  </w:style>
  <w:style w:type="paragraph" w:styleId="Footer">
    <w:name w:val="footer"/>
    <w:basedOn w:val="Normal"/>
    <w:link w:val="FooterChar"/>
    <w:uiPriority w:val="99"/>
    <w:unhideWhenUsed/>
    <w:rsid w:val="004C0CB7"/>
    <w:pPr>
      <w:tabs>
        <w:tab w:val="center" w:pos="4680"/>
        <w:tab w:val="right" w:pos="9360"/>
      </w:tabs>
    </w:pPr>
    <w:rPr>
      <w:szCs w:val="21"/>
    </w:rPr>
  </w:style>
  <w:style w:type="character" w:customStyle="1" w:styleId="FooterChar">
    <w:name w:val="Footer Char"/>
    <w:link w:val="Footer"/>
    <w:uiPriority w:val="99"/>
    <w:rsid w:val="004C0CB7"/>
    <w:rPr>
      <w:szCs w:val="21"/>
    </w:rPr>
  </w:style>
  <w:style w:type="character" w:customStyle="1" w:styleId="CommentTextChar">
    <w:name w:val="Comment Text Char"/>
    <w:link w:val="CommentText"/>
    <w:uiPriority w:val="99"/>
    <w:rsid w:val="00E91B9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25922">
      <w:bodyDiv w:val="1"/>
      <w:marLeft w:val="0"/>
      <w:marRight w:val="0"/>
      <w:marTop w:val="0"/>
      <w:marBottom w:val="0"/>
      <w:divBdr>
        <w:top w:val="none" w:sz="0" w:space="0" w:color="auto"/>
        <w:left w:val="none" w:sz="0" w:space="0" w:color="auto"/>
        <w:bottom w:val="none" w:sz="0" w:space="0" w:color="auto"/>
        <w:right w:val="none" w:sz="0" w:space="0" w:color="auto"/>
      </w:divBdr>
      <w:divsChild>
        <w:div w:id="673338847">
          <w:marLeft w:val="0"/>
          <w:marRight w:val="0"/>
          <w:marTop w:val="0"/>
          <w:marBottom w:val="0"/>
          <w:divBdr>
            <w:top w:val="none" w:sz="0" w:space="0" w:color="auto"/>
            <w:left w:val="none" w:sz="0" w:space="0" w:color="auto"/>
            <w:bottom w:val="none" w:sz="0" w:space="0" w:color="auto"/>
            <w:right w:val="none" w:sz="0" w:space="0" w:color="auto"/>
          </w:divBdr>
          <w:divsChild>
            <w:div w:id="1026905044">
              <w:marLeft w:val="0"/>
              <w:marRight w:val="0"/>
              <w:marTop w:val="0"/>
              <w:marBottom w:val="0"/>
              <w:divBdr>
                <w:top w:val="none" w:sz="0" w:space="0" w:color="auto"/>
                <w:left w:val="none" w:sz="0" w:space="0" w:color="auto"/>
                <w:bottom w:val="none" w:sz="0" w:space="0" w:color="auto"/>
                <w:right w:val="none" w:sz="0" w:space="0" w:color="auto"/>
              </w:divBdr>
              <w:divsChild>
                <w:div w:id="1616474524">
                  <w:marLeft w:val="0"/>
                  <w:marRight w:val="0"/>
                  <w:marTop w:val="0"/>
                  <w:marBottom w:val="0"/>
                  <w:divBdr>
                    <w:top w:val="none" w:sz="0" w:space="0" w:color="auto"/>
                    <w:left w:val="none" w:sz="0" w:space="0" w:color="auto"/>
                    <w:bottom w:val="none" w:sz="0" w:space="0" w:color="auto"/>
                    <w:right w:val="none" w:sz="0" w:space="0" w:color="auto"/>
                  </w:divBdr>
                  <w:divsChild>
                    <w:div w:id="530925100">
                      <w:marLeft w:val="0"/>
                      <w:marRight w:val="0"/>
                      <w:marTop w:val="0"/>
                      <w:marBottom w:val="0"/>
                      <w:divBdr>
                        <w:top w:val="none" w:sz="0" w:space="0" w:color="auto"/>
                        <w:left w:val="none" w:sz="0" w:space="0" w:color="auto"/>
                        <w:bottom w:val="none" w:sz="0" w:space="0" w:color="auto"/>
                        <w:right w:val="none" w:sz="0" w:space="0" w:color="auto"/>
                      </w:divBdr>
                      <w:divsChild>
                        <w:div w:id="385691656">
                          <w:marLeft w:val="0"/>
                          <w:marRight w:val="0"/>
                          <w:marTop w:val="0"/>
                          <w:marBottom w:val="0"/>
                          <w:divBdr>
                            <w:top w:val="none" w:sz="0" w:space="0" w:color="auto"/>
                            <w:left w:val="none" w:sz="0" w:space="0" w:color="auto"/>
                            <w:bottom w:val="none" w:sz="0" w:space="0" w:color="auto"/>
                            <w:right w:val="none" w:sz="0" w:space="0" w:color="auto"/>
                          </w:divBdr>
                          <w:divsChild>
                            <w:div w:id="1657765263">
                              <w:marLeft w:val="0"/>
                              <w:marRight w:val="0"/>
                              <w:marTop w:val="0"/>
                              <w:marBottom w:val="0"/>
                              <w:divBdr>
                                <w:top w:val="none" w:sz="0" w:space="0" w:color="auto"/>
                                <w:left w:val="none" w:sz="0" w:space="0" w:color="auto"/>
                                <w:bottom w:val="none" w:sz="0" w:space="0" w:color="auto"/>
                                <w:right w:val="none" w:sz="0" w:space="0" w:color="auto"/>
                              </w:divBdr>
                              <w:divsChild>
                                <w:div w:id="1923904260">
                                  <w:marLeft w:val="0"/>
                                  <w:marRight w:val="0"/>
                                  <w:marTop w:val="0"/>
                                  <w:marBottom w:val="0"/>
                                  <w:divBdr>
                                    <w:top w:val="none" w:sz="0" w:space="0" w:color="auto"/>
                                    <w:left w:val="none" w:sz="0" w:space="0" w:color="auto"/>
                                    <w:bottom w:val="none" w:sz="0" w:space="0" w:color="auto"/>
                                    <w:right w:val="none" w:sz="0" w:space="0" w:color="auto"/>
                                  </w:divBdr>
                                  <w:divsChild>
                                    <w:div w:id="1659383628">
                                      <w:marLeft w:val="0"/>
                                      <w:marRight w:val="0"/>
                                      <w:marTop w:val="0"/>
                                      <w:marBottom w:val="0"/>
                                      <w:divBdr>
                                        <w:top w:val="none" w:sz="0" w:space="0" w:color="auto"/>
                                        <w:left w:val="none" w:sz="0" w:space="0" w:color="auto"/>
                                        <w:bottom w:val="none" w:sz="0" w:space="0" w:color="auto"/>
                                        <w:right w:val="none" w:sz="0" w:space="0" w:color="auto"/>
                                      </w:divBdr>
                                      <w:divsChild>
                                        <w:div w:id="1205100104">
                                          <w:marLeft w:val="0"/>
                                          <w:marRight w:val="0"/>
                                          <w:marTop w:val="0"/>
                                          <w:marBottom w:val="0"/>
                                          <w:divBdr>
                                            <w:top w:val="none" w:sz="0" w:space="0" w:color="auto"/>
                                            <w:left w:val="none" w:sz="0" w:space="0" w:color="auto"/>
                                            <w:bottom w:val="none" w:sz="0" w:space="0" w:color="auto"/>
                                            <w:right w:val="none" w:sz="0" w:space="0" w:color="auto"/>
                                          </w:divBdr>
                                          <w:divsChild>
                                            <w:div w:id="291600750">
                                              <w:marLeft w:val="0"/>
                                              <w:marRight w:val="0"/>
                                              <w:marTop w:val="0"/>
                                              <w:marBottom w:val="0"/>
                                              <w:divBdr>
                                                <w:top w:val="none" w:sz="0" w:space="0" w:color="auto"/>
                                                <w:left w:val="none" w:sz="0" w:space="0" w:color="auto"/>
                                                <w:bottom w:val="none" w:sz="0" w:space="0" w:color="auto"/>
                                                <w:right w:val="none" w:sz="0" w:space="0" w:color="auto"/>
                                              </w:divBdr>
                                              <w:divsChild>
                                                <w:div w:id="1587496785">
                                                  <w:marLeft w:val="0"/>
                                                  <w:marRight w:val="0"/>
                                                  <w:marTop w:val="0"/>
                                                  <w:marBottom w:val="0"/>
                                                  <w:divBdr>
                                                    <w:top w:val="none" w:sz="0" w:space="0" w:color="auto"/>
                                                    <w:left w:val="none" w:sz="0" w:space="0" w:color="auto"/>
                                                    <w:bottom w:val="none" w:sz="0" w:space="0" w:color="auto"/>
                                                    <w:right w:val="none" w:sz="0" w:space="0" w:color="auto"/>
                                                  </w:divBdr>
                                                  <w:divsChild>
                                                    <w:div w:id="1184244297">
                                                      <w:marLeft w:val="0"/>
                                                      <w:marRight w:val="0"/>
                                                      <w:marTop w:val="0"/>
                                                      <w:marBottom w:val="0"/>
                                                      <w:divBdr>
                                                        <w:top w:val="none" w:sz="0" w:space="0" w:color="auto"/>
                                                        <w:left w:val="none" w:sz="0" w:space="0" w:color="auto"/>
                                                        <w:bottom w:val="none" w:sz="0" w:space="0" w:color="auto"/>
                                                        <w:right w:val="none" w:sz="0" w:space="0" w:color="auto"/>
                                                      </w:divBdr>
                                                      <w:divsChild>
                                                        <w:div w:id="797260692">
                                                          <w:marLeft w:val="0"/>
                                                          <w:marRight w:val="0"/>
                                                          <w:marTop w:val="0"/>
                                                          <w:marBottom w:val="0"/>
                                                          <w:divBdr>
                                                            <w:top w:val="none" w:sz="0" w:space="0" w:color="auto"/>
                                                            <w:left w:val="none" w:sz="0" w:space="0" w:color="auto"/>
                                                            <w:bottom w:val="none" w:sz="0" w:space="0" w:color="auto"/>
                                                            <w:right w:val="none" w:sz="0" w:space="0" w:color="auto"/>
                                                          </w:divBdr>
                                                          <w:divsChild>
                                                            <w:div w:id="1107313613">
                                                              <w:marLeft w:val="0"/>
                                                              <w:marRight w:val="0"/>
                                                              <w:marTop w:val="0"/>
                                                              <w:marBottom w:val="0"/>
                                                              <w:divBdr>
                                                                <w:top w:val="none" w:sz="0" w:space="0" w:color="auto"/>
                                                                <w:left w:val="none" w:sz="0" w:space="0" w:color="auto"/>
                                                                <w:bottom w:val="none" w:sz="0" w:space="0" w:color="auto"/>
                                                                <w:right w:val="none" w:sz="0" w:space="0" w:color="auto"/>
                                                              </w:divBdr>
                                                              <w:divsChild>
                                                                <w:div w:id="716203139">
                                                                  <w:marLeft w:val="0"/>
                                                                  <w:marRight w:val="0"/>
                                                                  <w:marTop w:val="0"/>
                                                                  <w:marBottom w:val="0"/>
                                                                  <w:divBdr>
                                                                    <w:top w:val="none" w:sz="0" w:space="0" w:color="auto"/>
                                                                    <w:left w:val="none" w:sz="0" w:space="0" w:color="auto"/>
                                                                    <w:bottom w:val="none" w:sz="0" w:space="0" w:color="auto"/>
                                                                    <w:right w:val="none" w:sz="0" w:space="0" w:color="auto"/>
                                                                  </w:divBdr>
                                                                  <w:divsChild>
                                                                    <w:div w:id="1034883830">
                                                                      <w:marLeft w:val="0"/>
                                                                      <w:marRight w:val="0"/>
                                                                      <w:marTop w:val="0"/>
                                                                      <w:marBottom w:val="0"/>
                                                                      <w:divBdr>
                                                                        <w:top w:val="none" w:sz="0" w:space="0" w:color="auto"/>
                                                                        <w:left w:val="none" w:sz="0" w:space="0" w:color="auto"/>
                                                                        <w:bottom w:val="none" w:sz="0" w:space="0" w:color="auto"/>
                                                                        <w:right w:val="none" w:sz="0" w:space="0" w:color="auto"/>
                                                                      </w:divBdr>
                                                                      <w:divsChild>
                                                                        <w:div w:id="1195271492">
                                                                          <w:marLeft w:val="0"/>
                                                                          <w:marRight w:val="0"/>
                                                                          <w:marTop w:val="0"/>
                                                                          <w:marBottom w:val="0"/>
                                                                          <w:divBdr>
                                                                            <w:top w:val="none" w:sz="0" w:space="0" w:color="auto"/>
                                                                            <w:left w:val="none" w:sz="0" w:space="0" w:color="auto"/>
                                                                            <w:bottom w:val="none" w:sz="0" w:space="0" w:color="auto"/>
                                                                            <w:right w:val="none" w:sz="0" w:space="0" w:color="auto"/>
                                                                          </w:divBdr>
                                                                          <w:divsChild>
                                                                            <w:div w:id="132916258">
                                                                              <w:marLeft w:val="0"/>
                                                                              <w:marRight w:val="0"/>
                                                                              <w:marTop w:val="0"/>
                                                                              <w:marBottom w:val="0"/>
                                                                              <w:divBdr>
                                                                                <w:top w:val="none" w:sz="0" w:space="0" w:color="auto"/>
                                                                                <w:left w:val="none" w:sz="0" w:space="0" w:color="auto"/>
                                                                                <w:bottom w:val="none" w:sz="0" w:space="0" w:color="auto"/>
                                                                                <w:right w:val="none" w:sz="0" w:space="0" w:color="auto"/>
                                                                              </w:divBdr>
                                                                              <w:divsChild>
                                                                                <w:div w:id="43339024">
                                                                                  <w:marLeft w:val="0"/>
                                                                                  <w:marRight w:val="0"/>
                                                                                  <w:marTop w:val="0"/>
                                                                                  <w:marBottom w:val="0"/>
                                                                                  <w:divBdr>
                                                                                    <w:top w:val="none" w:sz="0" w:space="0" w:color="auto"/>
                                                                                    <w:left w:val="none" w:sz="0" w:space="0" w:color="auto"/>
                                                                                    <w:bottom w:val="none" w:sz="0" w:space="0" w:color="auto"/>
                                                                                    <w:right w:val="none" w:sz="0" w:space="0" w:color="auto"/>
                                                                                  </w:divBdr>
                                                                                </w:div>
                                                                                <w:div w:id="578059046">
                                                                                  <w:marLeft w:val="0"/>
                                                                                  <w:marRight w:val="0"/>
                                                                                  <w:marTop w:val="0"/>
                                                                                  <w:marBottom w:val="0"/>
                                                                                  <w:divBdr>
                                                                                    <w:top w:val="none" w:sz="0" w:space="0" w:color="auto"/>
                                                                                    <w:left w:val="none" w:sz="0" w:space="0" w:color="auto"/>
                                                                                    <w:bottom w:val="none" w:sz="0" w:space="0" w:color="auto"/>
                                                                                    <w:right w:val="none" w:sz="0" w:space="0" w:color="auto"/>
                                                                                  </w:divBdr>
                                                                                </w:div>
                                                                                <w:div w:id="1160341841">
                                                                                  <w:marLeft w:val="0"/>
                                                                                  <w:marRight w:val="0"/>
                                                                                  <w:marTop w:val="0"/>
                                                                                  <w:marBottom w:val="0"/>
                                                                                  <w:divBdr>
                                                                                    <w:top w:val="none" w:sz="0" w:space="0" w:color="auto"/>
                                                                                    <w:left w:val="none" w:sz="0" w:space="0" w:color="auto"/>
                                                                                    <w:bottom w:val="none" w:sz="0" w:space="0" w:color="auto"/>
                                                                                    <w:right w:val="none" w:sz="0" w:space="0" w:color="auto"/>
                                                                                  </w:divBdr>
                                                                                  <w:divsChild>
                                                                                    <w:div w:id="2039312787">
                                                                                      <w:marLeft w:val="0"/>
                                                                                      <w:marRight w:val="0"/>
                                                                                      <w:marTop w:val="0"/>
                                                                                      <w:marBottom w:val="0"/>
                                                                                      <w:divBdr>
                                                                                        <w:top w:val="none" w:sz="0" w:space="0" w:color="auto"/>
                                                                                        <w:left w:val="none" w:sz="0" w:space="0" w:color="auto"/>
                                                                                        <w:bottom w:val="none" w:sz="0" w:space="0" w:color="auto"/>
                                                                                        <w:right w:val="none" w:sz="0" w:space="0" w:color="auto"/>
                                                                                      </w:divBdr>
                                                                                      <w:divsChild>
                                                                                        <w:div w:id="1292125764">
                                                                                          <w:marLeft w:val="0"/>
                                                                                          <w:marRight w:val="0"/>
                                                                                          <w:marTop w:val="0"/>
                                                                                          <w:marBottom w:val="0"/>
                                                                                          <w:divBdr>
                                                                                            <w:top w:val="none" w:sz="0" w:space="0" w:color="auto"/>
                                                                                            <w:left w:val="none" w:sz="0" w:space="0" w:color="auto"/>
                                                                                            <w:bottom w:val="none" w:sz="0" w:space="0" w:color="auto"/>
                                                                                            <w:right w:val="none" w:sz="0" w:space="0" w:color="auto"/>
                                                                                          </w:divBdr>
                                                                                          <w:divsChild>
                                                                                            <w:div w:id="371852012">
                                                                                              <w:marLeft w:val="0"/>
                                                                                              <w:marRight w:val="0"/>
                                                                                              <w:marTop w:val="0"/>
                                                                                              <w:marBottom w:val="0"/>
                                                                                              <w:divBdr>
                                                                                                <w:top w:val="none" w:sz="0" w:space="0" w:color="auto"/>
                                                                                                <w:left w:val="none" w:sz="0" w:space="0" w:color="auto"/>
                                                                                                <w:bottom w:val="none" w:sz="0" w:space="0" w:color="auto"/>
                                                                                                <w:right w:val="none" w:sz="0" w:space="0" w:color="auto"/>
                                                                                              </w:divBdr>
                                                                                              <w:divsChild>
                                                                                                <w:div w:id="1935475882">
                                                                                                  <w:marLeft w:val="0"/>
                                                                                                  <w:marRight w:val="0"/>
                                                                                                  <w:marTop w:val="0"/>
                                                                                                  <w:marBottom w:val="0"/>
                                                                                                  <w:divBdr>
                                                                                                    <w:top w:val="none" w:sz="0" w:space="0" w:color="auto"/>
                                                                                                    <w:left w:val="none" w:sz="0" w:space="0" w:color="auto"/>
                                                                                                    <w:bottom w:val="none" w:sz="0" w:space="0" w:color="auto"/>
                                                                                                    <w:right w:val="none" w:sz="0" w:space="0" w:color="auto"/>
                                                                                                  </w:divBdr>
                                                                                                  <w:divsChild>
                                                                                                    <w:div w:id="208953868">
                                                                                                      <w:marLeft w:val="0"/>
                                                                                                      <w:marRight w:val="0"/>
                                                                                                      <w:marTop w:val="0"/>
                                                                                                      <w:marBottom w:val="0"/>
                                                                                                      <w:divBdr>
                                                                                                        <w:top w:val="none" w:sz="0" w:space="0" w:color="auto"/>
                                                                                                        <w:left w:val="none" w:sz="0" w:space="0" w:color="auto"/>
                                                                                                        <w:bottom w:val="none" w:sz="0" w:space="0" w:color="auto"/>
                                                                                                        <w:right w:val="none" w:sz="0" w:space="0" w:color="auto"/>
                                                                                                      </w:divBdr>
                                                                                                      <w:divsChild>
                                                                                                        <w:div w:id="911816939">
                                                                                                          <w:marLeft w:val="0"/>
                                                                                                          <w:marRight w:val="0"/>
                                                                                                          <w:marTop w:val="0"/>
                                                                                                          <w:marBottom w:val="0"/>
                                                                                                          <w:divBdr>
                                                                                                            <w:top w:val="none" w:sz="0" w:space="0" w:color="auto"/>
                                                                                                            <w:left w:val="none" w:sz="0" w:space="0" w:color="auto"/>
                                                                                                            <w:bottom w:val="none" w:sz="0" w:space="0" w:color="auto"/>
                                                                                                            <w:right w:val="none" w:sz="0" w:space="0" w:color="auto"/>
                                                                                                          </w:divBdr>
                                                                                                          <w:divsChild>
                                                                                                            <w:div w:id="1529878513">
                                                                                                              <w:marLeft w:val="0"/>
                                                                                                              <w:marRight w:val="0"/>
                                                                                                              <w:marTop w:val="0"/>
                                                                                                              <w:marBottom w:val="0"/>
                                                                                                              <w:divBdr>
                                                                                                                <w:top w:val="none" w:sz="0" w:space="0" w:color="auto"/>
                                                                                                                <w:left w:val="none" w:sz="0" w:space="0" w:color="auto"/>
                                                                                                                <w:bottom w:val="none" w:sz="0" w:space="0" w:color="auto"/>
                                                                                                                <w:right w:val="none" w:sz="0" w:space="0" w:color="auto"/>
                                                                                                              </w:divBdr>
                                                                                                              <w:divsChild>
                                                                                                                <w:div w:id="1198542453">
                                                                                                                  <w:marLeft w:val="0"/>
                                                                                                                  <w:marRight w:val="0"/>
                                                                                                                  <w:marTop w:val="0"/>
                                                                                                                  <w:marBottom w:val="0"/>
                                                                                                                  <w:divBdr>
                                                                                                                    <w:top w:val="none" w:sz="0" w:space="0" w:color="auto"/>
                                                                                                                    <w:left w:val="none" w:sz="0" w:space="0" w:color="auto"/>
                                                                                                                    <w:bottom w:val="none" w:sz="0" w:space="0" w:color="auto"/>
                                                                                                                    <w:right w:val="none" w:sz="0" w:space="0" w:color="auto"/>
                                                                                                                  </w:divBdr>
                                                                                                                  <w:divsChild>
                                                                                                                    <w:div w:id="475731632">
                                                                                                                      <w:marLeft w:val="0"/>
                                                                                                                      <w:marRight w:val="0"/>
                                                                                                                      <w:marTop w:val="0"/>
                                                                                                                      <w:marBottom w:val="0"/>
                                                                                                                      <w:divBdr>
                                                                                                                        <w:top w:val="none" w:sz="0" w:space="0" w:color="auto"/>
                                                                                                                        <w:left w:val="none" w:sz="0" w:space="0" w:color="auto"/>
                                                                                                                        <w:bottom w:val="none" w:sz="0" w:space="0" w:color="auto"/>
                                                                                                                        <w:right w:val="none" w:sz="0" w:space="0" w:color="auto"/>
                                                                                                                      </w:divBdr>
                                                                                                                      <w:divsChild>
                                                                                                                        <w:div w:id="1488522306">
                                                                                                                          <w:marLeft w:val="0"/>
                                                                                                                          <w:marRight w:val="0"/>
                                                                                                                          <w:marTop w:val="0"/>
                                                                                                                          <w:marBottom w:val="0"/>
                                                                                                                          <w:divBdr>
                                                                                                                            <w:top w:val="none" w:sz="0" w:space="0" w:color="auto"/>
                                                                                                                            <w:left w:val="none" w:sz="0" w:space="0" w:color="auto"/>
                                                                                                                            <w:bottom w:val="none" w:sz="0" w:space="0" w:color="auto"/>
                                                                                                                            <w:right w:val="none" w:sz="0" w:space="0" w:color="auto"/>
                                                                                                                          </w:divBdr>
                                                                                                                          <w:divsChild>
                                                                                                                            <w:div w:id="1172180467">
                                                                                                                              <w:marLeft w:val="0"/>
                                                                                                                              <w:marRight w:val="0"/>
                                                                                                                              <w:marTop w:val="0"/>
                                                                                                                              <w:marBottom w:val="0"/>
                                                                                                                              <w:divBdr>
                                                                                                                                <w:top w:val="none" w:sz="0" w:space="0" w:color="auto"/>
                                                                                                                                <w:left w:val="none" w:sz="0" w:space="0" w:color="auto"/>
                                                                                                                                <w:bottom w:val="none" w:sz="0" w:space="0" w:color="auto"/>
                                                                                                                                <w:right w:val="none" w:sz="0" w:space="0" w:color="auto"/>
                                                                                                                              </w:divBdr>
                                                                                                                              <w:divsChild>
                                                                                                                                <w:div w:id="142428110">
                                                                                                                                  <w:marLeft w:val="0"/>
                                                                                                                                  <w:marRight w:val="0"/>
                                                                                                                                  <w:marTop w:val="0"/>
                                                                                                                                  <w:marBottom w:val="0"/>
                                                                                                                                  <w:divBdr>
                                                                                                                                    <w:top w:val="none" w:sz="0" w:space="0" w:color="auto"/>
                                                                                                                                    <w:left w:val="none" w:sz="0" w:space="0" w:color="auto"/>
                                                                                                                                    <w:bottom w:val="none" w:sz="0" w:space="0" w:color="auto"/>
                                                                                                                                    <w:right w:val="none" w:sz="0" w:space="0" w:color="auto"/>
                                                                                                                                  </w:divBdr>
                                                                                                                                  <w:divsChild>
                                                                                                                                    <w:div w:id="106856087">
                                                                                                                                      <w:marLeft w:val="0"/>
                                                                                                                                      <w:marRight w:val="0"/>
                                                                                                                                      <w:marTop w:val="0"/>
                                                                                                                                      <w:marBottom w:val="0"/>
                                                                                                                                      <w:divBdr>
                                                                                                                                        <w:top w:val="none" w:sz="0" w:space="0" w:color="auto"/>
                                                                                                                                        <w:left w:val="none" w:sz="0" w:space="0" w:color="auto"/>
                                                                                                                                        <w:bottom w:val="none" w:sz="0" w:space="0" w:color="auto"/>
                                                                                                                                        <w:right w:val="none" w:sz="0" w:space="0" w:color="auto"/>
                                                                                                                                      </w:divBdr>
                                                                                                                                      <w:divsChild>
                                                                                                                                        <w:div w:id="1238706188">
                                                                                                                                          <w:marLeft w:val="0"/>
                                                                                                                                          <w:marRight w:val="0"/>
                                                                                                                                          <w:marTop w:val="0"/>
                                                                                                                                          <w:marBottom w:val="0"/>
                                                                                                                                          <w:divBdr>
                                                                                                                                            <w:top w:val="none" w:sz="0" w:space="0" w:color="auto"/>
                                                                                                                                            <w:left w:val="none" w:sz="0" w:space="0" w:color="auto"/>
                                                                                                                                            <w:bottom w:val="none" w:sz="0" w:space="0" w:color="auto"/>
                                                                                                                                            <w:right w:val="none" w:sz="0" w:space="0" w:color="auto"/>
                                                                                                                                          </w:divBdr>
                                                                                                                                          <w:divsChild>
                                                                                                                                            <w:div w:id="1804883497">
                                                                                                                                              <w:marLeft w:val="0"/>
                                                                                                                                              <w:marRight w:val="0"/>
                                                                                                                                              <w:marTop w:val="0"/>
                                                                                                                                              <w:marBottom w:val="0"/>
                                                                                                                                              <w:divBdr>
                                                                                                                                                <w:top w:val="none" w:sz="0" w:space="0" w:color="auto"/>
                                                                                                                                                <w:left w:val="none" w:sz="0" w:space="0" w:color="auto"/>
                                                                                                                                                <w:bottom w:val="none" w:sz="0" w:space="0" w:color="auto"/>
                                                                                                                                                <w:right w:val="none" w:sz="0" w:space="0" w:color="auto"/>
                                                                                                                                              </w:divBdr>
                                                                                                                                              <w:divsChild>
                                                                                                                                                <w:div w:id="45567614">
                                                                                                                                                  <w:marLeft w:val="0"/>
                                                                                                                                                  <w:marRight w:val="0"/>
                                                                                                                                                  <w:marTop w:val="0"/>
                                                                                                                                                  <w:marBottom w:val="0"/>
                                                                                                                                                  <w:divBdr>
                                                                                                                                                    <w:top w:val="none" w:sz="0" w:space="0" w:color="auto"/>
                                                                                                                                                    <w:left w:val="none" w:sz="0" w:space="0" w:color="auto"/>
                                                                                                                                                    <w:bottom w:val="none" w:sz="0" w:space="0" w:color="auto"/>
                                                                                                                                                    <w:right w:val="none" w:sz="0" w:space="0" w:color="auto"/>
                                                                                                                                                  </w:divBdr>
                                                                                                                                                  <w:divsChild>
                                                                                                                                                    <w:div w:id="710809007">
                                                                                                                                                      <w:marLeft w:val="0"/>
                                                                                                                                                      <w:marRight w:val="0"/>
                                                                                                                                                      <w:marTop w:val="0"/>
                                                                                                                                                      <w:marBottom w:val="0"/>
                                                                                                                                                      <w:divBdr>
                                                                                                                                                        <w:top w:val="none" w:sz="0" w:space="0" w:color="auto"/>
                                                                                                                                                        <w:left w:val="none" w:sz="0" w:space="0" w:color="auto"/>
                                                                                                                                                        <w:bottom w:val="none" w:sz="0" w:space="0" w:color="auto"/>
                                                                                                                                                        <w:right w:val="none" w:sz="0" w:space="0" w:color="auto"/>
                                                                                                                                                      </w:divBdr>
                                                                                                                                                      <w:divsChild>
                                                                                                                                                        <w:div w:id="1717463013">
                                                                                                                                                          <w:marLeft w:val="0"/>
                                                                                                                                                          <w:marRight w:val="0"/>
                                                                                                                                                          <w:marTop w:val="0"/>
                                                                                                                                                          <w:marBottom w:val="0"/>
                                                                                                                                                          <w:divBdr>
                                                                                                                                                            <w:top w:val="none" w:sz="0" w:space="0" w:color="auto"/>
                                                                                                                                                            <w:left w:val="none" w:sz="0" w:space="0" w:color="auto"/>
                                                                                                                                                            <w:bottom w:val="none" w:sz="0" w:space="0" w:color="auto"/>
                                                                                                                                                            <w:right w:val="none" w:sz="0" w:space="0" w:color="auto"/>
                                                                                                                                                          </w:divBdr>
                                                                                                                                                          <w:divsChild>
                                                                                                                                                            <w:div w:id="146745690">
                                                                                                                                                              <w:marLeft w:val="0"/>
                                                                                                                                                              <w:marRight w:val="0"/>
                                                                                                                                                              <w:marTop w:val="0"/>
                                                                                                                                                              <w:marBottom w:val="0"/>
                                                                                                                                                              <w:divBdr>
                                                                                                                                                                <w:top w:val="none" w:sz="0" w:space="0" w:color="auto"/>
                                                                                                                                                                <w:left w:val="none" w:sz="0" w:space="0" w:color="auto"/>
                                                                                                                                                                <w:bottom w:val="none" w:sz="0" w:space="0" w:color="auto"/>
                                                                                                                                                                <w:right w:val="none" w:sz="0" w:space="0" w:color="auto"/>
                                                                                                                                                              </w:divBdr>
                                                                                                                                                              <w:divsChild>
                                                                                                                                                                <w:div w:id="1734699717">
                                                                                                                                                                  <w:marLeft w:val="0"/>
                                                                                                                                                                  <w:marRight w:val="0"/>
                                                                                                                                                                  <w:marTop w:val="0"/>
                                                                                                                                                                  <w:marBottom w:val="0"/>
                                                                                                                                                                  <w:divBdr>
                                                                                                                                                                    <w:top w:val="none" w:sz="0" w:space="0" w:color="auto"/>
                                                                                                                                                                    <w:left w:val="none" w:sz="0" w:space="0" w:color="auto"/>
                                                                                                                                                                    <w:bottom w:val="none" w:sz="0" w:space="0" w:color="auto"/>
                                                                                                                                                                    <w:right w:val="none" w:sz="0" w:space="0" w:color="auto"/>
                                                                                                                                                                  </w:divBdr>
                                                                                                                                                                  <w:divsChild>
                                                                                                                                                                    <w:div w:id="2023387415">
                                                                                                                                                                      <w:marLeft w:val="0"/>
                                                                                                                                                                      <w:marRight w:val="0"/>
                                                                                                                                                                      <w:marTop w:val="0"/>
                                                                                                                                                                      <w:marBottom w:val="0"/>
                                                                                                                                                                      <w:divBdr>
                                                                                                                                                                        <w:top w:val="none" w:sz="0" w:space="0" w:color="auto"/>
                                                                                                                                                                        <w:left w:val="none" w:sz="0" w:space="0" w:color="auto"/>
                                                                                                                                                                        <w:bottom w:val="none" w:sz="0" w:space="0" w:color="auto"/>
                                                                                                                                                                        <w:right w:val="none" w:sz="0" w:space="0" w:color="auto"/>
                                                                                                                                                                      </w:divBdr>
                                                                                                                                                                      <w:divsChild>
                                                                                                                                                                        <w:div w:id="1197692899">
                                                                                                                                                                          <w:marLeft w:val="0"/>
                                                                                                                                                                          <w:marRight w:val="0"/>
                                                                                                                                                                          <w:marTop w:val="0"/>
                                                                                                                                                                          <w:marBottom w:val="0"/>
                                                                                                                                                                          <w:divBdr>
                                                                                                                                                                            <w:top w:val="none" w:sz="0" w:space="0" w:color="auto"/>
                                                                                                                                                                            <w:left w:val="none" w:sz="0" w:space="0" w:color="auto"/>
                                                                                                                                                                            <w:bottom w:val="none" w:sz="0" w:space="0" w:color="auto"/>
                                                                                                                                                                            <w:right w:val="none" w:sz="0" w:space="0" w:color="auto"/>
                                                                                                                                                                          </w:divBdr>
                                                                                                                                                                          <w:divsChild>
                                                                                                                                                                            <w:div w:id="1417551505">
                                                                                                                                                                              <w:marLeft w:val="0"/>
                                                                                                                                                                              <w:marRight w:val="0"/>
                                                                                                                                                                              <w:marTop w:val="0"/>
                                                                                                                                                                              <w:marBottom w:val="0"/>
                                                                                                                                                                              <w:divBdr>
                                                                                                                                                                                <w:top w:val="none" w:sz="0" w:space="0" w:color="auto"/>
                                                                                                                                                                                <w:left w:val="none" w:sz="0" w:space="0" w:color="auto"/>
                                                                                                                                                                                <w:bottom w:val="none" w:sz="0" w:space="0" w:color="auto"/>
                                                                                                                                                                                <w:right w:val="none" w:sz="0" w:space="0" w:color="auto"/>
                                                                                                                                                                              </w:divBdr>
                                                                                                                                                                              <w:divsChild>
                                                                                                                                                                                <w:div w:id="1697074689">
                                                                                                                                                                                  <w:marLeft w:val="0"/>
                                                                                                                                                                                  <w:marRight w:val="0"/>
                                                                                                                                                                                  <w:marTop w:val="0"/>
                                                                                                                                                                                  <w:marBottom w:val="0"/>
                                                                                                                                                                                  <w:divBdr>
                                                                                                                                                                                    <w:top w:val="none" w:sz="0" w:space="0" w:color="auto"/>
                                                                                                                                                                                    <w:left w:val="none" w:sz="0" w:space="0" w:color="auto"/>
                                                                                                                                                                                    <w:bottom w:val="none" w:sz="0" w:space="0" w:color="auto"/>
                                                                                                                                                                                    <w:right w:val="none" w:sz="0" w:space="0" w:color="auto"/>
                                                                                                                                                                                  </w:divBdr>
                                                                                                                                                                                  <w:divsChild>
                                                                                                                                                                                    <w:div w:id="453603370">
                                                                                                                                                                                      <w:marLeft w:val="0"/>
                                                                                                                                                                                      <w:marRight w:val="0"/>
                                                                                                                                                                                      <w:marTop w:val="0"/>
                                                                                                                                                                                      <w:marBottom w:val="0"/>
                                                                                                                                                                                      <w:divBdr>
                                                                                                                                                                                        <w:top w:val="none" w:sz="0" w:space="0" w:color="auto"/>
                                                                                                                                                                                        <w:left w:val="none" w:sz="0" w:space="0" w:color="auto"/>
                                                                                                                                                                                        <w:bottom w:val="none" w:sz="0" w:space="0" w:color="auto"/>
                                                                                                                                                                                        <w:right w:val="none" w:sz="0" w:space="0" w:color="auto"/>
                                                                                                                                                                                      </w:divBdr>
                                                                                                                                                                                      <w:divsChild>
                                                                                                                                                                                        <w:div w:id="1112365281">
                                                                                                                                                                                          <w:marLeft w:val="0"/>
                                                                                                                                                                                          <w:marRight w:val="0"/>
                                                                                                                                                                                          <w:marTop w:val="0"/>
                                                                                                                                                                                          <w:marBottom w:val="0"/>
                                                                                                                                                                                          <w:divBdr>
                                                                                                                                                                                            <w:top w:val="none" w:sz="0" w:space="0" w:color="auto"/>
                                                                                                                                                                                            <w:left w:val="none" w:sz="0" w:space="0" w:color="auto"/>
                                                                                                                                                                                            <w:bottom w:val="none" w:sz="0" w:space="0" w:color="auto"/>
                                                                                                                                                                                            <w:right w:val="none" w:sz="0" w:space="0" w:color="auto"/>
                                                                                                                                                                                          </w:divBdr>
                                                                                                                                                                                          <w:divsChild>
                                                                                                                                                                                            <w:div w:id="1724208842">
                                                                                                                                                                                              <w:marLeft w:val="0"/>
                                                                                                                                                                                              <w:marRight w:val="0"/>
                                                                                                                                                                                              <w:marTop w:val="0"/>
                                                                                                                                                                                              <w:marBottom w:val="0"/>
                                                                                                                                                                                              <w:divBdr>
                                                                                                                                                                                                <w:top w:val="none" w:sz="0" w:space="0" w:color="auto"/>
                                                                                                                                                                                                <w:left w:val="none" w:sz="0" w:space="0" w:color="auto"/>
                                                                                                                                                                                                <w:bottom w:val="none" w:sz="0" w:space="0" w:color="auto"/>
                                                                                                                                                                                                <w:right w:val="none" w:sz="0" w:space="0" w:color="auto"/>
                                                                                                                                                                                              </w:divBdr>
                                                                                                                                                                                              <w:divsChild>
                                                                                                                                                                                                <w:div w:id="1359619431">
                                                                                                                                                                                                  <w:marLeft w:val="0"/>
                                                                                                                                                                                                  <w:marRight w:val="0"/>
                                                                                                                                                                                                  <w:marTop w:val="0"/>
                                                                                                                                                                                                  <w:marBottom w:val="0"/>
                                                                                                                                                                                                  <w:divBdr>
                                                                                                                                                                                                    <w:top w:val="none" w:sz="0" w:space="0" w:color="auto"/>
                                                                                                                                                                                                    <w:left w:val="none" w:sz="0" w:space="0" w:color="auto"/>
                                                                                                                                                                                                    <w:bottom w:val="none" w:sz="0" w:space="0" w:color="auto"/>
                                                                                                                                                                                                    <w:right w:val="none" w:sz="0" w:space="0" w:color="auto"/>
                                                                                                                                                                                                  </w:divBdr>
                                                                                                                                                                                                  <w:divsChild>
                                                                                                                                                                                                    <w:div w:id="1414354848">
                                                                                                                                                                                                      <w:marLeft w:val="0"/>
                                                                                                                                                                                                      <w:marRight w:val="0"/>
                                                                                                                                                                                                      <w:marTop w:val="0"/>
                                                                                                                                                                                                      <w:marBottom w:val="0"/>
                                                                                                                                                                                                      <w:divBdr>
                                                                                                                                                                                                        <w:top w:val="none" w:sz="0" w:space="0" w:color="auto"/>
                                                                                                                                                                                                        <w:left w:val="none" w:sz="0" w:space="0" w:color="auto"/>
                                                                                                                                                                                                        <w:bottom w:val="none" w:sz="0" w:space="0" w:color="auto"/>
                                                                                                                                                                                                        <w:right w:val="none" w:sz="0" w:space="0" w:color="auto"/>
                                                                                                                                                                                                      </w:divBdr>
                                                                                                                                                                                                      <w:divsChild>
                                                                                                                                                                                                        <w:div w:id="136457034">
                                                                                                                                                                                                          <w:marLeft w:val="0"/>
                                                                                                                                                                                                          <w:marRight w:val="0"/>
                                                                                                                                                                                                          <w:marTop w:val="0"/>
                                                                                                                                                                                                          <w:marBottom w:val="0"/>
                                                                                                                                                                                                          <w:divBdr>
                                                                                                                                                                                                            <w:top w:val="none" w:sz="0" w:space="0" w:color="auto"/>
                                                                                                                                                                                                            <w:left w:val="none" w:sz="0" w:space="0" w:color="auto"/>
                                                                                                                                                                                                            <w:bottom w:val="none" w:sz="0" w:space="0" w:color="auto"/>
                                                                                                                                                                                                            <w:right w:val="none" w:sz="0" w:space="0" w:color="auto"/>
                                                                                                                                                                                                          </w:divBdr>
                                                                                                                                                                                                          <w:divsChild>
                                                                                                                                                                                                            <w:div w:id="94983387">
                                                                                                                                                                                                              <w:marLeft w:val="0"/>
                                                                                                                                                                                                              <w:marRight w:val="0"/>
                                                                                                                                                                                                              <w:marTop w:val="0"/>
                                                                                                                                                                                                              <w:marBottom w:val="0"/>
                                                                                                                                                                                                              <w:divBdr>
                                                                                                                                                                                                                <w:top w:val="none" w:sz="0" w:space="0" w:color="auto"/>
                                                                                                                                                                                                                <w:left w:val="none" w:sz="0" w:space="0" w:color="auto"/>
                                                                                                                                                                                                                <w:bottom w:val="none" w:sz="0" w:space="0" w:color="auto"/>
                                                                                                                                                                                                                <w:right w:val="none" w:sz="0" w:space="0" w:color="auto"/>
                                                                                                                                                                                                              </w:divBdr>
                                                                                                                                                                                                              <w:divsChild>
                                                                                                                                                                                                                <w:div w:id="1515192388">
                                                                                                                                                                                                                  <w:marLeft w:val="0"/>
                                                                                                                                                                                                                  <w:marRight w:val="0"/>
                                                                                                                                                                                                                  <w:marTop w:val="0"/>
                                                                                                                                                                                                                  <w:marBottom w:val="0"/>
                                                                                                                                                                                                                  <w:divBdr>
                                                                                                                                                                                                                    <w:top w:val="none" w:sz="0" w:space="0" w:color="auto"/>
                                                                                                                                                                                                                    <w:left w:val="none" w:sz="0" w:space="0" w:color="auto"/>
                                                                                                                                                                                                                    <w:bottom w:val="none" w:sz="0" w:space="0" w:color="auto"/>
                                                                                                                                                                                                                    <w:right w:val="none" w:sz="0" w:space="0" w:color="auto"/>
                                                                                                                                                                                                                  </w:divBdr>
                                                                                                                                                                                                                  <w:divsChild>
                                                                                                                                                                                                                    <w:div w:id="1228611330">
                                                                                                                                                                                                                      <w:marLeft w:val="0"/>
                                                                                                                                                                                                                      <w:marRight w:val="0"/>
                                                                                                                                                                                                                      <w:marTop w:val="0"/>
                                                                                                                                                                                                                      <w:marBottom w:val="0"/>
                                                                                                                                                                                                                      <w:divBdr>
                                                                                                                                                                                                                        <w:top w:val="none" w:sz="0" w:space="0" w:color="auto"/>
                                                                                                                                                                                                                        <w:left w:val="none" w:sz="0" w:space="0" w:color="auto"/>
                                                                                                                                                                                                                        <w:bottom w:val="none" w:sz="0" w:space="0" w:color="auto"/>
                                                                                                                                                                                                                        <w:right w:val="none" w:sz="0" w:space="0" w:color="auto"/>
                                                                                                                                                                                                                      </w:divBdr>
                                                                                                                                                                                                                      <w:divsChild>
                                                                                                                                                                                                                        <w:div w:id="1394037573">
                                                                                                                                                                                                                          <w:marLeft w:val="0"/>
                                                                                                                                                                                                                          <w:marRight w:val="0"/>
                                                                                                                                                                                                                          <w:marTop w:val="0"/>
                                                                                                                                                                                                                          <w:marBottom w:val="0"/>
                                                                                                                                                                                                                          <w:divBdr>
                                                                                                                                                                                                                            <w:top w:val="none" w:sz="0" w:space="0" w:color="auto"/>
                                                                                                                                                                                                                            <w:left w:val="none" w:sz="0" w:space="0" w:color="auto"/>
                                                                                                                                                                                                                            <w:bottom w:val="none" w:sz="0" w:space="0" w:color="auto"/>
                                                                                                                                                                                                                            <w:right w:val="none" w:sz="0" w:space="0" w:color="auto"/>
                                                                                                                                                                                                                          </w:divBdr>
                                                                                                                                                                                                                          <w:divsChild>
                                                                                                                                                                                                                            <w:div w:id="880090847">
                                                                                                                                                                                                                              <w:marLeft w:val="0"/>
                                                                                                                                                                                                                              <w:marRight w:val="0"/>
                                                                                                                                                                                                                              <w:marTop w:val="0"/>
                                                                                                                                                                                                                              <w:marBottom w:val="0"/>
                                                                                                                                                                                                                              <w:divBdr>
                                                                                                                                                                                                                                <w:top w:val="none" w:sz="0" w:space="0" w:color="auto"/>
                                                                                                                                                                                                                                <w:left w:val="none" w:sz="0" w:space="0" w:color="auto"/>
                                                                                                                                                                                                                                <w:bottom w:val="none" w:sz="0" w:space="0" w:color="auto"/>
                                                                                                                                                                                                                                <w:right w:val="none" w:sz="0" w:space="0" w:color="auto"/>
                                                                                                                                                                                                                              </w:divBdr>
                                                                                                                                                                                                                              <w:divsChild>
                                                                                                                                                                                                                                <w:div w:id="1113093952">
                                                                                                                                                                                                                                  <w:marLeft w:val="0"/>
                                                                                                                                                                                                                                  <w:marRight w:val="0"/>
                                                                                                                                                                                                                                  <w:marTop w:val="0"/>
                                                                                                                                                                                                                                  <w:marBottom w:val="0"/>
                                                                                                                                                                                                                                  <w:divBdr>
                                                                                                                                                                                                                                    <w:top w:val="none" w:sz="0" w:space="0" w:color="auto"/>
                                                                                                                                                                                                                                    <w:left w:val="none" w:sz="0" w:space="0" w:color="auto"/>
                                                                                                                                                                                                                                    <w:bottom w:val="none" w:sz="0" w:space="0" w:color="auto"/>
                                                                                                                                                                                                                                    <w:right w:val="none" w:sz="0" w:space="0" w:color="auto"/>
                                                                                                                                                                                                                                  </w:divBdr>
                                                                                                                                                                                                                                  <w:divsChild>
                                                                                                                                                                                                                                    <w:div w:id="160857927">
                                                                                                                                                                                                                                      <w:marLeft w:val="0"/>
                                                                                                                                                                                                                                      <w:marRight w:val="0"/>
                                                                                                                                                                                                                                      <w:marTop w:val="0"/>
                                                                                                                                                                                                                                      <w:marBottom w:val="0"/>
                                                                                                                                                                                                                                      <w:divBdr>
                                                                                                                                                                                                                                        <w:top w:val="none" w:sz="0" w:space="0" w:color="auto"/>
                                                                                                                                                                                                                                        <w:left w:val="none" w:sz="0" w:space="0" w:color="auto"/>
                                                                                                                                                                                                                                        <w:bottom w:val="none" w:sz="0" w:space="0" w:color="auto"/>
                                                                                                                                                                                                                                        <w:right w:val="none" w:sz="0" w:space="0" w:color="auto"/>
                                                                                                                                                                                                                                      </w:divBdr>
                                                                                                                                                                                                                                      <w:divsChild>
                                                                                                                                                                                                                                        <w:div w:id="9709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513933">
      <w:bodyDiv w:val="1"/>
      <w:marLeft w:val="0"/>
      <w:marRight w:val="0"/>
      <w:marTop w:val="0"/>
      <w:marBottom w:val="0"/>
      <w:divBdr>
        <w:top w:val="none" w:sz="0" w:space="0" w:color="auto"/>
        <w:left w:val="none" w:sz="0" w:space="0" w:color="auto"/>
        <w:bottom w:val="none" w:sz="0" w:space="0" w:color="auto"/>
        <w:right w:val="none" w:sz="0" w:space="0" w:color="auto"/>
      </w:divBdr>
    </w:div>
    <w:div w:id="669454171">
      <w:bodyDiv w:val="1"/>
      <w:marLeft w:val="0"/>
      <w:marRight w:val="0"/>
      <w:marTop w:val="0"/>
      <w:marBottom w:val="0"/>
      <w:divBdr>
        <w:top w:val="none" w:sz="0" w:space="0" w:color="auto"/>
        <w:left w:val="none" w:sz="0" w:space="0" w:color="auto"/>
        <w:bottom w:val="none" w:sz="0" w:space="0" w:color="auto"/>
        <w:right w:val="none" w:sz="0" w:space="0" w:color="auto"/>
      </w:divBdr>
    </w:div>
    <w:div w:id="1095395600">
      <w:bodyDiv w:val="1"/>
      <w:marLeft w:val="0"/>
      <w:marRight w:val="0"/>
      <w:marTop w:val="0"/>
      <w:marBottom w:val="0"/>
      <w:divBdr>
        <w:top w:val="none" w:sz="0" w:space="0" w:color="auto"/>
        <w:left w:val="none" w:sz="0" w:space="0" w:color="auto"/>
        <w:bottom w:val="none" w:sz="0" w:space="0" w:color="auto"/>
        <w:right w:val="none" w:sz="0" w:space="0" w:color="auto"/>
      </w:divBdr>
      <w:divsChild>
        <w:div w:id="682240566">
          <w:marLeft w:val="0"/>
          <w:marRight w:val="0"/>
          <w:marTop w:val="0"/>
          <w:marBottom w:val="0"/>
          <w:divBdr>
            <w:top w:val="none" w:sz="0" w:space="0" w:color="auto"/>
            <w:left w:val="none" w:sz="0" w:space="0" w:color="auto"/>
            <w:bottom w:val="none" w:sz="0" w:space="0" w:color="auto"/>
            <w:right w:val="none" w:sz="0" w:space="0" w:color="auto"/>
          </w:divBdr>
          <w:divsChild>
            <w:div w:id="1956136997">
              <w:marLeft w:val="0"/>
              <w:marRight w:val="0"/>
              <w:marTop w:val="0"/>
              <w:marBottom w:val="0"/>
              <w:divBdr>
                <w:top w:val="none" w:sz="0" w:space="0" w:color="auto"/>
                <w:left w:val="none" w:sz="0" w:space="0" w:color="auto"/>
                <w:bottom w:val="none" w:sz="0" w:space="0" w:color="auto"/>
                <w:right w:val="none" w:sz="0" w:space="0" w:color="auto"/>
              </w:divBdr>
              <w:divsChild>
                <w:div w:id="252395311">
                  <w:marLeft w:val="0"/>
                  <w:marRight w:val="0"/>
                  <w:marTop w:val="0"/>
                  <w:marBottom w:val="0"/>
                  <w:divBdr>
                    <w:top w:val="none" w:sz="0" w:space="0" w:color="auto"/>
                    <w:left w:val="none" w:sz="0" w:space="0" w:color="auto"/>
                    <w:bottom w:val="none" w:sz="0" w:space="0" w:color="auto"/>
                    <w:right w:val="none" w:sz="0" w:space="0" w:color="auto"/>
                  </w:divBdr>
                  <w:divsChild>
                    <w:div w:id="979924702">
                      <w:marLeft w:val="0"/>
                      <w:marRight w:val="0"/>
                      <w:marTop w:val="0"/>
                      <w:marBottom w:val="0"/>
                      <w:divBdr>
                        <w:top w:val="none" w:sz="0" w:space="0" w:color="auto"/>
                        <w:left w:val="none" w:sz="0" w:space="0" w:color="auto"/>
                        <w:bottom w:val="none" w:sz="0" w:space="0" w:color="auto"/>
                        <w:right w:val="none" w:sz="0" w:space="0" w:color="auto"/>
                      </w:divBdr>
                      <w:divsChild>
                        <w:div w:id="1817842886">
                          <w:marLeft w:val="0"/>
                          <w:marRight w:val="0"/>
                          <w:marTop w:val="0"/>
                          <w:marBottom w:val="0"/>
                          <w:divBdr>
                            <w:top w:val="none" w:sz="0" w:space="0" w:color="auto"/>
                            <w:left w:val="none" w:sz="0" w:space="0" w:color="auto"/>
                            <w:bottom w:val="none" w:sz="0" w:space="0" w:color="auto"/>
                            <w:right w:val="none" w:sz="0" w:space="0" w:color="auto"/>
                          </w:divBdr>
                          <w:divsChild>
                            <w:div w:id="765153591">
                              <w:marLeft w:val="0"/>
                              <w:marRight w:val="0"/>
                              <w:marTop w:val="0"/>
                              <w:marBottom w:val="0"/>
                              <w:divBdr>
                                <w:top w:val="none" w:sz="0" w:space="0" w:color="auto"/>
                                <w:left w:val="none" w:sz="0" w:space="0" w:color="auto"/>
                                <w:bottom w:val="none" w:sz="0" w:space="0" w:color="auto"/>
                                <w:right w:val="none" w:sz="0" w:space="0" w:color="auto"/>
                              </w:divBdr>
                              <w:divsChild>
                                <w:div w:id="680203578">
                                  <w:marLeft w:val="0"/>
                                  <w:marRight w:val="0"/>
                                  <w:marTop w:val="0"/>
                                  <w:marBottom w:val="0"/>
                                  <w:divBdr>
                                    <w:top w:val="none" w:sz="0" w:space="0" w:color="auto"/>
                                    <w:left w:val="none" w:sz="0" w:space="0" w:color="auto"/>
                                    <w:bottom w:val="none" w:sz="0" w:space="0" w:color="auto"/>
                                    <w:right w:val="none" w:sz="0" w:space="0" w:color="auto"/>
                                  </w:divBdr>
                                  <w:divsChild>
                                    <w:div w:id="476534755">
                                      <w:marLeft w:val="0"/>
                                      <w:marRight w:val="0"/>
                                      <w:marTop w:val="0"/>
                                      <w:marBottom w:val="0"/>
                                      <w:divBdr>
                                        <w:top w:val="none" w:sz="0" w:space="0" w:color="auto"/>
                                        <w:left w:val="none" w:sz="0" w:space="0" w:color="auto"/>
                                        <w:bottom w:val="none" w:sz="0" w:space="0" w:color="auto"/>
                                        <w:right w:val="none" w:sz="0" w:space="0" w:color="auto"/>
                                      </w:divBdr>
                                      <w:divsChild>
                                        <w:div w:id="408118674">
                                          <w:marLeft w:val="0"/>
                                          <w:marRight w:val="0"/>
                                          <w:marTop w:val="0"/>
                                          <w:marBottom w:val="0"/>
                                          <w:divBdr>
                                            <w:top w:val="none" w:sz="0" w:space="0" w:color="auto"/>
                                            <w:left w:val="none" w:sz="0" w:space="0" w:color="auto"/>
                                            <w:bottom w:val="none" w:sz="0" w:space="0" w:color="auto"/>
                                            <w:right w:val="none" w:sz="0" w:space="0" w:color="auto"/>
                                          </w:divBdr>
                                          <w:divsChild>
                                            <w:div w:id="977342278">
                                              <w:marLeft w:val="0"/>
                                              <w:marRight w:val="0"/>
                                              <w:marTop w:val="0"/>
                                              <w:marBottom w:val="0"/>
                                              <w:divBdr>
                                                <w:top w:val="none" w:sz="0" w:space="0" w:color="auto"/>
                                                <w:left w:val="none" w:sz="0" w:space="0" w:color="auto"/>
                                                <w:bottom w:val="none" w:sz="0" w:space="0" w:color="auto"/>
                                                <w:right w:val="none" w:sz="0" w:space="0" w:color="auto"/>
                                              </w:divBdr>
                                              <w:divsChild>
                                                <w:div w:id="1666126239">
                                                  <w:marLeft w:val="0"/>
                                                  <w:marRight w:val="0"/>
                                                  <w:marTop w:val="0"/>
                                                  <w:marBottom w:val="0"/>
                                                  <w:divBdr>
                                                    <w:top w:val="none" w:sz="0" w:space="0" w:color="auto"/>
                                                    <w:left w:val="none" w:sz="0" w:space="0" w:color="auto"/>
                                                    <w:bottom w:val="none" w:sz="0" w:space="0" w:color="auto"/>
                                                    <w:right w:val="none" w:sz="0" w:space="0" w:color="auto"/>
                                                  </w:divBdr>
                                                  <w:divsChild>
                                                    <w:div w:id="974918104">
                                                      <w:marLeft w:val="0"/>
                                                      <w:marRight w:val="0"/>
                                                      <w:marTop w:val="0"/>
                                                      <w:marBottom w:val="0"/>
                                                      <w:divBdr>
                                                        <w:top w:val="none" w:sz="0" w:space="0" w:color="auto"/>
                                                        <w:left w:val="none" w:sz="0" w:space="0" w:color="auto"/>
                                                        <w:bottom w:val="none" w:sz="0" w:space="0" w:color="auto"/>
                                                        <w:right w:val="none" w:sz="0" w:space="0" w:color="auto"/>
                                                      </w:divBdr>
                                                      <w:divsChild>
                                                        <w:div w:id="8630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371476">
      <w:bodyDiv w:val="1"/>
      <w:marLeft w:val="0"/>
      <w:marRight w:val="0"/>
      <w:marTop w:val="0"/>
      <w:marBottom w:val="0"/>
      <w:divBdr>
        <w:top w:val="none" w:sz="0" w:space="0" w:color="auto"/>
        <w:left w:val="none" w:sz="0" w:space="0" w:color="auto"/>
        <w:bottom w:val="none" w:sz="0" w:space="0" w:color="auto"/>
        <w:right w:val="none" w:sz="0" w:space="0" w:color="auto"/>
      </w:divBdr>
      <w:divsChild>
        <w:div w:id="1016276333">
          <w:marLeft w:val="0"/>
          <w:marRight w:val="0"/>
          <w:marTop w:val="0"/>
          <w:marBottom w:val="0"/>
          <w:divBdr>
            <w:top w:val="none" w:sz="0" w:space="0" w:color="auto"/>
            <w:left w:val="none" w:sz="0" w:space="0" w:color="auto"/>
            <w:bottom w:val="none" w:sz="0" w:space="0" w:color="auto"/>
            <w:right w:val="none" w:sz="0" w:space="0" w:color="auto"/>
          </w:divBdr>
          <w:divsChild>
            <w:div w:id="1851287398">
              <w:marLeft w:val="0"/>
              <w:marRight w:val="0"/>
              <w:marTop w:val="0"/>
              <w:marBottom w:val="0"/>
              <w:divBdr>
                <w:top w:val="none" w:sz="0" w:space="0" w:color="auto"/>
                <w:left w:val="none" w:sz="0" w:space="0" w:color="auto"/>
                <w:bottom w:val="none" w:sz="0" w:space="0" w:color="auto"/>
                <w:right w:val="none" w:sz="0" w:space="0" w:color="auto"/>
              </w:divBdr>
              <w:divsChild>
                <w:div w:id="679695862">
                  <w:marLeft w:val="0"/>
                  <w:marRight w:val="0"/>
                  <w:marTop w:val="0"/>
                  <w:marBottom w:val="0"/>
                  <w:divBdr>
                    <w:top w:val="none" w:sz="0" w:space="0" w:color="auto"/>
                    <w:left w:val="none" w:sz="0" w:space="0" w:color="auto"/>
                    <w:bottom w:val="none" w:sz="0" w:space="0" w:color="auto"/>
                    <w:right w:val="none" w:sz="0" w:space="0" w:color="auto"/>
                  </w:divBdr>
                  <w:divsChild>
                    <w:div w:id="1422070682">
                      <w:marLeft w:val="0"/>
                      <w:marRight w:val="0"/>
                      <w:marTop w:val="0"/>
                      <w:marBottom w:val="0"/>
                      <w:divBdr>
                        <w:top w:val="none" w:sz="0" w:space="0" w:color="auto"/>
                        <w:left w:val="none" w:sz="0" w:space="0" w:color="auto"/>
                        <w:bottom w:val="none" w:sz="0" w:space="0" w:color="auto"/>
                        <w:right w:val="none" w:sz="0" w:space="0" w:color="auto"/>
                      </w:divBdr>
                      <w:divsChild>
                        <w:div w:id="1130514115">
                          <w:marLeft w:val="0"/>
                          <w:marRight w:val="0"/>
                          <w:marTop w:val="0"/>
                          <w:marBottom w:val="0"/>
                          <w:divBdr>
                            <w:top w:val="none" w:sz="0" w:space="0" w:color="auto"/>
                            <w:left w:val="none" w:sz="0" w:space="0" w:color="auto"/>
                            <w:bottom w:val="none" w:sz="0" w:space="0" w:color="auto"/>
                            <w:right w:val="none" w:sz="0" w:space="0" w:color="auto"/>
                          </w:divBdr>
                          <w:divsChild>
                            <w:div w:id="445462418">
                              <w:marLeft w:val="0"/>
                              <w:marRight w:val="0"/>
                              <w:marTop w:val="0"/>
                              <w:marBottom w:val="0"/>
                              <w:divBdr>
                                <w:top w:val="none" w:sz="0" w:space="0" w:color="auto"/>
                                <w:left w:val="none" w:sz="0" w:space="0" w:color="auto"/>
                                <w:bottom w:val="none" w:sz="0" w:space="0" w:color="auto"/>
                                <w:right w:val="none" w:sz="0" w:space="0" w:color="auto"/>
                              </w:divBdr>
                              <w:divsChild>
                                <w:div w:id="1031421726">
                                  <w:marLeft w:val="0"/>
                                  <w:marRight w:val="0"/>
                                  <w:marTop w:val="0"/>
                                  <w:marBottom w:val="0"/>
                                  <w:divBdr>
                                    <w:top w:val="none" w:sz="0" w:space="0" w:color="auto"/>
                                    <w:left w:val="none" w:sz="0" w:space="0" w:color="auto"/>
                                    <w:bottom w:val="none" w:sz="0" w:space="0" w:color="auto"/>
                                    <w:right w:val="none" w:sz="0" w:space="0" w:color="auto"/>
                                  </w:divBdr>
                                  <w:divsChild>
                                    <w:div w:id="1113480442">
                                      <w:marLeft w:val="0"/>
                                      <w:marRight w:val="0"/>
                                      <w:marTop w:val="0"/>
                                      <w:marBottom w:val="0"/>
                                      <w:divBdr>
                                        <w:top w:val="none" w:sz="0" w:space="0" w:color="auto"/>
                                        <w:left w:val="none" w:sz="0" w:space="0" w:color="auto"/>
                                        <w:bottom w:val="none" w:sz="0" w:space="0" w:color="auto"/>
                                        <w:right w:val="none" w:sz="0" w:space="0" w:color="auto"/>
                                      </w:divBdr>
                                      <w:divsChild>
                                        <w:div w:id="1876578557">
                                          <w:marLeft w:val="0"/>
                                          <w:marRight w:val="0"/>
                                          <w:marTop w:val="0"/>
                                          <w:marBottom w:val="0"/>
                                          <w:divBdr>
                                            <w:top w:val="none" w:sz="0" w:space="0" w:color="auto"/>
                                            <w:left w:val="none" w:sz="0" w:space="0" w:color="auto"/>
                                            <w:bottom w:val="none" w:sz="0" w:space="0" w:color="auto"/>
                                            <w:right w:val="none" w:sz="0" w:space="0" w:color="auto"/>
                                          </w:divBdr>
                                          <w:divsChild>
                                            <w:div w:id="971599212">
                                              <w:marLeft w:val="0"/>
                                              <w:marRight w:val="0"/>
                                              <w:marTop w:val="0"/>
                                              <w:marBottom w:val="0"/>
                                              <w:divBdr>
                                                <w:top w:val="none" w:sz="0" w:space="0" w:color="auto"/>
                                                <w:left w:val="none" w:sz="0" w:space="0" w:color="auto"/>
                                                <w:bottom w:val="none" w:sz="0" w:space="0" w:color="auto"/>
                                                <w:right w:val="none" w:sz="0" w:space="0" w:color="auto"/>
                                              </w:divBdr>
                                              <w:divsChild>
                                                <w:div w:id="10837577">
                                                  <w:marLeft w:val="0"/>
                                                  <w:marRight w:val="0"/>
                                                  <w:marTop w:val="0"/>
                                                  <w:marBottom w:val="0"/>
                                                  <w:divBdr>
                                                    <w:top w:val="none" w:sz="0" w:space="0" w:color="auto"/>
                                                    <w:left w:val="none" w:sz="0" w:space="0" w:color="auto"/>
                                                    <w:bottom w:val="none" w:sz="0" w:space="0" w:color="auto"/>
                                                    <w:right w:val="none" w:sz="0" w:space="0" w:color="auto"/>
                                                  </w:divBdr>
                                                  <w:divsChild>
                                                    <w:div w:id="1153064527">
                                                      <w:marLeft w:val="0"/>
                                                      <w:marRight w:val="0"/>
                                                      <w:marTop w:val="0"/>
                                                      <w:marBottom w:val="0"/>
                                                      <w:divBdr>
                                                        <w:top w:val="none" w:sz="0" w:space="0" w:color="auto"/>
                                                        <w:left w:val="none" w:sz="0" w:space="0" w:color="auto"/>
                                                        <w:bottom w:val="none" w:sz="0" w:space="0" w:color="auto"/>
                                                        <w:right w:val="none" w:sz="0" w:space="0" w:color="auto"/>
                                                      </w:divBdr>
                                                      <w:divsChild>
                                                        <w:div w:id="2064400070">
                                                          <w:marLeft w:val="0"/>
                                                          <w:marRight w:val="0"/>
                                                          <w:marTop w:val="0"/>
                                                          <w:marBottom w:val="0"/>
                                                          <w:divBdr>
                                                            <w:top w:val="none" w:sz="0" w:space="0" w:color="auto"/>
                                                            <w:left w:val="none" w:sz="0" w:space="0" w:color="auto"/>
                                                            <w:bottom w:val="none" w:sz="0" w:space="0" w:color="auto"/>
                                                            <w:right w:val="none" w:sz="0" w:space="0" w:color="auto"/>
                                                          </w:divBdr>
                                                          <w:divsChild>
                                                            <w:div w:id="251554844">
                                                              <w:marLeft w:val="0"/>
                                                              <w:marRight w:val="0"/>
                                                              <w:marTop w:val="0"/>
                                                              <w:marBottom w:val="0"/>
                                                              <w:divBdr>
                                                                <w:top w:val="none" w:sz="0" w:space="0" w:color="auto"/>
                                                                <w:left w:val="none" w:sz="0" w:space="0" w:color="auto"/>
                                                                <w:bottom w:val="none" w:sz="0" w:space="0" w:color="auto"/>
                                                                <w:right w:val="none" w:sz="0" w:space="0" w:color="auto"/>
                                                              </w:divBdr>
                                                              <w:divsChild>
                                                                <w:div w:id="203955450">
                                                                  <w:marLeft w:val="0"/>
                                                                  <w:marRight w:val="0"/>
                                                                  <w:marTop w:val="0"/>
                                                                  <w:marBottom w:val="0"/>
                                                                  <w:divBdr>
                                                                    <w:top w:val="none" w:sz="0" w:space="0" w:color="auto"/>
                                                                    <w:left w:val="none" w:sz="0" w:space="0" w:color="auto"/>
                                                                    <w:bottom w:val="none" w:sz="0" w:space="0" w:color="auto"/>
                                                                    <w:right w:val="none" w:sz="0" w:space="0" w:color="auto"/>
                                                                  </w:divBdr>
                                                                  <w:divsChild>
                                                                    <w:div w:id="1680817041">
                                                                      <w:marLeft w:val="0"/>
                                                                      <w:marRight w:val="0"/>
                                                                      <w:marTop w:val="0"/>
                                                                      <w:marBottom w:val="0"/>
                                                                      <w:divBdr>
                                                                        <w:top w:val="none" w:sz="0" w:space="0" w:color="auto"/>
                                                                        <w:left w:val="none" w:sz="0" w:space="0" w:color="auto"/>
                                                                        <w:bottom w:val="none" w:sz="0" w:space="0" w:color="auto"/>
                                                                        <w:right w:val="none" w:sz="0" w:space="0" w:color="auto"/>
                                                                      </w:divBdr>
                                                                      <w:divsChild>
                                                                        <w:div w:id="2137210257">
                                                                          <w:marLeft w:val="0"/>
                                                                          <w:marRight w:val="0"/>
                                                                          <w:marTop w:val="0"/>
                                                                          <w:marBottom w:val="0"/>
                                                                          <w:divBdr>
                                                                            <w:top w:val="none" w:sz="0" w:space="0" w:color="auto"/>
                                                                            <w:left w:val="none" w:sz="0" w:space="0" w:color="auto"/>
                                                                            <w:bottom w:val="none" w:sz="0" w:space="0" w:color="auto"/>
                                                                            <w:right w:val="none" w:sz="0" w:space="0" w:color="auto"/>
                                                                          </w:divBdr>
                                                                          <w:divsChild>
                                                                            <w:div w:id="163059186">
                                                                              <w:marLeft w:val="0"/>
                                                                              <w:marRight w:val="0"/>
                                                                              <w:marTop w:val="0"/>
                                                                              <w:marBottom w:val="0"/>
                                                                              <w:divBdr>
                                                                                <w:top w:val="none" w:sz="0" w:space="0" w:color="auto"/>
                                                                                <w:left w:val="none" w:sz="0" w:space="0" w:color="auto"/>
                                                                                <w:bottom w:val="none" w:sz="0" w:space="0" w:color="auto"/>
                                                                                <w:right w:val="none" w:sz="0" w:space="0" w:color="auto"/>
                                                                              </w:divBdr>
                                                                              <w:divsChild>
                                                                                <w:div w:id="546573396">
                                                                                  <w:marLeft w:val="0"/>
                                                                                  <w:marRight w:val="0"/>
                                                                                  <w:marTop w:val="0"/>
                                                                                  <w:marBottom w:val="0"/>
                                                                                  <w:divBdr>
                                                                                    <w:top w:val="none" w:sz="0" w:space="0" w:color="auto"/>
                                                                                    <w:left w:val="none" w:sz="0" w:space="0" w:color="auto"/>
                                                                                    <w:bottom w:val="none" w:sz="0" w:space="0" w:color="auto"/>
                                                                                    <w:right w:val="none" w:sz="0" w:space="0" w:color="auto"/>
                                                                                  </w:divBdr>
                                                                                  <w:divsChild>
                                                                                    <w:div w:id="1719623310">
                                                                                      <w:marLeft w:val="0"/>
                                                                                      <w:marRight w:val="0"/>
                                                                                      <w:marTop w:val="0"/>
                                                                                      <w:marBottom w:val="0"/>
                                                                                      <w:divBdr>
                                                                                        <w:top w:val="none" w:sz="0" w:space="0" w:color="auto"/>
                                                                                        <w:left w:val="none" w:sz="0" w:space="0" w:color="auto"/>
                                                                                        <w:bottom w:val="none" w:sz="0" w:space="0" w:color="auto"/>
                                                                                        <w:right w:val="none" w:sz="0" w:space="0" w:color="auto"/>
                                                                                      </w:divBdr>
                                                                                      <w:divsChild>
                                                                                        <w:div w:id="1036807526">
                                                                                          <w:marLeft w:val="0"/>
                                                                                          <w:marRight w:val="0"/>
                                                                                          <w:marTop w:val="0"/>
                                                                                          <w:marBottom w:val="0"/>
                                                                                          <w:divBdr>
                                                                                            <w:top w:val="none" w:sz="0" w:space="0" w:color="auto"/>
                                                                                            <w:left w:val="none" w:sz="0" w:space="0" w:color="auto"/>
                                                                                            <w:bottom w:val="none" w:sz="0" w:space="0" w:color="auto"/>
                                                                                            <w:right w:val="none" w:sz="0" w:space="0" w:color="auto"/>
                                                                                          </w:divBdr>
                                                                                          <w:divsChild>
                                                                                            <w:div w:id="802623250">
                                                                                              <w:marLeft w:val="0"/>
                                                                                              <w:marRight w:val="0"/>
                                                                                              <w:marTop w:val="0"/>
                                                                                              <w:marBottom w:val="0"/>
                                                                                              <w:divBdr>
                                                                                                <w:top w:val="none" w:sz="0" w:space="0" w:color="auto"/>
                                                                                                <w:left w:val="none" w:sz="0" w:space="0" w:color="auto"/>
                                                                                                <w:bottom w:val="none" w:sz="0" w:space="0" w:color="auto"/>
                                                                                                <w:right w:val="none" w:sz="0" w:space="0" w:color="auto"/>
                                                                                              </w:divBdr>
                                                                                              <w:divsChild>
                                                                                                <w:div w:id="1947538822">
                                                                                                  <w:marLeft w:val="0"/>
                                                                                                  <w:marRight w:val="0"/>
                                                                                                  <w:marTop w:val="0"/>
                                                                                                  <w:marBottom w:val="0"/>
                                                                                                  <w:divBdr>
                                                                                                    <w:top w:val="none" w:sz="0" w:space="0" w:color="auto"/>
                                                                                                    <w:left w:val="none" w:sz="0" w:space="0" w:color="auto"/>
                                                                                                    <w:bottom w:val="none" w:sz="0" w:space="0" w:color="auto"/>
                                                                                                    <w:right w:val="none" w:sz="0" w:space="0" w:color="auto"/>
                                                                                                  </w:divBdr>
                                                                                                  <w:divsChild>
                                                                                                    <w:div w:id="441076901">
                                                                                                      <w:marLeft w:val="0"/>
                                                                                                      <w:marRight w:val="0"/>
                                                                                                      <w:marTop w:val="0"/>
                                                                                                      <w:marBottom w:val="0"/>
                                                                                                      <w:divBdr>
                                                                                                        <w:top w:val="none" w:sz="0" w:space="0" w:color="auto"/>
                                                                                                        <w:left w:val="none" w:sz="0" w:space="0" w:color="auto"/>
                                                                                                        <w:bottom w:val="none" w:sz="0" w:space="0" w:color="auto"/>
                                                                                                        <w:right w:val="none" w:sz="0" w:space="0" w:color="auto"/>
                                                                                                      </w:divBdr>
                                                                                                      <w:divsChild>
                                                                                                        <w:div w:id="231890812">
                                                                                                          <w:marLeft w:val="0"/>
                                                                                                          <w:marRight w:val="0"/>
                                                                                                          <w:marTop w:val="0"/>
                                                                                                          <w:marBottom w:val="0"/>
                                                                                                          <w:divBdr>
                                                                                                            <w:top w:val="none" w:sz="0" w:space="0" w:color="auto"/>
                                                                                                            <w:left w:val="none" w:sz="0" w:space="0" w:color="auto"/>
                                                                                                            <w:bottom w:val="none" w:sz="0" w:space="0" w:color="auto"/>
                                                                                                            <w:right w:val="none" w:sz="0" w:space="0" w:color="auto"/>
                                                                                                          </w:divBdr>
                                                                                                          <w:divsChild>
                                                                                                            <w:div w:id="762726694">
                                                                                                              <w:marLeft w:val="0"/>
                                                                                                              <w:marRight w:val="0"/>
                                                                                                              <w:marTop w:val="0"/>
                                                                                                              <w:marBottom w:val="0"/>
                                                                                                              <w:divBdr>
                                                                                                                <w:top w:val="none" w:sz="0" w:space="0" w:color="auto"/>
                                                                                                                <w:left w:val="none" w:sz="0" w:space="0" w:color="auto"/>
                                                                                                                <w:bottom w:val="none" w:sz="0" w:space="0" w:color="auto"/>
                                                                                                                <w:right w:val="none" w:sz="0" w:space="0" w:color="auto"/>
                                                                                                              </w:divBdr>
                                                                                                              <w:divsChild>
                                                                                                                <w:div w:id="1346246855">
                                                                                                                  <w:marLeft w:val="0"/>
                                                                                                                  <w:marRight w:val="0"/>
                                                                                                                  <w:marTop w:val="0"/>
                                                                                                                  <w:marBottom w:val="0"/>
                                                                                                                  <w:divBdr>
                                                                                                                    <w:top w:val="none" w:sz="0" w:space="0" w:color="auto"/>
                                                                                                                    <w:left w:val="none" w:sz="0" w:space="0" w:color="auto"/>
                                                                                                                    <w:bottom w:val="none" w:sz="0" w:space="0" w:color="auto"/>
                                                                                                                    <w:right w:val="none" w:sz="0" w:space="0" w:color="auto"/>
                                                                                                                  </w:divBdr>
                                                                                                                  <w:divsChild>
                                                                                                                    <w:div w:id="1835795809">
                                                                                                                      <w:marLeft w:val="0"/>
                                                                                                                      <w:marRight w:val="0"/>
                                                                                                                      <w:marTop w:val="0"/>
                                                                                                                      <w:marBottom w:val="0"/>
                                                                                                                      <w:divBdr>
                                                                                                                        <w:top w:val="none" w:sz="0" w:space="0" w:color="auto"/>
                                                                                                                        <w:left w:val="none" w:sz="0" w:space="0" w:color="auto"/>
                                                                                                                        <w:bottom w:val="none" w:sz="0" w:space="0" w:color="auto"/>
                                                                                                                        <w:right w:val="none" w:sz="0" w:space="0" w:color="auto"/>
                                                                                                                      </w:divBdr>
                                                                                                                      <w:divsChild>
                                                                                                                        <w:div w:id="1454596825">
                                                                                                                          <w:marLeft w:val="0"/>
                                                                                                                          <w:marRight w:val="0"/>
                                                                                                                          <w:marTop w:val="0"/>
                                                                                                                          <w:marBottom w:val="0"/>
                                                                                                                          <w:divBdr>
                                                                                                                            <w:top w:val="none" w:sz="0" w:space="0" w:color="auto"/>
                                                                                                                            <w:left w:val="none" w:sz="0" w:space="0" w:color="auto"/>
                                                                                                                            <w:bottom w:val="none" w:sz="0" w:space="0" w:color="auto"/>
                                                                                                                            <w:right w:val="none" w:sz="0" w:space="0" w:color="auto"/>
                                                                                                                          </w:divBdr>
                                                                                                                          <w:divsChild>
                                                                                                                            <w:div w:id="417755699">
                                                                                                                              <w:marLeft w:val="0"/>
                                                                                                                              <w:marRight w:val="0"/>
                                                                                                                              <w:marTop w:val="0"/>
                                                                                                                              <w:marBottom w:val="0"/>
                                                                                                                              <w:divBdr>
                                                                                                                                <w:top w:val="none" w:sz="0" w:space="0" w:color="auto"/>
                                                                                                                                <w:left w:val="none" w:sz="0" w:space="0" w:color="auto"/>
                                                                                                                                <w:bottom w:val="none" w:sz="0" w:space="0" w:color="auto"/>
                                                                                                                                <w:right w:val="none" w:sz="0" w:space="0" w:color="auto"/>
                                                                                                                              </w:divBdr>
                                                                                                                              <w:divsChild>
                                                                                                                                <w:div w:id="405495595">
                                                                                                                                  <w:marLeft w:val="0"/>
                                                                                                                                  <w:marRight w:val="0"/>
                                                                                                                                  <w:marTop w:val="0"/>
                                                                                                                                  <w:marBottom w:val="0"/>
                                                                                                                                  <w:divBdr>
                                                                                                                                    <w:top w:val="none" w:sz="0" w:space="0" w:color="auto"/>
                                                                                                                                    <w:left w:val="none" w:sz="0" w:space="0" w:color="auto"/>
                                                                                                                                    <w:bottom w:val="none" w:sz="0" w:space="0" w:color="auto"/>
                                                                                                                                    <w:right w:val="none" w:sz="0" w:space="0" w:color="auto"/>
                                                                                                                                  </w:divBdr>
                                                                                                                                  <w:divsChild>
                                                                                                                                    <w:div w:id="474881792">
                                                                                                                                      <w:marLeft w:val="0"/>
                                                                                                                                      <w:marRight w:val="0"/>
                                                                                                                                      <w:marTop w:val="0"/>
                                                                                                                                      <w:marBottom w:val="0"/>
                                                                                                                                      <w:divBdr>
                                                                                                                                        <w:top w:val="none" w:sz="0" w:space="0" w:color="auto"/>
                                                                                                                                        <w:left w:val="none" w:sz="0" w:space="0" w:color="auto"/>
                                                                                                                                        <w:bottom w:val="none" w:sz="0" w:space="0" w:color="auto"/>
                                                                                                                                        <w:right w:val="none" w:sz="0" w:space="0" w:color="auto"/>
                                                                                                                                      </w:divBdr>
                                                                                                                                      <w:divsChild>
                                                                                                                                        <w:div w:id="561454197">
                                                                                                                                          <w:marLeft w:val="0"/>
                                                                                                                                          <w:marRight w:val="0"/>
                                                                                                                                          <w:marTop w:val="0"/>
                                                                                                                                          <w:marBottom w:val="0"/>
                                                                                                                                          <w:divBdr>
                                                                                                                                            <w:top w:val="none" w:sz="0" w:space="0" w:color="auto"/>
                                                                                                                                            <w:left w:val="none" w:sz="0" w:space="0" w:color="auto"/>
                                                                                                                                            <w:bottom w:val="none" w:sz="0" w:space="0" w:color="auto"/>
                                                                                                                                            <w:right w:val="none" w:sz="0" w:space="0" w:color="auto"/>
                                                                                                                                          </w:divBdr>
                                                                                                                                          <w:divsChild>
                                                                                                                                            <w:div w:id="1419324980">
                                                                                                                                              <w:marLeft w:val="0"/>
                                                                                                                                              <w:marRight w:val="0"/>
                                                                                                                                              <w:marTop w:val="0"/>
                                                                                                                                              <w:marBottom w:val="0"/>
                                                                                                                                              <w:divBdr>
                                                                                                                                                <w:top w:val="none" w:sz="0" w:space="0" w:color="auto"/>
                                                                                                                                                <w:left w:val="none" w:sz="0" w:space="0" w:color="auto"/>
                                                                                                                                                <w:bottom w:val="none" w:sz="0" w:space="0" w:color="auto"/>
                                                                                                                                                <w:right w:val="none" w:sz="0" w:space="0" w:color="auto"/>
                                                                                                                                              </w:divBdr>
                                                                                                                                              <w:divsChild>
                                                                                                                                                <w:div w:id="2079280511">
                                                                                                                                                  <w:marLeft w:val="0"/>
                                                                                                                                                  <w:marRight w:val="0"/>
                                                                                                                                                  <w:marTop w:val="0"/>
                                                                                                                                                  <w:marBottom w:val="0"/>
                                                                                                                                                  <w:divBdr>
                                                                                                                                                    <w:top w:val="none" w:sz="0" w:space="0" w:color="auto"/>
                                                                                                                                                    <w:left w:val="none" w:sz="0" w:space="0" w:color="auto"/>
                                                                                                                                                    <w:bottom w:val="none" w:sz="0" w:space="0" w:color="auto"/>
                                                                                                                                                    <w:right w:val="none" w:sz="0" w:space="0" w:color="auto"/>
                                                                                                                                                  </w:divBdr>
                                                                                                                                                  <w:divsChild>
                                                                                                                                                    <w:div w:id="873734054">
                                                                                                                                                      <w:marLeft w:val="0"/>
                                                                                                                                                      <w:marRight w:val="0"/>
                                                                                                                                                      <w:marTop w:val="0"/>
                                                                                                                                                      <w:marBottom w:val="0"/>
                                                                                                                                                      <w:divBdr>
                                                                                                                                                        <w:top w:val="none" w:sz="0" w:space="0" w:color="auto"/>
                                                                                                                                                        <w:left w:val="none" w:sz="0" w:space="0" w:color="auto"/>
                                                                                                                                                        <w:bottom w:val="none" w:sz="0" w:space="0" w:color="auto"/>
                                                                                                                                                        <w:right w:val="none" w:sz="0" w:space="0" w:color="auto"/>
                                                                                                                                                      </w:divBdr>
                                                                                                                                                      <w:divsChild>
                                                                                                                                                        <w:div w:id="1908220205">
                                                                                                                                                          <w:marLeft w:val="0"/>
                                                                                                                                                          <w:marRight w:val="0"/>
                                                                                                                                                          <w:marTop w:val="0"/>
                                                                                                                                                          <w:marBottom w:val="0"/>
                                                                                                                                                          <w:divBdr>
                                                                                                                                                            <w:top w:val="none" w:sz="0" w:space="0" w:color="auto"/>
                                                                                                                                                            <w:left w:val="none" w:sz="0" w:space="0" w:color="auto"/>
                                                                                                                                                            <w:bottom w:val="none" w:sz="0" w:space="0" w:color="auto"/>
                                                                                                                                                            <w:right w:val="none" w:sz="0" w:space="0" w:color="auto"/>
                                                                                                                                                          </w:divBdr>
                                                                                                                                                          <w:divsChild>
                                                                                                                                                            <w:div w:id="226769455">
                                                                                                                                                              <w:marLeft w:val="0"/>
                                                                                                                                                              <w:marRight w:val="0"/>
                                                                                                                                                              <w:marTop w:val="0"/>
                                                                                                                                                              <w:marBottom w:val="0"/>
                                                                                                                                                              <w:divBdr>
                                                                                                                                                                <w:top w:val="none" w:sz="0" w:space="0" w:color="auto"/>
                                                                                                                                                                <w:left w:val="none" w:sz="0" w:space="0" w:color="auto"/>
                                                                                                                                                                <w:bottom w:val="none" w:sz="0" w:space="0" w:color="auto"/>
                                                                                                                                                                <w:right w:val="none" w:sz="0" w:space="0" w:color="auto"/>
                                                                                                                                                              </w:divBdr>
                                                                                                                                                              <w:divsChild>
                                                                                                                                                                <w:div w:id="460461143">
                                                                                                                                                                  <w:marLeft w:val="0"/>
                                                                                                                                                                  <w:marRight w:val="0"/>
                                                                                                                                                                  <w:marTop w:val="0"/>
                                                                                                                                                                  <w:marBottom w:val="0"/>
                                                                                                                                                                  <w:divBdr>
                                                                                                                                                                    <w:top w:val="none" w:sz="0" w:space="0" w:color="auto"/>
                                                                                                                                                                    <w:left w:val="none" w:sz="0" w:space="0" w:color="auto"/>
                                                                                                                                                                    <w:bottom w:val="none" w:sz="0" w:space="0" w:color="auto"/>
                                                                                                                                                                    <w:right w:val="none" w:sz="0" w:space="0" w:color="auto"/>
                                                                                                                                                                  </w:divBdr>
                                                                                                                                                                  <w:divsChild>
                                                                                                                                                                    <w:div w:id="596906559">
                                                                                                                                                                      <w:marLeft w:val="0"/>
                                                                                                                                                                      <w:marRight w:val="0"/>
                                                                                                                                                                      <w:marTop w:val="0"/>
                                                                                                                                                                      <w:marBottom w:val="0"/>
                                                                                                                                                                      <w:divBdr>
                                                                                                                                                                        <w:top w:val="none" w:sz="0" w:space="0" w:color="auto"/>
                                                                                                                                                                        <w:left w:val="none" w:sz="0" w:space="0" w:color="auto"/>
                                                                                                                                                                        <w:bottom w:val="none" w:sz="0" w:space="0" w:color="auto"/>
                                                                                                                                                                        <w:right w:val="none" w:sz="0" w:space="0" w:color="auto"/>
                                                                                                                                                                      </w:divBdr>
                                                                                                                                                                      <w:divsChild>
                                                                                                                                                                        <w:div w:id="1834179286">
                                                                                                                                                                          <w:marLeft w:val="0"/>
                                                                                                                                                                          <w:marRight w:val="0"/>
                                                                                                                                                                          <w:marTop w:val="0"/>
                                                                                                                                                                          <w:marBottom w:val="0"/>
                                                                                                                                                                          <w:divBdr>
                                                                                                                                                                            <w:top w:val="none" w:sz="0" w:space="0" w:color="auto"/>
                                                                                                                                                                            <w:left w:val="none" w:sz="0" w:space="0" w:color="auto"/>
                                                                                                                                                                            <w:bottom w:val="none" w:sz="0" w:space="0" w:color="auto"/>
                                                                                                                                                                            <w:right w:val="none" w:sz="0" w:space="0" w:color="auto"/>
                                                                                                                                                                          </w:divBdr>
                                                                                                                                                                          <w:divsChild>
                                                                                                                                                                            <w:div w:id="1478650381">
                                                                                                                                                                              <w:marLeft w:val="0"/>
                                                                                                                                                                              <w:marRight w:val="0"/>
                                                                                                                                                                              <w:marTop w:val="0"/>
                                                                                                                                                                              <w:marBottom w:val="0"/>
                                                                                                                                                                              <w:divBdr>
                                                                                                                                                                                <w:top w:val="none" w:sz="0" w:space="0" w:color="auto"/>
                                                                                                                                                                                <w:left w:val="none" w:sz="0" w:space="0" w:color="auto"/>
                                                                                                                                                                                <w:bottom w:val="none" w:sz="0" w:space="0" w:color="auto"/>
                                                                                                                                                                                <w:right w:val="none" w:sz="0" w:space="0" w:color="auto"/>
                                                                                                                                                                              </w:divBdr>
                                                                                                                                                                              <w:divsChild>
                                                                                                                                                                                <w:div w:id="1432774249">
                                                                                                                                                                                  <w:marLeft w:val="0"/>
                                                                                                                                                                                  <w:marRight w:val="0"/>
                                                                                                                                                                                  <w:marTop w:val="0"/>
                                                                                                                                                                                  <w:marBottom w:val="0"/>
                                                                                                                                                                                  <w:divBdr>
                                                                                                                                                                                    <w:top w:val="none" w:sz="0" w:space="0" w:color="auto"/>
                                                                                                                                                                                    <w:left w:val="none" w:sz="0" w:space="0" w:color="auto"/>
                                                                                                                                                                                    <w:bottom w:val="none" w:sz="0" w:space="0" w:color="auto"/>
                                                                                                                                                                                    <w:right w:val="none" w:sz="0" w:space="0" w:color="auto"/>
                                                                                                                                                                                  </w:divBdr>
                                                                                                                                                                                  <w:divsChild>
                                                                                                                                                                                    <w:div w:id="1693647414">
                                                                                                                                                                                      <w:marLeft w:val="0"/>
                                                                                                                                                                                      <w:marRight w:val="0"/>
                                                                                                                                                                                      <w:marTop w:val="0"/>
                                                                                                                                                                                      <w:marBottom w:val="0"/>
                                                                                                                                                                                      <w:divBdr>
                                                                                                                                                                                        <w:top w:val="none" w:sz="0" w:space="0" w:color="auto"/>
                                                                                                                                                                                        <w:left w:val="none" w:sz="0" w:space="0" w:color="auto"/>
                                                                                                                                                                                        <w:bottom w:val="none" w:sz="0" w:space="0" w:color="auto"/>
                                                                                                                                                                                        <w:right w:val="none" w:sz="0" w:space="0" w:color="auto"/>
                                                                                                                                                                                      </w:divBdr>
                                                                                                                                                                                      <w:divsChild>
                                                                                                                                                                                        <w:div w:id="69809954">
                                                                                                                                                                                          <w:marLeft w:val="0"/>
                                                                                                                                                                                          <w:marRight w:val="0"/>
                                                                                                                                                                                          <w:marTop w:val="0"/>
                                                                                                                                                                                          <w:marBottom w:val="0"/>
                                                                                                                                                                                          <w:divBdr>
                                                                                                                                                                                            <w:top w:val="none" w:sz="0" w:space="0" w:color="auto"/>
                                                                                                                                                                                            <w:left w:val="none" w:sz="0" w:space="0" w:color="auto"/>
                                                                                                                                                                                            <w:bottom w:val="none" w:sz="0" w:space="0" w:color="auto"/>
                                                                                                                                                                                            <w:right w:val="none" w:sz="0" w:space="0" w:color="auto"/>
                                                                                                                                                                                          </w:divBdr>
                                                                                                                                                                                          <w:divsChild>
                                                                                                                                                                                            <w:div w:id="1122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974799">
      <w:bodyDiv w:val="1"/>
      <w:marLeft w:val="0"/>
      <w:marRight w:val="0"/>
      <w:marTop w:val="0"/>
      <w:marBottom w:val="0"/>
      <w:divBdr>
        <w:top w:val="none" w:sz="0" w:space="0" w:color="auto"/>
        <w:left w:val="none" w:sz="0" w:space="0" w:color="auto"/>
        <w:bottom w:val="none" w:sz="0" w:space="0" w:color="auto"/>
        <w:right w:val="none" w:sz="0" w:space="0" w:color="auto"/>
      </w:divBdr>
      <w:divsChild>
        <w:div w:id="53894027">
          <w:marLeft w:val="0"/>
          <w:marRight w:val="0"/>
          <w:marTop w:val="0"/>
          <w:marBottom w:val="0"/>
          <w:divBdr>
            <w:top w:val="none" w:sz="0" w:space="0" w:color="auto"/>
            <w:left w:val="none" w:sz="0" w:space="0" w:color="auto"/>
            <w:bottom w:val="none" w:sz="0" w:space="0" w:color="auto"/>
            <w:right w:val="none" w:sz="0" w:space="0" w:color="auto"/>
          </w:divBdr>
          <w:divsChild>
            <w:div w:id="1314522967">
              <w:marLeft w:val="0"/>
              <w:marRight w:val="0"/>
              <w:marTop w:val="0"/>
              <w:marBottom w:val="0"/>
              <w:divBdr>
                <w:top w:val="none" w:sz="0" w:space="0" w:color="auto"/>
                <w:left w:val="none" w:sz="0" w:space="0" w:color="auto"/>
                <w:bottom w:val="none" w:sz="0" w:space="0" w:color="auto"/>
                <w:right w:val="none" w:sz="0" w:space="0" w:color="auto"/>
              </w:divBdr>
              <w:divsChild>
                <w:div w:id="660356261">
                  <w:marLeft w:val="0"/>
                  <w:marRight w:val="0"/>
                  <w:marTop w:val="0"/>
                  <w:marBottom w:val="0"/>
                  <w:divBdr>
                    <w:top w:val="none" w:sz="0" w:space="0" w:color="auto"/>
                    <w:left w:val="none" w:sz="0" w:space="0" w:color="auto"/>
                    <w:bottom w:val="none" w:sz="0" w:space="0" w:color="auto"/>
                    <w:right w:val="none" w:sz="0" w:space="0" w:color="auto"/>
                  </w:divBdr>
                  <w:divsChild>
                    <w:div w:id="1852144054">
                      <w:marLeft w:val="0"/>
                      <w:marRight w:val="0"/>
                      <w:marTop w:val="0"/>
                      <w:marBottom w:val="0"/>
                      <w:divBdr>
                        <w:top w:val="none" w:sz="0" w:space="0" w:color="auto"/>
                        <w:left w:val="none" w:sz="0" w:space="0" w:color="auto"/>
                        <w:bottom w:val="none" w:sz="0" w:space="0" w:color="auto"/>
                        <w:right w:val="none" w:sz="0" w:space="0" w:color="auto"/>
                      </w:divBdr>
                      <w:divsChild>
                        <w:div w:id="269169573">
                          <w:marLeft w:val="0"/>
                          <w:marRight w:val="0"/>
                          <w:marTop w:val="0"/>
                          <w:marBottom w:val="0"/>
                          <w:divBdr>
                            <w:top w:val="none" w:sz="0" w:space="0" w:color="auto"/>
                            <w:left w:val="none" w:sz="0" w:space="0" w:color="auto"/>
                            <w:bottom w:val="none" w:sz="0" w:space="0" w:color="auto"/>
                            <w:right w:val="none" w:sz="0" w:space="0" w:color="auto"/>
                          </w:divBdr>
                          <w:divsChild>
                            <w:div w:id="1267809803">
                              <w:marLeft w:val="0"/>
                              <w:marRight w:val="0"/>
                              <w:marTop w:val="0"/>
                              <w:marBottom w:val="0"/>
                              <w:divBdr>
                                <w:top w:val="none" w:sz="0" w:space="0" w:color="auto"/>
                                <w:left w:val="none" w:sz="0" w:space="0" w:color="auto"/>
                                <w:bottom w:val="none" w:sz="0" w:space="0" w:color="auto"/>
                                <w:right w:val="none" w:sz="0" w:space="0" w:color="auto"/>
                              </w:divBdr>
                              <w:divsChild>
                                <w:div w:id="986016398">
                                  <w:marLeft w:val="0"/>
                                  <w:marRight w:val="0"/>
                                  <w:marTop w:val="0"/>
                                  <w:marBottom w:val="0"/>
                                  <w:divBdr>
                                    <w:top w:val="none" w:sz="0" w:space="0" w:color="auto"/>
                                    <w:left w:val="none" w:sz="0" w:space="0" w:color="auto"/>
                                    <w:bottom w:val="none" w:sz="0" w:space="0" w:color="auto"/>
                                    <w:right w:val="none" w:sz="0" w:space="0" w:color="auto"/>
                                  </w:divBdr>
                                  <w:divsChild>
                                    <w:div w:id="1589195002">
                                      <w:marLeft w:val="0"/>
                                      <w:marRight w:val="0"/>
                                      <w:marTop w:val="0"/>
                                      <w:marBottom w:val="0"/>
                                      <w:divBdr>
                                        <w:top w:val="none" w:sz="0" w:space="0" w:color="auto"/>
                                        <w:left w:val="none" w:sz="0" w:space="0" w:color="auto"/>
                                        <w:bottom w:val="none" w:sz="0" w:space="0" w:color="auto"/>
                                        <w:right w:val="none" w:sz="0" w:space="0" w:color="auto"/>
                                      </w:divBdr>
                                      <w:divsChild>
                                        <w:div w:id="1439105336">
                                          <w:marLeft w:val="0"/>
                                          <w:marRight w:val="0"/>
                                          <w:marTop w:val="0"/>
                                          <w:marBottom w:val="0"/>
                                          <w:divBdr>
                                            <w:top w:val="none" w:sz="0" w:space="0" w:color="auto"/>
                                            <w:left w:val="none" w:sz="0" w:space="0" w:color="auto"/>
                                            <w:bottom w:val="none" w:sz="0" w:space="0" w:color="auto"/>
                                            <w:right w:val="none" w:sz="0" w:space="0" w:color="auto"/>
                                          </w:divBdr>
                                          <w:divsChild>
                                            <w:div w:id="373503701">
                                              <w:marLeft w:val="0"/>
                                              <w:marRight w:val="0"/>
                                              <w:marTop w:val="0"/>
                                              <w:marBottom w:val="0"/>
                                              <w:divBdr>
                                                <w:top w:val="none" w:sz="0" w:space="0" w:color="auto"/>
                                                <w:left w:val="none" w:sz="0" w:space="0" w:color="auto"/>
                                                <w:bottom w:val="none" w:sz="0" w:space="0" w:color="auto"/>
                                                <w:right w:val="none" w:sz="0" w:space="0" w:color="auto"/>
                                              </w:divBdr>
                                              <w:divsChild>
                                                <w:div w:id="1118835417">
                                                  <w:marLeft w:val="0"/>
                                                  <w:marRight w:val="0"/>
                                                  <w:marTop w:val="0"/>
                                                  <w:marBottom w:val="0"/>
                                                  <w:divBdr>
                                                    <w:top w:val="none" w:sz="0" w:space="0" w:color="auto"/>
                                                    <w:left w:val="none" w:sz="0" w:space="0" w:color="auto"/>
                                                    <w:bottom w:val="none" w:sz="0" w:space="0" w:color="auto"/>
                                                    <w:right w:val="none" w:sz="0" w:space="0" w:color="auto"/>
                                                  </w:divBdr>
                                                  <w:divsChild>
                                                    <w:div w:id="3647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outu.be/2gqDUdLodWE"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1B6B3-66D2-4559-A8B8-D020B5D0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42323</Words>
  <Characters>241247</Characters>
  <Application>Microsoft Office Word</Application>
  <DocSecurity>0</DocSecurity>
  <Lines>2010</Lines>
  <Paragraphs>566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MPI for Human Cognitive and Brain Sciences</Company>
  <LinksUpToDate>false</LinksUpToDate>
  <CharactersWithSpaces>283004</CharactersWithSpaces>
  <SharedDoc>false</SharedDoc>
  <HLinks>
    <vt:vector size="6" baseType="variant">
      <vt:variant>
        <vt:i4>6291559</vt:i4>
      </vt:variant>
      <vt:variant>
        <vt:i4>111</vt:i4>
      </vt:variant>
      <vt:variant>
        <vt:i4>0</vt:i4>
      </vt:variant>
      <vt:variant>
        <vt:i4>5</vt:i4>
      </vt:variant>
      <vt:variant>
        <vt:lpwstr>http://youtu.be/2gqDUdLodWE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Hildebrandt</dc:creator>
  <cp:lastModifiedBy>Cade McCall</cp:lastModifiedBy>
  <cp:revision>2</cp:revision>
  <cp:lastPrinted>2016-01-25T15:56:00Z</cp:lastPrinted>
  <dcterms:created xsi:type="dcterms:W3CDTF">2016-10-10T20:56:00Z</dcterms:created>
  <dcterms:modified xsi:type="dcterms:W3CDTF">2016-10-10T20:56:00Z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MPI for Human Cognitive and Brain Sciences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http://www.zotero.org/styles/apa</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http://www.zotero.org/styles/apa</vt:lpwstr>
  </property>
  <property fmtid="{D5CDD505-2E9C-101B-9397-08002B2CF9AE}" pid="12" name="Mendeley Recent Style Id 3_1">
    <vt:lpwstr>http://www.zotero.org/styles/american-sociological-association</vt:lpwstr>
  </property>
  <property fmtid="{D5CDD505-2E9C-101B-9397-08002B2CF9AE}" pid="13" name="Mendeley Recent Style Id 4_1">
    <vt:lpwstr>http://www.zotero.org/styles/chicago-author-date</vt:lpwstr>
  </property>
  <property fmtid="{D5CDD505-2E9C-101B-9397-08002B2CF9AE}" pid="14" name="Mendeley Recent Style Id 5_1">
    <vt:lpwstr>http://www.zotero.org/styles/harvard1</vt:lpwstr>
  </property>
  <property fmtid="{D5CDD505-2E9C-101B-9397-08002B2CF9AE}" pid="15" name="Mendeley Recent Style Id 6_1">
    <vt:lpwstr>http://www.zotero.org/styles/ieee</vt:lpwstr>
  </property>
  <property fmtid="{D5CDD505-2E9C-101B-9397-08002B2CF9AE}" pid="16" name="Mendeley Recent Style Id 7_1">
    <vt:lpwstr>http://www.zotero.org/styles/modern-humanities-research-association</vt:lpwstr>
  </property>
  <property fmtid="{D5CDD505-2E9C-101B-9397-08002B2CF9AE}" pid="17" name="Mendeley Recent Style Id 8_1">
    <vt:lpwstr>http://www.zotero.org/styles/modern-language-association</vt:lpwstr>
  </property>
  <property fmtid="{D5CDD505-2E9C-101B-9397-08002B2CF9AE}" pid="18" name="Mendeley Recent Style Id 9_1">
    <vt:lpwstr>http://www.zotero.org/styles/nature</vt:lpwstr>
  </property>
  <property fmtid="{D5CDD505-2E9C-101B-9397-08002B2CF9AE}" pid="19" name="Mendeley Recent Style Name 0_1">
    <vt:lpwstr>American Medical Association</vt:lpwstr>
  </property>
  <property fmtid="{D5CDD505-2E9C-101B-9397-08002B2CF9AE}" pid="20" name="Mendeley Recent Style Name 1_1">
    <vt:lpwstr>American Political Science Association</vt:lpwstr>
  </property>
  <property fmtid="{D5CDD505-2E9C-101B-9397-08002B2CF9AE}" pid="21" name="Mendeley Recent Style Name 2_1">
    <vt:lpwstr>American Psychological Association 6th edition</vt:lpwstr>
  </property>
  <property fmtid="{D5CDD505-2E9C-101B-9397-08002B2CF9AE}" pid="22" name="Mendeley Recent Style Name 3_1">
    <vt:lpwstr>American Sociological Association</vt:lpwstr>
  </property>
  <property fmtid="{D5CDD505-2E9C-101B-9397-08002B2CF9AE}" pid="23" name="Mendeley Recent Style Name 4_1">
    <vt:lpwstr>Chicago Manual of Style 16th edition (author-date)</vt:lpwstr>
  </property>
  <property fmtid="{D5CDD505-2E9C-101B-9397-08002B2CF9AE}" pid="24" name="Mendeley Recent Style Name 5_1">
    <vt:lpwstr>Harvard Reference format 1 (author-date)</vt:lpwstr>
  </property>
  <property fmtid="{D5CDD505-2E9C-101B-9397-08002B2CF9AE}" pid="25" name="Mendeley Recent Style Name 6_1">
    <vt:lpwstr>IEEE</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Name 8_1">
    <vt:lpwstr>Modern Language Association 7th edition</vt:lpwstr>
  </property>
  <property fmtid="{D5CDD505-2E9C-101B-9397-08002B2CF9AE}" pid="28" name="Mendeley Recent Style Name 9_1">
    <vt:lpwstr>Nature</vt:lpwstr>
  </property>
  <property fmtid="{D5CDD505-2E9C-101B-9397-08002B2CF9AE}" pid="29" name="Mendeley User Name_1">
    <vt:lpwstr>leakhildebrandt@gmail.com@www.mendeley.com</vt:lpwstr>
  </property>
  <property fmtid="{D5CDD505-2E9C-101B-9397-08002B2CF9AE}" pid="30" name="ScaleCrop">
    <vt:bool>false</vt:bool>
  </property>
  <property fmtid="{D5CDD505-2E9C-101B-9397-08002B2CF9AE}" pid="31" name="ShareDoc">
    <vt:bool>false</vt:bool>
  </property>
</Properties>
</file>